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FA549F">
      <w:pPr>
        <w:spacing w:line="580" w:lineRule="exact"/>
        <w:rPr>
          <w:rFonts w:eastAsia="黑体"/>
          <w:bCs/>
          <w:sz w:val="32"/>
          <w:szCs w:val="32"/>
        </w:rPr>
      </w:pPr>
    </w:p>
    <w:p w14:paraId="381F84D0">
      <w:pPr>
        <w:spacing w:line="580" w:lineRule="exact"/>
        <w:rPr>
          <w:rFonts w:eastAsia="仿宋_GB2312"/>
          <w:bCs/>
          <w:sz w:val="30"/>
          <w:szCs w:val="30"/>
        </w:rPr>
      </w:pPr>
    </w:p>
    <w:p w14:paraId="6FD5395F">
      <w:pPr>
        <w:widowControl/>
        <w:jc w:val="center"/>
        <w:outlineLvl w:val="0"/>
        <w:rPr>
          <w:rFonts w:eastAsia="方正小标宋简体"/>
          <w:bCs/>
          <w:kern w:val="0"/>
          <w:sz w:val="44"/>
          <w:szCs w:val="44"/>
        </w:rPr>
      </w:pPr>
      <w:r>
        <w:rPr>
          <w:rFonts w:eastAsia="方正小标宋简体"/>
          <w:bCs/>
          <w:kern w:val="0"/>
          <w:sz w:val="44"/>
          <w:szCs w:val="44"/>
        </w:rPr>
        <w:t>上海市公安局信息化项目用户需求</w:t>
      </w:r>
    </w:p>
    <w:p w14:paraId="6FDA35FC">
      <w:pPr>
        <w:widowControl/>
        <w:ind w:firstLine="600" w:firstLineChars="200"/>
        <w:jc w:val="left"/>
        <w:rPr>
          <w:rFonts w:eastAsia="仿宋_GB2312"/>
          <w:kern w:val="0"/>
          <w:sz w:val="30"/>
          <w:szCs w:val="30"/>
        </w:rPr>
      </w:pPr>
    </w:p>
    <w:p w14:paraId="03DBADE4">
      <w:pPr>
        <w:widowControl/>
        <w:spacing w:line="560" w:lineRule="exact"/>
        <w:ind w:firstLine="640" w:firstLineChars="200"/>
        <w:jc w:val="left"/>
        <w:outlineLvl w:val="0"/>
        <w:rPr>
          <w:rFonts w:eastAsia="黑体"/>
          <w:kern w:val="0"/>
          <w:sz w:val="32"/>
          <w:szCs w:val="32"/>
        </w:rPr>
      </w:pPr>
      <w:r>
        <w:rPr>
          <w:rFonts w:hAnsi="黑体" w:eastAsia="黑体"/>
          <w:bCs/>
          <w:kern w:val="0"/>
          <w:sz w:val="32"/>
          <w:szCs w:val="32"/>
        </w:rPr>
        <w:t>一、封面</w:t>
      </w:r>
    </w:p>
    <w:tbl>
      <w:tblPr>
        <w:tblStyle w:val="34"/>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00"/>
      </w:tblGrid>
      <w:tr w14:paraId="2038B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0" w:hRule="atLeast"/>
        </w:trPr>
        <w:tc>
          <w:tcPr>
            <w:tcW w:w="8100" w:type="dxa"/>
            <w:tcBorders>
              <w:top w:val="single" w:color="auto" w:sz="4" w:space="0"/>
              <w:left w:val="single" w:color="auto" w:sz="4" w:space="0"/>
              <w:bottom w:val="single" w:color="auto" w:sz="4" w:space="0"/>
              <w:right w:val="single" w:color="auto" w:sz="4" w:space="0"/>
            </w:tcBorders>
          </w:tcPr>
          <w:p w14:paraId="07924F0D">
            <w:pPr>
              <w:widowControl/>
              <w:spacing w:before="100" w:beforeAutospacing="1" w:after="100" w:afterAutospacing="1"/>
              <w:ind w:firstLine="300"/>
              <w:jc w:val="center"/>
              <w:rPr>
                <w:rFonts w:eastAsia="仿宋_GB2312"/>
                <w:kern w:val="0"/>
                <w:sz w:val="32"/>
                <w:szCs w:val="32"/>
              </w:rPr>
            </w:pPr>
          </w:p>
          <w:p w14:paraId="2FD3EE26">
            <w:pPr>
              <w:widowControl/>
              <w:spacing w:before="100" w:beforeAutospacing="1" w:after="100" w:afterAutospacing="1"/>
              <w:ind w:firstLine="360"/>
              <w:jc w:val="center"/>
              <w:rPr>
                <w:rFonts w:eastAsia="仿宋_GB2312"/>
                <w:kern w:val="0"/>
                <w:sz w:val="32"/>
                <w:szCs w:val="32"/>
              </w:rPr>
            </w:pPr>
            <w:r>
              <w:rPr>
                <w:rFonts w:eastAsia="仿宋_GB2312"/>
                <w:kern w:val="0"/>
                <w:sz w:val="32"/>
                <w:szCs w:val="32"/>
              </w:rPr>
              <w:t>用户需求书</w:t>
            </w:r>
          </w:p>
          <w:p w14:paraId="36082487">
            <w:pPr>
              <w:widowControl/>
              <w:spacing w:before="100" w:beforeAutospacing="1" w:after="100" w:afterAutospacing="1"/>
              <w:ind w:firstLine="360"/>
              <w:jc w:val="center"/>
              <w:rPr>
                <w:rFonts w:eastAsia="仿宋_GB2312"/>
                <w:kern w:val="0"/>
                <w:sz w:val="32"/>
                <w:szCs w:val="32"/>
              </w:rPr>
            </w:pPr>
          </w:p>
          <w:p w14:paraId="110363C6">
            <w:pPr>
              <w:widowControl/>
              <w:spacing w:before="100" w:beforeAutospacing="1" w:after="100" w:afterAutospacing="1"/>
              <w:ind w:firstLine="640" w:firstLineChars="200"/>
              <w:rPr>
                <w:rFonts w:eastAsia="仿宋_GB2312"/>
                <w:kern w:val="0"/>
                <w:sz w:val="32"/>
                <w:szCs w:val="32"/>
              </w:rPr>
            </w:pPr>
            <w:r>
              <w:rPr>
                <w:rFonts w:eastAsia="仿宋_GB2312"/>
                <w:kern w:val="0"/>
                <w:sz w:val="32"/>
                <w:szCs w:val="32"/>
              </w:rPr>
              <w:t>项目名称：</w:t>
            </w:r>
            <w:r>
              <w:rPr>
                <w:rFonts w:hint="eastAsia" w:eastAsia="仿宋_GB2312"/>
                <w:kern w:val="0"/>
                <w:sz w:val="32"/>
                <w:szCs w:val="32"/>
              </w:rPr>
              <w:t>上海市公安局视觉大模型能力支撑子系统建设项目</w:t>
            </w:r>
          </w:p>
          <w:p w14:paraId="487602FF">
            <w:pPr>
              <w:widowControl/>
              <w:spacing w:before="100" w:beforeAutospacing="1" w:after="100" w:afterAutospacing="1"/>
              <w:ind w:firstLine="640" w:firstLineChars="200"/>
              <w:rPr>
                <w:rFonts w:eastAsia="仿宋_GB2312"/>
                <w:kern w:val="0"/>
                <w:sz w:val="32"/>
                <w:szCs w:val="32"/>
              </w:rPr>
            </w:pPr>
            <w:r>
              <w:rPr>
                <w:rFonts w:eastAsia="仿宋_GB2312"/>
                <w:kern w:val="0"/>
                <w:sz w:val="32"/>
                <w:szCs w:val="32"/>
              </w:rPr>
              <w:t>责任单位：</w:t>
            </w:r>
            <w:r>
              <w:rPr>
                <w:rFonts w:hint="eastAsia" w:eastAsia="仿宋_GB2312"/>
                <w:kern w:val="0"/>
                <w:sz w:val="32"/>
                <w:szCs w:val="32"/>
              </w:rPr>
              <w:t>上海市公安局科技信息化总队</w:t>
            </w:r>
          </w:p>
          <w:p w14:paraId="2ADC6738">
            <w:pPr>
              <w:widowControl/>
              <w:spacing w:before="100" w:beforeAutospacing="1" w:after="100" w:afterAutospacing="1"/>
              <w:ind w:firstLine="640" w:firstLineChars="200"/>
              <w:rPr>
                <w:rFonts w:eastAsia="仿宋_GB2312"/>
                <w:kern w:val="0"/>
                <w:sz w:val="32"/>
                <w:szCs w:val="32"/>
              </w:rPr>
            </w:pPr>
            <w:r>
              <w:rPr>
                <w:rFonts w:eastAsia="仿宋_GB2312"/>
                <w:kern w:val="0"/>
                <w:sz w:val="32"/>
                <w:szCs w:val="32"/>
              </w:rPr>
              <w:t>项目负责人及职务：</w:t>
            </w:r>
            <w:r>
              <w:rPr>
                <w:rFonts w:hint="eastAsia" w:eastAsia="仿宋_GB2312"/>
                <w:kern w:val="0"/>
                <w:sz w:val="32"/>
                <w:szCs w:val="32"/>
              </w:rPr>
              <w:t>夏峰、支队长</w:t>
            </w:r>
          </w:p>
          <w:p w14:paraId="445A8317">
            <w:pPr>
              <w:widowControl/>
              <w:spacing w:before="100" w:beforeAutospacing="1" w:after="100" w:afterAutospacing="1"/>
              <w:ind w:firstLine="640" w:firstLineChars="200"/>
              <w:rPr>
                <w:rFonts w:eastAsia="仿宋_GB2312"/>
                <w:kern w:val="0"/>
                <w:sz w:val="32"/>
                <w:szCs w:val="32"/>
              </w:rPr>
            </w:pPr>
            <w:r>
              <w:rPr>
                <w:rFonts w:eastAsia="仿宋_GB2312"/>
                <w:kern w:val="0"/>
                <w:sz w:val="32"/>
                <w:szCs w:val="32"/>
              </w:rPr>
              <w:t>联系人及电话：</w:t>
            </w:r>
            <w:r>
              <w:rPr>
                <w:rFonts w:hint="eastAsia" w:eastAsia="仿宋_GB2312"/>
                <w:kern w:val="0"/>
                <w:sz w:val="32"/>
                <w:szCs w:val="32"/>
              </w:rPr>
              <w:t>钟杨忆冰</w:t>
            </w:r>
          </w:p>
          <w:p w14:paraId="617E2820">
            <w:pPr>
              <w:widowControl/>
              <w:spacing w:before="100" w:beforeAutospacing="1" w:after="100" w:afterAutospacing="1"/>
              <w:ind w:firstLine="640" w:firstLineChars="200"/>
              <w:rPr>
                <w:rFonts w:eastAsia="仿宋_GB2312"/>
                <w:kern w:val="0"/>
                <w:sz w:val="32"/>
                <w:szCs w:val="32"/>
              </w:rPr>
            </w:pPr>
          </w:p>
        </w:tc>
      </w:tr>
    </w:tbl>
    <w:p w14:paraId="57678164">
      <w:pPr>
        <w:widowControl/>
        <w:adjustRightInd w:val="0"/>
        <w:snapToGrid w:val="0"/>
        <w:spacing w:line="360" w:lineRule="auto"/>
        <w:ind w:firstLine="596" w:firstLineChars="198"/>
        <w:rPr>
          <w:rFonts w:eastAsia="仿宋_GB2312"/>
          <w:b/>
          <w:bCs/>
          <w:kern w:val="0"/>
          <w:sz w:val="30"/>
          <w:szCs w:val="30"/>
        </w:rPr>
      </w:pPr>
    </w:p>
    <w:p w14:paraId="4F037C3A">
      <w:pPr>
        <w:widowControl/>
        <w:adjustRightInd w:val="0"/>
        <w:snapToGrid w:val="0"/>
        <w:spacing w:line="360" w:lineRule="auto"/>
        <w:ind w:firstLine="596" w:firstLineChars="198"/>
        <w:rPr>
          <w:rFonts w:eastAsia="仿宋_GB2312"/>
          <w:b/>
          <w:bCs/>
          <w:kern w:val="0"/>
          <w:sz w:val="30"/>
          <w:szCs w:val="30"/>
        </w:rPr>
      </w:pPr>
    </w:p>
    <w:p w14:paraId="6134A860">
      <w:pPr>
        <w:widowControl/>
        <w:spacing w:line="560" w:lineRule="exact"/>
        <w:ind w:firstLine="646"/>
        <w:jc w:val="left"/>
        <w:outlineLvl w:val="0"/>
        <w:rPr>
          <w:rFonts w:eastAsia="黑体"/>
          <w:bCs/>
          <w:kern w:val="0"/>
          <w:sz w:val="32"/>
          <w:szCs w:val="32"/>
        </w:rPr>
      </w:pPr>
      <w:r>
        <w:rPr>
          <w:rFonts w:hAnsi="黑体" w:eastAsia="黑体"/>
          <w:bCs/>
          <w:kern w:val="0"/>
          <w:sz w:val="32"/>
          <w:szCs w:val="32"/>
        </w:rPr>
        <w:t>二、主要内容</w:t>
      </w:r>
    </w:p>
    <w:p w14:paraId="332843CE">
      <w:pPr>
        <w:widowControl/>
        <w:adjustRightInd w:val="0"/>
        <w:snapToGrid w:val="0"/>
        <w:spacing w:line="560" w:lineRule="exact"/>
        <w:ind w:firstLine="646"/>
        <w:outlineLvl w:val="1"/>
        <w:rPr>
          <w:rFonts w:eastAsia="楷体_GB2312"/>
          <w:bCs/>
          <w:kern w:val="0"/>
          <w:sz w:val="32"/>
          <w:szCs w:val="32"/>
        </w:rPr>
      </w:pPr>
      <w:r>
        <w:rPr>
          <w:rFonts w:eastAsia="楷体_GB2312"/>
          <w:bCs/>
          <w:kern w:val="0"/>
          <w:sz w:val="32"/>
          <w:szCs w:val="32"/>
        </w:rPr>
        <w:t>（一）背景与现状概述</w:t>
      </w:r>
    </w:p>
    <w:p w14:paraId="1B7A109C">
      <w:pPr>
        <w:widowControl/>
        <w:adjustRightInd w:val="0"/>
        <w:snapToGrid w:val="0"/>
        <w:spacing w:line="560" w:lineRule="exact"/>
        <w:ind w:firstLine="646"/>
        <w:outlineLvl w:val="2"/>
        <w:rPr>
          <w:rFonts w:eastAsia="仿宋_GB2312"/>
          <w:kern w:val="0"/>
          <w:sz w:val="32"/>
          <w:szCs w:val="32"/>
        </w:rPr>
      </w:pPr>
      <w:r>
        <w:rPr>
          <w:rFonts w:hint="eastAsia" w:eastAsia="仿宋_GB2312"/>
          <w:kern w:val="0"/>
          <w:sz w:val="32"/>
          <w:szCs w:val="32"/>
        </w:rPr>
        <w:t>1、项目建设背景</w:t>
      </w:r>
    </w:p>
    <w:p w14:paraId="22CDA424">
      <w:pPr>
        <w:widowControl/>
        <w:adjustRightInd w:val="0"/>
        <w:snapToGrid w:val="0"/>
        <w:spacing w:line="560" w:lineRule="exact"/>
        <w:ind w:firstLine="646"/>
        <w:rPr>
          <w:rFonts w:eastAsia="仿宋_GB2312"/>
          <w:kern w:val="0"/>
          <w:sz w:val="32"/>
          <w:szCs w:val="32"/>
        </w:rPr>
      </w:pPr>
      <w:r>
        <w:rPr>
          <w:rFonts w:hint="eastAsia" w:eastAsia="仿宋_GB2312"/>
          <w:kern w:val="0"/>
          <w:sz w:val="32"/>
          <w:szCs w:val="32"/>
        </w:rPr>
        <w:t>随着互联网、物联网、社交媒体等技术的普及，全球数据量呈指数级增长。</w:t>
      </w:r>
      <w:r>
        <w:rPr>
          <w:rFonts w:eastAsia="仿宋_GB2312"/>
          <w:kern w:val="0"/>
          <w:sz w:val="32"/>
          <w:szCs w:val="32"/>
        </w:rPr>
        <w:t>海量数据的积累为训练大规模、高复杂度的模型提供了丰富的原材料，使得模型能够学习到更深层次的规律和模式，从而在预测、生成、推理等方面展现出更强大的能力。</w:t>
      </w:r>
    </w:p>
    <w:p w14:paraId="7F1DED2A">
      <w:pPr>
        <w:widowControl/>
        <w:adjustRightInd w:val="0"/>
        <w:snapToGrid w:val="0"/>
        <w:spacing w:line="560" w:lineRule="exact"/>
        <w:ind w:firstLine="646"/>
        <w:rPr>
          <w:rFonts w:eastAsia="仿宋_GB2312"/>
          <w:kern w:val="0"/>
          <w:sz w:val="32"/>
          <w:szCs w:val="32"/>
        </w:rPr>
      </w:pPr>
      <w:r>
        <w:rPr>
          <w:rFonts w:hint="eastAsia" w:eastAsia="仿宋_GB2312"/>
          <w:kern w:val="0"/>
          <w:sz w:val="32"/>
          <w:szCs w:val="32"/>
        </w:rPr>
        <w:t>深度学习领域的一系列算法创新，</w:t>
      </w:r>
      <w:r>
        <w:rPr>
          <w:rFonts w:eastAsia="仿宋_GB2312"/>
          <w:kern w:val="0"/>
          <w:sz w:val="32"/>
          <w:szCs w:val="32"/>
        </w:rPr>
        <w:t>彻底改变了自然语言处理领域的面貌，使得模型能够更好地处理长距离依赖问题，提高了语言模型的泛化能力和上下文理解能力。此外，模型并行、数据并行、混合并行等分布式训练策略的发展，为大规模模型的训练提供了算法支持。</w:t>
      </w:r>
    </w:p>
    <w:p w14:paraId="759CEE2B">
      <w:pPr>
        <w:widowControl/>
        <w:adjustRightInd w:val="0"/>
        <w:snapToGrid w:val="0"/>
        <w:spacing w:line="560" w:lineRule="exact"/>
        <w:ind w:firstLine="646"/>
        <w:rPr>
          <w:rFonts w:eastAsia="仿宋_GB2312"/>
          <w:kern w:val="0"/>
          <w:sz w:val="32"/>
          <w:szCs w:val="32"/>
        </w:rPr>
      </w:pPr>
      <w:r>
        <w:rPr>
          <w:rFonts w:hint="eastAsia" w:eastAsia="仿宋_GB2312"/>
          <w:kern w:val="0"/>
          <w:sz w:val="32"/>
          <w:szCs w:val="32"/>
        </w:rPr>
        <w:t>从自动驾驶、医疗健康、金融服务到教育娱乐，各行各业对智能化、个性化的服务需求日益增长。大模型以其强大的学习和生成能力，能够为这些领域提供更为精准的个性化推荐、更高效的决策支持和更自然的人机交互体验，有效提升用户体验和业务效率。</w:t>
      </w:r>
    </w:p>
    <w:p w14:paraId="3D252C9C">
      <w:pPr>
        <w:widowControl/>
        <w:adjustRightInd w:val="0"/>
        <w:snapToGrid w:val="0"/>
        <w:spacing w:line="560" w:lineRule="exact"/>
        <w:ind w:firstLine="646"/>
        <w:rPr>
          <w:rFonts w:eastAsia="仿宋_GB2312"/>
          <w:kern w:val="0"/>
          <w:sz w:val="32"/>
          <w:szCs w:val="32"/>
        </w:rPr>
      </w:pPr>
      <w:r>
        <w:rPr>
          <w:rFonts w:hint="eastAsia" w:eastAsia="仿宋_GB2312"/>
          <w:kern w:val="0"/>
          <w:sz w:val="32"/>
          <w:szCs w:val="32"/>
        </w:rPr>
        <w:t>当前，我国正处于改革攻坚期、发展转型期，受国际国内多种因素影响，面临着对外维护国家主权、安全、发展利益，对内维护政治安全和社会稳定的双重压力，各类社会矛盾相互交织、各种风险隐患大量增多。随着城市化进程的加速，城市各类发展要素聚集，流动速度更快。城市管理、社会治理、繁荣稳定发展面临巨大的挑战。</w:t>
      </w:r>
    </w:p>
    <w:p w14:paraId="6D93F492">
      <w:pPr>
        <w:widowControl/>
        <w:adjustRightInd w:val="0"/>
        <w:snapToGrid w:val="0"/>
        <w:spacing w:line="560" w:lineRule="exact"/>
        <w:ind w:firstLine="646"/>
        <w:rPr>
          <w:rFonts w:eastAsia="仿宋_GB2312"/>
          <w:kern w:val="0"/>
          <w:sz w:val="32"/>
          <w:szCs w:val="32"/>
        </w:rPr>
      </w:pPr>
      <w:r>
        <w:rPr>
          <w:rFonts w:hint="eastAsia" w:eastAsia="仿宋_GB2312"/>
          <w:kern w:val="0"/>
          <w:sz w:val="32"/>
          <w:szCs w:val="32"/>
        </w:rPr>
        <w:t>2024年2月，公安部党委（扩大）会议提出，要聚焦建立完善“专业+机制+大数据”新型警务运行模式，不断优化警务管理体制、运行机制，大力推进公安大数据智能化建设应用，加快形成和提升新质公安战斗力。坚持创新驱动、培育新质公安战斗力，是贯彻落实习近平总书记关于新质生产力、新质战斗力和新时代公安工作重要论述的重大决策部署，是贯彻落实党的二十大精神、奋力推进公安工作现代化的必然要求，对推动公安工作高质量发展、以高水平安全为中国式现代化保驾护航具有深远意义。</w:t>
      </w:r>
    </w:p>
    <w:p w14:paraId="33A9C2D2">
      <w:pPr>
        <w:widowControl/>
        <w:adjustRightInd w:val="0"/>
        <w:snapToGrid w:val="0"/>
        <w:spacing w:line="560" w:lineRule="exact"/>
        <w:ind w:firstLine="646"/>
        <w:rPr>
          <w:rFonts w:eastAsia="仿宋_GB2312"/>
          <w:kern w:val="0"/>
          <w:sz w:val="32"/>
          <w:szCs w:val="32"/>
        </w:rPr>
      </w:pPr>
      <w:r>
        <w:rPr>
          <w:rFonts w:hint="eastAsia" w:eastAsia="仿宋_GB2312"/>
          <w:kern w:val="0"/>
          <w:sz w:val="32"/>
          <w:szCs w:val="32"/>
        </w:rPr>
        <w:t>新质公安战斗力是以创新为驱动，集综合感知、扁平指挥、精准打防、智慧治理、高效保障于一体的信息化条件下的战斗力质态，要求实现“专业+机制+大数据”的警务生态变革，将推动公安战斗力质的跃迁和公安工作的系统性重塑、整体性变革。加快形成和提升新质公安战斗力，需要进一步从新模式、新体制、新机制、新应用等多个维度激发全面深化公安改革的新动能，推动公安工作现代化。其中，新应用的构建和落地是新时代智慧警务建设的核心重点和关键环节。</w:t>
      </w:r>
    </w:p>
    <w:p w14:paraId="7CD8CF61">
      <w:pPr>
        <w:widowControl/>
        <w:adjustRightInd w:val="0"/>
        <w:snapToGrid w:val="0"/>
        <w:spacing w:line="560" w:lineRule="exact"/>
        <w:ind w:firstLine="646"/>
        <w:rPr>
          <w:rFonts w:eastAsia="仿宋_GB2312"/>
          <w:kern w:val="0"/>
          <w:sz w:val="32"/>
          <w:szCs w:val="32"/>
        </w:rPr>
      </w:pPr>
      <w:r>
        <w:rPr>
          <w:rFonts w:hint="eastAsia" w:eastAsia="仿宋_GB2312"/>
          <w:kern w:val="0"/>
          <w:sz w:val="32"/>
          <w:szCs w:val="32"/>
        </w:rPr>
        <w:t>深化大数据智能化建设应用，推动公安工作高质量发展，必须提升新质公安战斗力。新质生产力和新质公安战斗力都源于先进前沿科技的发展应用，必须坚定不移走科技兴警之路，下大力气固根基、补短板、强弱项，深化公安大数据智能化建设应用，激发改革新动能，培育新质公安战斗力。毋庸讳言，基础情报数据支撑弱、警务人力资源消耗大、专业研判能力不足、数据壁垒突出且共享有限已经成为公安大数据智能化建设的问题短板。要强化科技支撑，扎实推进公安大数据战略，落实好科技兴警三年行动计划，强化“大数据+”“人工智能+”赋能打击违法犯罪、加强社会治理、维护社会稳定、优化政务服务，加快形成和提升新质公安战斗力。要统筹建设贴近实战、符合需求、高效支撑的大数据实战平台，畅通智能化赋能渠道，以大数据和人工智能高效赋能情报指挥、侦查破案、合成作战、勤务运行、支撑保障、执法管理、社区警务，推动基础工作全面扎实、警情处置主动积极、打防犯罪精准高效、社会治理智能精细、政务服务智慧便捷。通过科技创新与公安工作有机融合，让AI大数据深度赋能警种业务系统，赋能机关基层基础，赋能公安执法办案、政务服务、社会治理、服务群众全流程全链条，全面提升公安工作质效。</w:t>
      </w:r>
    </w:p>
    <w:p w14:paraId="39921EC9">
      <w:pPr>
        <w:widowControl/>
        <w:adjustRightInd w:val="0"/>
        <w:snapToGrid w:val="0"/>
        <w:spacing w:line="560" w:lineRule="exact"/>
        <w:ind w:firstLine="646"/>
        <w:rPr>
          <w:rFonts w:eastAsia="仿宋_GB2312"/>
          <w:kern w:val="0"/>
          <w:sz w:val="32"/>
          <w:szCs w:val="32"/>
        </w:rPr>
      </w:pPr>
      <w:r>
        <w:rPr>
          <w:rFonts w:hint="eastAsia" w:eastAsia="仿宋_GB2312"/>
          <w:kern w:val="0"/>
          <w:sz w:val="32"/>
          <w:szCs w:val="32"/>
        </w:rPr>
        <w:t>习近平总书记在全国公安工作会议上强调：“要把大数据作为推动公安工作创新发展的大引擎、培育战斗力生成新的增长点，全面助推公安工作质量变革、效率变革、动力变革。”新质公安战斗力具有高科技、高质量、高质效特征，更显创新性、更具融合性、更有可持续性，是推进公安工作现代化的新动能，是打造高水平安全、护航高质量发展的支撑保障。</w:t>
      </w:r>
    </w:p>
    <w:p w14:paraId="74DA6A2B">
      <w:pPr>
        <w:widowControl/>
        <w:adjustRightInd w:val="0"/>
        <w:snapToGrid w:val="0"/>
        <w:spacing w:line="560" w:lineRule="exact"/>
        <w:ind w:firstLine="646"/>
        <w:rPr>
          <w:rFonts w:eastAsia="仿宋_GB2312"/>
          <w:kern w:val="0"/>
          <w:sz w:val="32"/>
          <w:szCs w:val="32"/>
        </w:rPr>
      </w:pPr>
      <w:r>
        <w:rPr>
          <w:rFonts w:hint="eastAsia" w:eastAsia="仿宋_GB2312"/>
          <w:kern w:val="0"/>
          <w:sz w:val="32"/>
          <w:szCs w:val="32"/>
        </w:rPr>
        <w:t>随着AI技术高速发展，机器视觉、自然语言理解等技术在公安领域快速落地，不断解锁城市级AI应用新场景。将先进的人工智能技术与公安视频图像信息智能化建设深度融合。建设城市级智能图像系统，以人为核心要素进行精细化管理，以人工智能与数据智能双引擎驱动平安建设向精细化迈进，推动公安大数据及“智慧公安”落地，助力社会治理能力现代化实现，解决大规模城市治理难题，是新时代深刻领会和贯彻落实习近平总书记关于新质公安战斗力建设思想的具体实践。</w:t>
      </w:r>
    </w:p>
    <w:p w14:paraId="7DCD798C">
      <w:pPr>
        <w:widowControl/>
        <w:adjustRightInd w:val="0"/>
        <w:snapToGrid w:val="0"/>
        <w:spacing w:line="560" w:lineRule="exact"/>
        <w:ind w:firstLine="646"/>
        <w:rPr>
          <w:rFonts w:eastAsia="仿宋_GB2312"/>
          <w:kern w:val="0"/>
          <w:sz w:val="32"/>
          <w:szCs w:val="32"/>
        </w:rPr>
      </w:pPr>
      <w:r>
        <w:rPr>
          <w:rFonts w:hint="eastAsia" w:eastAsia="仿宋_GB2312"/>
          <w:kern w:val="0"/>
          <w:sz w:val="32"/>
          <w:szCs w:val="32"/>
        </w:rPr>
        <w:t>为认真贯彻党的二十大精神和习近平总书记关于“科技兴警”、“新质公安战斗力”的重要论述，根据“智慧公安”的总体发展战略，为全面推进公安工作的信息化、智能化、现代化，结合系统建设规范化、数据共享标准化、管理应用规模化的要求，市局规划以“机器看视频”为突破口，按照部委工作部署，着眼长远、兼顾当前，补齐短板、强化弱项，实战引导、综合应用，将识别智能、数据智能等关键技术更深入的融入公安视频图像智能化建设，为系统建设、实战应用、警务机制等领域带来新的变革契机，推动公安大数据、“智慧警务”走向新高度。</w:t>
      </w:r>
    </w:p>
    <w:p w14:paraId="3950705C">
      <w:pPr>
        <w:widowControl/>
        <w:adjustRightInd w:val="0"/>
        <w:snapToGrid w:val="0"/>
        <w:spacing w:line="560" w:lineRule="exact"/>
        <w:ind w:firstLine="646"/>
        <w:outlineLvl w:val="2"/>
        <w:rPr>
          <w:rFonts w:eastAsia="仿宋_GB2312"/>
          <w:kern w:val="0"/>
          <w:sz w:val="32"/>
          <w:szCs w:val="32"/>
        </w:rPr>
      </w:pPr>
      <w:r>
        <w:rPr>
          <w:rFonts w:hint="eastAsia" w:eastAsia="仿宋_GB2312"/>
          <w:kern w:val="0"/>
          <w:sz w:val="32"/>
          <w:szCs w:val="32"/>
        </w:rPr>
        <w:t>2、现有硬件资源情况</w:t>
      </w:r>
    </w:p>
    <w:p w14:paraId="266E1597">
      <w:pPr>
        <w:widowControl/>
        <w:adjustRightInd w:val="0"/>
        <w:snapToGrid w:val="0"/>
        <w:spacing w:line="560" w:lineRule="exact"/>
        <w:ind w:firstLine="646"/>
        <w:rPr>
          <w:rFonts w:eastAsia="仿宋_GB2312"/>
          <w:kern w:val="0"/>
          <w:sz w:val="32"/>
          <w:szCs w:val="32"/>
        </w:rPr>
      </w:pPr>
      <w:r>
        <w:rPr>
          <w:rFonts w:hint="eastAsia" w:eastAsia="仿宋_GB2312"/>
          <w:kern w:val="0"/>
          <w:sz w:val="32"/>
          <w:szCs w:val="32"/>
        </w:rPr>
        <w:t>在公安视频传输网目前已有硬件资源暂时可供本项目建设在公安视频传输网的软件部署使用。</w:t>
      </w:r>
    </w:p>
    <w:p w14:paraId="18FBCB2E">
      <w:pPr>
        <w:widowControl/>
        <w:adjustRightInd w:val="0"/>
        <w:snapToGrid w:val="0"/>
        <w:spacing w:line="560" w:lineRule="exact"/>
        <w:ind w:firstLine="646"/>
        <w:rPr>
          <w:rFonts w:eastAsia="仿宋_GB2312"/>
          <w:kern w:val="0"/>
          <w:sz w:val="32"/>
          <w:szCs w:val="32"/>
        </w:rPr>
      </w:pPr>
      <w:r>
        <w:rPr>
          <w:rFonts w:hint="eastAsia" w:eastAsia="仿宋_GB2312"/>
          <w:kern w:val="0"/>
          <w:sz w:val="32"/>
          <w:szCs w:val="32"/>
        </w:rPr>
        <w:t>在公安信息网的数据域和用户域依托云平台建设，可供本项目建设的软件部署。</w:t>
      </w:r>
    </w:p>
    <w:p w14:paraId="7776D85C">
      <w:pPr>
        <w:widowControl/>
        <w:adjustRightInd w:val="0"/>
        <w:snapToGrid w:val="0"/>
        <w:spacing w:line="560" w:lineRule="exact"/>
        <w:ind w:firstLine="646"/>
        <w:outlineLvl w:val="1"/>
        <w:rPr>
          <w:rFonts w:eastAsia="楷体_GB2312"/>
          <w:bCs/>
          <w:kern w:val="0"/>
          <w:sz w:val="32"/>
          <w:szCs w:val="32"/>
        </w:rPr>
      </w:pPr>
      <w:r>
        <w:rPr>
          <w:rFonts w:eastAsia="楷体_GB2312"/>
          <w:bCs/>
          <w:kern w:val="0"/>
          <w:sz w:val="32"/>
          <w:szCs w:val="32"/>
        </w:rPr>
        <w:t>（二）目标与任务</w:t>
      </w:r>
    </w:p>
    <w:p w14:paraId="5D80C362">
      <w:pPr>
        <w:widowControl/>
        <w:adjustRightInd w:val="0"/>
        <w:snapToGrid w:val="0"/>
        <w:spacing w:line="560" w:lineRule="exact"/>
        <w:ind w:firstLine="646"/>
        <w:outlineLvl w:val="2"/>
        <w:rPr>
          <w:rFonts w:eastAsia="仿宋_GB2312"/>
          <w:kern w:val="0"/>
          <w:sz w:val="32"/>
          <w:szCs w:val="32"/>
        </w:rPr>
      </w:pPr>
      <w:r>
        <w:rPr>
          <w:rFonts w:hint="eastAsia" w:eastAsia="仿宋_GB2312"/>
          <w:kern w:val="0"/>
          <w:sz w:val="32"/>
          <w:szCs w:val="32"/>
        </w:rPr>
        <w:t>1、建设目标</w:t>
      </w:r>
    </w:p>
    <w:p w14:paraId="5F044E3A">
      <w:pPr>
        <w:pStyle w:val="43"/>
        <w:rPr>
          <w:rFonts w:ascii="仿宋_GB2312" w:eastAsia="仿宋_GB2312"/>
          <w:sz w:val="32"/>
          <w:szCs w:val="32"/>
        </w:rPr>
      </w:pPr>
      <w:r>
        <w:rPr>
          <w:rFonts w:hint="eastAsia" w:ascii="仿宋_GB2312" w:eastAsia="仿宋_GB2312"/>
          <w:sz w:val="32"/>
          <w:szCs w:val="32"/>
        </w:rPr>
        <w:t>为了进一步落实国家、公安部和上海市对公安“科技兴警”工作要求，全面提升新质战斗力，推动实现“专业+机制+大数据”的警务生态变革，本项目拟在现有视频jk网络和视频图像智能分析系统的基础上，深度融合当今先进的开源和闭源视觉大模型，构建一个开放协同、高效集约、敏捷赋能的基于两网两级建设的面向全警种的视觉大模型能力支撑子系统。具体建设目标如下：</w:t>
      </w:r>
    </w:p>
    <w:p w14:paraId="31D25F8F">
      <w:pPr>
        <w:pStyle w:val="43"/>
        <w:rPr>
          <w:rFonts w:ascii="仿宋_GB2312" w:eastAsia="仿宋_GB2312"/>
          <w:sz w:val="32"/>
          <w:szCs w:val="32"/>
        </w:rPr>
      </w:pPr>
      <w:r>
        <w:rPr>
          <w:rFonts w:hint="eastAsia" w:ascii="仿宋_GB2312" w:eastAsia="仿宋_GB2312"/>
          <w:sz w:val="32"/>
          <w:szCs w:val="32"/>
        </w:rPr>
        <w:t>一、构建多模型协同的视觉算法工厂，全面支撑全警种、全场景业务实战应用。</w:t>
      </w:r>
    </w:p>
    <w:p w14:paraId="5BEA3F55">
      <w:pPr>
        <w:pStyle w:val="43"/>
        <w:rPr>
          <w:rFonts w:ascii="仿宋_GB2312" w:eastAsia="仿宋_GB2312"/>
          <w:sz w:val="32"/>
          <w:szCs w:val="32"/>
        </w:rPr>
      </w:pPr>
      <w:r>
        <w:rPr>
          <w:rFonts w:hint="eastAsia" w:ascii="仿宋_GB2312" w:eastAsia="仿宋_GB2312"/>
          <w:sz w:val="32"/>
          <w:szCs w:val="32"/>
        </w:rPr>
        <w:t>视觉大模型技术，作为人工智能领域的一项革命性突破，以其卓越的数据处理能力、深度学习算法和场景理解能力，能够大幅提升视频jk系统的智能化水平。本项目通过多模态融合认知、参数高效微调、边缘智能优化三大技术支柱，将传统算法开发升级为“视觉算法工厂”，低样本适配场景，大幅降低算法开发难度，既呼应公安部“科技兴警”中“向科技要警力”的核心诉求，也通过量化指标验证了业务价值跃迁（如小案件破案率提升），以视觉智能为重要支点支撑实现跨部门、跨区域的信息共享与协同作战，为案件侦破、治安防控、FKWW等关键警务活动提供科学决策依据，助力公安队伍快速适应复杂多变的社会治安形势。</w:t>
      </w:r>
    </w:p>
    <w:p w14:paraId="024DFA83">
      <w:pPr>
        <w:pStyle w:val="43"/>
        <w:rPr>
          <w:rFonts w:ascii="仿宋_GB2312" w:eastAsia="仿宋_GB2312"/>
          <w:sz w:val="32"/>
          <w:szCs w:val="32"/>
        </w:rPr>
      </w:pPr>
      <w:r>
        <w:rPr>
          <w:rFonts w:hint="eastAsia" w:ascii="仿宋_GB2312" w:eastAsia="仿宋_GB2312"/>
          <w:sz w:val="32"/>
          <w:szCs w:val="32"/>
        </w:rPr>
        <w:t>二、打造开放化低代码视觉能力引擎，降低视觉大模型应用门槛，提升民警在实际工作中运用视觉大模型的体验与探索兴趣</w:t>
      </w:r>
    </w:p>
    <w:p w14:paraId="74C4CD09">
      <w:pPr>
        <w:pStyle w:val="43"/>
        <w:rPr>
          <w:rFonts w:ascii="仿宋_GB2312" w:eastAsia="仿宋_GB2312"/>
          <w:sz w:val="32"/>
          <w:szCs w:val="32"/>
        </w:rPr>
      </w:pPr>
      <w:r>
        <w:rPr>
          <w:rFonts w:hint="eastAsia" w:ascii="仿宋_GB2312" w:eastAsia="仿宋_GB2312"/>
          <w:sz w:val="32"/>
          <w:szCs w:val="32"/>
        </w:rPr>
        <w:t>通过构建标准化服务接口和图形化组件库，实现视觉大模型能力的“一键式”服务封装；搭建可视化模型测试平台，引入自动化模型蒸馏技术，将大模型能力迁移至轻量级推理模型中，适配边缘计算场景。民警可通过拖拽式界面组合AI能力，无需编码即可完成定制化分析流程开发，大幅提升模型调用效率；通过统一的开发套件，降低算法微调门槛，激发基层民警创新性场景探索（如社区ry异动、场所异动感知等），提升实战应用覆盖率。</w:t>
      </w:r>
    </w:p>
    <w:p w14:paraId="08DC1CE8">
      <w:pPr>
        <w:pStyle w:val="43"/>
        <w:rPr>
          <w:rFonts w:ascii="仿宋_GB2312" w:eastAsia="仿宋_GB2312"/>
          <w:sz w:val="32"/>
          <w:szCs w:val="32"/>
        </w:rPr>
      </w:pPr>
      <w:r>
        <w:rPr>
          <w:rFonts w:hint="eastAsia" w:ascii="仿宋_GB2312" w:eastAsia="仿宋_GB2312"/>
          <w:sz w:val="32"/>
          <w:szCs w:val="32"/>
        </w:rPr>
        <w:t>三、构建“两网两级”视觉大模型安全应用体系，支持二级计算协同，实现算力随需扩展，算法秒级响应。</w:t>
      </w:r>
    </w:p>
    <w:p w14:paraId="6D85CBB1">
      <w:pPr>
        <w:pStyle w:val="43"/>
        <w:rPr>
          <w:rFonts w:ascii="仿宋_GB2312" w:eastAsia="仿宋_GB2312"/>
          <w:sz w:val="32"/>
          <w:szCs w:val="32"/>
        </w:rPr>
      </w:pPr>
      <w:r>
        <w:rPr>
          <w:rFonts w:hint="eastAsia" w:ascii="仿宋_GB2312" w:eastAsia="仿宋_GB2312"/>
          <w:sz w:val="32"/>
          <w:szCs w:val="32"/>
        </w:rPr>
        <w:t>依托现有视频传输网和公安信息网的安全边界，实现两网之间数据的安全互通，在两网融合的基础上，构建市区二级协同的计算架构，实现视频传输网分局侧轻量化分析与公安信息网市局侧大模型深度研判的秒级协同，大幅提升算力利用率。</w:t>
      </w:r>
    </w:p>
    <w:p w14:paraId="01B207AB">
      <w:pPr>
        <w:pStyle w:val="43"/>
        <w:rPr>
          <w:rFonts w:ascii="仿宋_GB2312" w:eastAsia="仿宋_GB2312"/>
          <w:sz w:val="32"/>
          <w:szCs w:val="32"/>
        </w:rPr>
      </w:pPr>
      <w:r>
        <w:rPr>
          <w:rFonts w:hint="eastAsia" w:ascii="仿宋_GB2312" w:eastAsia="仿宋_GB2312"/>
          <w:sz w:val="32"/>
          <w:szCs w:val="32"/>
        </w:rPr>
        <w:t>四、构建统一且开放的跨模型调度架构，兼容不同大模型之间的技术差异，支持根据业务场景“按需调用，无感切换”。</w:t>
      </w:r>
    </w:p>
    <w:p w14:paraId="453DD5E9">
      <w:pPr>
        <w:pStyle w:val="43"/>
        <w:rPr>
          <w:rFonts w:ascii="仿宋_GB2312" w:eastAsia="仿宋_GB2312"/>
          <w:sz w:val="32"/>
          <w:szCs w:val="32"/>
        </w:rPr>
      </w:pPr>
      <w:r>
        <w:rPr>
          <w:rFonts w:hint="eastAsia" w:ascii="仿宋_GB2312" w:eastAsia="仿宋_GB2312"/>
          <w:sz w:val="32"/>
          <w:szCs w:val="32"/>
        </w:rPr>
        <w:t>通过开发智能任务管理模块，统一模型适配层和场景化模型匹配知识库构建跨模型动态调度架构，实现模型任务的智能编排，兼容TensorFlow/PyTorch/MindSpore等跨框架模型，使模型切换效率从小时级缩短至秒级，提升警情响应速度，降低算力成本，同时突破传统算法与场景强绑定的局限，支持各类警种业务的弹性能力供给，为新质警务模式提供敏捷赋能支撑。</w:t>
      </w:r>
    </w:p>
    <w:p w14:paraId="4E7A50BD">
      <w:pPr>
        <w:widowControl/>
        <w:adjustRightInd w:val="0"/>
        <w:snapToGrid w:val="0"/>
        <w:spacing w:line="560" w:lineRule="exact"/>
        <w:ind w:firstLine="646"/>
        <w:rPr>
          <w:rFonts w:ascii="仿宋_GB2312" w:eastAsia="仿宋_GB2312"/>
          <w:sz w:val="32"/>
          <w:szCs w:val="32"/>
        </w:rPr>
      </w:pPr>
      <w:r>
        <w:rPr>
          <w:rFonts w:hint="eastAsia" w:ascii="仿宋_GB2312" w:eastAsia="仿宋_GB2312"/>
          <w:sz w:val="32"/>
          <w:szCs w:val="32"/>
        </w:rPr>
        <w:t>基于以上四大目标的达成，本系统将构筑“视觉智能中枢-算力协同一体-能力敏捷交付”三位一体的警务AI新生态样板工程。以视觉大模型为引擎牵动警务智能升维，借分布式算力网络突破时空约束，通过开放化平台释放全警种数字战斗力——让模型迭代速度追上犯罪演化速度，使每GB视频数据都转化为守护万家平安的新质战斗力。</w:t>
      </w:r>
    </w:p>
    <w:p w14:paraId="0CDDF9BC">
      <w:pPr>
        <w:widowControl/>
        <w:adjustRightInd w:val="0"/>
        <w:snapToGrid w:val="0"/>
        <w:spacing w:line="560" w:lineRule="exact"/>
        <w:ind w:firstLine="646"/>
        <w:outlineLvl w:val="2"/>
        <w:rPr>
          <w:rFonts w:ascii="仿宋_GB2312" w:eastAsia="仿宋_GB2312"/>
          <w:sz w:val="32"/>
          <w:szCs w:val="32"/>
        </w:rPr>
      </w:pPr>
      <w:r>
        <w:rPr>
          <w:rFonts w:hint="eastAsia" w:ascii="仿宋_GB2312" w:eastAsia="仿宋_GB2312"/>
          <w:sz w:val="32"/>
          <w:szCs w:val="32"/>
        </w:rPr>
        <w:t>2、建设内容</w:t>
      </w:r>
    </w:p>
    <w:p w14:paraId="7F605EE6">
      <w:pPr>
        <w:widowControl/>
        <w:adjustRightInd w:val="0"/>
        <w:snapToGrid w:val="0"/>
        <w:spacing w:line="560" w:lineRule="exact"/>
        <w:ind w:firstLine="646"/>
        <w:rPr>
          <w:rFonts w:ascii="仿宋_GB2312" w:eastAsia="仿宋_GB2312"/>
          <w:sz w:val="32"/>
          <w:szCs w:val="32"/>
        </w:rPr>
      </w:pPr>
      <w:r>
        <w:rPr>
          <w:rFonts w:hint="eastAsia" w:ascii="仿宋_GB2312" w:eastAsia="仿宋_GB2312"/>
          <w:sz w:val="32"/>
          <w:szCs w:val="32"/>
        </w:rPr>
        <w:t>依托市局原有建设基础和上海公安视频图像建设整体规划，本项目拟建设一个开放协同、高效集约、敏捷赋能的基于两网两级建设的面向全警种的视觉大模型能力支撑子系统。</w:t>
      </w:r>
    </w:p>
    <w:p w14:paraId="16B105A8">
      <w:pPr>
        <w:widowControl/>
        <w:adjustRightInd w:val="0"/>
        <w:snapToGrid w:val="0"/>
        <w:spacing w:line="560" w:lineRule="exact"/>
        <w:ind w:firstLine="646"/>
        <w:rPr>
          <w:rFonts w:ascii="仿宋_GB2312" w:eastAsia="仿宋_GB2312"/>
          <w:sz w:val="32"/>
          <w:szCs w:val="32"/>
        </w:rPr>
      </w:pPr>
      <w:r>
        <w:rPr>
          <w:rFonts w:hint="eastAsia" w:ascii="仿宋_GB2312" w:eastAsia="仿宋_GB2312"/>
          <w:sz w:val="32"/>
          <w:szCs w:val="32"/>
        </w:rPr>
        <w:t>建设内容主要分为AI视觉能力服务管理、视图知识库（数据集）构建、跨模型统一调度管理、基础系统支撑、商密改造、硬件购置等六部分。</w:t>
      </w:r>
    </w:p>
    <w:p w14:paraId="30754EC5">
      <w:pPr>
        <w:widowControl/>
        <w:adjustRightInd w:val="0"/>
        <w:snapToGrid w:val="0"/>
        <w:spacing w:line="560" w:lineRule="exact"/>
        <w:ind w:firstLine="646"/>
        <w:rPr>
          <w:rFonts w:ascii="仿宋_GB2312" w:eastAsia="仿宋_GB2312"/>
          <w:sz w:val="32"/>
          <w:szCs w:val="32"/>
        </w:rPr>
      </w:pPr>
      <w:r>
        <w:rPr>
          <w:rFonts w:hint="eastAsia" w:ascii="仿宋_GB2312" w:eastAsia="仿宋_GB2312"/>
          <w:sz w:val="32"/>
          <w:szCs w:val="32"/>
        </w:rPr>
        <w:t>具体内容如下：</w:t>
      </w:r>
    </w:p>
    <w:tbl>
      <w:tblPr>
        <w:tblStyle w:val="34"/>
        <w:tblW w:w="8240" w:type="dxa"/>
        <w:tblInd w:w="113" w:type="dxa"/>
        <w:tblLayout w:type="autofit"/>
        <w:tblCellMar>
          <w:top w:w="0" w:type="dxa"/>
          <w:left w:w="108" w:type="dxa"/>
          <w:bottom w:w="0" w:type="dxa"/>
          <w:right w:w="108" w:type="dxa"/>
        </w:tblCellMar>
      </w:tblPr>
      <w:tblGrid>
        <w:gridCol w:w="780"/>
        <w:gridCol w:w="3880"/>
        <w:gridCol w:w="3580"/>
      </w:tblGrid>
      <w:tr w14:paraId="5DB2DCF4">
        <w:tblPrEx>
          <w:tblCellMar>
            <w:top w:w="0" w:type="dxa"/>
            <w:left w:w="108" w:type="dxa"/>
            <w:bottom w:w="0" w:type="dxa"/>
            <w:right w:w="108" w:type="dxa"/>
          </w:tblCellMar>
        </w:tblPrEx>
        <w:trPr>
          <w:trHeight w:val="375" w:hRule="atLeast"/>
        </w:trPr>
        <w:tc>
          <w:tcPr>
            <w:tcW w:w="780" w:type="dxa"/>
            <w:tcBorders>
              <w:top w:val="single" w:color="auto" w:sz="4" w:space="0"/>
              <w:left w:val="single" w:color="auto" w:sz="4" w:space="0"/>
              <w:bottom w:val="single" w:color="auto" w:sz="4" w:space="0"/>
              <w:right w:val="single" w:color="auto" w:sz="4" w:space="0"/>
            </w:tcBorders>
            <w:noWrap/>
            <w:vAlign w:val="center"/>
          </w:tcPr>
          <w:p w14:paraId="05088186">
            <w:pPr>
              <w:rPr>
                <w:rFonts w:ascii="黑体" w:hAnsi="黑体" w:eastAsia="黑体"/>
                <w:color w:val="000000"/>
                <w:sz w:val="28"/>
                <w:szCs w:val="28"/>
              </w:rPr>
            </w:pPr>
            <w:r>
              <w:rPr>
                <w:rFonts w:hint="eastAsia" w:ascii="黑体" w:hAnsi="黑体" w:eastAsia="黑体"/>
                <w:color w:val="000000"/>
                <w:sz w:val="28"/>
                <w:szCs w:val="28"/>
              </w:rPr>
              <w:t>序号</w:t>
            </w:r>
          </w:p>
        </w:tc>
        <w:tc>
          <w:tcPr>
            <w:tcW w:w="3880" w:type="dxa"/>
            <w:tcBorders>
              <w:top w:val="single" w:color="auto" w:sz="4" w:space="0"/>
              <w:left w:val="nil"/>
              <w:bottom w:val="single" w:color="auto" w:sz="4" w:space="0"/>
              <w:right w:val="single" w:color="auto" w:sz="4" w:space="0"/>
            </w:tcBorders>
            <w:noWrap/>
            <w:vAlign w:val="center"/>
          </w:tcPr>
          <w:p w14:paraId="075F7D1E">
            <w:pPr>
              <w:rPr>
                <w:rFonts w:ascii="黑体" w:hAnsi="黑体" w:eastAsia="黑体"/>
                <w:color w:val="000000"/>
                <w:sz w:val="28"/>
                <w:szCs w:val="28"/>
              </w:rPr>
            </w:pPr>
            <w:r>
              <w:rPr>
                <w:rFonts w:hint="eastAsia" w:ascii="黑体" w:hAnsi="黑体" w:eastAsia="黑体"/>
                <w:color w:val="000000"/>
                <w:sz w:val="28"/>
                <w:szCs w:val="28"/>
              </w:rPr>
              <w:t>主要模块</w:t>
            </w:r>
          </w:p>
        </w:tc>
        <w:tc>
          <w:tcPr>
            <w:tcW w:w="3580" w:type="dxa"/>
            <w:tcBorders>
              <w:top w:val="single" w:color="auto" w:sz="4" w:space="0"/>
              <w:left w:val="nil"/>
              <w:bottom w:val="single" w:color="auto" w:sz="4" w:space="0"/>
              <w:right w:val="single" w:color="auto" w:sz="4" w:space="0"/>
            </w:tcBorders>
            <w:noWrap/>
            <w:vAlign w:val="center"/>
          </w:tcPr>
          <w:p w14:paraId="56897DA5">
            <w:pPr>
              <w:rPr>
                <w:rFonts w:ascii="黑体" w:hAnsi="黑体" w:eastAsia="黑体"/>
                <w:color w:val="000000"/>
                <w:sz w:val="28"/>
                <w:szCs w:val="28"/>
              </w:rPr>
            </w:pPr>
            <w:r>
              <w:rPr>
                <w:rFonts w:hint="eastAsia" w:ascii="黑体" w:hAnsi="黑体" w:eastAsia="黑体"/>
                <w:color w:val="000000"/>
                <w:sz w:val="28"/>
                <w:szCs w:val="28"/>
              </w:rPr>
              <w:t>主要功能</w:t>
            </w:r>
          </w:p>
        </w:tc>
      </w:tr>
      <w:tr w14:paraId="51D88F7E">
        <w:tblPrEx>
          <w:tblCellMar>
            <w:top w:w="0" w:type="dxa"/>
            <w:left w:w="108" w:type="dxa"/>
            <w:bottom w:w="0" w:type="dxa"/>
            <w:right w:w="108" w:type="dxa"/>
          </w:tblCellMar>
        </w:tblPrEx>
        <w:trPr>
          <w:trHeight w:val="375" w:hRule="atLeast"/>
        </w:trPr>
        <w:tc>
          <w:tcPr>
            <w:tcW w:w="780" w:type="dxa"/>
            <w:tcBorders>
              <w:top w:val="nil"/>
              <w:left w:val="single" w:color="auto" w:sz="4" w:space="0"/>
              <w:bottom w:val="single" w:color="auto" w:sz="4" w:space="0"/>
              <w:right w:val="single" w:color="auto" w:sz="4" w:space="0"/>
            </w:tcBorders>
            <w:noWrap/>
            <w:vAlign w:val="center"/>
          </w:tcPr>
          <w:p w14:paraId="617A3961">
            <w:pPr>
              <w:jc w:val="center"/>
              <w:rPr>
                <w:rFonts w:ascii="仿宋_GB2312" w:eastAsia="仿宋_GB2312"/>
                <w:color w:val="000000"/>
                <w:sz w:val="28"/>
                <w:szCs w:val="28"/>
              </w:rPr>
            </w:pPr>
            <w:r>
              <w:rPr>
                <w:rFonts w:hint="eastAsia" w:ascii="仿宋_GB2312" w:eastAsia="仿宋_GB2312"/>
                <w:color w:val="000000"/>
                <w:sz w:val="28"/>
                <w:szCs w:val="28"/>
              </w:rPr>
              <w:t>1</w:t>
            </w:r>
          </w:p>
        </w:tc>
        <w:tc>
          <w:tcPr>
            <w:tcW w:w="3880" w:type="dxa"/>
            <w:vMerge w:val="restart"/>
            <w:tcBorders>
              <w:top w:val="nil"/>
              <w:left w:val="single" w:color="auto" w:sz="4" w:space="0"/>
              <w:bottom w:val="single" w:color="auto" w:sz="4" w:space="0"/>
              <w:right w:val="single" w:color="auto" w:sz="4" w:space="0"/>
            </w:tcBorders>
            <w:noWrap/>
            <w:vAlign w:val="center"/>
          </w:tcPr>
          <w:p w14:paraId="212EF49A">
            <w:pPr>
              <w:rPr>
                <w:rFonts w:ascii="仿宋_GB2312" w:eastAsia="仿宋_GB2312"/>
                <w:color w:val="000000"/>
                <w:sz w:val="28"/>
                <w:szCs w:val="28"/>
              </w:rPr>
            </w:pPr>
            <w:r>
              <w:rPr>
                <w:rFonts w:hint="eastAsia" w:ascii="仿宋_GB2312" w:eastAsia="仿宋_GB2312"/>
                <w:color w:val="000000"/>
                <w:sz w:val="28"/>
                <w:szCs w:val="28"/>
              </w:rPr>
              <w:t>AI视觉能力服务管理</w:t>
            </w:r>
          </w:p>
        </w:tc>
        <w:tc>
          <w:tcPr>
            <w:tcW w:w="3580" w:type="dxa"/>
            <w:tcBorders>
              <w:top w:val="nil"/>
              <w:left w:val="nil"/>
              <w:bottom w:val="single" w:color="auto" w:sz="4" w:space="0"/>
              <w:right w:val="single" w:color="auto" w:sz="4" w:space="0"/>
            </w:tcBorders>
            <w:noWrap/>
            <w:vAlign w:val="center"/>
          </w:tcPr>
          <w:p w14:paraId="3CD4F308">
            <w:pPr>
              <w:rPr>
                <w:rFonts w:ascii="仿宋_GB2312" w:eastAsia="仿宋_GB2312"/>
                <w:color w:val="000000"/>
                <w:sz w:val="28"/>
                <w:szCs w:val="28"/>
              </w:rPr>
            </w:pPr>
            <w:r>
              <w:rPr>
                <w:rFonts w:hint="eastAsia" w:ascii="仿宋_GB2312" w:eastAsia="仿宋_GB2312"/>
                <w:color w:val="000000"/>
                <w:sz w:val="28"/>
                <w:szCs w:val="28"/>
              </w:rPr>
              <w:t>视觉算法MCP服务</w:t>
            </w:r>
          </w:p>
        </w:tc>
      </w:tr>
      <w:tr w14:paraId="2AAF7010">
        <w:tblPrEx>
          <w:tblCellMar>
            <w:top w:w="0" w:type="dxa"/>
            <w:left w:w="108" w:type="dxa"/>
            <w:bottom w:w="0" w:type="dxa"/>
            <w:right w:w="108" w:type="dxa"/>
          </w:tblCellMar>
        </w:tblPrEx>
        <w:trPr>
          <w:trHeight w:val="375" w:hRule="atLeast"/>
        </w:trPr>
        <w:tc>
          <w:tcPr>
            <w:tcW w:w="780" w:type="dxa"/>
            <w:tcBorders>
              <w:top w:val="nil"/>
              <w:left w:val="single" w:color="auto" w:sz="4" w:space="0"/>
              <w:bottom w:val="single" w:color="auto" w:sz="4" w:space="0"/>
              <w:right w:val="single" w:color="auto" w:sz="4" w:space="0"/>
            </w:tcBorders>
            <w:noWrap/>
            <w:vAlign w:val="center"/>
          </w:tcPr>
          <w:p w14:paraId="4D014E48">
            <w:pPr>
              <w:jc w:val="center"/>
              <w:rPr>
                <w:rFonts w:ascii="仿宋_GB2312" w:eastAsia="仿宋_GB2312"/>
                <w:color w:val="000000"/>
                <w:sz w:val="28"/>
                <w:szCs w:val="28"/>
              </w:rPr>
            </w:pPr>
            <w:r>
              <w:rPr>
                <w:rFonts w:hint="eastAsia" w:ascii="仿宋_GB2312" w:eastAsia="仿宋_GB2312"/>
                <w:color w:val="000000"/>
                <w:sz w:val="28"/>
                <w:szCs w:val="28"/>
              </w:rPr>
              <w:t>2</w:t>
            </w:r>
          </w:p>
        </w:tc>
        <w:tc>
          <w:tcPr>
            <w:tcW w:w="3880" w:type="dxa"/>
            <w:vMerge w:val="continue"/>
            <w:tcBorders>
              <w:top w:val="nil"/>
              <w:left w:val="single" w:color="auto" w:sz="4" w:space="0"/>
              <w:bottom w:val="single" w:color="auto" w:sz="4" w:space="0"/>
              <w:right w:val="single" w:color="auto" w:sz="4" w:space="0"/>
            </w:tcBorders>
            <w:vAlign w:val="center"/>
          </w:tcPr>
          <w:p w14:paraId="04FFAC8D">
            <w:pPr>
              <w:rPr>
                <w:rFonts w:ascii="仿宋_GB2312" w:eastAsia="仿宋_GB2312"/>
                <w:color w:val="000000"/>
                <w:sz w:val="28"/>
                <w:szCs w:val="28"/>
              </w:rPr>
            </w:pPr>
          </w:p>
        </w:tc>
        <w:tc>
          <w:tcPr>
            <w:tcW w:w="3580" w:type="dxa"/>
            <w:tcBorders>
              <w:top w:val="nil"/>
              <w:left w:val="nil"/>
              <w:bottom w:val="single" w:color="auto" w:sz="4" w:space="0"/>
              <w:right w:val="single" w:color="auto" w:sz="4" w:space="0"/>
            </w:tcBorders>
            <w:vAlign w:val="center"/>
          </w:tcPr>
          <w:p w14:paraId="3684D6A0">
            <w:pPr>
              <w:rPr>
                <w:rFonts w:ascii="仿宋_GB2312" w:eastAsia="仿宋_GB2312"/>
                <w:color w:val="000000"/>
                <w:sz w:val="28"/>
                <w:szCs w:val="28"/>
              </w:rPr>
            </w:pPr>
            <w:r>
              <w:rPr>
                <w:rFonts w:hint="eastAsia" w:ascii="仿宋_GB2312" w:eastAsia="仿宋_GB2312"/>
                <w:color w:val="000000"/>
                <w:sz w:val="28"/>
                <w:szCs w:val="28"/>
              </w:rPr>
              <w:t>视觉能力增强</w:t>
            </w:r>
          </w:p>
        </w:tc>
      </w:tr>
      <w:tr w14:paraId="620CEDF8">
        <w:tblPrEx>
          <w:tblCellMar>
            <w:top w:w="0" w:type="dxa"/>
            <w:left w:w="108" w:type="dxa"/>
            <w:bottom w:w="0" w:type="dxa"/>
            <w:right w:w="108" w:type="dxa"/>
          </w:tblCellMar>
        </w:tblPrEx>
        <w:trPr>
          <w:trHeight w:val="375" w:hRule="atLeast"/>
        </w:trPr>
        <w:tc>
          <w:tcPr>
            <w:tcW w:w="780" w:type="dxa"/>
            <w:tcBorders>
              <w:top w:val="nil"/>
              <w:left w:val="single" w:color="auto" w:sz="4" w:space="0"/>
              <w:bottom w:val="single" w:color="auto" w:sz="4" w:space="0"/>
              <w:right w:val="single" w:color="auto" w:sz="4" w:space="0"/>
            </w:tcBorders>
            <w:noWrap/>
            <w:vAlign w:val="center"/>
          </w:tcPr>
          <w:p w14:paraId="360134EB">
            <w:pPr>
              <w:jc w:val="center"/>
              <w:rPr>
                <w:rFonts w:ascii="仿宋_GB2312" w:eastAsia="仿宋_GB2312"/>
                <w:color w:val="000000"/>
                <w:sz w:val="28"/>
                <w:szCs w:val="28"/>
              </w:rPr>
            </w:pPr>
            <w:r>
              <w:rPr>
                <w:rFonts w:hint="eastAsia" w:ascii="仿宋_GB2312" w:eastAsia="仿宋_GB2312"/>
                <w:color w:val="000000"/>
                <w:sz w:val="28"/>
                <w:szCs w:val="28"/>
              </w:rPr>
              <w:t>3</w:t>
            </w:r>
          </w:p>
        </w:tc>
        <w:tc>
          <w:tcPr>
            <w:tcW w:w="3880" w:type="dxa"/>
            <w:vMerge w:val="restart"/>
            <w:tcBorders>
              <w:top w:val="nil"/>
              <w:left w:val="single" w:color="auto" w:sz="4" w:space="0"/>
              <w:bottom w:val="single" w:color="auto" w:sz="4" w:space="0"/>
              <w:right w:val="single" w:color="auto" w:sz="4" w:space="0"/>
            </w:tcBorders>
            <w:noWrap/>
            <w:vAlign w:val="center"/>
          </w:tcPr>
          <w:p w14:paraId="34C1420C">
            <w:pPr>
              <w:rPr>
                <w:rFonts w:ascii="仿宋_GB2312" w:eastAsia="仿宋_GB2312"/>
                <w:color w:val="000000"/>
                <w:sz w:val="28"/>
                <w:szCs w:val="28"/>
              </w:rPr>
            </w:pPr>
            <w:r>
              <w:rPr>
                <w:rFonts w:hint="eastAsia" w:ascii="仿宋_GB2312" w:eastAsia="仿宋_GB2312"/>
                <w:color w:val="000000"/>
                <w:sz w:val="28"/>
                <w:szCs w:val="28"/>
              </w:rPr>
              <w:t>视图知识库（数据集）构建</w:t>
            </w:r>
          </w:p>
        </w:tc>
        <w:tc>
          <w:tcPr>
            <w:tcW w:w="3580" w:type="dxa"/>
            <w:tcBorders>
              <w:top w:val="nil"/>
              <w:left w:val="nil"/>
              <w:bottom w:val="single" w:color="auto" w:sz="4" w:space="0"/>
              <w:right w:val="single" w:color="auto" w:sz="4" w:space="0"/>
            </w:tcBorders>
            <w:vAlign w:val="center"/>
          </w:tcPr>
          <w:p w14:paraId="3D56D1AD">
            <w:pPr>
              <w:rPr>
                <w:rFonts w:ascii="仿宋_GB2312" w:eastAsia="仿宋_GB2312"/>
                <w:color w:val="000000"/>
                <w:sz w:val="28"/>
                <w:szCs w:val="28"/>
              </w:rPr>
            </w:pPr>
            <w:r>
              <w:rPr>
                <w:rFonts w:hint="eastAsia" w:ascii="仿宋_GB2312" w:eastAsia="仿宋_GB2312"/>
                <w:color w:val="000000"/>
                <w:sz w:val="28"/>
                <w:szCs w:val="28"/>
              </w:rPr>
              <w:t>视频图像样本采集</w:t>
            </w:r>
          </w:p>
        </w:tc>
      </w:tr>
      <w:tr w14:paraId="06A15556">
        <w:tblPrEx>
          <w:tblCellMar>
            <w:top w:w="0" w:type="dxa"/>
            <w:left w:w="108" w:type="dxa"/>
            <w:bottom w:w="0" w:type="dxa"/>
            <w:right w:w="108" w:type="dxa"/>
          </w:tblCellMar>
        </w:tblPrEx>
        <w:trPr>
          <w:trHeight w:val="375" w:hRule="atLeast"/>
        </w:trPr>
        <w:tc>
          <w:tcPr>
            <w:tcW w:w="780" w:type="dxa"/>
            <w:tcBorders>
              <w:top w:val="nil"/>
              <w:left w:val="single" w:color="auto" w:sz="4" w:space="0"/>
              <w:bottom w:val="single" w:color="auto" w:sz="4" w:space="0"/>
              <w:right w:val="single" w:color="auto" w:sz="4" w:space="0"/>
            </w:tcBorders>
            <w:noWrap/>
            <w:vAlign w:val="center"/>
          </w:tcPr>
          <w:p w14:paraId="798DE4A4">
            <w:pPr>
              <w:jc w:val="center"/>
              <w:rPr>
                <w:rFonts w:ascii="仿宋_GB2312" w:eastAsia="仿宋_GB2312"/>
                <w:color w:val="000000"/>
                <w:sz w:val="28"/>
                <w:szCs w:val="28"/>
              </w:rPr>
            </w:pPr>
            <w:r>
              <w:rPr>
                <w:rFonts w:hint="eastAsia" w:ascii="仿宋_GB2312" w:eastAsia="仿宋_GB2312"/>
                <w:color w:val="000000"/>
                <w:sz w:val="28"/>
                <w:szCs w:val="28"/>
              </w:rPr>
              <w:t>4</w:t>
            </w:r>
          </w:p>
        </w:tc>
        <w:tc>
          <w:tcPr>
            <w:tcW w:w="3880" w:type="dxa"/>
            <w:vMerge w:val="continue"/>
            <w:tcBorders>
              <w:top w:val="nil"/>
              <w:left w:val="single" w:color="auto" w:sz="4" w:space="0"/>
              <w:bottom w:val="single" w:color="auto" w:sz="4" w:space="0"/>
              <w:right w:val="single" w:color="auto" w:sz="4" w:space="0"/>
            </w:tcBorders>
            <w:vAlign w:val="center"/>
          </w:tcPr>
          <w:p w14:paraId="7850A568">
            <w:pPr>
              <w:rPr>
                <w:rFonts w:ascii="仿宋_GB2312" w:eastAsia="仿宋_GB2312"/>
                <w:color w:val="000000"/>
                <w:sz w:val="28"/>
                <w:szCs w:val="28"/>
              </w:rPr>
            </w:pPr>
          </w:p>
        </w:tc>
        <w:tc>
          <w:tcPr>
            <w:tcW w:w="3580" w:type="dxa"/>
            <w:tcBorders>
              <w:top w:val="nil"/>
              <w:left w:val="nil"/>
              <w:bottom w:val="single" w:color="auto" w:sz="4" w:space="0"/>
              <w:right w:val="single" w:color="auto" w:sz="4" w:space="0"/>
            </w:tcBorders>
            <w:vAlign w:val="center"/>
          </w:tcPr>
          <w:p w14:paraId="25E5EB87">
            <w:pPr>
              <w:rPr>
                <w:rFonts w:ascii="仿宋_GB2312" w:eastAsia="仿宋_GB2312"/>
                <w:color w:val="000000"/>
                <w:sz w:val="28"/>
                <w:szCs w:val="28"/>
              </w:rPr>
            </w:pPr>
            <w:r>
              <w:rPr>
                <w:rFonts w:hint="eastAsia" w:ascii="仿宋_GB2312" w:eastAsia="仿宋_GB2312"/>
                <w:color w:val="000000"/>
                <w:sz w:val="28"/>
                <w:szCs w:val="28"/>
              </w:rPr>
              <w:t>视频图像样本处理</w:t>
            </w:r>
          </w:p>
        </w:tc>
      </w:tr>
      <w:tr w14:paraId="40B8D387">
        <w:tblPrEx>
          <w:tblCellMar>
            <w:top w:w="0" w:type="dxa"/>
            <w:left w:w="108" w:type="dxa"/>
            <w:bottom w:w="0" w:type="dxa"/>
            <w:right w:w="108" w:type="dxa"/>
          </w:tblCellMar>
        </w:tblPrEx>
        <w:trPr>
          <w:trHeight w:val="375" w:hRule="atLeast"/>
        </w:trPr>
        <w:tc>
          <w:tcPr>
            <w:tcW w:w="780" w:type="dxa"/>
            <w:tcBorders>
              <w:top w:val="nil"/>
              <w:left w:val="single" w:color="auto" w:sz="4" w:space="0"/>
              <w:bottom w:val="single" w:color="auto" w:sz="4" w:space="0"/>
              <w:right w:val="single" w:color="auto" w:sz="4" w:space="0"/>
            </w:tcBorders>
            <w:noWrap/>
            <w:vAlign w:val="center"/>
          </w:tcPr>
          <w:p w14:paraId="45807840">
            <w:pPr>
              <w:jc w:val="center"/>
              <w:rPr>
                <w:rFonts w:ascii="仿宋_GB2312" w:eastAsia="仿宋_GB2312"/>
                <w:color w:val="000000"/>
                <w:sz w:val="28"/>
                <w:szCs w:val="28"/>
              </w:rPr>
            </w:pPr>
            <w:r>
              <w:rPr>
                <w:rFonts w:hint="eastAsia" w:ascii="仿宋_GB2312" w:eastAsia="仿宋_GB2312"/>
                <w:color w:val="000000"/>
                <w:sz w:val="28"/>
                <w:szCs w:val="28"/>
              </w:rPr>
              <w:t>5</w:t>
            </w:r>
          </w:p>
        </w:tc>
        <w:tc>
          <w:tcPr>
            <w:tcW w:w="3880" w:type="dxa"/>
            <w:vMerge w:val="continue"/>
            <w:tcBorders>
              <w:top w:val="nil"/>
              <w:left w:val="single" w:color="auto" w:sz="4" w:space="0"/>
              <w:bottom w:val="single" w:color="auto" w:sz="4" w:space="0"/>
              <w:right w:val="single" w:color="auto" w:sz="4" w:space="0"/>
            </w:tcBorders>
            <w:vAlign w:val="center"/>
          </w:tcPr>
          <w:p w14:paraId="5BBEEEB6">
            <w:pPr>
              <w:rPr>
                <w:rFonts w:ascii="仿宋_GB2312" w:eastAsia="仿宋_GB2312"/>
                <w:color w:val="000000"/>
                <w:sz w:val="28"/>
                <w:szCs w:val="28"/>
              </w:rPr>
            </w:pPr>
          </w:p>
        </w:tc>
        <w:tc>
          <w:tcPr>
            <w:tcW w:w="3580" w:type="dxa"/>
            <w:tcBorders>
              <w:top w:val="nil"/>
              <w:left w:val="nil"/>
              <w:bottom w:val="single" w:color="auto" w:sz="4" w:space="0"/>
              <w:right w:val="single" w:color="auto" w:sz="4" w:space="0"/>
            </w:tcBorders>
            <w:vAlign w:val="center"/>
          </w:tcPr>
          <w:p w14:paraId="52F313FB">
            <w:pPr>
              <w:rPr>
                <w:rFonts w:ascii="仿宋_GB2312" w:eastAsia="仿宋_GB2312"/>
                <w:color w:val="000000"/>
                <w:sz w:val="28"/>
                <w:szCs w:val="28"/>
              </w:rPr>
            </w:pPr>
            <w:r>
              <w:rPr>
                <w:rFonts w:hint="eastAsia" w:ascii="仿宋_GB2312" w:eastAsia="仿宋_GB2312"/>
                <w:color w:val="000000"/>
                <w:sz w:val="28"/>
                <w:szCs w:val="28"/>
              </w:rPr>
              <w:t>视频图像数据集管理</w:t>
            </w:r>
          </w:p>
        </w:tc>
      </w:tr>
      <w:tr w14:paraId="4D68CE5D">
        <w:tblPrEx>
          <w:tblCellMar>
            <w:top w:w="0" w:type="dxa"/>
            <w:left w:w="108" w:type="dxa"/>
            <w:bottom w:w="0" w:type="dxa"/>
            <w:right w:w="108" w:type="dxa"/>
          </w:tblCellMar>
        </w:tblPrEx>
        <w:trPr>
          <w:trHeight w:val="375" w:hRule="atLeast"/>
        </w:trPr>
        <w:tc>
          <w:tcPr>
            <w:tcW w:w="780" w:type="dxa"/>
            <w:tcBorders>
              <w:top w:val="nil"/>
              <w:left w:val="single" w:color="auto" w:sz="4" w:space="0"/>
              <w:bottom w:val="single" w:color="auto" w:sz="4" w:space="0"/>
              <w:right w:val="single" w:color="auto" w:sz="4" w:space="0"/>
            </w:tcBorders>
            <w:noWrap/>
            <w:vAlign w:val="center"/>
          </w:tcPr>
          <w:p w14:paraId="6069A215">
            <w:pPr>
              <w:jc w:val="center"/>
              <w:rPr>
                <w:rFonts w:ascii="仿宋_GB2312" w:eastAsia="仿宋_GB2312"/>
                <w:color w:val="000000"/>
                <w:sz w:val="28"/>
                <w:szCs w:val="28"/>
              </w:rPr>
            </w:pPr>
            <w:r>
              <w:rPr>
                <w:rFonts w:hint="eastAsia" w:ascii="仿宋_GB2312" w:eastAsia="仿宋_GB2312"/>
                <w:color w:val="000000"/>
                <w:sz w:val="28"/>
                <w:szCs w:val="28"/>
              </w:rPr>
              <w:t>6</w:t>
            </w:r>
          </w:p>
        </w:tc>
        <w:tc>
          <w:tcPr>
            <w:tcW w:w="3880" w:type="dxa"/>
            <w:vMerge w:val="continue"/>
            <w:tcBorders>
              <w:top w:val="nil"/>
              <w:left w:val="single" w:color="auto" w:sz="4" w:space="0"/>
              <w:bottom w:val="single" w:color="auto" w:sz="4" w:space="0"/>
              <w:right w:val="single" w:color="auto" w:sz="4" w:space="0"/>
            </w:tcBorders>
            <w:vAlign w:val="center"/>
          </w:tcPr>
          <w:p w14:paraId="5DBA346A">
            <w:pPr>
              <w:rPr>
                <w:rFonts w:ascii="仿宋_GB2312" w:eastAsia="仿宋_GB2312"/>
                <w:color w:val="000000"/>
                <w:sz w:val="28"/>
                <w:szCs w:val="28"/>
              </w:rPr>
            </w:pPr>
          </w:p>
        </w:tc>
        <w:tc>
          <w:tcPr>
            <w:tcW w:w="3580" w:type="dxa"/>
            <w:tcBorders>
              <w:top w:val="nil"/>
              <w:left w:val="nil"/>
              <w:bottom w:val="single" w:color="auto" w:sz="4" w:space="0"/>
              <w:right w:val="single" w:color="auto" w:sz="4" w:space="0"/>
            </w:tcBorders>
            <w:vAlign w:val="center"/>
          </w:tcPr>
          <w:p w14:paraId="1E1D844B">
            <w:pPr>
              <w:rPr>
                <w:rFonts w:ascii="仿宋_GB2312" w:eastAsia="仿宋_GB2312"/>
                <w:color w:val="000000"/>
                <w:sz w:val="28"/>
                <w:szCs w:val="28"/>
              </w:rPr>
            </w:pPr>
            <w:r>
              <w:rPr>
                <w:rFonts w:hint="eastAsia" w:ascii="仿宋_GB2312" w:eastAsia="仿宋_GB2312"/>
                <w:color w:val="000000"/>
                <w:sz w:val="28"/>
                <w:szCs w:val="28"/>
              </w:rPr>
              <w:t>视频图像数据集服务</w:t>
            </w:r>
          </w:p>
        </w:tc>
      </w:tr>
      <w:tr w14:paraId="3E7ABA8F">
        <w:tblPrEx>
          <w:tblCellMar>
            <w:top w:w="0" w:type="dxa"/>
            <w:left w:w="108" w:type="dxa"/>
            <w:bottom w:w="0" w:type="dxa"/>
            <w:right w:w="108" w:type="dxa"/>
          </w:tblCellMar>
        </w:tblPrEx>
        <w:trPr>
          <w:trHeight w:val="375" w:hRule="atLeast"/>
        </w:trPr>
        <w:tc>
          <w:tcPr>
            <w:tcW w:w="780" w:type="dxa"/>
            <w:tcBorders>
              <w:top w:val="nil"/>
              <w:left w:val="single" w:color="auto" w:sz="4" w:space="0"/>
              <w:bottom w:val="single" w:color="auto" w:sz="4" w:space="0"/>
              <w:right w:val="single" w:color="auto" w:sz="4" w:space="0"/>
            </w:tcBorders>
            <w:noWrap/>
            <w:vAlign w:val="center"/>
          </w:tcPr>
          <w:p w14:paraId="39432FA0">
            <w:pPr>
              <w:jc w:val="center"/>
              <w:rPr>
                <w:rFonts w:ascii="仿宋_GB2312" w:eastAsia="仿宋_GB2312"/>
                <w:color w:val="000000"/>
                <w:sz w:val="28"/>
                <w:szCs w:val="28"/>
              </w:rPr>
            </w:pPr>
            <w:r>
              <w:rPr>
                <w:rFonts w:hint="eastAsia" w:ascii="仿宋_GB2312" w:eastAsia="仿宋_GB2312"/>
                <w:color w:val="000000"/>
                <w:sz w:val="28"/>
                <w:szCs w:val="28"/>
              </w:rPr>
              <w:t>7</w:t>
            </w:r>
          </w:p>
        </w:tc>
        <w:tc>
          <w:tcPr>
            <w:tcW w:w="3880" w:type="dxa"/>
            <w:vMerge w:val="continue"/>
            <w:tcBorders>
              <w:top w:val="nil"/>
              <w:left w:val="single" w:color="auto" w:sz="4" w:space="0"/>
              <w:bottom w:val="single" w:color="auto" w:sz="4" w:space="0"/>
              <w:right w:val="single" w:color="auto" w:sz="4" w:space="0"/>
            </w:tcBorders>
            <w:vAlign w:val="center"/>
          </w:tcPr>
          <w:p w14:paraId="116C0940">
            <w:pPr>
              <w:rPr>
                <w:rFonts w:ascii="仿宋_GB2312" w:eastAsia="仿宋_GB2312"/>
                <w:color w:val="000000"/>
                <w:sz w:val="28"/>
                <w:szCs w:val="28"/>
              </w:rPr>
            </w:pPr>
          </w:p>
        </w:tc>
        <w:tc>
          <w:tcPr>
            <w:tcW w:w="3580" w:type="dxa"/>
            <w:tcBorders>
              <w:top w:val="nil"/>
              <w:left w:val="nil"/>
              <w:bottom w:val="single" w:color="auto" w:sz="4" w:space="0"/>
              <w:right w:val="single" w:color="auto" w:sz="4" w:space="0"/>
            </w:tcBorders>
            <w:vAlign w:val="center"/>
          </w:tcPr>
          <w:p w14:paraId="68CC89B2">
            <w:pPr>
              <w:rPr>
                <w:rFonts w:ascii="仿宋_GB2312" w:eastAsia="仿宋_GB2312"/>
                <w:color w:val="000000"/>
                <w:sz w:val="28"/>
                <w:szCs w:val="28"/>
              </w:rPr>
            </w:pPr>
            <w:r>
              <w:rPr>
                <w:rFonts w:hint="eastAsia" w:ascii="仿宋_GB2312" w:eastAsia="仿宋_GB2312"/>
                <w:color w:val="000000"/>
                <w:sz w:val="28"/>
                <w:szCs w:val="28"/>
              </w:rPr>
              <w:t>视觉知识处理</w:t>
            </w:r>
          </w:p>
        </w:tc>
      </w:tr>
      <w:tr w14:paraId="7139CE62">
        <w:tblPrEx>
          <w:tblCellMar>
            <w:top w:w="0" w:type="dxa"/>
            <w:left w:w="108" w:type="dxa"/>
            <w:bottom w:w="0" w:type="dxa"/>
            <w:right w:w="108" w:type="dxa"/>
          </w:tblCellMar>
        </w:tblPrEx>
        <w:trPr>
          <w:trHeight w:val="375" w:hRule="atLeast"/>
        </w:trPr>
        <w:tc>
          <w:tcPr>
            <w:tcW w:w="780" w:type="dxa"/>
            <w:tcBorders>
              <w:top w:val="nil"/>
              <w:left w:val="single" w:color="auto" w:sz="4" w:space="0"/>
              <w:bottom w:val="single" w:color="auto" w:sz="4" w:space="0"/>
              <w:right w:val="single" w:color="auto" w:sz="4" w:space="0"/>
            </w:tcBorders>
            <w:noWrap/>
            <w:vAlign w:val="center"/>
          </w:tcPr>
          <w:p w14:paraId="0E896B70">
            <w:pPr>
              <w:jc w:val="center"/>
              <w:rPr>
                <w:rFonts w:ascii="仿宋_GB2312" w:eastAsia="仿宋_GB2312"/>
                <w:color w:val="000000"/>
                <w:sz w:val="28"/>
                <w:szCs w:val="28"/>
              </w:rPr>
            </w:pPr>
            <w:r>
              <w:rPr>
                <w:rFonts w:hint="eastAsia" w:ascii="仿宋_GB2312" w:eastAsia="仿宋_GB2312"/>
                <w:color w:val="000000"/>
                <w:sz w:val="28"/>
                <w:szCs w:val="28"/>
              </w:rPr>
              <w:t>8</w:t>
            </w:r>
          </w:p>
        </w:tc>
        <w:tc>
          <w:tcPr>
            <w:tcW w:w="3880" w:type="dxa"/>
            <w:vMerge w:val="continue"/>
            <w:tcBorders>
              <w:top w:val="nil"/>
              <w:left w:val="single" w:color="auto" w:sz="4" w:space="0"/>
              <w:bottom w:val="single" w:color="auto" w:sz="4" w:space="0"/>
              <w:right w:val="single" w:color="auto" w:sz="4" w:space="0"/>
            </w:tcBorders>
            <w:vAlign w:val="center"/>
          </w:tcPr>
          <w:p w14:paraId="6CB881EF">
            <w:pPr>
              <w:rPr>
                <w:rFonts w:ascii="仿宋_GB2312" w:eastAsia="仿宋_GB2312"/>
                <w:color w:val="000000"/>
                <w:sz w:val="28"/>
                <w:szCs w:val="28"/>
              </w:rPr>
            </w:pPr>
          </w:p>
        </w:tc>
        <w:tc>
          <w:tcPr>
            <w:tcW w:w="3580" w:type="dxa"/>
            <w:tcBorders>
              <w:top w:val="nil"/>
              <w:left w:val="nil"/>
              <w:bottom w:val="single" w:color="auto" w:sz="4" w:space="0"/>
              <w:right w:val="single" w:color="auto" w:sz="4" w:space="0"/>
            </w:tcBorders>
            <w:vAlign w:val="center"/>
          </w:tcPr>
          <w:p w14:paraId="0403D7C4">
            <w:pPr>
              <w:rPr>
                <w:rFonts w:ascii="仿宋_GB2312" w:eastAsia="仿宋_GB2312"/>
                <w:color w:val="000000"/>
                <w:sz w:val="28"/>
                <w:szCs w:val="28"/>
              </w:rPr>
            </w:pPr>
            <w:r>
              <w:rPr>
                <w:rFonts w:hint="eastAsia" w:ascii="仿宋_GB2312" w:eastAsia="仿宋_GB2312"/>
                <w:color w:val="000000"/>
                <w:sz w:val="28"/>
                <w:szCs w:val="28"/>
              </w:rPr>
              <w:t>视觉知识服务</w:t>
            </w:r>
          </w:p>
        </w:tc>
      </w:tr>
      <w:tr w14:paraId="4675D9B4">
        <w:tblPrEx>
          <w:tblCellMar>
            <w:top w:w="0" w:type="dxa"/>
            <w:left w:w="108" w:type="dxa"/>
            <w:bottom w:w="0" w:type="dxa"/>
            <w:right w:w="108" w:type="dxa"/>
          </w:tblCellMar>
        </w:tblPrEx>
        <w:trPr>
          <w:trHeight w:val="375" w:hRule="atLeast"/>
        </w:trPr>
        <w:tc>
          <w:tcPr>
            <w:tcW w:w="780" w:type="dxa"/>
            <w:tcBorders>
              <w:top w:val="nil"/>
              <w:left w:val="single" w:color="auto" w:sz="4" w:space="0"/>
              <w:bottom w:val="single" w:color="auto" w:sz="4" w:space="0"/>
              <w:right w:val="single" w:color="auto" w:sz="4" w:space="0"/>
            </w:tcBorders>
            <w:noWrap/>
            <w:vAlign w:val="center"/>
          </w:tcPr>
          <w:p w14:paraId="68BADA32">
            <w:pPr>
              <w:jc w:val="center"/>
              <w:rPr>
                <w:rFonts w:ascii="仿宋_GB2312" w:eastAsia="仿宋_GB2312"/>
                <w:color w:val="000000"/>
                <w:sz w:val="28"/>
                <w:szCs w:val="28"/>
              </w:rPr>
            </w:pPr>
            <w:r>
              <w:rPr>
                <w:rFonts w:hint="eastAsia" w:ascii="仿宋_GB2312" w:eastAsia="仿宋_GB2312"/>
                <w:color w:val="000000"/>
                <w:sz w:val="28"/>
                <w:szCs w:val="28"/>
              </w:rPr>
              <w:t>9</w:t>
            </w:r>
          </w:p>
        </w:tc>
        <w:tc>
          <w:tcPr>
            <w:tcW w:w="3880" w:type="dxa"/>
            <w:vMerge w:val="continue"/>
            <w:tcBorders>
              <w:top w:val="nil"/>
              <w:left w:val="single" w:color="auto" w:sz="4" w:space="0"/>
              <w:bottom w:val="single" w:color="auto" w:sz="4" w:space="0"/>
              <w:right w:val="single" w:color="auto" w:sz="4" w:space="0"/>
            </w:tcBorders>
            <w:vAlign w:val="center"/>
          </w:tcPr>
          <w:p w14:paraId="29E73822">
            <w:pPr>
              <w:rPr>
                <w:rFonts w:ascii="仿宋_GB2312" w:eastAsia="仿宋_GB2312"/>
                <w:color w:val="000000"/>
                <w:sz w:val="28"/>
                <w:szCs w:val="28"/>
              </w:rPr>
            </w:pPr>
          </w:p>
        </w:tc>
        <w:tc>
          <w:tcPr>
            <w:tcW w:w="3580" w:type="dxa"/>
            <w:tcBorders>
              <w:top w:val="nil"/>
              <w:left w:val="nil"/>
              <w:bottom w:val="single" w:color="auto" w:sz="4" w:space="0"/>
              <w:right w:val="single" w:color="auto" w:sz="4" w:space="0"/>
            </w:tcBorders>
            <w:vAlign w:val="center"/>
          </w:tcPr>
          <w:p w14:paraId="6C45AD13">
            <w:pPr>
              <w:rPr>
                <w:rFonts w:ascii="仿宋_GB2312" w:eastAsia="仿宋_GB2312"/>
                <w:color w:val="000000"/>
                <w:sz w:val="28"/>
                <w:szCs w:val="28"/>
              </w:rPr>
            </w:pPr>
            <w:r>
              <w:rPr>
                <w:rFonts w:hint="eastAsia" w:ascii="仿宋_GB2312" w:eastAsia="仿宋_GB2312"/>
                <w:color w:val="000000"/>
                <w:sz w:val="28"/>
                <w:szCs w:val="28"/>
              </w:rPr>
              <w:t>通用智能体专业知识库</w:t>
            </w:r>
          </w:p>
        </w:tc>
      </w:tr>
      <w:tr w14:paraId="5A928B42">
        <w:tblPrEx>
          <w:tblCellMar>
            <w:top w:w="0" w:type="dxa"/>
            <w:left w:w="108" w:type="dxa"/>
            <w:bottom w:w="0" w:type="dxa"/>
            <w:right w:w="108" w:type="dxa"/>
          </w:tblCellMar>
        </w:tblPrEx>
        <w:trPr>
          <w:trHeight w:val="375" w:hRule="atLeast"/>
        </w:trPr>
        <w:tc>
          <w:tcPr>
            <w:tcW w:w="780" w:type="dxa"/>
            <w:tcBorders>
              <w:top w:val="nil"/>
              <w:left w:val="single" w:color="auto" w:sz="4" w:space="0"/>
              <w:bottom w:val="single" w:color="auto" w:sz="4" w:space="0"/>
              <w:right w:val="single" w:color="auto" w:sz="4" w:space="0"/>
            </w:tcBorders>
            <w:noWrap/>
            <w:vAlign w:val="center"/>
          </w:tcPr>
          <w:p w14:paraId="21A086BD">
            <w:pPr>
              <w:jc w:val="center"/>
              <w:rPr>
                <w:rFonts w:ascii="仿宋_GB2312" w:eastAsia="仿宋_GB2312"/>
                <w:color w:val="000000"/>
                <w:sz w:val="28"/>
                <w:szCs w:val="28"/>
              </w:rPr>
            </w:pPr>
            <w:r>
              <w:rPr>
                <w:rFonts w:hint="eastAsia" w:ascii="仿宋_GB2312" w:eastAsia="仿宋_GB2312"/>
                <w:color w:val="000000"/>
                <w:sz w:val="28"/>
                <w:szCs w:val="28"/>
              </w:rPr>
              <w:t>10</w:t>
            </w:r>
          </w:p>
        </w:tc>
        <w:tc>
          <w:tcPr>
            <w:tcW w:w="3880" w:type="dxa"/>
            <w:vMerge w:val="restart"/>
            <w:tcBorders>
              <w:top w:val="nil"/>
              <w:left w:val="single" w:color="auto" w:sz="4" w:space="0"/>
              <w:bottom w:val="single" w:color="auto" w:sz="4" w:space="0"/>
              <w:right w:val="single" w:color="auto" w:sz="4" w:space="0"/>
            </w:tcBorders>
            <w:vAlign w:val="center"/>
          </w:tcPr>
          <w:p w14:paraId="3B52DBE2">
            <w:pPr>
              <w:rPr>
                <w:rFonts w:ascii="仿宋_GB2312" w:eastAsia="仿宋_GB2312"/>
                <w:color w:val="000000"/>
                <w:sz w:val="28"/>
                <w:szCs w:val="28"/>
              </w:rPr>
            </w:pPr>
            <w:r>
              <w:rPr>
                <w:rFonts w:hint="eastAsia" w:ascii="仿宋_GB2312" w:eastAsia="仿宋_GB2312"/>
                <w:color w:val="000000"/>
                <w:sz w:val="28"/>
                <w:szCs w:val="28"/>
              </w:rPr>
              <w:t>跨模型统一调度管理</w:t>
            </w:r>
          </w:p>
        </w:tc>
        <w:tc>
          <w:tcPr>
            <w:tcW w:w="3580" w:type="dxa"/>
            <w:tcBorders>
              <w:top w:val="nil"/>
              <w:left w:val="nil"/>
              <w:bottom w:val="single" w:color="auto" w:sz="4" w:space="0"/>
              <w:right w:val="single" w:color="auto" w:sz="4" w:space="0"/>
            </w:tcBorders>
            <w:noWrap/>
            <w:vAlign w:val="center"/>
          </w:tcPr>
          <w:p w14:paraId="36384781">
            <w:pPr>
              <w:rPr>
                <w:rFonts w:ascii="仿宋_GB2312" w:eastAsia="仿宋_GB2312"/>
                <w:color w:val="000000"/>
                <w:sz w:val="28"/>
                <w:szCs w:val="28"/>
              </w:rPr>
            </w:pPr>
            <w:r>
              <w:rPr>
                <w:rFonts w:hint="eastAsia" w:ascii="仿宋_GB2312" w:eastAsia="仿宋_GB2312"/>
                <w:color w:val="000000"/>
                <w:sz w:val="28"/>
                <w:szCs w:val="28"/>
              </w:rPr>
              <w:t>视频图像模型权重管理</w:t>
            </w:r>
          </w:p>
        </w:tc>
      </w:tr>
      <w:tr w14:paraId="75B0AAC3">
        <w:tblPrEx>
          <w:tblCellMar>
            <w:top w:w="0" w:type="dxa"/>
            <w:left w:w="108" w:type="dxa"/>
            <w:bottom w:w="0" w:type="dxa"/>
            <w:right w:w="108" w:type="dxa"/>
          </w:tblCellMar>
        </w:tblPrEx>
        <w:trPr>
          <w:trHeight w:val="375" w:hRule="atLeast"/>
        </w:trPr>
        <w:tc>
          <w:tcPr>
            <w:tcW w:w="780" w:type="dxa"/>
            <w:tcBorders>
              <w:top w:val="nil"/>
              <w:left w:val="single" w:color="auto" w:sz="4" w:space="0"/>
              <w:bottom w:val="single" w:color="auto" w:sz="4" w:space="0"/>
              <w:right w:val="single" w:color="auto" w:sz="4" w:space="0"/>
            </w:tcBorders>
            <w:noWrap/>
            <w:vAlign w:val="center"/>
          </w:tcPr>
          <w:p w14:paraId="41C9E5AF">
            <w:pPr>
              <w:jc w:val="center"/>
              <w:rPr>
                <w:rFonts w:ascii="仿宋_GB2312" w:eastAsia="仿宋_GB2312"/>
                <w:color w:val="000000"/>
                <w:sz w:val="28"/>
                <w:szCs w:val="28"/>
              </w:rPr>
            </w:pPr>
            <w:r>
              <w:rPr>
                <w:rFonts w:hint="eastAsia" w:ascii="仿宋_GB2312" w:eastAsia="仿宋_GB2312"/>
                <w:color w:val="000000"/>
                <w:sz w:val="28"/>
                <w:szCs w:val="28"/>
              </w:rPr>
              <w:t>11</w:t>
            </w:r>
          </w:p>
        </w:tc>
        <w:tc>
          <w:tcPr>
            <w:tcW w:w="3880" w:type="dxa"/>
            <w:vMerge w:val="continue"/>
            <w:tcBorders>
              <w:top w:val="nil"/>
              <w:left w:val="single" w:color="auto" w:sz="4" w:space="0"/>
              <w:bottom w:val="single" w:color="auto" w:sz="4" w:space="0"/>
              <w:right w:val="single" w:color="auto" w:sz="4" w:space="0"/>
            </w:tcBorders>
            <w:vAlign w:val="center"/>
          </w:tcPr>
          <w:p w14:paraId="2873213A">
            <w:pPr>
              <w:rPr>
                <w:rFonts w:ascii="仿宋_GB2312" w:eastAsia="仿宋_GB2312"/>
                <w:color w:val="000000"/>
                <w:sz w:val="28"/>
                <w:szCs w:val="28"/>
              </w:rPr>
            </w:pPr>
          </w:p>
        </w:tc>
        <w:tc>
          <w:tcPr>
            <w:tcW w:w="3580" w:type="dxa"/>
            <w:tcBorders>
              <w:top w:val="nil"/>
              <w:left w:val="nil"/>
              <w:bottom w:val="single" w:color="auto" w:sz="4" w:space="0"/>
              <w:right w:val="single" w:color="auto" w:sz="4" w:space="0"/>
            </w:tcBorders>
            <w:noWrap/>
            <w:vAlign w:val="center"/>
          </w:tcPr>
          <w:p w14:paraId="4D0B5372">
            <w:pPr>
              <w:rPr>
                <w:rFonts w:ascii="仿宋_GB2312" w:eastAsia="仿宋_GB2312"/>
                <w:color w:val="000000"/>
                <w:sz w:val="28"/>
                <w:szCs w:val="28"/>
              </w:rPr>
            </w:pPr>
            <w:r>
              <w:rPr>
                <w:rFonts w:hint="eastAsia" w:ascii="仿宋_GB2312" w:eastAsia="仿宋_GB2312"/>
                <w:color w:val="000000"/>
                <w:sz w:val="28"/>
                <w:szCs w:val="28"/>
              </w:rPr>
              <w:t>视频图像模型仓库</w:t>
            </w:r>
          </w:p>
        </w:tc>
      </w:tr>
      <w:tr w14:paraId="2A25BA59">
        <w:tblPrEx>
          <w:tblCellMar>
            <w:top w:w="0" w:type="dxa"/>
            <w:left w:w="108" w:type="dxa"/>
            <w:bottom w:w="0" w:type="dxa"/>
            <w:right w:w="108" w:type="dxa"/>
          </w:tblCellMar>
        </w:tblPrEx>
        <w:trPr>
          <w:trHeight w:val="375" w:hRule="atLeast"/>
        </w:trPr>
        <w:tc>
          <w:tcPr>
            <w:tcW w:w="780" w:type="dxa"/>
            <w:tcBorders>
              <w:top w:val="nil"/>
              <w:left w:val="single" w:color="auto" w:sz="4" w:space="0"/>
              <w:bottom w:val="single" w:color="auto" w:sz="4" w:space="0"/>
              <w:right w:val="single" w:color="auto" w:sz="4" w:space="0"/>
            </w:tcBorders>
            <w:noWrap/>
            <w:vAlign w:val="center"/>
          </w:tcPr>
          <w:p w14:paraId="20F93644">
            <w:pPr>
              <w:jc w:val="center"/>
              <w:rPr>
                <w:rFonts w:ascii="仿宋_GB2312" w:eastAsia="仿宋_GB2312"/>
                <w:color w:val="000000"/>
                <w:sz w:val="28"/>
                <w:szCs w:val="28"/>
              </w:rPr>
            </w:pPr>
            <w:r>
              <w:rPr>
                <w:rFonts w:hint="eastAsia" w:ascii="仿宋_GB2312" w:eastAsia="仿宋_GB2312"/>
                <w:color w:val="000000"/>
                <w:sz w:val="28"/>
                <w:szCs w:val="28"/>
              </w:rPr>
              <w:t>12</w:t>
            </w:r>
          </w:p>
        </w:tc>
        <w:tc>
          <w:tcPr>
            <w:tcW w:w="3880" w:type="dxa"/>
            <w:vMerge w:val="continue"/>
            <w:tcBorders>
              <w:top w:val="nil"/>
              <w:left w:val="single" w:color="auto" w:sz="4" w:space="0"/>
              <w:bottom w:val="single" w:color="auto" w:sz="4" w:space="0"/>
              <w:right w:val="single" w:color="auto" w:sz="4" w:space="0"/>
            </w:tcBorders>
            <w:vAlign w:val="center"/>
          </w:tcPr>
          <w:p w14:paraId="6AE7897F">
            <w:pPr>
              <w:rPr>
                <w:rFonts w:ascii="仿宋_GB2312" w:eastAsia="仿宋_GB2312"/>
                <w:color w:val="000000"/>
                <w:sz w:val="28"/>
                <w:szCs w:val="28"/>
              </w:rPr>
            </w:pPr>
          </w:p>
        </w:tc>
        <w:tc>
          <w:tcPr>
            <w:tcW w:w="3580" w:type="dxa"/>
            <w:tcBorders>
              <w:top w:val="nil"/>
              <w:left w:val="nil"/>
              <w:bottom w:val="single" w:color="auto" w:sz="4" w:space="0"/>
              <w:right w:val="single" w:color="auto" w:sz="4" w:space="0"/>
            </w:tcBorders>
            <w:noWrap/>
            <w:vAlign w:val="center"/>
          </w:tcPr>
          <w:p w14:paraId="4832C10E">
            <w:pPr>
              <w:rPr>
                <w:rFonts w:ascii="仿宋_GB2312" w:eastAsia="仿宋_GB2312"/>
                <w:color w:val="000000"/>
                <w:sz w:val="28"/>
                <w:szCs w:val="28"/>
              </w:rPr>
            </w:pPr>
            <w:r>
              <w:rPr>
                <w:rFonts w:hint="eastAsia" w:ascii="仿宋_GB2312" w:eastAsia="仿宋_GB2312"/>
                <w:color w:val="000000"/>
                <w:sz w:val="28"/>
                <w:szCs w:val="28"/>
              </w:rPr>
              <w:t>视频图像模型微调</w:t>
            </w:r>
          </w:p>
        </w:tc>
      </w:tr>
      <w:tr w14:paraId="23EDFFBD">
        <w:tblPrEx>
          <w:tblCellMar>
            <w:top w:w="0" w:type="dxa"/>
            <w:left w:w="108" w:type="dxa"/>
            <w:bottom w:w="0" w:type="dxa"/>
            <w:right w:w="108" w:type="dxa"/>
          </w:tblCellMar>
        </w:tblPrEx>
        <w:trPr>
          <w:trHeight w:val="375" w:hRule="atLeast"/>
        </w:trPr>
        <w:tc>
          <w:tcPr>
            <w:tcW w:w="780" w:type="dxa"/>
            <w:tcBorders>
              <w:top w:val="nil"/>
              <w:left w:val="single" w:color="auto" w:sz="4" w:space="0"/>
              <w:bottom w:val="single" w:color="auto" w:sz="4" w:space="0"/>
              <w:right w:val="single" w:color="auto" w:sz="4" w:space="0"/>
            </w:tcBorders>
            <w:noWrap/>
            <w:vAlign w:val="center"/>
          </w:tcPr>
          <w:p w14:paraId="7B299832">
            <w:pPr>
              <w:jc w:val="center"/>
              <w:rPr>
                <w:rFonts w:ascii="仿宋_GB2312" w:eastAsia="仿宋_GB2312"/>
                <w:color w:val="000000"/>
                <w:sz w:val="28"/>
                <w:szCs w:val="28"/>
              </w:rPr>
            </w:pPr>
            <w:r>
              <w:rPr>
                <w:rFonts w:hint="eastAsia" w:ascii="仿宋_GB2312" w:eastAsia="仿宋_GB2312"/>
                <w:color w:val="000000"/>
                <w:sz w:val="28"/>
                <w:szCs w:val="28"/>
              </w:rPr>
              <w:t>13</w:t>
            </w:r>
          </w:p>
        </w:tc>
        <w:tc>
          <w:tcPr>
            <w:tcW w:w="3880" w:type="dxa"/>
            <w:vMerge w:val="continue"/>
            <w:tcBorders>
              <w:top w:val="nil"/>
              <w:left w:val="single" w:color="auto" w:sz="4" w:space="0"/>
              <w:bottom w:val="single" w:color="auto" w:sz="4" w:space="0"/>
              <w:right w:val="single" w:color="auto" w:sz="4" w:space="0"/>
            </w:tcBorders>
            <w:vAlign w:val="center"/>
          </w:tcPr>
          <w:p w14:paraId="3394A1AF">
            <w:pPr>
              <w:rPr>
                <w:rFonts w:ascii="仿宋_GB2312" w:eastAsia="仿宋_GB2312"/>
                <w:color w:val="000000"/>
                <w:sz w:val="28"/>
                <w:szCs w:val="28"/>
              </w:rPr>
            </w:pPr>
          </w:p>
        </w:tc>
        <w:tc>
          <w:tcPr>
            <w:tcW w:w="3580" w:type="dxa"/>
            <w:tcBorders>
              <w:top w:val="nil"/>
              <w:left w:val="nil"/>
              <w:bottom w:val="single" w:color="auto" w:sz="4" w:space="0"/>
              <w:right w:val="single" w:color="auto" w:sz="4" w:space="0"/>
            </w:tcBorders>
            <w:noWrap/>
            <w:vAlign w:val="center"/>
          </w:tcPr>
          <w:p w14:paraId="24427829">
            <w:pPr>
              <w:rPr>
                <w:rFonts w:ascii="仿宋_GB2312" w:eastAsia="仿宋_GB2312"/>
                <w:color w:val="000000"/>
                <w:sz w:val="28"/>
                <w:szCs w:val="28"/>
              </w:rPr>
            </w:pPr>
            <w:r>
              <w:rPr>
                <w:rFonts w:hint="eastAsia" w:ascii="仿宋_GB2312" w:eastAsia="仿宋_GB2312"/>
                <w:color w:val="000000"/>
                <w:sz w:val="28"/>
                <w:szCs w:val="28"/>
              </w:rPr>
              <w:t>视频图像模型优化</w:t>
            </w:r>
          </w:p>
        </w:tc>
      </w:tr>
      <w:tr w14:paraId="213A4F53">
        <w:tblPrEx>
          <w:tblCellMar>
            <w:top w:w="0" w:type="dxa"/>
            <w:left w:w="108" w:type="dxa"/>
            <w:bottom w:w="0" w:type="dxa"/>
            <w:right w:w="108" w:type="dxa"/>
          </w:tblCellMar>
        </w:tblPrEx>
        <w:trPr>
          <w:trHeight w:val="375" w:hRule="atLeast"/>
        </w:trPr>
        <w:tc>
          <w:tcPr>
            <w:tcW w:w="780" w:type="dxa"/>
            <w:tcBorders>
              <w:top w:val="nil"/>
              <w:left w:val="single" w:color="auto" w:sz="4" w:space="0"/>
              <w:bottom w:val="single" w:color="auto" w:sz="4" w:space="0"/>
              <w:right w:val="single" w:color="auto" w:sz="4" w:space="0"/>
            </w:tcBorders>
            <w:noWrap/>
            <w:vAlign w:val="center"/>
          </w:tcPr>
          <w:p w14:paraId="03933805">
            <w:pPr>
              <w:jc w:val="center"/>
              <w:rPr>
                <w:rFonts w:ascii="仿宋_GB2312" w:eastAsia="仿宋_GB2312"/>
                <w:color w:val="000000"/>
                <w:sz w:val="28"/>
                <w:szCs w:val="28"/>
              </w:rPr>
            </w:pPr>
            <w:r>
              <w:rPr>
                <w:rFonts w:hint="eastAsia" w:ascii="仿宋_GB2312" w:eastAsia="仿宋_GB2312"/>
                <w:color w:val="000000"/>
                <w:sz w:val="28"/>
                <w:szCs w:val="28"/>
              </w:rPr>
              <w:t>14</w:t>
            </w:r>
          </w:p>
        </w:tc>
        <w:tc>
          <w:tcPr>
            <w:tcW w:w="3880" w:type="dxa"/>
            <w:vMerge w:val="restart"/>
            <w:tcBorders>
              <w:top w:val="nil"/>
              <w:left w:val="single" w:color="auto" w:sz="4" w:space="0"/>
              <w:bottom w:val="single" w:color="000000" w:sz="4" w:space="0"/>
              <w:right w:val="single" w:color="auto" w:sz="4" w:space="0"/>
            </w:tcBorders>
            <w:vAlign w:val="center"/>
          </w:tcPr>
          <w:p w14:paraId="7C6D093D">
            <w:pPr>
              <w:rPr>
                <w:rFonts w:ascii="仿宋_GB2312" w:eastAsia="仿宋_GB2312"/>
                <w:color w:val="000000"/>
                <w:sz w:val="28"/>
                <w:szCs w:val="28"/>
              </w:rPr>
            </w:pPr>
            <w:r>
              <w:rPr>
                <w:rFonts w:hint="eastAsia" w:ascii="仿宋_GB2312" w:eastAsia="仿宋_GB2312"/>
                <w:color w:val="000000"/>
                <w:sz w:val="28"/>
                <w:szCs w:val="28"/>
              </w:rPr>
              <w:t>基础系统支撑</w:t>
            </w:r>
          </w:p>
        </w:tc>
        <w:tc>
          <w:tcPr>
            <w:tcW w:w="3580" w:type="dxa"/>
            <w:tcBorders>
              <w:top w:val="nil"/>
              <w:left w:val="nil"/>
              <w:bottom w:val="single" w:color="auto" w:sz="4" w:space="0"/>
              <w:right w:val="single" w:color="auto" w:sz="4" w:space="0"/>
            </w:tcBorders>
            <w:noWrap/>
            <w:vAlign w:val="center"/>
          </w:tcPr>
          <w:p w14:paraId="01BA567D">
            <w:pPr>
              <w:rPr>
                <w:rFonts w:ascii="仿宋_GB2312" w:eastAsia="仿宋_GB2312"/>
                <w:color w:val="000000"/>
                <w:sz w:val="28"/>
                <w:szCs w:val="28"/>
              </w:rPr>
            </w:pPr>
            <w:r>
              <w:rPr>
                <w:rFonts w:hint="eastAsia" w:ascii="仿宋_GB2312" w:eastAsia="仿宋_GB2312"/>
                <w:color w:val="000000"/>
                <w:sz w:val="28"/>
                <w:szCs w:val="28"/>
              </w:rPr>
              <w:t>视觉大模型评测</w:t>
            </w:r>
          </w:p>
        </w:tc>
      </w:tr>
      <w:tr w14:paraId="5562D33D">
        <w:tblPrEx>
          <w:tblCellMar>
            <w:top w:w="0" w:type="dxa"/>
            <w:left w:w="108" w:type="dxa"/>
            <w:bottom w:w="0" w:type="dxa"/>
            <w:right w:w="108" w:type="dxa"/>
          </w:tblCellMar>
        </w:tblPrEx>
        <w:trPr>
          <w:trHeight w:val="375" w:hRule="atLeast"/>
        </w:trPr>
        <w:tc>
          <w:tcPr>
            <w:tcW w:w="780" w:type="dxa"/>
            <w:tcBorders>
              <w:top w:val="nil"/>
              <w:left w:val="single" w:color="auto" w:sz="4" w:space="0"/>
              <w:bottom w:val="single" w:color="auto" w:sz="4" w:space="0"/>
              <w:right w:val="single" w:color="auto" w:sz="4" w:space="0"/>
            </w:tcBorders>
            <w:noWrap/>
            <w:vAlign w:val="center"/>
          </w:tcPr>
          <w:p w14:paraId="4F18FAB3">
            <w:pPr>
              <w:jc w:val="center"/>
              <w:rPr>
                <w:rFonts w:ascii="仿宋_GB2312" w:eastAsia="仿宋_GB2312"/>
                <w:color w:val="000000"/>
                <w:sz w:val="28"/>
                <w:szCs w:val="28"/>
              </w:rPr>
            </w:pPr>
            <w:r>
              <w:rPr>
                <w:rFonts w:hint="eastAsia" w:ascii="仿宋_GB2312" w:eastAsia="仿宋_GB2312"/>
                <w:color w:val="000000"/>
                <w:sz w:val="28"/>
                <w:szCs w:val="28"/>
              </w:rPr>
              <w:t>15</w:t>
            </w:r>
          </w:p>
        </w:tc>
        <w:tc>
          <w:tcPr>
            <w:tcW w:w="3880" w:type="dxa"/>
            <w:vMerge w:val="continue"/>
            <w:tcBorders>
              <w:top w:val="nil"/>
              <w:left w:val="single" w:color="auto" w:sz="4" w:space="0"/>
              <w:bottom w:val="single" w:color="000000" w:sz="4" w:space="0"/>
              <w:right w:val="single" w:color="auto" w:sz="4" w:space="0"/>
            </w:tcBorders>
            <w:vAlign w:val="center"/>
          </w:tcPr>
          <w:p w14:paraId="04113FAF">
            <w:pPr>
              <w:rPr>
                <w:rFonts w:ascii="仿宋_GB2312" w:eastAsia="仿宋_GB2312"/>
                <w:color w:val="000000"/>
                <w:sz w:val="28"/>
                <w:szCs w:val="28"/>
              </w:rPr>
            </w:pPr>
          </w:p>
        </w:tc>
        <w:tc>
          <w:tcPr>
            <w:tcW w:w="3580" w:type="dxa"/>
            <w:tcBorders>
              <w:top w:val="nil"/>
              <w:left w:val="nil"/>
              <w:bottom w:val="single" w:color="auto" w:sz="4" w:space="0"/>
              <w:right w:val="single" w:color="auto" w:sz="4" w:space="0"/>
            </w:tcBorders>
            <w:noWrap/>
            <w:vAlign w:val="center"/>
          </w:tcPr>
          <w:p w14:paraId="21AD2792">
            <w:pPr>
              <w:rPr>
                <w:rFonts w:ascii="仿宋_GB2312" w:eastAsia="仿宋_GB2312"/>
                <w:color w:val="000000"/>
                <w:sz w:val="28"/>
                <w:szCs w:val="28"/>
              </w:rPr>
            </w:pPr>
            <w:r>
              <w:rPr>
                <w:rFonts w:hint="eastAsia" w:ascii="仿宋_GB2312" w:eastAsia="仿宋_GB2312"/>
                <w:color w:val="000000"/>
                <w:sz w:val="28"/>
                <w:szCs w:val="28"/>
              </w:rPr>
              <w:t>视觉大模型安全管理</w:t>
            </w:r>
          </w:p>
        </w:tc>
      </w:tr>
      <w:tr w14:paraId="2D1AE660">
        <w:tblPrEx>
          <w:tblCellMar>
            <w:top w:w="0" w:type="dxa"/>
            <w:left w:w="108" w:type="dxa"/>
            <w:bottom w:w="0" w:type="dxa"/>
            <w:right w:w="108" w:type="dxa"/>
          </w:tblCellMar>
        </w:tblPrEx>
        <w:trPr>
          <w:trHeight w:val="375" w:hRule="atLeast"/>
        </w:trPr>
        <w:tc>
          <w:tcPr>
            <w:tcW w:w="780" w:type="dxa"/>
            <w:tcBorders>
              <w:top w:val="nil"/>
              <w:left w:val="single" w:color="auto" w:sz="4" w:space="0"/>
              <w:bottom w:val="single" w:color="auto" w:sz="4" w:space="0"/>
              <w:right w:val="single" w:color="auto" w:sz="4" w:space="0"/>
            </w:tcBorders>
            <w:noWrap/>
            <w:vAlign w:val="center"/>
          </w:tcPr>
          <w:p w14:paraId="0BE1439A">
            <w:pPr>
              <w:jc w:val="center"/>
              <w:rPr>
                <w:rFonts w:ascii="仿宋_GB2312" w:eastAsia="仿宋_GB2312"/>
                <w:color w:val="000000"/>
                <w:sz w:val="28"/>
                <w:szCs w:val="28"/>
              </w:rPr>
            </w:pPr>
            <w:r>
              <w:rPr>
                <w:rFonts w:hint="eastAsia" w:ascii="仿宋_GB2312" w:eastAsia="仿宋_GB2312"/>
                <w:color w:val="000000"/>
                <w:sz w:val="28"/>
                <w:szCs w:val="28"/>
              </w:rPr>
              <w:t>16</w:t>
            </w:r>
          </w:p>
        </w:tc>
        <w:tc>
          <w:tcPr>
            <w:tcW w:w="3880" w:type="dxa"/>
            <w:tcBorders>
              <w:top w:val="nil"/>
              <w:left w:val="nil"/>
              <w:bottom w:val="single" w:color="auto" w:sz="4" w:space="0"/>
              <w:right w:val="single" w:color="auto" w:sz="4" w:space="0"/>
            </w:tcBorders>
            <w:noWrap/>
            <w:vAlign w:val="center"/>
          </w:tcPr>
          <w:p w14:paraId="25395C48">
            <w:pPr>
              <w:rPr>
                <w:rFonts w:ascii="仿宋_GB2312" w:eastAsia="仿宋_GB2312"/>
                <w:color w:val="000000"/>
                <w:sz w:val="28"/>
                <w:szCs w:val="28"/>
              </w:rPr>
            </w:pPr>
            <w:r>
              <w:rPr>
                <w:rFonts w:hint="eastAsia" w:ascii="仿宋_GB2312" w:eastAsia="仿宋_GB2312"/>
                <w:color w:val="000000"/>
                <w:sz w:val="28"/>
                <w:szCs w:val="28"/>
              </w:rPr>
              <w:t>商密改造</w:t>
            </w:r>
          </w:p>
        </w:tc>
        <w:tc>
          <w:tcPr>
            <w:tcW w:w="3580" w:type="dxa"/>
            <w:tcBorders>
              <w:top w:val="nil"/>
              <w:left w:val="nil"/>
              <w:bottom w:val="single" w:color="auto" w:sz="4" w:space="0"/>
              <w:right w:val="single" w:color="auto" w:sz="4" w:space="0"/>
            </w:tcBorders>
            <w:noWrap/>
            <w:vAlign w:val="center"/>
          </w:tcPr>
          <w:p w14:paraId="0336B0B0">
            <w:pPr>
              <w:rPr>
                <w:rFonts w:ascii="仿宋_GB2312" w:eastAsia="仿宋_GB2312"/>
                <w:color w:val="000000"/>
                <w:sz w:val="28"/>
                <w:szCs w:val="28"/>
              </w:rPr>
            </w:pPr>
            <w:r>
              <w:rPr>
                <w:rFonts w:hint="eastAsia" w:ascii="仿宋_GB2312" w:eastAsia="仿宋_GB2312"/>
                <w:color w:val="000000"/>
                <w:sz w:val="28"/>
                <w:szCs w:val="28"/>
              </w:rPr>
              <w:t>商密改造软件开发</w:t>
            </w:r>
          </w:p>
        </w:tc>
      </w:tr>
      <w:tr w14:paraId="084F48BF">
        <w:tblPrEx>
          <w:tblCellMar>
            <w:top w:w="0" w:type="dxa"/>
            <w:left w:w="108" w:type="dxa"/>
            <w:bottom w:w="0" w:type="dxa"/>
            <w:right w:w="108" w:type="dxa"/>
          </w:tblCellMar>
        </w:tblPrEx>
        <w:trPr>
          <w:trHeight w:val="375" w:hRule="atLeast"/>
        </w:trPr>
        <w:tc>
          <w:tcPr>
            <w:tcW w:w="780" w:type="dxa"/>
            <w:tcBorders>
              <w:top w:val="nil"/>
              <w:left w:val="single" w:color="auto" w:sz="4" w:space="0"/>
              <w:bottom w:val="single" w:color="auto" w:sz="4" w:space="0"/>
              <w:right w:val="single" w:color="auto" w:sz="4" w:space="0"/>
            </w:tcBorders>
            <w:noWrap/>
            <w:vAlign w:val="center"/>
          </w:tcPr>
          <w:p w14:paraId="2CC4C7D3">
            <w:pPr>
              <w:jc w:val="center"/>
              <w:rPr>
                <w:rFonts w:ascii="仿宋_GB2312" w:eastAsia="仿宋_GB2312"/>
                <w:color w:val="000000"/>
                <w:sz w:val="28"/>
                <w:szCs w:val="28"/>
              </w:rPr>
            </w:pPr>
            <w:r>
              <w:rPr>
                <w:rFonts w:hint="eastAsia" w:ascii="仿宋_GB2312" w:eastAsia="仿宋_GB2312"/>
                <w:color w:val="000000"/>
                <w:sz w:val="28"/>
                <w:szCs w:val="28"/>
              </w:rPr>
              <w:t>17</w:t>
            </w:r>
          </w:p>
        </w:tc>
        <w:tc>
          <w:tcPr>
            <w:tcW w:w="3880" w:type="dxa"/>
            <w:tcBorders>
              <w:top w:val="nil"/>
              <w:left w:val="single" w:color="auto" w:sz="4" w:space="0"/>
              <w:bottom w:val="single" w:color="000000" w:sz="4" w:space="0"/>
              <w:right w:val="single" w:color="auto" w:sz="4" w:space="0"/>
            </w:tcBorders>
            <w:vAlign w:val="center"/>
          </w:tcPr>
          <w:p w14:paraId="3799E4B1">
            <w:pPr>
              <w:rPr>
                <w:rFonts w:ascii="仿宋_GB2312" w:eastAsia="仿宋_GB2312"/>
                <w:color w:val="000000"/>
                <w:sz w:val="28"/>
                <w:szCs w:val="28"/>
              </w:rPr>
            </w:pPr>
            <w:r>
              <w:rPr>
                <w:rFonts w:hint="eastAsia" w:ascii="仿宋_GB2312" w:eastAsia="仿宋_GB2312"/>
                <w:color w:val="000000"/>
                <w:sz w:val="28"/>
                <w:szCs w:val="28"/>
              </w:rPr>
              <w:t>硬件购置</w:t>
            </w:r>
          </w:p>
        </w:tc>
        <w:tc>
          <w:tcPr>
            <w:tcW w:w="3580" w:type="dxa"/>
            <w:tcBorders>
              <w:top w:val="nil"/>
              <w:left w:val="nil"/>
              <w:bottom w:val="single" w:color="auto" w:sz="4" w:space="0"/>
              <w:right w:val="single" w:color="auto" w:sz="4" w:space="0"/>
            </w:tcBorders>
            <w:noWrap/>
            <w:vAlign w:val="center"/>
          </w:tcPr>
          <w:p w14:paraId="693BA34B">
            <w:pPr>
              <w:rPr>
                <w:rFonts w:ascii="仿宋_GB2312" w:eastAsia="仿宋_GB2312"/>
                <w:color w:val="000000"/>
                <w:sz w:val="28"/>
                <w:szCs w:val="28"/>
              </w:rPr>
            </w:pPr>
            <w:r>
              <w:rPr>
                <w:rFonts w:hint="eastAsia" w:ascii="仿宋_GB2312" w:eastAsia="仿宋_GB2312"/>
                <w:color w:val="000000"/>
                <w:sz w:val="28"/>
                <w:szCs w:val="28"/>
              </w:rPr>
              <w:t>智能图像联网媒体设备</w:t>
            </w:r>
          </w:p>
        </w:tc>
      </w:tr>
    </w:tbl>
    <w:p w14:paraId="04E107B3">
      <w:pPr>
        <w:widowControl/>
        <w:adjustRightInd w:val="0"/>
        <w:snapToGrid w:val="0"/>
        <w:spacing w:line="560" w:lineRule="exact"/>
        <w:ind w:firstLine="646"/>
        <w:outlineLvl w:val="1"/>
        <w:rPr>
          <w:rFonts w:eastAsia="楷体_GB2312"/>
          <w:bCs/>
          <w:kern w:val="0"/>
          <w:sz w:val="32"/>
          <w:szCs w:val="32"/>
        </w:rPr>
      </w:pPr>
      <w:r>
        <w:rPr>
          <w:rFonts w:eastAsia="楷体_GB2312"/>
          <w:bCs/>
          <w:kern w:val="0"/>
          <w:sz w:val="32"/>
          <w:szCs w:val="32"/>
        </w:rPr>
        <w:t>（三）设计方案</w:t>
      </w:r>
    </w:p>
    <w:p w14:paraId="3D23EE19">
      <w:pPr>
        <w:widowControl/>
        <w:adjustRightInd w:val="0"/>
        <w:snapToGrid w:val="0"/>
        <w:spacing w:line="560" w:lineRule="exact"/>
        <w:ind w:firstLine="646"/>
        <w:outlineLvl w:val="2"/>
        <w:rPr>
          <w:rFonts w:eastAsia="仿宋_GB2312"/>
          <w:kern w:val="0"/>
          <w:sz w:val="32"/>
          <w:szCs w:val="32"/>
        </w:rPr>
      </w:pPr>
      <w:r>
        <w:rPr>
          <w:rFonts w:eastAsia="仿宋_GB2312"/>
          <w:kern w:val="0"/>
          <w:sz w:val="32"/>
          <w:szCs w:val="32"/>
        </w:rPr>
        <w:t>1、业务流程、数据和数据流分析</w:t>
      </w:r>
    </w:p>
    <w:p w14:paraId="54849B2B">
      <w:pPr>
        <w:widowControl/>
        <w:adjustRightInd w:val="0"/>
        <w:snapToGrid w:val="0"/>
        <w:spacing w:line="560" w:lineRule="exact"/>
        <w:ind w:firstLine="646"/>
        <w:rPr>
          <w:rFonts w:eastAsia="仿宋_GB2312"/>
          <w:kern w:val="0"/>
          <w:sz w:val="32"/>
          <w:szCs w:val="32"/>
        </w:rPr>
      </w:pPr>
      <w:r>
        <w:rPr>
          <w:rFonts w:hint="eastAsia" w:eastAsia="仿宋_GB2312"/>
          <w:kern w:val="0"/>
          <w:sz w:val="32"/>
          <w:szCs w:val="32"/>
        </w:rPr>
        <w:t>（1）侦查打击</w:t>
      </w:r>
    </w:p>
    <w:p w14:paraId="1093D027">
      <w:pPr>
        <w:pStyle w:val="43"/>
        <w:rPr>
          <w:rFonts w:ascii="仿宋_GB2312" w:eastAsia="仿宋_GB2312"/>
          <w:sz w:val="32"/>
          <w:szCs w:val="32"/>
        </w:rPr>
      </w:pPr>
      <w:r>
        <w:rPr>
          <w:rFonts w:hint="eastAsia" w:ascii="仿宋_GB2312" w:eastAsia="仿宋_GB2312"/>
          <w:sz w:val="32"/>
          <w:szCs w:val="32"/>
        </w:rPr>
        <w:t>通过视频jk智能化系统，提供尽可能丰富全面的特定人车物活动信息，对刑事案件侦破过程的xs追查和历史复现还原至关重要。因此，从XZ业务角度出发，需织密视频jk智能化网络，以提高人车物驻留区域刻画精度。同时，需通过新技术的运用，提高人车物识别分析的准确度，让视频jk发挥更大的实战价值。</w:t>
      </w:r>
    </w:p>
    <w:p w14:paraId="6964BD48">
      <w:pPr>
        <w:pStyle w:val="43"/>
        <w:rPr>
          <w:rFonts w:ascii="仿宋_GB2312" w:eastAsia="仿宋_GB2312"/>
          <w:sz w:val="32"/>
          <w:szCs w:val="32"/>
        </w:rPr>
      </w:pPr>
      <w:r>
        <w:rPr>
          <w:rFonts w:hint="eastAsia" w:ascii="仿宋_GB2312" w:eastAsia="仿宋_GB2312"/>
          <w:sz w:val="32"/>
          <w:szCs w:val="32"/>
        </w:rPr>
        <w:t>目前视频智能分析已经在XZ部门广泛使用，但基本聚焦在视频结构化分析方面，对视频中的人、车、物、行为等主要目标进行有限的结构化分析（比如衣服颜色、车辆车型、运动方向等），或是对ry做身份确认、驻留地筛查，但对视频资源中包含的大量冗余的数据信息，还缺少自动提取与挖掘关键信息的方法。</w:t>
      </w:r>
    </w:p>
    <w:p w14:paraId="2E6F213D">
      <w:pPr>
        <w:widowControl/>
        <w:adjustRightInd w:val="0"/>
        <w:snapToGrid w:val="0"/>
        <w:spacing w:line="560" w:lineRule="exact"/>
        <w:ind w:firstLine="646"/>
        <w:rPr>
          <w:rFonts w:ascii="仿宋_GB2312" w:eastAsia="仿宋_GB2312"/>
          <w:sz w:val="32"/>
          <w:szCs w:val="32"/>
        </w:rPr>
      </w:pPr>
      <w:r>
        <w:rPr>
          <w:rFonts w:hint="eastAsia" w:ascii="仿宋_GB2312" w:eastAsia="仿宋_GB2312"/>
          <w:sz w:val="32"/>
          <w:szCs w:val="32"/>
        </w:rPr>
        <w:t>目前市局有包括党政机关、行业单位、文娱活动场所、宗教活动场所、殡葬场所以及城市交通的公共jk点位，利用大模型视频语义搜索能力，用户可以对于感兴趣的超出结构化字典外的目标特征，比如穿黄色保洁衣服的男人，（衣服颜色、性别等信息，现有平台或许可以确认，保洁衣服就超出结构化描述能力了），戴红色圣诞老人帽子的女子，抱小孩的人等进行搜索，也可以对某种动作，比如抽烟、弯腰捡东西、跪拜、手拉手等进行搜索，也可以搜索抽象表达的关键词，比如摆摊、施工、人山人海等。只要是案件中可能相关联的描述，都可以在视频中寻找类似的xs信息。找到线头，抽丝剥茧，再利用传统视频图像智能化应用进行身份、驻留点、详细xs排查。</w:t>
      </w:r>
    </w:p>
    <w:p w14:paraId="50CE3ABB">
      <w:pPr>
        <w:widowControl/>
        <w:adjustRightInd w:val="0"/>
        <w:snapToGrid w:val="0"/>
        <w:spacing w:line="560" w:lineRule="exact"/>
        <w:ind w:firstLine="646"/>
        <w:rPr>
          <w:rFonts w:ascii="仿宋_GB2312" w:eastAsia="仿宋_GB2312"/>
          <w:kern w:val="0"/>
          <w:sz w:val="32"/>
          <w:szCs w:val="32"/>
        </w:rPr>
      </w:pPr>
      <w:r>
        <w:rPr>
          <w:rFonts w:hint="eastAsia" w:ascii="仿宋_GB2312" w:eastAsia="仿宋_GB2312"/>
          <w:kern w:val="0"/>
          <w:sz w:val="32"/>
          <w:szCs w:val="32"/>
        </w:rPr>
        <w:t>（2）治安防控</w:t>
      </w:r>
    </w:p>
    <w:p w14:paraId="67A9F9E5">
      <w:pPr>
        <w:pStyle w:val="43"/>
        <w:rPr>
          <w:rFonts w:ascii="仿宋_GB2312" w:eastAsia="仿宋_GB2312"/>
          <w:sz w:val="32"/>
          <w:szCs w:val="32"/>
        </w:rPr>
      </w:pPr>
      <w:r>
        <w:rPr>
          <w:rFonts w:hint="eastAsia" w:ascii="仿宋_GB2312" w:eastAsia="仿宋_GB2312"/>
          <w:sz w:val="32"/>
          <w:szCs w:val="32"/>
        </w:rPr>
        <w:t>基于上海治安防控业务现状和发展水平，需提高治安防控智能化覆盖密度、提升视频智慧化建设能级。从常规有限的视频人车非识别、人车驻留地分析，提升到对人、车、物等城市要素的全面智能识别，实现以类人思维“看懂”视频。打破视频智能化对时间间隔的要求，提高视频智能分析的实时能力，让视频资源在治安防控工作中发挥更大作用。下面以3个方面举例说明这一类型的业务需求：</w:t>
      </w:r>
    </w:p>
    <w:p w14:paraId="791E08DE">
      <w:pPr>
        <w:pStyle w:val="43"/>
        <w:rPr>
          <w:rFonts w:ascii="仿宋_GB2312" w:eastAsia="仿宋_GB2312"/>
          <w:sz w:val="32"/>
          <w:szCs w:val="32"/>
        </w:rPr>
      </w:pPr>
      <w:r>
        <w:rPr>
          <w:rFonts w:hint="eastAsia" w:ascii="仿宋_GB2312" w:eastAsia="仿宋_GB2312"/>
          <w:sz w:val="32"/>
          <w:szCs w:val="32"/>
        </w:rPr>
        <w:t>①网红景点、旅游区域及重要商圈的节假日大客流保障</w:t>
      </w:r>
    </w:p>
    <w:p w14:paraId="0835E6EA">
      <w:pPr>
        <w:pStyle w:val="43"/>
        <w:rPr>
          <w:rFonts w:ascii="仿宋_GB2312" w:eastAsia="仿宋_GB2312"/>
          <w:sz w:val="32"/>
          <w:szCs w:val="32"/>
        </w:rPr>
      </w:pPr>
      <w:r>
        <w:rPr>
          <w:rFonts w:hint="eastAsia" w:ascii="仿宋_GB2312" w:eastAsia="仿宋_GB2312"/>
          <w:sz w:val="32"/>
          <w:szCs w:val="32"/>
        </w:rPr>
        <w:t>市局已建文娱活动场所、宗教活动场所公共jk点位，大型网红景点节假日安保和宗教场所春节祈福活动安保是重大保障任务之一，各个商圈的天桥连廊区域也是人流攒动的场所，根据市、区两级对大客流安全防控要求，可以利用场景分析智能算法，利旧社会面jk资源以及分局自建点位jk，在景点景区、宗教场所、天桥连廊的广场、桥面及主要进出口区域部署人群聚集、区域人数统计、人流量统计、人群逆流等AI算法，对节假日高峰时段的人群数量、密度监测，提前感知风险。</w:t>
      </w:r>
    </w:p>
    <w:p w14:paraId="09C33C68">
      <w:pPr>
        <w:pStyle w:val="43"/>
        <w:rPr>
          <w:rFonts w:ascii="仿宋_GB2312" w:eastAsia="仿宋_GB2312"/>
          <w:sz w:val="32"/>
          <w:szCs w:val="32"/>
        </w:rPr>
      </w:pPr>
      <w:r>
        <w:rPr>
          <w:rFonts w:hint="eastAsia" w:ascii="仿宋_GB2312" w:eastAsia="仿宋_GB2312"/>
          <w:sz w:val="32"/>
          <w:szCs w:val="32"/>
        </w:rPr>
        <w:t>②公园、体育馆等重大安保场景</w:t>
      </w:r>
    </w:p>
    <w:p w14:paraId="1603792A">
      <w:pPr>
        <w:pStyle w:val="43"/>
        <w:rPr>
          <w:rFonts w:ascii="仿宋_GB2312" w:eastAsia="仿宋_GB2312"/>
          <w:sz w:val="32"/>
          <w:szCs w:val="32"/>
        </w:rPr>
      </w:pPr>
      <w:r>
        <w:rPr>
          <w:rFonts w:hint="eastAsia" w:ascii="仿宋_GB2312" w:eastAsia="仿宋_GB2312"/>
          <w:sz w:val="32"/>
          <w:szCs w:val="32"/>
        </w:rPr>
        <w:t>针对各区域大型体育公园、大型演出场馆，实施针对大型活动中大客流情况的应对处置，利用动态视频调度能力，结合智能算法的不断实践优化，在重大赛事或是大型活动期间，调集场馆周围及主要进出口区域jk资源，利用横幅识别、人群聚集、人流统计、区域越界等智能算法，通过建立相应场景模型，实现对人群聚集、人群逆流、违规应援、机动车/非机动车闯入等隐患事件的及时干预处置。</w:t>
      </w:r>
    </w:p>
    <w:p w14:paraId="3F028734">
      <w:pPr>
        <w:pStyle w:val="43"/>
        <w:rPr>
          <w:rFonts w:ascii="仿宋_GB2312" w:eastAsia="仿宋_GB2312"/>
          <w:sz w:val="32"/>
          <w:szCs w:val="32"/>
        </w:rPr>
      </w:pPr>
      <w:r>
        <w:rPr>
          <w:rFonts w:hint="eastAsia" w:ascii="仿宋_GB2312" w:eastAsia="仿宋_GB2312"/>
          <w:sz w:val="32"/>
          <w:szCs w:val="32"/>
        </w:rPr>
        <w:t>③降低公共区域安全风险</w:t>
      </w:r>
    </w:p>
    <w:p w14:paraId="57B1A18D">
      <w:pPr>
        <w:widowControl/>
        <w:adjustRightInd w:val="0"/>
        <w:snapToGrid w:val="0"/>
        <w:spacing w:line="560" w:lineRule="exact"/>
        <w:ind w:firstLine="646"/>
        <w:rPr>
          <w:rFonts w:ascii="仿宋_GB2312" w:eastAsia="仿宋_GB2312"/>
          <w:sz w:val="32"/>
          <w:szCs w:val="32"/>
        </w:rPr>
      </w:pPr>
      <w:r>
        <w:rPr>
          <w:rFonts w:hint="eastAsia" w:ascii="仿宋_GB2312" w:eastAsia="仿宋_GB2312"/>
          <w:sz w:val="32"/>
          <w:szCs w:val="32"/>
        </w:rPr>
        <w:t>易燃易爆危险化学品，运输时需要专业ry采取特定的保护装置或特定的运输车辆。比如煤气罐，一般利用非专业机动车、非机动车运输煤气罐的，除了需要具备一定的核准手续外，装载的煤气罐数量不能超过5个以上，否则就会构成违法。但生活中一些从业ry为了方便及减少成本，往往1辆电动车就挂载五六个甚至更多的煤气罐钢瓶，如同一个“移动炸弹”，是极大的安全隐患。因此，需要配置AI智能算法，对视频中出现的违法运输煤气罐现象进行预警，基于治安jk点位，一旦有发现超过5个煤气罐的现象，就说明很可能有ry进行违法装载运输了，可以极大提高安全风险防控效率和效果。</w:t>
      </w:r>
    </w:p>
    <w:p w14:paraId="7ED1DA6A">
      <w:pPr>
        <w:widowControl/>
        <w:adjustRightInd w:val="0"/>
        <w:snapToGrid w:val="0"/>
        <w:spacing w:line="560" w:lineRule="exact"/>
        <w:ind w:firstLine="646"/>
        <w:rPr>
          <w:rFonts w:ascii="仿宋_GB2312" w:eastAsia="仿宋_GB2312"/>
          <w:sz w:val="32"/>
          <w:szCs w:val="32"/>
        </w:rPr>
      </w:pPr>
      <w:r>
        <w:rPr>
          <w:rFonts w:hint="eastAsia" w:ascii="仿宋_GB2312" w:eastAsia="仿宋_GB2312"/>
          <w:sz w:val="32"/>
          <w:szCs w:val="32"/>
        </w:rPr>
        <w:t>（3）活动安保</w:t>
      </w:r>
    </w:p>
    <w:p w14:paraId="60EBEB77">
      <w:pPr>
        <w:pStyle w:val="43"/>
        <w:rPr>
          <w:rFonts w:ascii="仿宋_GB2312" w:eastAsia="仿宋_GB2312"/>
          <w:sz w:val="32"/>
          <w:szCs w:val="32"/>
        </w:rPr>
      </w:pPr>
      <w:r>
        <w:rPr>
          <w:rFonts w:hint="eastAsia" w:ascii="仿宋_GB2312" w:eastAsia="仿宋_GB2312"/>
          <w:sz w:val="32"/>
          <w:szCs w:val="32"/>
        </w:rPr>
        <w:t>随着上海社会经济的发展，城区内经常举办各类大型政治、科技、经贸、文娱、体育类重要活动，由于这类活动具有点多面广、ry集中、规格高、影响大的特点，对公共安全事件的容忍度较低，对现场保障工作有较高要求。虽然上海已建成基本覆盖全市各行政区、街镇、社区和重点区域的公安视频jk系统，针对重要活动的现场安全保障工作，也有相应的预案和处置方案。</w:t>
      </w:r>
    </w:p>
    <w:p w14:paraId="6E5EC688">
      <w:pPr>
        <w:pStyle w:val="43"/>
        <w:rPr>
          <w:rFonts w:ascii="仿宋_GB2312" w:eastAsia="仿宋_GB2312"/>
          <w:sz w:val="32"/>
          <w:szCs w:val="32"/>
        </w:rPr>
      </w:pPr>
      <w:r>
        <w:rPr>
          <w:rFonts w:hint="eastAsia" w:ascii="仿宋_GB2312" w:eastAsia="仿宋_GB2312"/>
          <w:sz w:val="32"/>
          <w:szCs w:val="32"/>
        </w:rPr>
        <w:t>比如，每年上海都要举行包括马拉松赛事在内的各级户外重大活动比赛，为了全方位保障赛事的正常举行和参赛观赛ry的安全，可以以场景化算法系统为核心，建立重大赛事预警大数据运营平台，全流程对参赛运动员、观赛群众、工作ry的状态进行监管，防止密集踩踏、行人机动车闯入、意外落水、ry摔倒等异常情况的发生，消除可能的安全隐患，并规划同步通过地图可视化的城市之眼平台，进行精细化的保障预案设置，对比赛中的各关键节点和细节进行全面的监测，提高赛事安全服务水平。</w:t>
      </w:r>
    </w:p>
    <w:p w14:paraId="5B082885">
      <w:pPr>
        <w:pStyle w:val="43"/>
        <w:rPr>
          <w:rFonts w:ascii="仿宋_GB2312" w:eastAsia="仿宋_GB2312"/>
          <w:sz w:val="32"/>
          <w:szCs w:val="32"/>
        </w:rPr>
      </w:pPr>
      <w:r>
        <w:rPr>
          <w:rFonts w:hint="eastAsia" w:ascii="仿宋_GB2312" w:eastAsia="仿宋_GB2312"/>
          <w:sz w:val="32"/>
          <w:szCs w:val="32"/>
        </w:rPr>
        <w:t>又如，作为上海最重要活动保障任务之一的进博会保障，在警务预案基础上，可以运用多模态大模型技术，使安保工作从被动向主动转型：赋能大客流管控，实现对参展ry的宏观统计及各展馆人流密度排行的展示，通过诸如横幅、摔倒、打架斗殴等场景算法，实现异常行为事件的实时预警；同时，在现有精准查询驻留区域、同行人查询的ry分析基础上，可以通过视频语义分析，用讲话的方式，通过语音告诉系统ry特征，让系统通过视频全向量分析进行快速筛选，高效精准的定位符合特征要求的ry，帮助用户缩小范围快速研判。</w:t>
      </w:r>
    </w:p>
    <w:p w14:paraId="0F43065C">
      <w:pPr>
        <w:widowControl/>
        <w:adjustRightInd w:val="0"/>
        <w:snapToGrid w:val="0"/>
        <w:spacing w:line="560" w:lineRule="exact"/>
        <w:ind w:firstLine="646"/>
        <w:rPr>
          <w:rFonts w:ascii="仿宋_GB2312" w:eastAsia="仿宋_GB2312"/>
          <w:sz w:val="32"/>
          <w:szCs w:val="32"/>
        </w:rPr>
      </w:pPr>
      <w:r>
        <w:rPr>
          <w:rFonts w:hint="eastAsia" w:ascii="仿宋_GB2312" w:eastAsia="仿宋_GB2312"/>
          <w:sz w:val="32"/>
          <w:szCs w:val="32"/>
        </w:rPr>
        <w:t>（4）指挥调度</w:t>
      </w:r>
    </w:p>
    <w:p w14:paraId="045E59FA">
      <w:pPr>
        <w:pStyle w:val="43"/>
        <w:rPr>
          <w:rFonts w:ascii="仿宋_GB2312" w:eastAsia="仿宋_GB2312"/>
          <w:sz w:val="32"/>
          <w:szCs w:val="32"/>
        </w:rPr>
      </w:pPr>
      <w:r>
        <w:rPr>
          <w:rFonts w:hint="eastAsia" w:ascii="仿宋_GB2312" w:eastAsia="仿宋_GB2312"/>
          <w:sz w:val="32"/>
          <w:szCs w:val="32"/>
        </w:rPr>
        <w:t>指挥中心需要实时掌握现场情况，以便做出快速反应。目前，许多指挥中心已经部署了智能图像分析系统和大屏指挥系统，实现了可视化的综合指挥调度。为了进一步提升指挥效率，需要具备多模态大模型的引擎能力，在提升现场情况的实时反馈、现场实时可视化指挥、目标快速驻留地身份确认以及警力资源的高效分配等方面实现业务能力支撑。</w:t>
      </w:r>
    </w:p>
    <w:p w14:paraId="1FE5EAFA">
      <w:pPr>
        <w:pStyle w:val="43"/>
        <w:rPr>
          <w:rFonts w:ascii="仿宋_GB2312" w:eastAsia="仿宋_GB2312"/>
          <w:sz w:val="32"/>
          <w:szCs w:val="32"/>
        </w:rPr>
      </w:pPr>
      <w:r>
        <w:rPr>
          <w:rFonts w:hint="eastAsia" w:ascii="仿宋_GB2312" w:eastAsia="仿宋_GB2312"/>
          <w:sz w:val="32"/>
          <w:szCs w:val="32"/>
        </w:rPr>
        <w:t>①实时可视化指挥</w:t>
      </w:r>
    </w:p>
    <w:p w14:paraId="53F897E6">
      <w:pPr>
        <w:pStyle w:val="43"/>
        <w:rPr>
          <w:rFonts w:ascii="仿宋_GB2312" w:eastAsia="仿宋_GB2312"/>
          <w:sz w:val="32"/>
          <w:szCs w:val="32"/>
        </w:rPr>
      </w:pPr>
      <w:r>
        <w:rPr>
          <w:rFonts w:hint="eastAsia" w:ascii="仿宋_GB2312" w:eastAsia="仿宋_GB2312"/>
          <w:sz w:val="32"/>
          <w:szCs w:val="32"/>
        </w:rPr>
        <w:t>大模型应支持实时视频分析，将分析结果实时反馈到指挥中心的大屏系统，使指挥ry能够直观地看到现场情况，从而做出更准确的指挥决策。</w:t>
      </w:r>
    </w:p>
    <w:p w14:paraId="4CC64206">
      <w:pPr>
        <w:pStyle w:val="43"/>
        <w:rPr>
          <w:rFonts w:ascii="仿宋_GB2312" w:eastAsia="仿宋_GB2312"/>
          <w:sz w:val="32"/>
          <w:szCs w:val="32"/>
        </w:rPr>
      </w:pPr>
      <w:r>
        <w:rPr>
          <w:rFonts w:hint="eastAsia" w:ascii="仿宋_GB2312" w:eastAsia="仿宋_GB2312"/>
          <w:sz w:val="32"/>
          <w:szCs w:val="32"/>
        </w:rPr>
        <w:t>②快速驻留地分析</w:t>
      </w:r>
    </w:p>
    <w:p w14:paraId="651BC303">
      <w:pPr>
        <w:pStyle w:val="43"/>
        <w:rPr>
          <w:rFonts w:ascii="仿宋_GB2312" w:eastAsia="仿宋_GB2312"/>
          <w:sz w:val="32"/>
          <w:szCs w:val="32"/>
        </w:rPr>
      </w:pPr>
      <w:r>
        <w:rPr>
          <w:rFonts w:hint="eastAsia" w:ascii="仿宋_GB2312" w:eastAsia="仿宋_GB2312"/>
          <w:sz w:val="32"/>
          <w:szCs w:val="32"/>
        </w:rPr>
        <w:t>能够迅速分析人车活动区域，确定其移动路径和可能的目的地。</w:t>
      </w:r>
    </w:p>
    <w:p w14:paraId="54B41F25">
      <w:pPr>
        <w:pStyle w:val="43"/>
        <w:rPr>
          <w:rFonts w:ascii="仿宋_GB2312" w:eastAsia="仿宋_GB2312"/>
          <w:sz w:val="32"/>
          <w:szCs w:val="32"/>
        </w:rPr>
      </w:pPr>
      <w:r>
        <w:rPr>
          <w:rFonts w:hint="eastAsia" w:ascii="仿宋_GB2312" w:eastAsia="仿宋_GB2312"/>
          <w:sz w:val="32"/>
          <w:szCs w:val="32"/>
        </w:rPr>
        <w:t>③警力资源高效分配</w:t>
      </w:r>
    </w:p>
    <w:p w14:paraId="0B6F689E">
      <w:pPr>
        <w:pStyle w:val="43"/>
        <w:rPr>
          <w:rFonts w:ascii="仿宋_GB2312" w:eastAsia="仿宋_GB2312"/>
          <w:sz w:val="32"/>
          <w:szCs w:val="32"/>
        </w:rPr>
      </w:pPr>
      <w:r>
        <w:rPr>
          <w:rFonts w:hint="eastAsia" w:ascii="仿宋_GB2312" w:eastAsia="仿宋_GB2312"/>
          <w:sz w:val="32"/>
          <w:szCs w:val="32"/>
        </w:rPr>
        <w:t>资源优化分配：能够根据实时的现场情况和历史数据，为指挥ry提供关于警力分配的优化建议。</w:t>
      </w:r>
    </w:p>
    <w:p w14:paraId="6417B844">
      <w:pPr>
        <w:pStyle w:val="43"/>
        <w:rPr>
          <w:rFonts w:ascii="仿宋_GB2312" w:eastAsia="仿宋_GB2312"/>
          <w:sz w:val="32"/>
          <w:szCs w:val="32"/>
        </w:rPr>
      </w:pPr>
      <w:r>
        <w:rPr>
          <w:rFonts w:hint="eastAsia" w:ascii="仿宋_GB2312" w:eastAsia="仿宋_GB2312"/>
          <w:sz w:val="32"/>
          <w:szCs w:val="32"/>
        </w:rPr>
        <w:t>视频语义理解：具备对视频内容的深度理解能力，能够从视频中提取关键信息，并进行语义分析。</w:t>
      </w:r>
    </w:p>
    <w:p w14:paraId="73E81FBD">
      <w:pPr>
        <w:pStyle w:val="43"/>
        <w:rPr>
          <w:rFonts w:ascii="仿宋_GB2312" w:eastAsia="仿宋_GB2312"/>
          <w:sz w:val="32"/>
          <w:szCs w:val="32"/>
        </w:rPr>
      </w:pPr>
      <w:r>
        <w:rPr>
          <w:rFonts w:hint="eastAsia" w:ascii="仿宋_GB2312" w:eastAsia="仿宋_GB2312"/>
          <w:sz w:val="32"/>
          <w:szCs w:val="32"/>
        </w:rPr>
        <w:t>语音交互：结合语音识别技术，能够通过语音快速调用目标区域点位视频，提高指挥调度的效率。</w:t>
      </w:r>
    </w:p>
    <w:p w14:paraId="135A4C60">
      <w:pPr>
        <w:widowControl/>
        <w:adjustRightInd w:val="0"/>
        <w:snapToGrid w:val="0"/>
        <w:spacing w:line="560" w:lineRule="exact"/>
        <w:ind w:firstLine="646"/>
        <w:rPr>
          <w:rFonts w:ascii="仿宋_GB2312" w:eastAsia="仿宋_GB2312"/>
          <w:sz w:val="32"/>
          <w:szCs w:val="32"/>
        </w:rPr>
      </w:pPr>
      <w:r>
        <w:rPr>
          <w:rFonts w:hint="eastAsia" w:ascii="仿宋_GB2312" w:eastAsia="仿宋_GB2312"/>
          <w:sz w:val="32"/>
          <w:szCs w:val="32"/>
        </w:rPr>
        <w:t>智能推荐：基于对历史数据和实时情况的分析，可以预测不同情况下的警力需求，能够智能推荐最佳的指挥决策和警力分配方案。</w:t>
      </w:r>
    </w:p>
    <w:p w14:paraId="6282F9CA">
      <w:pPr>
        <w:widowControl/>
        <w:adjustRightInd w:val="0"/>
        <w:snapToGrid w:val="0"/>
        <w:spacing w:line="560" w:lineRule="exact"/>
        <w:ind w:firstLine="646"/>
        <w:outlineLvl w:val="2"/>
        <w:rPr>
          <w:rFonts w:eastAsia="仿宋_GB2312"/>
          <w:kern w:val="0"/>
          <w:sz w:val="32"/>
          <w:szCs w:val="32"/>
        </w:rPr>
      </w:pPr>
      <w:r>
        <w:rPr>
          <w:rFonts w:eastAsia="仿宋_GB2312"/>
          <w:kern w:val="0"/>
          <w:sz w:val="32"/>
          <w:szCs w:val="32"/>
        </w:rPr>
        <w:t>2、总体框架</w:t>
      </w:r>
    </w:p>
    <w:p w14:paraId="4C159461">
      <w:pPr>
        <w:widowControl/>
        <w:adjustRightInd w:val="0"/>
        <w:snapToGrid w:val="0"/>
        <w:spacing w:line="560" w:lineRule="exact"/>
        <w:ind w:firstLine="646"/>
        <w:rPr>
          <w:rFonts w:eastAsia="仿宋_GB2312"/>
          <w:kern w:val="0"/>
          <w:sz w:val="32"/>
          <w:szCs w:val="32"/>
        </w:rPr>
      </w:pPr>
      <w:r>
        <w:rPr>
          <w:rFonts w:hint="eastAsia" w:eastAsia="仿宋_GB2312"/>
          <w:kern w:val="0"/>
          <w:sz w:val="32"/>
          <w:szCs w:val="32"/>
        </w:rPr>
        <w:t>（1）总体架构及技术路径</w:t>
      </w:r>
    </w:p>
    <w:p w14:paraId="79261CDA">
      <w:pPr>
        <w:pStyle w:val="43"/>
        <w:rPr>
          <w:rFonts w:ascii="仿宋_GB2312" w:eastAsia="仿宋_GB2312"/>
          <w:sz w:val="32"/>
          <w:szCs w:val="32"/>
        </w:rPr>
      </w:pPr>
      <w:r>
        <w:rPr>
          <w:rFonts w:ascii="仿宋_GB2312" w:eastAsia="仿宋_GB2312"/>
          <w:sz w:val="32"/>
          <w:szCs w:val="32"/>
        </w:rPr>
        <w:drawing>
          <wp:inline distT="0" distB="0" distL="0" distR="0">
            <wp:extent cx="5274310" cy="2606040"/>
            <wp:effectExtent l="19050" t="0" r="2540" b="0"/>
            <wp:docPr id="12050183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018320" name="图片 1"/>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a:xfrm>
                      <a:off x="0" y="0"/>
                      <a:ext cx="5274310" cy="2606530"/>
                    </a:xfrm>
                    <a:prstGeom prst="rect">
                      <a:avLst/>
                    </a:prstGeom>
                    <a:noFill/>
                    <a:ln>
                      <a:noFill/>
                    </a:ln>
                  </pic:spPr>
                </pic:pic>
              </a:graphicData>
            </a:graphic>
          </wp:inline>
        </w:drawing>
      </w:r>
    </w:p>
    <w:p w14:paraId="527CFF99">
      <w:pPr>
        <w:pStyle w:val="43"/>
        <w:rPr>
          <w:rFonts w:ascii="仿宋_GB2312" w:eastAsia="仿宋_GB2312"/>
          <w:sz w:val="32"/>
          <w:szCs w:val="32"/>
        </w:rPr>
      </w:pPr>
      <w:r>
        <w:rPr>
          <w:rFonts w:hint="eastAsia" w:ascii="仿宋_GB2312" w:eastAsia="仿宋_GB2312"/>
          <w:sz w:val="32"/>
          <w:szCs w:val="32"/>
        </w:rPr>
        <w:t>本项目建设的是一个支撑视觉大模型高效协同工作的系统框架，它像一座精心设计的多层建筑，从基础支撑到最终应用环环相扣。整体可分为六个关键层面，共同实现从原始数据处理到模型训练部署再到实际业务赋能的完整闭环。从下到上具体说明如下：</w:t>
      </w:r>
    </w:p>
    <w:p w14:paraId="7EF20A45">
      <w:pPr>
        <w:pStyle w:val="43"/>
        <w:rPr>
          <w:rFonts w:ascii="仿宋_GB2312" w:eastAsia="仿宋_GB2312"/>
          <w:sz w:val="32"/>
          <w:szCs w:val="32"/>
        </w:rPr>
      </w:pPr>
      <w:r>
        <w:rPr>
          <w:rFonts w:hint="eastAsia" w:ascii="仿宋_GB2312" w:eastAsia="仿宋_GB2312"/>
          <w:sz w:val="32"/>
          <w:szCs w:val="32"/>
        </w:rPr>
        <w:t>最底层是基础设施层。相当于整个系统的坚实“地基”和“动力源”。它主要负责提供基础的计算、存储、网络和视频转发资源，如云服务器、存储空间、网络带宽等。所有上层功能的运行都依赖这一层稳定、可靠和弹性的硬件及基础环境支持，确保平台有地方跑、有地方存数据。本项目建设范围仅涉及视频流媒体转发，在新一代PVG联网体系上进行扩容，其余基础资源利用原有项目或其他新建项目的，不在此项目中建设。除部分GPU算力设备外，全部软硬件基础设施均符合国产化要求。</w:t>
      </w:r>
    </w:p>
    <w:p w14:paraId="6341C015">
      <w:pPr>
        <w:pStyle w:val="43"/>
        <w:rPr>
          <w:rFonts w:ascii="仿宋_GB2312" w:eastAsia="仿宋_GB2312"/>
          <w:sz w:val="32"/>
          <w:szCs w:val="32"/>
        </w:rPr>
      </w:pPr>
      <w:r>
        <w:rPr>
          <w:rFonts w:hint="eastAsia" w:ascii="仿宋_GB2312" w:eastAsia="仿宋_GB2312"/>
          <w:sz w:val="32"/>
          <w:szCs w:val="32"/>
        </w:rPr>
        <w:t>在其之上是算力调度层。这一层好比系统内部的“调度中心”和“资源管家”。它管理着宝贵的计算资源，并根据上层提交的需求，智能地为不同模型微调、模型推理任务，以及不同的使用者动态、高效地分配计算资源。它的目标是确保任务不争抢资源，高效运行，提升整体资源的利用率。</w:t>
      </w:r>
    </w:p>
    <w:p w14:paraId="4F7A73A6">
      <w:pPr>
        <w:pStyle w:val="43"/>
        <w:rPr>
          <w:rFonts w:ascii="仿宋_GB2312" w:eastAsia="仿宋_GB2312"/>
          <w:sz w:val="32"/>
          <w:szCs w:val="32"/>
        </w:rPr>
      </w:pPr>
      <w:r>
        <w:rPr>
          <w:rFonts w:hint="eastAsia" w:ascii="仿宋_GB2312" w:eastAsia="仿宋_GB2312"/>
          <w:sz w:val="32"/>
          <w:szCs w:val="32"/>
        </w:rPr>
        <w:t>往上是模型层。这里是视觉大模型的“生产车间”和“管理中心”。它专注于模型本身的全生命周期管理，是整个平台的技术核心之一。具体工作包括：将开发好的模型“登记注册”（模型注册）；根据特定需求对通用大模型进行个性化调整（模型微调，如监督微调）；对模型性能进行优化提升（模型优化，如融合认知、视觉特征增强）；严格评估模型是否符合要求（模型评测，包括独立评测）；管理模型实际推理任务（推理任务管理）；以及提供专门的模型存储仓库（视频图像模型仓库）。所有关于模型的“制造”、“改进”、“质检”和“安排干活”都在此进行。</w:t>
      </w:r>
    </w:p>
    <w:p w14:paraId="58E5E3AD">
      <w:pPr>
        <w:pStyle w:val="43"/>
        <w:rPr>
          <w:rFonts w:ascii="仿宋_GB2312" w:eastAsia="仿宋_GB2312"/>
          <w:sz w:val="32"/>
          <w:szCs w:val="32"/>
        </w:rPr>
      </w:pPr>
      <w:r>
        <w:rPr>
          <w:rFonts w:hint="eastAsia" w:ascii="仿宋_GB2312" w:eastAsia="仿宋_GB2312"/>
          <w:sz w:val="32"/>
          <w:szCs w:val="32"/>
        </w:rPr>
        <w:t>第四层是知识库层。这一层扮演着数据“原料库”和“信息加工中心”角色。它首先负责样本的采集（通过摄像设备等获取原始图片、视频）与处理（整理归类、标准化）。接着是数据集管理，涉及样本的标注（人工或智能标记内容）、结果核验、版本控制和严格的访问权限设置（谁能用什么数据）。同时，它负责知识的存储和处理：将从数据中提炼的结构化和非结构化知识安全存储并进行关键处理（如知识向量化处理，将文字图片等信息转化为模型更易处理的数值形式），通过知识服务和多模态数据集服务向上层提供高质量、易于查找利用的“燃料”和“知识资产”。数据的安全性（加密、备份）和合规性检查也是这一层的重点。简单说，这里是为模型准备和输送优质“数据食粮”的地方。</w:t>
      </w:r>
    </w:p>
    <w:p w14:paraId="65EB7DFE">
      <w:pPr>
        <w:pStyle w:val="43"/>
        <w:rPr>
          <w:rFonts w:ascii="仿宋_GB2312" w:eastAsia="仿宋_GB2312"/>
          <w:sz w:val="32"/>
          <w:szCs w:val="32"/>
        </w:rPr>
      </w:pPr>
      <w:r>
        <w:rPr>
          <w:rFonts w:hint="eastAsia" w:ascii="仿宋_GB2312" w:eastAsia="仿宋_GB2312"/>
          <w:sz w:val="32"/>
          <w:szCs w:val="32"/>
        </w:rPr>
        <w:t>第五层是管理层。这里可以看作是“控制台”和“连接器”。它的核心职责是将模型、工具与应用高效协同起来。它负责接入各种处理图像的软件工具（视觉算法工具接入），开放模型的管理接口（视觉算法MCP服务开放，含服务端与客户端）；配置模型在何处运行（如端侧模型调用）以及如何与具体应用对接的策略（模型应用策略配置、应用策略配置）；构建完成推理任务的工作链条（推理链路构建）；定义并管理各种可视化建模工具的能力（MCP工具集能力定义）。它还具备更高级的功能，如搭建可灵活调用能力的“智能体工厂”（视觉MCP智能体工厂）、引用插件扩展功能（能力插件引用）、管理与模型的对话记录（为智能助手类应用服务）、以及共享模型应用能力（模型应用共享）等。同时提供了行业通用的共性能力（如图片语义检索找特定内容、视频语义检索关键片段、视频内容智能推荐、辅助决策等）。这一层是各层之间的“粘合剂”，确保工具能调用、模型能协同、策略可执行。</w:t>
      </w:r>
    </w:p>
    <w:p w14:paraId="4DF601C2">
      <w:pPr>
        <w:pStyle w:val="43"/>
        <w:rPr>
          <w:rFonts w:ascii="仿宋_GB2312" w:eastAsia="仿宋_GB2312"/>
          <w:sz w:val="32"/>
          <w:szCs w:val="32"/>
        </w:rPr>
      </w:pPr>
      <w:r>
        <w:rPr>
          <w:rFonts w:hint="eastAsia" w:ascii="仿宋_GB2312" w:eastAsia="仿宋_GB2312"/>
          <w:sz w:val="32"/>
          <w:szCs w:val="32"/>
        </w:rPr>
        <w:t>最顶层是应用层。这里是面向用户和具体业务的“服务门户”和“展示窗”。它提供统一的访问入口（视觉大模型能力支撑子系统门户），让用户方便地使用平台资源。同时，它集中展示了该平台支撑的具体业务应用实例（能力示范应用），例如刑事侦查（刑侦）中的xs发现等。本次项目并不涉及应用层建设。</w:t>
      </w:r>
    </w:p>
    <w:p w14:paraId="4970066D">
      <w:pPr>
        <w:widowControl/>
        <w:adjustRightInd w:val="0"/>
        <w:snapToGrid w:val="0"/>
        <w:spacing w:line="560" w:lineRule="exact"/>
        <w:ind w:firstLine="646"/>
        <w:rPr>
          <w:rFonts w:ascii="仿宋_GB2312" w:eastAsia="仿宋_GB2312"/>
          <w:sz w:val="32"/>
          <w:szCs w:val="32"/>
        </w:rPr>
      </w:pPr>
      <w:r>
        <w:rPr>
          <w:rFonts w:hint="eastAsia" w:ascii="仿宋_GB2312" w:eastAsia="仿宋_GB2312"/>
          <w:sz w:val="32"/>
          <w:szCs w:val="32"/>
        </w:rPr>
        <w:t>另外，系统还提供实时反馈信息（系统监测、微调/推理任务监测、推理任务监测、共享服务监测等），让用户了解系统各项服务的运行状态和健康度。总结来说，这个系统架构从底层的基础支撑（基础设施层）出发，通过智能化的资源调配（算力调度层），实现了视觉大模型的规模化生产、优化和部署（模型层）。模型所需的“养分”——高质量数据和知识则来源于专门的仓库和加工厂（知识库层）。整个平台通过一个强大且灵活的管理中枢（管理层），将工具、模型和策略有效整合、调度与配置。最终，这些复杂的技术能力通过友好的门户和直观的示范应用（应用层）转化为解决实际业务问题的利器。整个体系协同运行，构建了一个覆盖数据处理、知识构建、模型训练与优化、任务调度、应用开发与服务的完整视觉大模型生态系统。</w:t>
      </w:r>
    </w:p>
    <w:p w14:paraId="207E9B60">
      <w:pPr>
        <w:widowControl/>
        <w:adjustRightInd w:val="0"/>
        <w:snapToGrid w:val="0"/>
        <w:spacing w:line="560" w:lineRule="exact"/>
        <w:ind w:firstLine="646"/>
        <w:rPr>
          <w:rFonts w:ascii="仿宋_GB2312" w:eastAsia="仿宋_GB2312"/>
          <w:kern w:val="0"/>
          <w:sz w:val="32"/>
          <w:szCs w:val="32"/>
        </w:rPr>
      </w:pPr>
      <w:r>
        <w:rPr>
          <w:rFonts w:hint="eastAsia" w:ascii="仿宋_GB2312" w:eastAsia="仿宋_GB2312"/>
          <w:kern w:val="0"/>
          <w:sz w:val="32"/>
          <w:szCs w:val="32"/>
        </w:rPr>
        <w:drawing>
          <wp:anchor distT="0" distB="0" distL="114300" distR="114300" simplePos="0" relativeHeight="251659264" behindDoc="1" locked="0" layoutInCell="1" allowOverlap="1">
            <wp:simplePos x="0" y="0"/>
            <wp:positionH relativeFrom="column">
              <wp:posOffset>209550</wp:posOffset>
            </wp:positionH>
            <wp:positionV relativeFrom="paragraph">
              <wp:posOffset>473075</wp:posOffset>
            </wp:positionV>
            <wp:extent cx="5265420" cy="2432685"/>
            <wp:effectExtent l="19050" t="0" r="0" b="0"/>
            <wp:wrapTight wrapText="bothSides">
              <wp:wrapPolygon>
                <wp:start x="8362" y="0"/>
                <wp:lineTo x="-78" y="1522"/>
                <wp:lineTo x="-78" y="21312"/>
                <wp:lineTo x="21569" y="21312"/>
                <wp:lineTo x="21569" y="1522"/>
                <wp:lineTo x="13285" y="0"/>
                <wp:lineTo x="8362" y="0"/>
              </wp:wrapPolygon>
            </wp:wrapTight>
            <wp:docPr id="3" name="对象 2"/>
            <wp:cNvGraphicFramePr/>
            <a:graphic xmlns:a="http://schemas.openxmlformats.org/drawingml/2006/main">
              <a:graphicData uri="http://schemas.openxmlformats.org/drawingml/2006/lockedCanvas">
                <lc:lockedCanvas xmlns:lc="http://schemas.openxmlformats.org/drawingml/2006/lockedCanvas">
                  <a:nvGrpSpPr>
                    <a:cNvPr id="1" name="组合 0"/>
                    <a:cNvGrpSpPr/>
                  </a:nvGrpSpPr>
                  <a:grpSpPr>
                    <a:xfrm>
                      <a:off x="0" y="0"/>
                      <a:ext cx="25070966" cy="9906500"/>
                      <a:chOff x="2820388" y="1766114"/>
                      <a:chExt cx="25070966" cy="9906500"/>
                    </a:xfrm>
                  </a:grpSpPr>
                  <a:sp>
                    <a:nvSpPr>
                      <a:cNvPr id="219" name="矩形 218"/>
                      <a:cNvSpPr/>
                    </a:nvSpPr>
                    <a:spPr>
                      <a:xfrm>
                        <a:off x="2820388" y="2509754"/>
                        <a:ext cx="25070966" cy="9141457"/>
                      </a:xfrm>
                      <a:prstGeom prst="rect">
                        <a:avLst/>
                      </a:prstGeom>
                      <a:solidFill>
                        <a:schemeClr val="bg1"/>
                      </a:solidFill>
                      <a:ln w="9525" cap="flat" cmpd="sng" algn="ctr">
                        <a:solidFill>
                          <a:schemeClr val="dk1"/>
                        </a:solidFill>
                        <a:prstDash val="solid"/>
                        <a:round/>
                        <a:headEnd type="none" w="med" len="med"/>
                        <a:tailEnd type="none" w="med" len="med"/>
                      </a:ln>
                    </a:spPr>
                    <a:txSp>
                      <a:txBody>
                        <a:bodyPr lIns="158758" tIns="79379" rIns="158758" bIns="79379" rtlCol="0" anchor="ctr"/>
                        <a:lstStyle>
                          <a:defPPr>
                            <a:defRPr lang="en-US"/>
                          </a:defPPr>
                          <a:lvl1pPr marL="0" algn="l" defTabSz="457200" rtl="0" eaLnBrk="1" latinLnBrk="0" hangingPunct="1">
                            <a:defRPr sz="1800" kern="1200">
                              <a:solidFill>
                                <a:schemeClr val="dk1"/>
                              </a:solidFill>
                              <a:latin typeface="+mn-lt"/>
                              <a:ea typeface="+mn-ea"/>
                              <a:cs typeface="+mn-cs"/>
                            </a:defRPr>
                          </a:lvl1pPr>
                          <a:lvl2pPr marL="457200" algn="l" defTabSz="457200" rtl="0" eaLnBrk="1" latinLnBrk="0" hangingPunct="1">
                            <a:defRPr sz="1800" kern="1200">
                              <a:solidFill>
                                <a:schemeClr val="dk1"/>
                              </a:solidFill>
                              <a:latin typeface="+mn-lt"/>
                              <a:ea typeface="+mn-ea"/>
                              <a:cs typeface="+mn-cs"/>
                            </a:defRPr>
                          </a:lvl2pPr>
                          <a:lvl3pPr marL="914400" algn="l" defTabSz="457200" rtl="0" eaLnBrk="1" latinLnBrk="0" hangingPunct="1">
                            <a:defRPr sz="1800" kern="1200">
                              <a:solidFill>
                                <a:schemeClr val="dk1"/>
                              </a:solidFill>
                              <a:latin typeface="+mn-lt"/>
                              <a:ea typeface="+mn-ea"/>
                              <a:cs typeface="+mn-cs"/>
                            </a:defRPr>
                          </a:lvl3pPr>
                          <a:lvl4pPr marL="1371600" algn="l" defTabSz="457200" rtl="0" eaLnBrk="1" latinLnBrk="0" hangingPunct="1">
                            <a:defRPr sz="1800" kern="1200">
                              <a:solidFill>
                                <a:schemeClr val="dk1"/>
                              </a:solidFill>
                              <a:latin typeface="+mn-lt"/>
                              <a:ea typeface="+mn-ea"/>
                              <a:cs typeface="+mn-cs"/>
                            </a:defRPr>
                          </a:lvl4pPr>
                          <a:lvl5pPr marL="1828800" algn="l" defTabSz="457200" rtl="0" eaLnBrk="1" latinLnBrk="0" hangingPunct="1">
                            <a:defRPr sz="1800" kern="1200">
                              <a:solidFill>
                                <a:schemeClr val="dk1"/>
                              </a:solidFill>
                              <a:latin typeface="+mn-lt"/>
                              <a:ea typeface="+mn-ea"/>
                              <a:cs typeface="+mn-cs"/>
                            </a:defRPr>
                          </a:lvl5pPr>
                          <a:lvl6pPr marL="2286000" algn="l" defTabSz="457200" rtl="0" eaLnBrk="1" latinLnBrk="0" hangingPunct="1">
                            <a:defRPr sz="1800" kern="1200">
                              <a:solidFill>
                                <a:schemeClr val="dk1"/>
                              </a:solidFill>
                              <a:latin typeface="+mn-lt"/>
                              <a:ea typeface="+mn-ea"/>
                              <a:cs typeface="+mn-cs"/>
                            </a:defRPr>
                          </a:lvl6pPr>
                          <a:lvl7pPr marL="2743200" algn="l" defTabSz="457200" rtl="0" eaLnBrk="1" latinLnBrk="0" hangingPunct="1">
                            <a:defRPr sz="1800" kern="1200">
                              <a:solidFill>
                                <a:schemeClr val="dk1"/>
                              </a:solidFill>
                              <a:latin typeface="+mn-lt"/>
                              <a:ea typeface="+mn-ea"/>
                              <a:cs typeface="+mn-cs"/>
                            </a:defRPr>
                          </a:lvl7pPr>
                          <a:lvl8pPr marL="3200400" algn="l" defTabSz="457200" rtl="0" eaLnBrk="1" latinLnBrk="0" hangingPunct="1">
                            <a:defRPr sz="1800" kern="1200">
                              <a:solidFill>
                                <a:schemeClr val="dk1"/>
                              </a:solidFill>
                              <a:latin typeface="+mn-lt"/>
                              <a:ea typeface="+mn-ea"/>
                              <a:cs typeface="+mn-cs"/>
                            </a:defRPr>
                          </a:lvl8pPr>
                          <a:lvl9pPr marL="3657600" algn="l" defTabSz="457200" rtl="0" eaLnBrk="1" latinLnBrk="0" hangingPunct="1">
                            <a:defRPr sz="1800" kern="1200">
                              <a:solidFill>
                                <a:schemeClr val="dk1"/>
                              </a:solidFill>
                              <a:latin typeface="+mn-lt"/>
                              <a:ea typeface="+mn-ea"/>
                              <a:cs typeface="+mn-cs"/>
                            </a:defRPr>
                          </a:lvl9pPr>
                        </a:lstStyle>
                        <a:p>
                          <a:pPr algn="ctr"/>
                          <a:endParaRPr lang="zh-CN" altLang="en-US"/>
                        </a:p>
                      </a:txBody>
                      <a:useSpRect/>
                    </a:txSp>
                    <a:style>
                      <a:lnRef idx="0">
                        <a:scrgbClr r="0" g="0" b="0"/>
                      </a:lnRef>
                      <a:fillRef idx="0">
                        <a:scrgbClr r="0" g="0" b="0"/>
                      </a:fillRef>
                      <a:effectRef idx="0">
                        <a:scrgbClr r="0" g="0" b="0"/>
                      </a:effectRef>
                      <a:fontRef idx="minor">
                        <a:schemeClr val="dk1"/>
                      </a:fontRef>
                    </a:style>
                  </a:sp>
                  <a:sp>
                    <a:nvSpPr>
                      <a:cNvPr id="95" name="矩形 94"/>
                      <a:cNvSpPr/>
                    </a:nvSpPr>
                    <a:spPr>
                      <a:xfrm>
                        <a:off x="15757067" y="4556646"/>
                        <a:ext cx="8488017" cy="3845784"/>
                      </a:xfrm>
                      <a:prstGeom prst="rect">
                        <a:avLst/>
                      </a:prstGeom>
                      <a:solidFill>
                        <a:schemeClr val="bg1"/>
                      </a:solidFill>
                      <a:ln>
                        <a:solidFill>
                          <a:schemeClr val="bg1">
                            <a:lumMod val="50000"/>
                          </a:schemeClr>
                        </a:solidFill>
                        <a:prstDash val="solid"/>
                      </a:ln>
                    </a:spPr>
                    <a:txSp>
                      <a:txBody>
                        <a:bodyPr lIns="158758" tIns="79379" rIns="158758" bIns="79379" rtlCol="0" anchor="t" anchorCtr="0"/>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defTabSz="793750"/>
                          <a:r>
                            <a:rPr lang="en-US" altLang="zh-CN" sz="1700" b="1" dirty="0">
                              <a:solidFill>
                                <a:prstClr val="black"/>
                              </a:solidFill>
                              <a:latin typeface="微软雅黑" panose="020B0503020204020204" pitchFamily="2" charset="-122"/>
                              <a:ea typeface="微软雅黑" panose="020B0503020204020204" pitchFamily="2" charset="-122"/>
                              <a:sym typeface="+mn-ea"/>
                            </a:rPr>
                            <a:t>XC</a:t>
                          </a:r>
                          <a:r>
                            <a:rPr lang="zh-CN" altLang="en-US" sz="1700" b="1" dirty="0">
                              <a:solidFill>
                                <a:prstClr val="black"/>
                              </a:solidFill>
                              <a:latin typeface="微软雅黑" panose="020B0503020204020204" pitchFamily="2" charset="-122"/>
                              <a:ea typeface="微软雅黑" panose="020B0503020204020204" pitchFamily="2" charset="-122"/>
                              <a:sym typeface="+mn-ea"/>
                            </a:rPr>
                            <a:t>服务器（云资源）</a:t>
                          </a:r>
                          <a:endParaRPr lang="en-US" altLang="zh-CN" sz="1700" b="1" dirty="0">
                            <a:solidFill>
                              <a:prstClr val="black"/>
                            </a:solidFill>
                            <a:latin typeface="微软雅黑" panose="020B0503020204020204" pitchFamily="2" charset="-122"/>
                            <a:ea typeface="微软雅黑" panose="020B0503020204020204" pitchFamily="2" charset="-122"/>
                            <a:sym typeface="+mn-ea"/>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64" name="文本框 63"/>
                      <a:cNvSpPr txBox="1"/>
                    </a:nvSpPr>
                    <a:spPr>
                      <a:xfrm>
                        <a:off x="12692882" y="1766114"/>
                        <a:ext cx="5319735" cy="591196"/>
                      </a:xfrm>
                      <a:prstGeom prst="rect">
                        <a:avLst/>
                      </a:prstGeom>
                      <a:solidFill>
                        <a:schemeClr val="bg1"/>
                      </a:solidFill>
                    </a:spPr>
                    <a:txSp>
                      <a:txBody>
                        <a:bodyPr wrap="square" lIns="158758" tIns="79379" rIns="158758" bIns="79379"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pPr algn="ctr">
                            <a:buClrTx/>
                            <a:buSzTx/>
                            <a:buFontTx/>
                          </a:pPr>
                          <a:r>
                            <a:rPr lang="zh-CN" altLang="en-US" sz="2800" b="1" dirty="0">
                              <a:latin typeface="微软雅黑" panose="020B0503020204020204" pitchFamily="2" charset="-122"/>
                              <a:ea typeface="微软雅黑" panose="020B0503020204020204" pitchFamily="2" charset="-122"/>
                            </a:rPr>
                            <a:t>视觉大模型分网功能模块图</a:t>
                          </a:r>
                          <a:endParaRPr lang="zh-CN" altLang="en-US" sz="2800" b="1" dirty="0">
                            <a:latin typeface="微软雅黑" panose="020B0503020204020204" pitchFamily="2" charset="-122"/>
                            <a:ea typeface="微软雅黑" panose="020B0503020204020204" pitchFamily="2" charset="-122"/>
                          </a:endParaRPr>
                        </a:p>
                      </a:txBody>
                      <a:useSpRect/>
                    </a:txSp>
                  </a:sp>
                  <a:sp>
                    <a:nvSpPr>
                      <a:cNvPr id="79" name="矩形 78"/>
                      <a:cNvSpPr/>
                    </a:nvSpPr>
                    <a:spPr>
                      <a:xfrm>
                        <a:off x="6334570" y="10667068"/>
                        <a:ext cx="1565651" cy="461692"/>
                      </a:xfrm>
                      <a:prstGeom prst="rect">
                        <a:avLst/>
                      </a:prstGeom>
                      <a:solidFill>
                        <a:schemeClr val="bg1"/>
                      </a:solidFill>
                      <a:ln>
                        <a:solidFill>
                          <a:schemeClr val="bg1">
                            <a:lumMod val="50000"/>
                          </a:schemeClr>
                        </a:solidFill>
                        <a:prstDash val="solid"/>
                      </a:ln>
                    </a:spPr>
                    <a:txSp>
                      <a:txBody>
                        <a:bodyPr vertOverflow="overflow" horzOverflow="overflow" vert="horz" wrap="square" lIns="158758" tIns="79379" rIns="158758" bIns="79379" numCol="1" spcCol="0" rtlCol="0" fromWordArt="0" anchor="ctr" anchorCtr="0" forceAA="0" compatLnSpc="1">
                          <a:noAutofit/>
                        </a:bodyP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lvl="0" algn="ctr">
                            <a:buClrTx/>
                            <a:buSzTx/>
                            <a:buFontTx/>
                          </a:pPr>
                          <a:r>
                            <a:rPr lang="zh-CN" altLang="en-US" sz="1600" b="1" dirty="0">
                              <a:solidFill>
                                <a:schemeClr val="tx1"/>
                              </a:solidFill>
                              <a:latin typeface="微软雅黑" panose="020B0503020204020204" pitchFamily="2" charset="-122"/>
                              <a:ea typeface="微软雅黑" panose="020B0503020204020204" pitchFamily="2" charset="-122"/>
                              <a:sym typeface="+mn-ea"/>
                            </a:rPr>
                            <a:t>视频联网平台</a:t>
                          </a:r>
                          <a:endParaRPr lang="zh-CN" altLang="en-US" sz="1600" b="1" dirty="0">
                            <a:solidFill>
                              <a:schemeClr val="tx1"/>
                            </a:solidFill>
                            <a:latin typeface="微软雅黑" panose="020B0503020204020204" pitchFamily="2" charset="-122"/>
                            <a:ea typeface="微软雅黑" panose="020B0503020204020204" pitchFamily="2" charset="-122"/>
                            <a:sym typeface="+mn-ea"/>
                          </a:endParaRPr>
                        </a:p>
                        <a:p>
                          <a:pPr lvl="0" algn="ctr">
                            <a:buClrTx/>
                            <a:buSzTx/>
                            <a:buFontTx/>
                          </a:pPr>
                          <a:r>
                            <a:rPr lang="zh-CN" altLang="en-US" sz="1200" dirty="0">
                              <a:solidFill>
                                <a:schemeClr val="tx1"/>
                              </a:solidFill>
                              <a:latin typeface="微软雅黑" panose="020B0503020204020204" pitchFamily="2" charset="-122"/>
                              <a:ea typeface="微软雅黑" panose="020B0503020204020204" pitchFamily="2" charset="-122"/>
                              <a:sym typeface="+mn-ea"/>
                            </a:rPr>
                            <a:t>分局节点</a:t>
                          </a:r>
                          <a:endParaRPr lang="zh-CN" altLang="en-US" sz="1200" dirty="0">
                            <a:solidFill>
                              <a:schemeClr val="tx1"/>
                            </a:solidFill>
                            <a:latin typeface="微软雅黑" panose="020B0503020204020204" pitchFamily="2" charset="-122"/>
                            <a:ea typeface="微软雅黑" panose="020B0503020204020204" pitchFamily="2" charset="-122"/>
                            <a:sym typeface="+mn-ea"/>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88" name="文本框 87"/>
                      <a:cNvSpPr txBox="1"/>
                    </a:nvSpPr>
                    <a:spPr>
                      <a:xfrm>
                        <a:off x="12359837" y="11189140"/>
                        <a:ext cx="2400201" cy="483474"/>
                      </a:xfrm>
                      <a:prstGeom prst="rect">
                        <a:avLst/>
                      </a:prstGeom>
                      <a:noFill/>
                    </a:spPr>
                    <a:txSp>
                      <a:txBody>
                        <a:bodyPr wrap="square" lIns="158758" tIns="79379" rIns="158758" bIns="79379"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pPr algn="ctr">
                            <a:buClrTx/>
                            <a:buSzTx/>
                            <a:buFontTx/>
                          </a:pPr>
                          <a:r>
                            <a:rPr lang="zh-CN" altLang="en-US" sz="2100" b="1" dirty="0">
                              <a:latin typeface="微软雅黑" panose="020B0503020204020204" pitchFamily="2" charset="-122"/>
                              <a:ea typeface="微软雅黑" panose="020B0503020204020204" pitchFamily="2" charset="-122"/>
                            </a:rPr>
                            <a:t>公安视频传输网</a:t>
                          </a:r>
                          <a:endParaRPr lang="zh-CN" altLang="en-US" sz="2100" b="1" dirty="0">
                            <a:latin typeface="微软雅黑" panose="020B0503020204020204" pitchFamily="2" charset="-122"/>
                            <a:ea typeface="微软雅黑" panose="020B0503020204020204" pitchFamily="2" charset="-122"/>
                          </a:endParaRPr>
                        </a:p>
                      </a:txBody>
                      <a:useSpRect/>
                    </a:txSp>
                  </a:sp>
                  <a:sp>
                    <a:nvSpPr>
                      <a:cNvPr id="96" name="文本框 95"/>
                      <a:cNvSpPr txBox="1"/>
                    </a:nvSpPr>
                    <a:spPr>
                      <a:xfrm>
                        <a:off x="15801890" y="11188852"/>
                        <a:ext cx="2070807" cy="483474"/>
                      </a:xfrm>
                      <a:prstGeom prst="rect">
                        <a:avLst/>
                      </a:prstGeom>
                      <a:noFill/>
                    </a:spPr>
                    <a:txSp>
                      <a:txBody>
                        <a:bodyPr wrap="square" lIns="158758" tIns="79379" rIns="158758" bIns="79379"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pPr algn="ctr"/>
                          <a:r>
                            <a:rPr lang="zh-CN" altLang="en-US" sz="2100" b="1" dirty="0">
                              <a:latin typeface="微软雅黑" panose="020B0503020204020204" pitchFamily="2" charset="-122"/>
                              <a:ea typeface="微软雅黑" panose="020B0503020204020204" pitchFamily="2" charset="-122"/>
                            </a:rPr>
                            <a:t>公安信息网</a:t>
                          </a:r>
                          <a:endParaRPr lang="zh-CN" altLang="en-US" sz="2100" b="1" dirty="0">
                            <a:latin typeface="微软雅黑" panose="020B0503020204020204" pitchFamily="2" charset="-122"/>
                            <a:ea typeface="微软雅黑" panose="020B0503020204020204" pitchFamily="2" charset="-122"/>
                          </a:endParaRPr>
                        </a:p>
                      </a:txBody>
                      <a:useSpRect/>
                    </a:txSp>
                  </a:sp>
                  <a:sp>
                    <a:nvSpPr>
                      <a:cNvPr id="111" name="矩形 110"/>
                      <a:cNvSpPr/>
                    </a:nvSpPr>
                    <a:spPr>
                      <a:xfrm>
                        <a:off x="6353681" y="4545204"/>
                        <a:ext cx="8538714" cy="3845786"/>
                      </a:xfrm>
                      <a:prstGeom prst="rect">
                        <a:avLst/>
                      </a:prstGeom>
                      <a:solidFill>
                        <a:schemeClr val="bg1"/>
                      </a:solidFill>
                      <a:ln>
                        <a:solidFill>
                          <a:schemeClr val="bg1">
                            <a:lumMod val="50000"/>
                          </a:schemeClr>
                        </a:solidFill>
                        <a:prstDash val="solid"/>
                      </a:ln>
                    </a:spPr>
                    <a:txSp>
                      <a:txBody>
                        <a:bodyPr lIns="158758" tIns="79379" rIns="158758" bIns="79379" rtlCol="0" anchor="t" anchorCtr="0"/>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r>
                            <a:rPr lang="en-US" altLang="zh-CN" sz="1700" b="1" dirty="0">
                              <a:solidFill>
                                <a:schemeClr val="tx1"/>
                              </a:solidFill>
                              <a:latin typeface="微软雅黑" panose="020B0503020204020204" pitchFamily="2" charset="-122"/>
                              <a:ea typeface="微软雅黑" panose="020B0503020204020204" pitchFamily="2" charset="-122"/>
                              <a:sym typeface="+mn-ea"/>
                            </a:rPr>
                            <a:t>XC</a:t>
                          </a:r>
                          <a:r>
                            <a:rPr lang="zh-CN" altLang="en-US" sz="1700" b="1" dirty="0">
                              <a:solidFill>
                                <a:schemeClr val="tx1"/>
                              </a:solidFill>
                              <a:latin typeface="微软雅黑" panose="020B0503020204020204" pitchFamily="2" charset="-122"/>
                              <a:ea typeface="微软雅黑" panose="020B0503020204020204" pitchFamily="2" charset="-122"/>
                              <a:sym typeface="+mn-ea"/>
                            </a:rPr>
                            <a:t>服务器（云资源）</a:t>
                          </a:r>
                          <a:endParaRPr lang="en-US" altLang="zh-CN" sz="1700" b="1" dirty="0">
                            <a:solidFill>
                              <a:schemeClr val="tx1"/>
                            </a:solidFill>
                            <a:latin typeface="微软雅黑" panose="020B0503020204020204" pitchFamily="2" charset="-122"/>
                            <a:ea typeface="微软雅黑" panose="020B0503020204020204" pitchFamily="2" charset="-122"/>
                            <a:sym typeface="+mn-ea"/>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29" name="直接箭头连接符 128"/>
                      <a:cNvCxnSpPr>
                        <a:stCxn id="111" idx="3"/>
                        <a:endCxn id="95" idx="1"/>
                      </a:cNvCxnSpPr>
                    </a:nvCxnSpPr>
                    <a:spPr>
                      <a:xfrm>
                        <a:off x="14892396" y="6468097"/>
                        <a:ext cx="864671" cy="11441"/>
                      </a:xfrm>
                      <a:prstGeom prst="straightConnector1">
                        <a:avLst/>
                      </a:prstGeom>
                      <a:ln w="25400">
                        <a:solidFill>
                          <a:schemeClr val="tx1"/>
                        </a:solidFill>
                        <a:tailEnd type="triangle"/>
                      </a:ln>
                    </a:spPr>
                    <a:style>
                      <a:lnRef idx="1">
                        <a:schemeClr val="accent1"/>
                      </a:lnRef>
                      <a:fillRef idx="0">
                        <a:schemeClr val="accent1"/>
                      </a:fillRef>
                      <a:effectRef idx="0">
                        <a:schemeClr val="accent1"/>
                      </a:effectRef>
                      <a:fontRef idx="minor">
                        <a:schemeClr val="tx1"/>
                      </a:fontRef>
                    </a:style>
                  </a:cxnSp>
                  <a:sp>
                    <a:nvSpPr>
                      <a:cNvPr id="135" name="矩形 134"/>
                      <a:cNvSpPr/>
                    </a:nvSpPr>
                    <a:spPr>
                      <a:xfrm>
                        <a:off x="6353680" y="9178603"/>
                        <a:ext cx="3645069" cy="600545"/>
                      </a:xfrm>
                      <a:prstGeom prst="rect">
                        <a:avLst/>
                      </a:prstGeom>
                      <a:solidFill>
                        <a:schemeClr val="bg1"/>
                      </a:solidFill>
                      <a:ln>
                        <a:solidFill>
                          <a:schemeClr val="bg1">
                            <a:lumMod val="50000"/>
                          </a:schemeClr>
                        </a:solidFill>
                        <a:prstDash val="solid"/>
                      </a:ln>
                    </a:spPr>
                    <a:txSp>
                      <a:txBody>
                        <a:bodyPr vertOverflow="overflow" horzOverflow="overflow" vert="horz" wrap="square" lIns="158758" tIns="79379" rIns="158758" bIns="79379" numCol="1" spcCol="0" rtlCol="0" fromWordArt="0" anchor="ctr" anchorCtr="0" forceAA="0" compatLnSpc="1">
                          <a:noAutofit/>
                        </a:bodyP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lvl="0" algn="ctr">
                            <a:buClrTx/>
                            <a:buSzTx/>
                            <a:buFontTx/>
                          </a:pPr>
                          <a:r>
                            <a:rPr lang="zh-CN" altLang="en-US" sz="1600" b="1" dirty="0">
                              <a:solidFill>
                                <a:schemeClr val="tx1"/>
                              </a:solidFill>
                              <a:latin typeface="微软雅黑" panose="020B0503020204020204" pitchFamily="2" charset="-122"/>
                              <a:ea typeface="微软雅黑" panose="020B0503020204020204" pitchFamily="2" charset="-122"/>
                              <a:sym typeface="+mn-ea"/>
                            </a:rPr>
                            <a:t>视频联网平台</a:t>
                          </a:r>
                          <a:endParaRPr lang="en-US" altLang="zh-CN" sz="1600" b="1" dirty="0">
                            <a:solidFill>
                              <a:schemeClr val="tx1"/>
                            </a:solidFill>
                            <a:latin typeface="微软雅黑" panose="020B0503020204020204" pitchFamily="2" charset="-122"/>
                            <a:ea typeface="微软雅黑" panose="020B0503020204020204" pitchFamily="2" charset="-122"/>
                            <a:sym typeface="+mn-ea"/>
                          </a:endParaRPr>
                        </a:p>
                        <a:p>
                          <a:pPr lvl="0" algn="ctr">
                            <a:buClrTx/>
                            <a:buSzTx/>
                            <a:buFontTx/>
                          </a:pPr>
                          <a:r>
                            <a:rPr lang="zh-CN" altLang="en-US" sz="1200" dirty="0">
                              <a:solidFill>
                                <a:schemeClr val="tx1"/>
                              </a:solidFill>
                              <a:latin typeface="微软雅黑" panose="020B0503020204020204" pitchFamily="2" charset="-122"/>
                              <a:ea typeface="微软雅黑" panose="020B0503020204020204" pitchFamily="2" charset="-122"/>
                              <a:sym typeface="+mn-ea"/>
                            </a:rPr>
                            <a:t>市局</a:t>
                          </a:r>
                          <a:r>
                            <a:rPr lang="zh-CN" altLang="en-US" sz="1200" dirty="0" smtClean="0">
                              <a:solidFill>
                                <a:schemeClr val="tx1"/>
                              </a:solidFill>
                              <a:latin typeface="微软雅黑" panose="020B0503020204020204" pitchFamily="2" charset="-122"/>
                              <a:ea typeface="微软雅黑" panose="020B0503020204020204" pitchFamily="2" charset="-122"/>
                              <a:sym typeface="+mn-ea"/>
                            </a:rPr>
                            <a:t>节点（单配</a:t>
                          </a:r>
                          <a:r>
                            <a:rPr lang="en-US" altLang="zh-CN" sz="1200" dirty="0" smtClean="0">
                              <a:solidFill>
                                <a:schemeClr val="tx1"/>
                              </a:solidFill>
                              <a:latin typeface="微软雅黑" panose="020B0503020204020204" pitchFamily="2" charset="-122"/>
                              <a:ea typeface="微软雅黑" panose="020B0503020204020204" pitchFamily="2" charset="-122"/>
                              <a:sym typeface="+mn-ea"/>
                            </a:rPr>
                            <a:t>7</a:t>
                          </a:r>
                          <a:r>
                            <a:rPr lang="zh-CN" altLang="en-US" sz="1200" dirty="0" smtClean="0">
                              <a:solidFill>
                                <a:schemeClr val="tx1"/>
                              </a:solidFill>
                              <a:latin typeface="微软雅黑" panose="020B0503020204020204" pitchFamily="2" charset="-122"/>
                              <a:ea typeface="微软雅黑" panose="020B0503020204020204" pitchFamily="2" charset="-122"/>
                              <a:sym typeface="+mn-ea"/>
                            </a:rPr>
                            <a:t>台视频联网转发设备）</a:t>
                          </a:r>
                          <a:endParaRPr lang="en-US" altLang="zh-CN" sz="1200" dirty="0">
                            <a:solidFill>
                              <a:schemeClr val="tx1"/>
                            </a:solidFill>
                            <a:latin typeface="微软雅黑" panose="020B0503020204020204" pitchFamily="2" charset="-122"/>
                            <a:ea typeface="微软雅黑" panose="020B0503020204020204" pitchFamily="2" charset="-122"/>
                            <a:sym typeface="+mn-ea"/>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36" name="矩形 135"/>
                      <a:cNvSpPr/>
                    </a:nvSpPr>
                    <a:spPr>
                      <a:xfrm>
                        <a:off x="10377449" y="10667066"/>
                        <a:ext cx="1565651" cy="461692"/>
                      </a:xfrm>
                      <a:prstGeom prst="rect">
                        <a:avLst/>
                      </a:prstGeom>
                      <a:solidFill>
                        <a:schemeClr val="bg1"/>
                      </a:solidFill>
                      <a:ln>
                        <a:solidFill>
                          <a:schemeClr val="bg1">
                            <a:lumMod val="50000"/>
                          </a:schemeClr>
                        </a:solidFill>
                        <a:prstDash val="solid"/>
                      </a:ln>
                    </a:spPr>
                    <a:txSp>
                      <a:txBody>
                        <a:bodyPr vertOverflow="overflow" horzOverflow="overflow" vert="horz" wrap="square" lIns="158758" tIns="79379" rIns="158758" bIns="79379" numCol="1" spcCol="0" rtlCol="0" fromWordArt="0" anchor="ctr" anchorCtr="0" forceAA="0" compatLnSpc="1">
                          <a:noAutofit/>
                        </a:bodyP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lvl="0" algn="ctr">
                            <a:buClrTx/>
                            <a:buSzTx/>
                            <a:buFontTx/>
                          </a:pPr>
                          <a:r>
                            <a:rPr lang="zh-CN" altLang="en-US" sz="1600" b="1" dirty="0">
                              <a:solidFill>
                                <a:schemeClr val="tx1"/>
                              </a:solidFill>
                              <a:latin typeface="微软雅黑" panose="020B0503020204020204" pitchFamily="2" charset="-122"/>
                              <a:ea typeface="微软雅黑" panose="020B0503020204020204" pitchFamily="2" charset="-122"/>
                              <a:sym typeface="+mn-ea"/>
                            </a:rPr>
                            <a:t>智能数据转发</a:t>
                          </a:r>
                          <a:endParaRPr lang="zh-CN" altLang="en-US" sz="1600" b="1" dirty="0">
                            <a:solidFill>
                              <a:schemeClr val="tx1"/>
                            </a:solidFill>
                            <a:latin typeface="微软雅黑" panose="020B0503020204020204" pitchFamily="2" charset="-122"/>
                            <a:ea typeface="微软雅黑" panose="020B0503020204020204" pitchFamily="2" charset="-122"/>
                            <a:sym typeface="+mn-ea"/>
                          </a:endParaRPr>
                        </a:p>
                        <a:p>
                          <a:pPr lvl="0" algn="ctr">
                            <a:buClrTx/>
                            <a:buSzTx/>
                            <a:buFontTx/>
                          </a:pPr>
                          <a:r>
                            <a:rPr lang="zh-CN" altLang="en-US" sz="1200" dirty="0">
                              <a:solidFill>
                                <a:schemeClr val="tx1"/>
                              </a:solidFill>
                              <a:latin typeface="微软雅黑" panose="020B0503020204020204" pitchFamily="2" charset="-122"/>
                              <a:ea typeface="微软雅黑" panose="020B0503020204020204" pitchFamily="2" charset="-122"/>
                              <a:sym typeface="+mn-ea"/>
                            </a:rPr>
                            <a:t>分局节点</a:t>
                          </a:r>
                          <a:endParaRPr lang="zh-CN" altLang="en-US" sz="1200" dirty="0">
                            <a:solidFill>
                              <a:schemeClr val="tx1"/>
                            </a:solidFill>
                            <a:latin typeface="微软雅黑" panose="020B0503020204020204" pitchFamily="2" charset="-122"/>
                            <a:ea typeface="微软雅黑" panose="020B0503020204020204" pitchFamily="2" charset="-122"/>
                            <a:sym typeface="+mn-ea"/>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37" name="矩形 136"/>
                      <a:cNvSpPr/>
                    </a:nvSpPr>
                    <a:spPr>
                      <a:xfrm>
                        <a:off x="10362111" y="9178907"/>
                        <a:ext cx="3648282" cy="600397"/>
                      </a:xfrm>
                      <a:prstGeom prst="rect">
                        <a:avLst/>
                      </a:prstGeom>
                      <a:solidFill>
                        <a:schemeClr val="bg1"/>
                      </a:solidFill>
                      <a:ln>
                        <a:solidFill>
                          <a:schemeClr val="bg1">
                            <a:lumMod val="50000"/>
                          </a:schemeClr>
                        </a:solidFill>
                        <a:prstDash val="solid"/>
                      </a:ln>
                    </a:spPr>
                    <a:txSp>
                      <a:txBody>
                        <a:bodyPr vertOverflow="overflow" horzOverflow="overflow" vert="horz" wrap="square" lIns="158758" tIns="79379" rIns="158758" bIns="79379" numCol="1" spcCol="0" rtlCol="0" fromWordArt="0" anchor="ctr" anchorCtr="0" forceAA="0" compatLnSpc="1">
                          <a:noAutofit/>
                        </a:bodyP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lvl="0" algn="ctr">
                            <a:buClrTx/>
                            <a:buSzTx/>
                            <a:buFontTx/>
                          </a:pPr>
                          <a:r>
                            <a:rPr lang="zh-CN" altLang="en-US" sz="1600" b="1" dirty="0">
                              <a:solidFill>
                                <a:schemeClr val="tx1"/>
                              </a:solidFill>
                              <a:latin typeface="微软雅黑" panose="020B0503020204020204" pitchFamily="2" charset="-122"/>
                              <a:ea typeface="微软雅黑" panose="020B0503020204020204" pitchFamily="2" charset="-122"/>
                              <a:sym typeface="+mn-ea"/>
                            </a:rPr>
                            <a:t>智能数据转发</a:t>
                          </a:r>
                          <a:endParaRPr lang="zh-CN" altLang="en-US" sz="1600" b="1" dirty="0">
                            <a:solidFill>
                              <a:schemeClr val="tx1"/>
                            </a:solidFill>
                            <a:latin typeface="微软雅黑" panose="020B0503020204020204" pitchFamily="2" charset="-122"/>
                            <a:ea typeface="微软雅黑" panose="020B0503020204020204" pitchFamily="2" charset="-122"/>
                            <a:sym typeface="+mn-ea"/>
                          </a:endParaRPr>
                        </a:p>
                        <a:p>
                          <a:pPr lvl="0" algn="ctr">
                            <a:buClrTx/>
                            <a:buSzTx/>
                            <a:buFontTx/>
                          </a:pPr>
                          <a:r>
                            <a:rPr lang="zh-CN" altLang="en-US" sz="1200" dirty="0">
                              <a:solidFill>
                                <a:schemeClr val="tx1"/>
                              </a:solidFill>
                              <a:latin typeface="微软雅黑" panose="020B0503020204020204" pitchFamily="2" charset="-122"/>
                              <a:ea typeface="微软雅黑" panose="020B0503020204020204" pitchFamily="2" charset="-122"/>
                              <a:sym typeface="+mn-ea"/>
                            </a:rPr>
                            <a:t>市局</a:t>
                          </a:r>
                          <a:r>
                            <a:rPr lang="zh-CN" altLang="en-US" sz="1200" dirty="0" smtClean="0">
                              <a:solidFill>
                                <a:schemeClr val="tx1"/>
                              </a:solidFill>
                              <a:latin typeface="微软雅黑" panose="020B0503020204020204" pitchFamily="2" charset="-122"/>
                              <a:ea typeface="微软雅黑" panose="020B0503020204020204" pitchFamily="2" charset="-122"/>
                              <a:sym typeface="+mn-ea"/>
                            </a:rPr>
                            <a:t>节点</a:t>
                          </a:r>
                          <a:endParaRPr lang="zh-CN" altLang="en-US" sz="1200" dirty="0">
                            <a:solidFill>
                              <a:schemeClr val="tx1"/>
                            </a:solidFill>
                            <a:latin typeface="微软雅黑" panose="020B0503020204020204" pitchFamily="2" charset="-122"/>
                            <a:ea typeface="微软雅黑" panose="020B0503020204020204" pitchFamily="2" charset="-122"/>
                            <a:sym typeface="+mn-ea"/>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38" name="直接箭头连接符 137"/>
                      <a:cNvCxnSpPr>
                        <a:stCxn id="79" idx="0"/>
                      </a:cNvCxnSpPr>
                    </a:nvCxnSpPr>
                    <a:spPr>
                      <a:xfrm flipV="1">
                        <a:off x="7117395" y="9774367"/>
                        <a:ext cx="0" cy="892701"/>
                      </a:xfrm>
                      <a:prstGeom prst="straightConnector1">
                        <a:avLst/>
                      </a:prstGeom>
                      <a:ln w="25400">
                        <a:solidFill>
                          <a:schemeClr val="tx1"/>
                        </a:solidFill>
                        <a:headEnd type="triangle" w="med" len="med"/>
                        <a:tailEnd type="triangle" w="med" len="med"/>
                      </a:ln>
                    </a:spPr>
                    <a:style>
                      <a:lnRef idx="1">
                        <a:schemeClr val="accent1"/>
                      </a:lnRef>
                      <a:fillRef idx="0">
                        <a:schemeClr val="accent1"/>
                      </a:fillRef>
                      <a:effectRef idx="0">
                        <a:schemeClr val="accent1"/>
                      </a:effectRef>
                      <a:fontRef idx="minor">
                        <a:schemeClr val="tx1"/>
                      </a:fontRef>
                    </a:style>
                  </a:cxnSp>
                  <a:cxnSp>
                    <a:nvCxnSpPr>
                      <a:cNvPr id="141" name="直接箭头连接符 140"/>
                      <a:cNvCxnSpPr>
                        <a:stCxn id="136" idx="0"/>
                      </a:cNvCxnSpPr>
                    </a:nvCxnSpPr>
                    <a:spPr>
                      <a:xfrm flipH="1" flipV="1">
                        <a:off x="11160271" y="9774366"/>
                        <a:ext cx="4" cy="892699"/>
                      </a:xfrm>
                      <a:prstGeom prst="straightConnector1">
                        <a:avLst/>
                      </a:prstGeom>
                      <a:ln w="25400">
                        <a:solidFill>
                          <a:schemeClr val="tx1"/>
                        </a:solidFill>
                        <a:headEnd type="triangle" w="med" len="med"/>
                        <a:tailEnd type="triangle" w="med" len="med"/>
                      </a:ln>
                    </a:spPr>
                    <a:style>
                      <a:lnRef idx="1">
                        <a:schemeClr val="accent1"/>
                      </a:lnRef>
                      <a:fillRef idx="0">
                        <a:schemeClr val="accent1"/>
                      </a:fillRef>
                      <a:effectRef idx="0">
                        <a:schemeClr val="accent1"/>
                      </a:effectRef>
                      <a:fontRef idx="minor">
                        <a:schemeClr val="tx1"/>
                      </a:fontRef>
                    </a:style>
                  </a:cxnSp>
                  <a:cxnSp>
                    <a:nvCxnSpPr>
                      <a:cNvPr id="145" name="直接连接符 144"/>
                      <a:cNvCxnSpPr/>
                    </a:nvCxnSpPr>
                    <a:spPr>
                      <a:xfrm flipV="1">
                        <a:off x="6422466" y="10220717"/>
                        <a:ext cx="7879298" cy="9561"/>
                      </a:xfrm>
                      <a:prstGeom prst="line">
                        <a:avLst/>
                      </a:prstGeom>
                      <a:ln w="19050" cap="flat" cmpd="sng" algn="ctr">
                        <a:solidFill>
                          <a:schemeClr val="accent3"/>
                        </a:solidFill>
                        <a:prstDash val="dash"/>
                        <a:round/>
                        <a:headEnd type="none" w="med" len="med"/>
                        <a:tailEnd type="none" w="med" len="med"/>
                      </a:ln>
                    </a:spPr>
                    <a:style>
                      <a:lnRef idx="0">
                        <a:scrgbClr r="0" g="0" b="0"/>
                      </a:lnRef>
                      <a:fillRef idx="0">
                        <a:scrgbClr r="0" g="0" b="0"/>
                      </a:fillRef>
                      <a:effectRef idx="0">
                        <a:scrgbClr r="0" g="0" b="0"/>
                      </a:effectRef>
                      <a:fontRef idx="minor">
                        <a:schemeClr val="tx1"/>
                      </a:fontRef>
                    </a:style>
                  </a:cxnSp>
                  <a:cxnSp>
                    <a:nvCxnSpPr>
                      <a:cNvPr id="165" name="直接箭头连接符 164"/>
                      <a:cNvCxnSpPr>
                        <a:stCxn id="135" idx="0"/>
                      </a:cNvCxnSpPr>
                    </a:nvCxnSpPr>
                    <a:spPr>
                      <a:xfrm flipV="1">
                        <a:off x="8176215" y="8373528"/>
                        <a:ext cx="0" cy="805076"/>
                      </a:xfrm>
                      <a:prstGeom prst="straightConnector1">
                        <a:avLst/>
                      </a:prstGeom>
                      <a:ln w="25400">
                        <a:solidFill>
                          <a:schemeClr val="tx1"/>
                        </a:solidFill>
                        <a:headEnd type="triangle" w="med" len="med"/>
                        <a:tailEnd type="triangle" w="med" len="med"/>
                      </a:ln>
                    </a:spPr>
                    <a:style>
                      <a:lnRef idx="1">
                        <a:schemeClr val="accent1"/>
                      </a:lnRef>
                      <a:fillRef idx="0">
                        <a:schemeClr val="accent1"/>
                      </a:fillRef>
                      <a:effectRef idx="0">
                        <a:schemeClr val="accent1"/>
                      </a:effectRef>
                      <a:fontRef idx="minor">
                        <a:schemeClr val="tx1"/>
                      </a:fontRef>
                    </a:style>
                  </a:cxnSp>
                  <a:cxnSp>
                    <a:nvCxnSpPr>
                      <a:cNvPr id="188" name="直接箭头连接符 187"/>
                      <a:cNvCxnSpPr>
                        <a:stCxn id="137" idx="0"/>
                      </a:cNvCxnSpPr>
                    </a:nvCxnSpPr>
                    <a:spPr>
                      <a:xfrm flipV="1">
                        <a:off x="12186252" y="8373528"/>
                        <a:ext cx="0" cy="805379"/>
                      </a:xfrm>
                      <a:prstGeom prst="straightConnector1">
                        <a:avLst/>
                      </a:prstGeom>
                      <a:ln w="25400">
                        <a:solidFill>
                          <a:schemeClr val="tx1"/>
                        </a:solidFill>
                        <a:headEnd type="triangle" w="med" len="med"/>
                        <a:tailEnd type="triangle" w="med" len="med"/>
                      </a:ln>
                    </a:spPr>
                    <a:style>
                      <a:lnRef idx="1">
                        <a:schemeClr val="accent1"/>
                      </a:lnRef>
                      <a:fillRef idx="0">
                        <a:schemeClr val="accent1"/>
                      </a:fillRef>
                      <a:effectRef idx="0">
                        <a:schemeClr val="accent1"/>
                      </a:effectRef>
                      <a:fontRef idx="minor">
                        <a:schemeClr val="tx1"/>
                      </a:fontRef>
                    </a:style>
                  </a:cxnSp>
                  <a:sp>
                    <a:nvSpPr>
                      <a:cNvPr id="217" name="文本框 216"/>
                      <a:cNvSpPr txBox="1"/>
                    </a:nvSpPr>
                    <a:spPr>
                      <a:xfrm>
                        <a:off x="8176214" y="8629385"/>
                        <a:ext cx="1346539" cy="406530"/>
                      </a:xfrm>
                      <a:prstGeom prst="rect">
                        <a:avLst/>
                      </a:prstGeom>
                      <a:noFill/>
                    </a:spPr>
                    <a:txSp>
                      <a:txBody>
                        <a:bodyPr wrap="none" lIns="158758" tIns="79379" rIns="158758" bIns="79379"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pPr algn="ctr"/>
                          <a:r>
                            <a:rPr lang="zh-CN" altLang="en-US" sz="1600" b="1" dirty="0">
                              <a:latin typeface="微软雅黑" panose="020B0503020204020204" pitchFamily="2" charset="-122"/>
                              <a:ea typeface="微软雅黑" panose="020B0503020204020204" pitchFamily="2" charset="-122"/>
                            </a:rPr>
                            <a:t>视频流数据</a:t>
                          </a:r>
                          <a:endParaRPr lang="zh-CN" altLang="en-US" sz="1600" b="1" dirty="0">
                            <a:latin typeface="微软雅黑" panose="020B0503020204020204" pitchFamily="2" charset="-122"/>
                            <a:ea typeface="微软雅黑" panose="020B0503020204020204" pitchFamily="2" charset="-122"/>
                          </a:endParaRPr>
                        </a:p>
                      </a:txBody>
                      <a:useSpRect/>
                    </a:txSp>
                  </a:sp>
                  <a:sp>
                    <a:nvSpPr>
                      <a:cNvPr id="218" name="文本框 217"/>
                      <a:cNvSpPr txBox="1"/>
                    </a:nvSpPr>
                    <a:spPr>
                      <a:xfrm>
                        <a:off x="12139684" y="8610963"/>
                        <a:ext cx="1756907" cy="406530"/>
                      </a:xfrm>
                      <a:prstGeom prst="rect">
                        <a:avLst/>
                      </a:prstGeom>
                      <a:noFill/>
                    </a:spPr>
                    <a:txSp>
                      <a:txBody>
                        <a:bodyPr wrap="none" lIns="158758" tIns="79379" rIns="158758" bIns="79379"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pPr algn="ctr"/>
                          <a:r>
                            <a:rPr lang="zh-CN" altLang="en-US" sz="1600" b="1" dirty="0">
                              <a:latin typeface="微软雅黑" panose="020B0503020204020204" pitchFamily="2" charset="-122"/>
                              <a:ea typeface="微软雅黑" panose="020B0503020204020204" pitchFamily="2" charset="-122"/>
                            </a:rPr>
                            <a:t>视图结构化数据</a:t>
                          </a:r>
                          <a:endParaRPr lang="zh-CN" altLang="en-US" sz="1600" b="1" dirty="0">
                            <a:latin typeface="微软雅黑" panose="020B0503020204020204" pitchFamily="2" charset="-122"/>
                            <a:ea typeface="微软雅黑" panose="020B0503020204020204" pitchFamily="2" charset="-122"/>
                          </a:endParaRPr>
                        </a:p>
                      </a:txBody>
                      <a:useSpRect/>
                    </a:txSp>
                  </a:sp>
                  <a:sp>
                    <a:nvSpPr>
                      <a:cNvPr id="2" name="矩形 1"/>
                      <a:cNvSpPr/>
                    </a:nvSpPr>
                    <a:spPr>
                      <a:xfrm>
                        <a:off x="8433098" y="10667068"/>
                        <a:ext cx="1565651" cy="461692"/>
                      </a:xfrm>
                      <a:prstGeom prst="rect">
                        <a:avLst/>
                      </a:prstGeom>
                      <a:solidFill>
                        <a:schemeClr val="bg1"/>
                      </a:solidFill>
                      <a:ln>
                        <a:solidFill>
                          <a:schemeClr val="bg1">
                            <a:lumMod val="50000"/>
                          </a:schemeClr>
                        </a:solidFill>
                        <a:prstDash val="solid"/>
                      </a:ln>
                    </a:spPr>
                    <a:txSp>
                      <a:txBody>
                        <a:bodyPr vertOverflow="overflow" horzOverflow="overflow" vert="horz" wrap="square" lIns="158758" tIns="79379" rIns="158758" bIns="79379" numCol="1" spcCol="0" rtlCol="0" fromWordArt="0" anchor="ctr" anchorCtr="0" forceAA="0" compatLnSpc="1">
                          <a:noAutofit/>
                        </a:bodyP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lvl="0" algn="ctr">
                            <a:buClrTx/>
                            <a:buSzTx/>
                            <a:buFontTx/>
                          </a:pPr>
                          <a:r>
                            <a:rPr lang="zh-CN" altLang="en-US" sz="1600" b="1" dirty="0">
                              <a:solidFill>
                                <a:schemeClr val="tx1"/>
                              </a:solidFill>
                              <a:latin typeface="微软雅黑" panose="020B0503020204020204" pitchFamily="2" charset="-122"/>
                              <a:ea typeface="微软雅黑" panose="020B0503020204020204" pitchFamily="2" charset="-122"/>
                              <a:sym typeface="+mn-ea"/>
                            </a:rPr>
                            <a:t>视频联网平台</a:t>
                          </a:r>
                          <a:endParaRPr lang="zh-CN" altLang="en-US" sz="1600" b="1" dirty="0">
                            <a:solidFill>
                              <a:schemeClr val="tx1"/>
                            </a:solidFill>
                            <a:latin typeface="微软雅黑" panose="020B0503020204020204" pitchFamily="2" charset="-122"/>
                            <a:ea typeface="微软雅黑" panose="020B0503020204020204" pitchFamily="2" charset="-122"/>
                            <a:sym typeface="+mn-ea"/>
                          </a:endParaRPr>
                        </a:p>
                        <a:p>
                          <a:pPr lvl="0" algn="ctr">
                            <a:buClrTx/>
                            <a:buSzTx/>
                            <a:buFontTx/>
                          </a:pPr>
                          <a:r>
                            <a:rPr lang="zh-CN" altLang="en-US" sz="1200" dirty="0">
                              <a:solidFill>
                                <a:schemeClr val="tx1"/>
                              </a:solidFill>
                              <a:latin typeface="微软雅黑" panose="020B0503020204020204" pitchFamily="2" charset="-122"/>
                              <a:ea typeface="微软雅黑" panose="020B0503020204020204" pitchFamily="2" charset="-122"/>
                              <a:sym typeface="+mn-ea"/>
                            </a:rPr>
                            <a:t>分局节点</a:t>
                          </a:r>
                          <a:endParaRPr lang="zh-CN" altLang="en-US" sz="1200" dirty="0">
                            <a:solidFill>
                              <a:schemeClr val="tx1"/>
                            </a:solidFill>
                            <a:latin typeface="微软雅黑" panose="020B0503020204020204" pitchFamily="2" charset="-122"/>
                            <a:ea typeface="微软雅黑" panose="020B0503020204020204" pitchFamily="2" charset="-122"/>
                            <a:sym typeface="+mn-ea"/>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3" name="直接箭头连接符 2"/>
                      <a:cNvCxnSpPr>
                        <a:stCxn id="2" idx="0"/>
                      </a:cNvCxnSpPr>
                    </a:nvCxnSpPr>
                    <a:spPr>
                      <a:xfrm flipV="1">
                        <a:off x="9215924" y="9774367"/>
                        <a:ext cx="0" cy="892701"/>
                      </a:xfrm>
                      <a:prstGeom prst="straightConnector1">
                        <a:avLst/>
                      </a:prstGeom>
                      <a:ln w="25400">
                        <a:solidFill>
                          <a:schemeClr val="tx1"/>
                        </a:solidFill>
                        <a:headEnd type="triangle" w="med" len="med"/>
                        <a:tailEnd type="triangle" w="med" len="med"/>
                      </a:ln>
                    </a:spPr>
                    <a:style>
                      <a:lnRef idx="1">
                        <a:schemeClr val="accent1"/>
                      </a:lnRef>
                      <a:fillRef idx="0">
                        <a:schemeClr val="accent1"/>
                      </a:fillRef>
                      <a:effectRef idx="0">
                        <a:schemeClr val="accent1"/>
                      </a:effectRef>
                      <a:fontRef idx="minor">
                        <a:schemeClr val="tx1"/>
                      </a:fontRef>
                    </a:style>
                  </a:cxnSp>
                  <a:sp>
                    <a:nvSpPr>
                      <a:cNvPr id="10" name="文本框 9"/>
                      <a:cNvSpPr txBox="1"/>
                    </a:nvSpPr>
                    <a:spPr>
                      <a:xfrm>
                        <a:off x="7882477" y="10751274"/>
                        <a:ext cx="532213" cy="344974"/>
                      </a:xfrm>
                      <a:prstGeom prst="rect">
                        <a:avLst/>
                      </a:prstGeom>
                      <a:noFill/>
                    </a:spPr>
                    <a:txSp>
                      <a:txBody>
                        <a:bodyPr wrap="none" lIns="158758" tIns="79379" rIns="158758" bIns="79379"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altLang="zh-CN" sz="1200" dirty="0"/>
                            <a:t>……</a:t>
                          </a:r>
                          <a:endParaRPr lang="zh-CN" altLang="en-US" sz="1200" dirty="0"/>
                        </a:p>
                      </a:txBody>
                      <a:useSpRect/>
                    </a:txSp>
                  </a:sp>
                  <a:sp>
                    <a:nvSpPr>
                      <a:cNvPr id="14" name="矩形 13"/>
                      <a:cNvSpPr/>
                    </a:nvSpPr>
                    <a:spPr>
                      <a:xfrm>
                        <a:off x="12444743" y="10667066"/>
                        <a:ext cx="1565651" cy="461692"/>
                      </a:xfrm>
                      <a:prstGeom prst="rect">
                        <a:avLst/>
                      </a:prstGeom>
                      <a:solidFill>
                        <a:schemeClr val="bg1"/>
                      </a:solidFill>
                      <a:ln>
                        <a:solidFill>
                          <a:schemeClr val="bg1">
                            <a:lumMod val="50000"/>
                          </a:schemeClr>
                        </a:solidFill>
                        <a:prstDash val="solid"/>
                      </a:ln>
                    </a:spPr>
                    <a:txSp>
                      <a:txBody>
                        <a:bodyPr vertOverflow="overflow" horzOverflow="overflow" vert="horz" wrap="square" lIns="158758" tIns="79379" rIns="158758" bIns="79379" numCol="1" spcCol="0" rtlCol="0" fromWordArt="0" anchor="ctr" anchorCtr="0" forceAA="0" compatLnSpc="1">
                          <a:noAutofit/>
                        </a:bodyP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lvl="0" algn="ctr">
                            <a:buClrTx/>
                            <a:buSzTx/>
                            <a:buFontTx/>
                          </a:pPr>
                          <a:r>
                            <a:rPr lang="zh-CN" altLang="en-US" sz="1600" b="1" dirty="0">
                              <a:solidFill>
                                <a:schemeClr val="tx1"/>
                              </a:solidFill>
                              <a:latin typeface="微软雅黑" panose="020B0503020204020204" pitchFamily="2" charset="-122"/>
                              <a:ea typeface="微软雅黑" panose="020B0503020204020204" pitchFamily="2" charset="-122"/>
                              <a:sym typeface="+mn-ea"/>
                            </a:rPr>
                            <a:t>智能数据转发</a:t>
                          </a:r>
                          <a:endParaRPr lang="zh-CN" altLang="en-US" sz="1600" b="1" dirty="0">
                            <a:solidFill>
                              <a:schemeClr val="tx1"/>
                            </a:solidFill>
                            <a:latin typeface="微软雅黑" panose="020B0503020204020204" pitchFamily="2" charset="-122"/>
                            <a:ea typeface="微软雅黑" panose="020B0503020204020204" pitchFamily="2" charset="-122"/>
                            <a:sym typeface="+mn-ea"/>
                          </a:endParaRPr>
                        </a:p>
                        <a:p>
                          <a:pPr lvl="0" algn="ctr">
                            <a:buClrTx/>
                            <a:buSzTx/>
                            <a:buFontTx/>
                          </a:pPr>
                          <a:r>
                            <a:rPr lang="zh-CN" altLang="en-US" sz="1200" dirty="0">
                              <a:solidFill>
                                <a:schemeClr val="tx1"/>
                              </a:solidFill>
                              <a:latin typeface="微软雅黑" panose="020B0503020204020204" pitchFamily="2" charset="-122"/>
                              <a:ea typeface="微软雅黑" panose="020B0503020204020204" pitchFamily="2" charset="-122"/>
                              <a:sym typeface="+mn-ea"/>
                            </a:rPr>
                            <a:t>分局节点</a:t>
                          </a:r>
                          <a:endParaRPr lang="zh-CN" altLang="en-US" sz="1200" dirty="0">
                            <a:solidFill>
                              <a:schemeClr val="tx1"/>
                            </a:solidFill>
                            <a:latin typeface="微软雅黑" panose="020B0503020204020204" pitchFamily="2" charset="-122"/>
                            <a:ea typeface="微软雅黑" panose="020B0503020204020204" pitchFamily="2" charset="-122"/>
                            <a:sym typeface="+mn-ea"/>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5" name="直接箭头连接符 14"/>
                      <a:cNvCxnSpPr>
                        <a:stCxn id="14" idx="0"/>
                      </a:cNvCxnSpPr>
                    </a:nvCxnSpPr>
                    <a:spPr>
                      <a:xfrm flipH="1" flipV="1">
                        <a:off x="13227565" y="9774366"/>
                        <a:ext cx="4" cy="892699"/>
                      </a:xfrm>
                      <a:prstGeom prst="straightConnector1">
                        <a:avLst/>
                      </a:prstGeom>
                      <a:ln w="25400">
                        <a:solidFill>
                          <a:schemeClr val="tx1"/>
                        </a:solidFill>
                        <a:headEnd type="triangle" w="med" len="med"/>
                        <a:tailEnd type="triangle" w="med" len="med"/>
                      </a:ln>
                    </a:spPr>
                    <a:style>
                      <a:lnRef idx="1">
                        <a:schemeClr val="accent1"/>
                      </a:lnRef>
                      <a:fillRef idx="0">
                        <a:schemeClr val="accent1"/>
                      </a:fillRef>
                      <a:effectRef idx="0">
                        <a:schemeClr val="accent1"/>
                      </a:effectRef>
                      <a:fontRef idx="minor">
                        <a:schemeClr val="tx1"/>
                      </a:fontRef>
                    </a:style>
                  </a:cxnSp>
                  <a:sp>
                    <a:nvSpPr>
                      <a:cNvPr id="16" name="矩形 15"/>
                      <a:cNvSpPr/>
                    </a:nvSpPr>
                    <a:spPr>
                      <a:xfrm>
                        <a:off x="3090700" y="4545204"/>
                        <a:ext cx="1927560" cy="3845786"/>
                      </a:xfrm>
                      <a:prstGeom prst="rect">
                        <a:avLst/>
                      </a:prstGeom>
                      <a:solidFill>
                        <a:schemeClr val="bg1"/>
                      </a:solidFill>
                      <a:ln>
                        <a:solidFill>
                          <a:schemeClr val="bg1">
                            <a:lumMod val="50000"/>
                          </a:schemeClr>
                        </a:solidFill>
                        <a:prstDash val="solid"/>
                      </a:ln>
                    </a:spPr>
                    <a:txSp>
                      <a:txBody>
                        <a:bodyPr vertOverflow="overflow" horzOverflow="overflow" vert="horz" wrap="square" lIns="158758" tIns="79379" rIns="158758" bIns="79379" numCol="1" spcCol="0" rtlCol="0" fromWordArt="0" anchor="ctr" anchorCtr="0" forceAA="0" compatLnSpc="1">
                          <a:noAutofit/>
                        </a:bodyP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lvl="0" algn="ctr">
                            <a:buClrTx/>
                            <a:buSzTx/>
                            <a:buFontTx/>
                          </a:pPr>
                          <a:r>
                            <a:rPr lang="zh-CN" altLang="en-US" sz="1600" b="1" dirty="0">
                              <a:solidFill>
                                <a:schemeClr val="tx1"/>
                              </a:solidFill>
                              <a:latin typeface="微软雅黑" panose="020B0503020204020204" pitchFamily="2" charset="-122"/>
                              <a:ea typeface="微软雅黑" panose="020B0503020204020204" pitchFamily="2" charset="-122"/>
                              <a:sym typeface="+mn-ea"/>
                            </a:rPr>
                            <a:t>视觉大模型</a:t>
                          </a:r>
                          <a:endParaRPr lang="zh-CN" altLang="en-US" sz="1600" b="1" dirty="0">
                            <a:solidFill>
                              <a:schemeClr val="tx1"/>
                            </a:solidFill>
                            <a:latin typeface="微软雅黑" panose="020B0503020204020204" pitchFamily="2" charset="-122"/>
                            <a:ea typeface="微软雅黑" panose="020B0503020204020204" pitchFamily="2" charset="-122"/>
                            <a:sym typeface="+mn-ea"/>
                          </a:endParaRPr>
                        </a:p>
                        <a:p>
                          <a:pPr lvl="0" algn="ctr">
                            <a:buClrTx/>
                            <a:buSzTx/>
                            <a:buFontTx/>
                          </a:pPr>
                          <a:r>
                            <a:rPr lang="zh-CN" altLang="en-US" sz="1200" dirty="0">
                              <a:solidFill>
                                <a:schemeClr val="tx1"/>
                              </a:solidFill>
                              <a:latin typeface="微软雅黑" panose="020B0503020204020204" pitchFamily="2" charset="-122"/>
                              <a:ea typeface="微软雅黑" panose="020B0503020204020204" pitchFamily="2" charset="-122"/>
                              <a:sym typeface="+mn-ea"/>
                            </a:rPr>
                            <a:t>市局算力池</a:t>
                          </a:r>
                          <a:endParaRPr lang="en-US" altLang="zh-CN" sz="1200" dirty="0">
                            <a:solidFill>
                              <a:schemeClr val="tx1"/>
                            </a:solidFill>
                            <a:latin typeface="微软雅黑" panose="020B0503020204020204" pitchFamily="2" charset="-122"/>
                            <a:ea typeface="微软雅黑" panose="020B0503020204020204" pitchFamily="2" charset="-122"/>
                            <a:sym typeface="+mn-ea"/>
                          </a:endParaRPr>
                        </a:p>
                        <a:p>
                          <a:pPr lvl="0" algn="ctr">
                            <a:buClrTx/>
                            <a:buSzTx/>
                            <a:buFontTx/>
                          </a:pPr>
                          <a:r>
                            <a:rPr lang="zh-CN" altLang="en-US" sz="1200" dirty="0">
                              <a:solidFill>
                                <a:schemeClr val="tx1"/>
                              </a:solidFill>
                              <a:latin typeface="微软雅黑" panose="020B0503020204020204" pitchFamily="2" charset="-122"/>
                              <a:ea typeface="微软雅黑" panose="020B0503020204020204" pitchFamily="2" charset="-122"/>
                              <a:sym typeface="+mn-ea"/>
                            </a:rPr>
                            <a:t>（公安视频传输网侧）</a:t>
                          </a:r>
                          <a:endParaRPr lang="en-US" altLang="zh-CN" sz="1200" dirty="0">
                            <a:solidFill>
                              <a:schemeClr val="tx1"/>
                            </a:solidFill>
                            <a:latin typeface="微软雅黑" panose="020B0503020204020204" pitchFamily="2" charset="-122"/>
                            <a:ea typeface="微软雅黑" panose="020B0503020204020204" pitchFamily="2" charset="-122"/>
                            <a:sym typeface="+mn-ea"/>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8" name="直接箭头连接符 17"/>
                      <a:cNvCxnSpPr>
                        <a:stCxn id="16" idx="3"/>
                        <a:endCxn id="111" idx="1"/>
                      </a:cNvCxnSpPr>
                    </a:nvCxnSpPr>
                    <a:spPr>
                      <a:xfrm>
                        <a:off x="5018260" y="6468097"/>
                        <a:ext cx="1335422" cy="0"/>
                      </a:xfrm>
                      <a:prstGeom prst="straightConnector1">
                        <a:avLst/>
                      </a:prstGeom>
                      <a:ln w="25400">
                        <a:solidFill>
                          <a:schemeClr val="tx1"/>
                        </a:solidFill>
                        <a:headEnd type="triangle" w="med" len="med"/>
                        <a:tailEnd type="triangle" w="med" len="med"/>
                      </a:ln>
                    </a:spPr>
                    <a:style>
                      <a:lnRef idx="1">
                        <a:schemeClr val="accent1"/>
                      </a:lnRef>
                      <a:fillRef idx="0">
                        <a:schemeClr val="accent1"/>
                      </a:fillRef>
                      <a:effectRef idx="0">
                        <a:schemeClr val="accent1"/>
                      </a:effectRef>
                      <a:fontRef idx="minor">
                        <a:schemeClr val="tx1"/>
                      </a:fontRef>
                    </a:style>
                  </a:cxnSp>
                  <a:sp>
                    <a:nvSpPr>
                      <a:cNvPr id="19" name="文本框 18"/>
                      <a:cNvSpPr txBox="1"/>
                    </a:nvSpPr>
                    <a:spPr>
                      <a:xfrm>
                        <a:off x="7505119" y="10253289"/>
                        <a:ext cx="1346539" cy="406530"/>
                      </a:xfrm>
                      <a:prstGeom prst="rect">
                        <a:avLst/>
                      </a:prstGeom>
                      <a:noFill/>
                    </a:spPr>
                    <a:txSp>
                      <a:txBody>
                        <a:bodyPr wrap="none" lIns="158758" tIns="79379" rIns="158758" bIns="79379"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pPr algn="ctr"/>
                          <a:r>
                            <a:rPr lang="zh-CN" altLang="en-US" sz="1600" b="1" dirty="0">
                              <a:latin typeface="微软雅黑" panose="020B0503020204020204" pitchFamily="2" charset="-122"/>
                              <a:ea typeface="微软雅黑" panose="020B0503020204020204" pitchFamily="2" charset="-122"/>
                            </a:rPr>
                            <a:t>视频流数据</a:t>
                          </a:r>
                          <a:endParaRPr lang="zh-CN" altLang="en-US" sz="1600" b="1" dirty="0">
                            <a:latin typeface="微软雅黑" panose="020B0503020204020204" pitchFamily="2" charset="-122"/>
                            <a:ea typeface="微软雅黑" panose="020B0503020204020204" pitchFamily="2" charset="-122"/>
                          </a:endParaRPr>
                        </a:p>
                      </a:txBody>
                      <a:useSpRect/>
                    </a:txSp>
                  </a:sp>
                  <a:sp>
                    <a:nvSpPr>
                      <a:cNvPr id="20" name="文本框 19"/>
                      <a:cNvSpPr txBox="1"/>
                    </a:nvSpPr>
                    <a:spPr>
                      <a:xfrm>
                        <a:off x="11338172" y="10278102"/>
                        <a:ext cx="1756907" cy="406530"/>
                      </a:xfrm>
                      <a:prstGeom prst="rect">
                        <a:avLst/>
                      </a:prstGeom>
                      <a:noFill/>
                    </a:spPr>
                    <a:txSp>
                      <a:txBody>
                        <a:bodyPr wrap="none" lIns="158758" tIns="79379" rIns="158758" bIns="79379"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pPr algn="ctr"/>
                          <a:r>
                            <a:rPr lang="zh-CN" altLang="en-US" sz="1600" b="1" dirty="0">
                              <a:latin typeface="微软雅黑" panose="020B0503020204020204" pitchFamily="2" charset="-122"/>
                              <a:ea typeface="微软雅黑" panose="020B0503020204020204" pitchFamily="2" charset="-122"/>
                            </a:rPr>
                            <a:t>视图结构化数据</a:t>
                          </a:r>
                          <a:endParaRPr lang="zh-CN" altLang="en-US" sz="1600" b="1" dirty="0">
                            <a:latin typeface="微软雅黑" panose="020B0503020204020204" pitchFamily="2" charset="-122"/>
                            <a:ea typeface="微软雅黑" panose="020B0503020204020204" pitchFamily="2" charset="-122"/>
                          </a:endParaRPr>
                        </a:p>
                      </a:txBody>
                      <a:useSpRect/>
                    </a:txSp>
                  </a:sp>
                  <a:sp>
                    <a:nvSpPr>
                      <a:cNvPr id="22" name="矩形 21"/>
                      <a:cNvSpPr/>
                    </a:nvSpPr>
                    <a:spPr>
                      <a:xfrm>
                        <a:off x="25539783" y="4556643"/>
                        <a:ext cx="1927560" cy="3845786"/>
                      </a:xfrm>
                      <a:prstGeom prst="rect">
                        <a:avLst/>
                      </a:prstGeom>
                      <a:solidFill>
                        <a:schemeClr val="bg1"/>
                      </a:solidFill>
                      <a:ln>
                        <a:solidFill>
                          <a:schemeClr val="bg1">
                            <a:lumMod val="50000"/>
                          </a:schemeClr>
                        </a:solidFill>
                        <a:prstDash val="solid"/>
                      </a:ln>
                    </a:spPr>
                    <a:txSp>
                      <a:txBody>
                        <a:bodyPr vertOverflow="overflow" horzOverflow="overflow" vert="horz" wrap="square" lIns="158758" tIns="79379" rIns="158758" bIns="79379" numCol="1" spcCol="0" rtlCol="0" fromWordArt="0" anchor="ctr" anchorCtr="0" forceAA="0" compatLnSpc="1">
                          <a:noAutofit/>
                        </a:bodyP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lvl="0" algn="ctr">
                            <a:buClrTx/>
                            <a:buSzTx/>
                            <a:buFontTx/>
                          </a:pPr>
                          <a:r>
                            <a:rPr lang="zh-CN" altLang="en-US" sz="1600" b="1" dirty="0" smtClean="0">
                              <a:solidFill>
                                <a:schemeClr val="tx1"/>
                              </a:solidFill>
                              <a:latin typeface="微软雅黑" panose="020B0503020204020204" pitchFamily="2" charset="-122"/>
                              <a:ea typeface="微软雅黑" panose="020B0503020204020204" pitchFamily="2" charset="-122"/>
                              <a:sym typeface="+mn-ea"/>
                            </a:rPr>
                            <a:t>大语言模型</a:t>
                          </a:r>
                          <a:endParaRPr lang="zh-CN" altLang="en-US" sz="1600" b="1" dirty="0">
                            <a:solidFill>
                              <a:schemeClr val="tx1"/>
                            </a:solidFill>
                            <a:latin typeface="微软雅黑" panose="020B0503020204020204" pitchFamily="2" charset="-122"/>
                            <a:ea typeface="微软雅黑" panose="020B0503020204020204" pitchFamily="2" charset="-122"/>
                            <a:sym typeface="+mn-ea"/>
                          </a:endParaRPr>
                        </a:p>
                        <a:p>
                          <a:pPr lvl="0" algn="ctr">
                            <a:buClrTx/>
                            <a:buSzTx/>
                            <a:buFontTx/>
                          </a:pPr>
                          <a:r>
                            <a:rPr lang="zh-CN" altLang="en-US" sz="1200" dirty="0">
                              <a:solidFill>
                                <a:schemeClr val="tx1"/>
                              </a:solidFill>
                              <a:latin typeface="微软雅黑" panose="020B0503020204020204" pitchFamily="2" charset="-122"/>
                              <a:ea typeface="微软雅黑" panose="020B0503020204020204" pitchFamily="2" charset="-122"/>
                              <a:sym typeface="+mn-ea"/>
                            </a:rPr>
                            <a:t>市局算力池</a:t>
                          </a:r>
                          <a:endParaRPr lang="en-US" altLang="zh-CN" sz="1200" dirty="0">
                            <a:solidFill>
                              <a:schemeClr val="tx1"/>
                            </a:solidFill>
                            <a:latin typeface="微软雅黑" panose="020B0503020204020204" pitchFamily="2" charset="-122"/>
                            <a:ea typeface="微软雅黑" panose="020B0503020204020204" pitchFamily="2" charset="-122"/>
                            <a:sym typeface="+mn-ea"/>
                          </a:endParaRPr>
                        </a:p>
                        <a:p>
                          <a:pPr lvl="0" algn="ctr">
                            <a:buClrTx/>
                            <a:buSzTx/>
                            <a:buFontTx/>
                          </a:pPr>
                          <a:r>
                            <a:rPr lang="zh-CN" altLang="en-US" sz="1200" dirty="0">
                              <a:solidFill>
                                <a:schemeClr val="tx1"/>
                              </a:solidFill>
                              <a:latin typeface="微软雅黑" panose="020B0503020204020204" pitchFamily="2" charset="-122"/>
                              <a:ea typeface="微软雅黑" panose="020B0503020204020204" pitchFamily="2" charset="-122"/>
                              <a:sym typeface="+mn-ea"/>
                            </a:rPr>
                            <a:t>（公安信息网侧）</a:t>
                          </a:r>
                          <a:endParaRPr lang="en-US" altLang="zh-CN" sz="1200" dirty="0">
                            <a:solidFill>
                              <a:schemeClr val="tx1"/>
                            </a:solidFill>
                            <a:latin typeface="微软雅黑" panose="020B0503020204020204" pitchFamily="2" charset="-122"/>
                            <a:ea typeface="微软雅黑" panose="020B0503020204020204" pitchFamily="2" charset="-122"/>
                            <a:sym typeface="+mn-ea"/>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23" name="直接箭头连接符 22"/>
                      <a:cNvCxnSpPr>
                        <a:stCxn id="95" idx="3"/>
                        <a:endCxn id="22" idx="1"/>
                      </a:cNvCxnSpPr>
                    </a:nvCxnSpPr>
                    <a:spPr>
                      <a:xfrm flipV="1">
                        <a:off x="24245083" y="6479537"/>
                        <a:ext cx="1294699" cy="2"/>
                      </a:xfrm>
                      <a:prstGeom prst="straightConnector1">
                        <a:avLst/>
                      </a:prstGeom>
                      <a:ln w="25400">
                        <a:solidFill>
                          <a:schemeClr val="tx1"/>
                        </a:solidFill>
                        <a:headEnd type="triangle" w="med" len="med"/>
                        <a:tailEnd type="triangle" w="med" len="med"/>
                      </a:ln>
                    </a:spPr>
                    <a:style>
                      <a:lnRef idx="1">
                        <a:schemeClr val="accent1"/>
                      </a:lnRef>
                      <a:fillRef idx="0">
                        <a:schemeClr val="accent1"/>
                      </a:fillRef>
                      <a:effectRef idx="0">
                        <a:schemeClr val="accent1"/>
                      </a:effectRef>
                      <a:fontRef idx="minor">
                        <a:schemeClr val="tx1"/>
                      </a:fontRef>
                    </a:style>
                  </a:cxnSp>
                  <a:sp>
                    <a:nvSpPr>
                      <a:cNvPr id="45" name="矩形 44"/>
                      <a:cNvSpPr/>
                    </a:nvSpPr>
                    <a:spPr>
                      <a:xfrm>
                        <a:off x="15756891" y="3304722"/>
                        <a:ext cx="8488191" cy="634981"/>
                      </a:xfrm>
                      <a:prstGeom prst="rect">
                        <a:avLst/>
                      </a:prstGeom>
                      <a:solidFill>
                        <a:schemeClr val="bg1"/>
                      </a:solidFill>
                      <a:ln>
                        <a:solidFill>
                          <a:schemeClr val="bg1">
                            <a:lumMod val="50000"/>
                          </a:schemeClr>
                        </a:solidFill>
                        <a:prstDash val="solid"/>
                      </a:ln>
                    </a:spPr>
                    <a:txSp>
                      <a:txBody>
                        <a:bodyPr lIns="158758" tIns="79379" rIns="158758" bIns="79379" rtlCol="0" anchor="ctr" anchorCtr="0"/>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r>
                            <a:rPr lang="zh-CN" altLang="en-US" sz="1700" dirty="0">
                              <a:solidFill>
                                <a:schemeClr val="tx1"/>
                              </a:solidFill>
                              <a:latin typeface="微软雅黑" panose="020B0503020204020204" pitchFamily="2" charset="-122"/>
                              <a:ea typeface="微软雅黑" panose="020B0503020204020204" pitchFamily="2" charset="-122"/>
                              <a:sym typeface="+mn-ea"/>
                            </a:rPr>
                            <a:t>业务应用</a:t>
                          </a:r>
                          <a:r>
                            <a:rPr lang="en-US" altLang="zh-CN" sz="1700" dirty="0">
                              <a:solidFill>
                                <a:schemeClr val="tx1"/>
                              </a:solidFill>
                              <a:latin typeface="微软雅黑" panose="020B0503020204020204" pitchFamily="2" charset="-122"/>
                              <a:ea typeface="微软雅黑" panose="020B0503020204020204" pitchFamily="2" charset="-122"/>
                              <a:sym typeface="+mn-ea"/>
                            </a:rPr>
                            <a:t>/</a:t>
                          </a:r>
                          <a:r>
                            <a:rPr lang="zh-CN" altLang="en-US" sz="1700" dirty="0">
                              <a:solidFill>
                                <a:schemeClr val="tx1"/>
                              </a:solidFill>
                              <a:latin typeface="微软雅黑" panose="020B0503020204020204" pitchFamily="2" charset="-122"/>
                              <a:ea typeface="微软雅黑" panose="020B0503020204020204" pitchFamily="2" charset="-122"/>
                              <a:sym typeface="+mn-ea"/>
                            </a:rPr>
                            <a:t>智能体</a:t>
                          </a:r>
                          <a:endParaRPr lang="zh-CN" altLang="en-US" sz="1700" dirty="0">
                            <a:solidFill>
                              <a:schemeClr val="tx1"/>
                            </a:solidFill>
                            <a:latin typeface="微软雅黑" panose="020B0503020204020204" pitchFamily="2" charset="-122"/>
                            <a:ea typeface="微软雅黑" panose="020B0503020204020204" pitchFamily="2" charset="-122"/>
                            <a:sym typeface="+mn-ea"/>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49" name="直接箭头连接符 48"/>
                      <a:cNvCxnSpPr>
                        <a:stCxn id="95" idx="0"/>
                        <a:endCxn id="45" idx="2"/>
                      </a:cNvCxnSpPr>
                    </a:nvCxnSpPr>
                    <a:spPr>
                      <a:xfrm flipH="1" flipV="1">
                        <a:off x="20000987" y="3939704"/>
                        <a:ext cx="89" cy="616941"/>
                      </a:xfrm>
                      <a:prstGeom prst="straightConnector1">
                        <a:avLst/>
                      </a:prstGeom>
                      <a:ln w="25400">
                        <a:solidFill>
                          <a:schemeClr val="tx1"/>
                        </a:solidFill>
                        <a:headEnd type="triangle" w="med" len="med"/>
                        <a:tailEnd type="triangle" w="med" len="med"/>
                      </a:ln>
                    </a:spPr>
                    <a:style>
                      <a:lnRef idx="1">
                        <a:schemeClr val="accent1"/>
                      </a:lnRef>
                      <a:fillRef idx="0">
                        <a:schemeClr val="accent1"/>
                      </a:fillRef>
                      <a:effectRef idx="0">
                        <a:schemeClr val="accent1"/>
                      </a:effectRef>
                      <a:fontRef idx="minor">
                        <a:schemeClr val="tx1"/>
                      </a:fontRef>
                    </a:style>
                  </a:cxnSp>
                  <a:sp>
                    <a:nvSpPr>
                      <a:cNvPr id="57" name="文本框 56"/>
                      <a:cNvSpPr txBox="1"/>
                    </a:nvSpPr>
                    <a:spPr>
                      <a:xfrm>
                        <a:off x="11925356" y="10722298"/>
                        <a:ext cx="532213" cy="344974"/>
                      </a:xfrm>
                      <a:prstGeom prst="rect">
                        <a:avLst/>
                      </a:prstGeom>
                      <a:noFill/>
                    </a:spPr>
                    <a:txSp>
                      <a:txBody>
                        <a:bodyPr wrap="none" lIns="158758" tIns="79379" rIns="158758" bIns="79379"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altLang="zh-CN" sz="1200" dirty="0"/>
                            <a:t>……</a:t>
                          </a:r>
                          <a:endParaRPr lang="zh-CN" altLang="en-US" sz="1200" dirty="0"/>
                        </a:p>
                      </a:txBody>
                      <a:useSpRect/>
                    </a:txSp>
                  </a:sp>
                  <a:cxnSp>
                    <a:nvCxnSpPr>
                      <a:cNvPr id="61" name="直接连接符 60"/>
                      <a:cNvCxnSpPr>
                        <a:stCxn id="219" idx="0"/>
                        <a:endCxn id="219" idx="2"/>
                      </a:cNvCxnSpPr>
                    </a:nvCxnSpPr>
                    <a:spPr>
                      <a:xfrm>
                        <a:off x="15355871" y="2509754"/>
                        <a:ext cx="0" cy="9141457"/>
                      </a:xfrm>
                      <a:prstGeom prst="line">
                        <a:avLst/>
                      </a:prstGeom>
                      <a:ln w="19050" cap="flat" cmpd="sng" algn="ctr">
                        <a:solidFill>
                          <a:schemeClr val="accent3"/>
                        </a:solidFill>
                        <a:prstDash val="dash"/>
                        <a:round/>
                        <a:headEnd type="none" w="med" len="med"/>
                        <a:tailEnd type="none" w="med" len="med"/>
                      </a:ln>
                    </a:spPr>
                    <a:style>
                      <a:lnRef idx="0">
                        <a:scrgbClr r="0" g="0" b="0"/>
                      </a:lnRef>
                      <a:fillRef idx="0">
                        <a:scrgbClr r="0" g="0" b="0"/>
                      </a:fillRef>
                      <a:effectRef idx="0">
                        <a:scrgbClr r="0" g="0" b="0"/>
                      </a:effectRef>
                      <a:fontRef idx="minor">
                        <a:schemeClr val="tx1"/>
                      </a:fontRef>
                    </a:style>
                  </a:cxnSp>
                  <a:sp>
                    <a:nvSpPr>
                      <a:cNvPr id="75" name="矩形 74"/>
                      <a:cNvSpPr/>
                    </a:nvSpPr>
                    <a:spPr>
                      <a:xfrm>
                        <a:off x="15132601" y="2853232"/>
                        <a:ext cx="440299" cy="8504202"/>
                      </a:xfrm>
                      <a:prstGeom prst="rect">
                        <a:avLst/>
                      </a:prstGeom>
                      <a:solidFill>
                        <a:schemeClr val="bg1"/>
                      </a:solidFill>
                      <a:ln>
                        <a:solidFill>
                          <a:schemeClr val="bg1">
                            <a:lumMod val="50000"/>
                          </a:schemeClr>
                        </a:solidFill>
                        <a:prstDash val="solid"/>
                      </a:ln>
                    </a:spPr>
                    <a:txSp>
                      <a:txBody>
                        <a:bodyPr lIns="158758" tIns="79379" rIns="158758" bIns="79379"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r>
                            <a:rPr lang="zh-CN" altLang="en-US" sz="1600" dirty="0">
                              <a:solidFill>
                                <a:schemeClr val="tx1"/>
                              </a:solidFill>
                              <a:latin typeface="微软雅黑" panose="020B0503020204020204" pitchFamily="2" charset="-122"/>
                              <a:ea typeface="微软雅黑" panose="020B0503020204020204" pitchFamily="2" charset="-122"/>
                            </a:rPr>
                            <a:t>安全边界</a:t>
                          </a:r>
                          <a:endParaRPr lang="zh-CN" altLang="en-US" sz="1600" dirty="0">
                            <a:solidFill>
                              <a:schemeClr val="tx1"/>
                            </a:solidFill>
                            <a:latin typeface="微软雅黑" panose="020B0503020204020204" pitchFamily="2" charset="-122"/>
                            <a:ea typeface="微软雅黑" panose="020B0503020204020204" pitchFamily="2" charset="-122"/>
                          </a:endParaRPr>
                        </a:p>
                      </a:txBody>
                      <a:useSpRect/>
                    </a:txSp>
                    <a:style>
                      <a:lnRef idx="2">
                        <a:schemeClr val="accent1">
                          <a:shade val="50000"/>
                        </a:schemeClr>
                      </a:lnRef>
                      <a:fillRef idx="1">
                        <a:schemeClr val="accent1"/>
                      </a:fillRef>
                      <a:effectRef idx="0">
                        <a:schemeClr val="accent1"/>
                      </a:effectRef>
                      <a:fontRef idx="minor">
                        <a:schemeClr val="lt1"/>
                      </a:fontRef>
                    </a:style>
                  </a:sp>
                  <a:grpSp>
                    <a:nvGrpSpPr>
                      <a:cNvPr id="4" name="组合 85"/>
                      <a:cNvGrpSpPr/>
                    </a:nvGrpSpPr>
                    <a:grpSpPr>
                      <a:xfrm>
                        <a:off x="15932000" y="4929960"/>
                        <a:ext cx="7499709" cy="729843"/>
                        <a:chOff x="9365503" y="3097373"/>
                        <a:chExt cx="4218261" cy="437880"/>
                      </a:xfrm>
                    </a:grpSpPr>
                    <a:sp>
                      <a:nvSpPr>
                        <a:cNvPr id="51" name="矩形 50"/>
                        <a:cNvSpPr/>
                      </a:nvSpPr>
                      <a:spPr>
                        <a:xfrm>
                          <a:off x="9395671" y="3097373"/>
                          <a:ext cx="4188093" cy="437880"/>
                        </a:xfrm>
                        <a:prstGeom prst="rect">
                          <a:avLst/>
                        </a:prstGeom>
                        <a:ln w="6350"/>
                      </a:spPr>
                      <a:txSp>
                        <a:txBody>
                          <a:bodyPr rtlCol="0" anchor="t"/>
                          <a:lstStyle>
                            <a:defPPr>
                              <a:defRPr lang="en-US"/>
                            </a:defPPr>
                            <a:lvl1pPr marL="0" algn="l" defTabSz="457200" rtl="0" eaLnBrk="1" latinLnBrk="0" hangingPunct="1">
                              <a:defRPr sz="1800" kern="1200">
                                <a:solidFill>
                                  <a:schemeClr val="dk1"/>
                                </a:solidFill>
                                <a:latin typeface="+mn-lt"/>
                                <a:ea typeface="+mn-ea"/>
                                <a:cs typeface="+mn-cs"/>
                              </a:defRPr>
                            </a:lvl1pPr>
                            <a:lvl2pPr marL="457200" algn="l" defTabSz="457200" rtl="0" eaLnBrk="1" latinLnBrk="0" hangingPunct="1">
                              <a:defRPr sz="1800" kern="1200">
                                <a:solidFill>
                                  <a:schemeClr val="dk1"/>
                                </a:solidFill>
                                <a:latin typeface="+mn-lt"/>
                                <a:ea typeface="+mn-ea"/>
                                <a:cs typeface="+mn-cs"/>
                              </a:defRPr>
                            </a:lvl2pPr>
                            <a:lvl3pPr marL="914400" algn="l" defTabSz="457200" rtl="0" eaLnBrk="1" latinLnBrk="0" hangingPunct="1">
                              <a:defRPr sz="1800" kern="1200">
                                <a:solidFill>
                                  <a:schemeClr val="dk1"/>
                                </a:solidFill>
                                <a:latin typeface="+mn-lt"/>
                                <a:ea typeface="+mn-ea"/>
                                <a:cs typeface="+mn-cs"/>
                              </a:defRPr>
                            </a:lvl3pPr>
                            <a:lvl4pPr marL="1371600" algn="l" defTabSz="457200" rtl="0" eaLnBrk="1" latinLnBrk="0" hangingPunct="1">
                              <a:defRPr sz="1800" kern="1200">
                                <a:solidFill>
                                  <a:schemeClr val="dk1"/>
                                </a:solidFill>
                                <a:latin typeface="+mn-lt"/>
                                <a:ea typeface="+mn-ea"/>
                                <a:cs typeface="+mn-cs"/>
                              </a:defRPr>
                            </a:lvl4pPr>
                            <a:lvl5pPr marL="1828800" algn="l" defTabSz="457200" rtl="0" eaLnBrk="1" latinLnBrk="0" hangingPunct="1">
                              <a:defRPr sz="1800" kern="1200">
                                <a:solidFill>
                                  <a:schemeClr val="dk1"/>
                                </a:solidFill>
                                <a:latin typeface="+mn-lt"/>
                                <a:ea typeface="+mn-ea"/>
                                <a:cs typeface="+mn-cs"/>
                              </a:defRPr>
                            </a:lvl5pPr>
                            <a:lvl6pPr marL="2286000" algn="l" defTabSz="457200" rtl="0" eaLnBrk="1" latinLnBrk="0" hangingPunct="1">
                              <a:defRPr sz="1800" kern="1200">
                                <a:solidFill>
                                  <a:schemeClr val="dk1"/>
                                </a:solidFill>
                                <a:latin typeface="+mn-lt"/>
                                <a:ea typeface="+mn-ea"/>
                                <a:cs typeface="+mn-cs"/>
                              </a:defRPr>
                            </a:lvl6pPr>
                            <a:lvl7pPr marL="2743200" algn="l" defTabSz="457200" rtl="0" eaLnBrk="1" latinLnBrk="0" hangingPunct="1">
                              <a:defRPr sz="1800" kern="1200">
                                <a:solidFill>
                                  <a:schemeClr val="dk1"/>
                                </a:solidFill>
                                <a:latin typeface="+mn-lt"/>
                                <a:ea typeface="+mn-ea"/>
                                <a:cs typeface="+mn-cs"/>
                              </a:defRPr>
                            </a:lvl7pPr>
                            <a:lvl8pPr marL="3200400" algn="l" defTabSz="457200" rtl="0" eaLnBrk="1" latinLnBrk="0" hangingPunct="1">
                              <a:defRPr sz="1800" kern="1200">
                                <a:solidFill>
                                  <a:schemeClr val="dk1"/>
                                </a:solidFill>
                                <a:latin typeface="+mn-lt"/>
                                <a:ea typeface="+mn-ea"/>
                                <a:cs typeface="+mn-cs"/>
                              </a:defRPr>
                            </a:lvl8pPr>
                            <a:lvl9pPr marL="3657600" algn="l" defTabSz="457200" rtl="0" eaLnBrk="1" latinLnBrk="0" hangingPunct="1">
                              <a:defRPr sz="1800" kern="1200">
                                <a:solidFill>
                                  <a:schemeClr val="dk1"/>
                                </a:solidFill>
                                <a:latin typeface="+mn-lt"/>
                                <a:ea typeface="+mn-ea"/>
                                <a:cs typeface="+mn-cs"/>
                              </a:defRPr>
                            </a:lvl9pPr>
                          </a:lstStyle>
                          <a:p>
                            <a:pPr algn="ctr"/>
                            <a:endParaRPr lang="zh-CN" altLang="en-US" sz="1200" b="1" dirty="0">
                              <a:latin typeface="微软雅黑" panose="020B0503020204020204" pitchFamily="2" charset="-122"/>
                              <a:ea typeface="微软雅黑" panose="020B0503020204020204" pitchFamily="2" charset="-122"/>
                            </a:endParaRPr>
                          </a:p>
                        </a:txBody>
                        <a:useSpRect/>
                      </a:txSp>
                      <a:style>
                        <a:lnRef idx="2">
                          <a:schemeClr val="dk1"/>
                        </a:lnRef>
                        <a:fillRef idx="1">
                          <a:schemeClr val="lt1"/>
                        </a:fillRef>
                        <a:effectRef idx="0">
                          <a:schemeClr val="dk1"/>
                        </a:effectRef>
                        <a:fontRef idx="minor">
                          <a:schemeClr val="dk1"/>
                        </a:fontRef>
                      </a:style>
                    </a:sp>
                    <a:sp>
                      <a:nvSpPr>
                        <a:cNvPr id="53" name="矩形 52"/>
                        <a:cNvSpPr/>
                      </a:nvSpPr>
                      <a:spPr>
                        <a:xfrm>
                          <a:off x="9944765" y="3169693"/>
                          <a:ext cx="818442" cy="300599"/>
                        </a:xfrm>
                        <a:prstGeom prst="rect">
                          <a:avLst/>
                        </a:prstGeom>
                        <a:ln w="6350"/>
                      </a:spPr>
                      <a:txSp>
                        <a:txBody>
                          <a:bodyPr rtlCol="0" anchor="ctr"/>
                          <a:lstStyle>
                            <a:defPPr>
                              <a:defRPr lang="en-US"/>
                            </a:defPPr>
                            <a:lvl1pPr marL="0" algn="l" defTabSz="457200" rtl="0" eaLnBrk="1" latinLnBrk="0" hangingPunct="1">
                              <a:defRPr sz="1800" kern="1200">
                                <a:solidFill>
                                  <a:schemeClr val="dk1"/>
                                </a:solidFill>
                                <a:latin typeface="+mn-lt"/>
                                <a:ea typeface="+mn-ea"/>
                                <a:cs typeface="+mn-cs"/>
                              </a:defRPr>
                            </a:lvl1pPr>
                            <a:lvl2pPr marL="457200" algn="l" defTabSz="457200" rtl="0" eaLnBrk="1" latinLnBrk="0" hangingPunct="1">
                              <a:defRPr sz="1800" kern="1200">
                                <a:solidFill>
                                  <a:schemeClr val="dk1"/>
                                </a:solidFill>
                                <a:latin typeface="+mn-lt"/>
                                <a:ea typeface="+mn-ea"/>
                                <a:cs typeface="+mn-cs"/>
                              </a:defRPr>
                            </a:lvl2pPr>
                            <a:lvl3pPr marL="914400" algn="l" defTabSz="457200" rtl="0" eaLnBrk="1" latinLnBrk="0" hangingPunct="1">
                              <a:defRPr sz="1800" kern="1200">
                                <a:solidFill>
                                  <a:schemeClr val="dk1"/>
                                </a:solidFill>
                                <a:latin typeface="+mn-lt"/>
                                <a:ea typeface="+mn-ea"/>
                                <a:cs typeface="+mn-cs"/>
                              </a:defRPr>
                            </a:lvl3pPr>
                            <a:lvl4pPr marL="1371600" algn="l" defTabSz="457200" rtl="0" eaLnBrk="1" latinLnBrk="0" hangingPunct="1">
                              <a:defRPr sz="1800" kern="1200">
                                <a:solidFill>
                                  <a:schemeClr val="dk1"/>
                                </a:solidFill>
                                <a:latin typeface="+mn-lt"/>
                                <a:ea typeface="+mn-ea"/>
                                <a:cs typeface="+mn-cs"/>
                              </a:defRPr>
                            </a:lvl4pPr>
                            <a:lvl5pPr marL="1828800" algn="l" defTabSz="457200" rtl="0" eaLnBrk="1" latinLnBrk="0" hangingPunct="1">
                              <a:defRPr sz="1800" kern="1200">
                                <a:solidFill>
                                  <a:schemeClr val="dk1"/>
                                </a:solidFill>
                                <a:latin typeface="+mn-lt"/>
                                <a:ea typeface="+mn-ea"/>
                                <a:cs typeface="+mn-cs"/>
                              </a:defRPr>
                            </a:lvl5pPr>
                            <a:lvl6pPr marL="2286000" algn="l" defTabSz="457200" rtl="0" eaLnBrk="1" latinLnBrk="0" hangingPunct="1">
                              <a:defRPr sz="1800" kern="1200">
                                <a:solidFill>
                                  <a:schemeClr val="dk1"/>
                                </a:solidFill>
                                <a:latin typeface="+mn-lt"/>
                                <a:ea typeface="+mn-ea"/>
                                <a:cs typeface="+mn-cs"/>
                              </a:defRPr>
                            </a:lvl6pPr>
                            <a:lvl7pPr marL="2743200" algn="l" defTabSz="457200" rtl="0" eaLnBrk="1" latinLnBrk="0" hangingPunct="1">
                              <a:defRPr sz="1800" kern="1200">
                                <a:solidFill>
                                  <a:schemeClr val="dk1"/>
                                </a:solidFill>
                                <a:latin typeface="+mn-lt"/>
                                <a:ea typeface="+mn-ea"/>
                                <a:cs typeface="+mn-cs"/>
                              </a:defRPr>
                            </a:lvl7pPr>
                            <a:lvl8pPr marL="3200400" algn="l" defTabSz="457200" rtl="0" eaLnBrk="1" latinLnBrk="0" hangingPunct="1">
                              <a:defRPr sz="1800" kern="1200">
                                <a:solidFill>
                                  <a:schemeClr val="dk1"/>
                                </a:solidFill>
                                <a:latin typeface="+mn-lt"/>
                                <a:ea typeface="+mn-ea"/>
                                <a:cs typeface="+mn-cs"/>
                              </a:defRPr>
                            </a:lvl8pPr>
                            <a:lvl9pPr marL="3657600" algn="l" defTabSz="457200" rtl="0" eaLnBrk="1" latinLnBrk="0" hangingPunct="1">
                              <a:defRPr sz="1800" kern="1200">
                                <a:solidFill>
                                  <a:schemeClr val="dk1"/>
                                </a:solidFill>
                                <a:latin typeface="+mn-lt"/>
                                <a:ea typeface="+mn-ea"/>
                                <a:cs typeface="+mn-cs"/>
                              </a:defRPr>
                            </a:lvl9pPr>
                          </a:lstStyle>
                          <a:p>
                            <a:pPr algn="ctr"/>
                            <a:r>
                              <a:rPr lang="zh-CN" altLang="en-US" sz="1200" dirty="0">
                                <a:latin typeface="微软雅黑" panose="020B0503020204020204" pitchFamily="2" charset="-122"/>
                                <a:ea typeface="微软雅黑" panose="020B0503020204020204" pitchFamily="2" charset="-122"/>
                              </a:rPr>
                              <a:t>视觉算法</a:t>
                            </a:r>
                            <a:r>
                              <a:rPr lang="en-US" altLang="zh-CN" sz="1200" dirty="0">
                                <a:latin typeface="微软雅黑" panose="020B0503020204020204" pitchFamily="2" charset="-122"/>
                                <a:ea typeface="微软雅黑" panose="020B0503020204020204" pitchFamily="2" charset="-122"/>
                              </a:rPr>
                              <a:t>MCP</a:t>
                            </a:r>
                            <a:r>
                              <a:rPr lang="zh-CN" altLang="en-US" sz="1200" dirty="0">
                                <a:latin typeface="微软雅黑" panose="020B0503020204020204" pitchFamily="2" charset="-122"/>
                                <a:ea typeface="微软雅黑" panose="020B0503020204020204" pitchFamily="2" charset="-122"/>
                              </a:rPr>
                              <a:t>服务</a:t>
                            </a:r>
                            <a:endParaRPr lang="zh-CN" altLang="en-US" sz="1200" dirty="0">
                              <a:latin typeface="微软雅黑" panose="020B0503020204020204" pitchFamily="2" charset="-122"/>
                              <a:ea typeface="微软雅黑" panose="020B0503020204020204" pitchFamily="2" charset="-122"/>
                            </a:endParaRPr>
                          </a:p>
                        </a:txBody>
                        <a:useSpRect/>
                      </a:txSp>
                      <a:style>
                        <a:lnRef idx="2">
                          <a:schemeClr val="dk1"/>
                        </a:lnRef>
                        <a:fillRef idx="1">
                          <a:schemeClr val="lt1"/>
                        </a:fillRef>
                        <a:effectRef idx="0">
                          <a:schemeClr val="dk1"/>
                        </a:effectRef>
                        <a:fontRef idx="minor">
                          <a:schemeClr val="dk1"/>
                        </a:fontRef>
                      </a:style>
                    </a:sp>
                    <a:sp>
                      <a:nvSpPr>
                        <a:cNvPr id="55" name="矩形 54"/>
                        <a:cNvSpPr/>
                      </a:nvSpPr>
                      <a:spPr>
                        <a:xfrm>
                          <a:off x="10863519" y="3169692"/>
                          <a:ext cx="818442" cy="300599"/>
                        </a:xfrm>
                        <a:prstGeom prst="rect">
                          <a:avLst/>
                        </a:prstGeom>
                        <a:ln w="6350"/>
                      </a:spPr>
                      <a:txSp>
                        <a:txBody>
                          <a:bodyPr rtlCol="0" anchor="ctr"/>
                          <a:lstStyle>
                            <a:defPPr>
                              <a:defRPr lang="en-US"/>
                            </a:defPPr>
                            <a:lvl1pPr marL="0" algn="l" defTabSz="457200" rtl="0" eaLnBrk="1" latinLnBrk="0" hangingPunct="1">
                              <a:defRPr sz="1800" kern="1200">
                                <a:solidFill>
                                  <a:schemeClr val="dk1"/>
                                </a:solidFill>
                                <a:latin typeface="+mn-lt"/>
                                <a:ea typeface="+mn-ea"/>
                                <a:cs typeface="+mn-cs"/>
                              </a:defRPr>
                            </a:lvl1pPr>
                            <a:lvl2pPr marL="457200" algn="l" defTabSz="457200" rtl="0" eaLnBrk="1" latinLnBrk="0" hangingPunct="1">
                              <a:defRPr sz="1800" kern="1200">
                                <a:solidFill>
                                  <a:schemeClr val="dk1"/>
                                </a:solidFill>
                                <a:latin typeface="+mn-lt"/>
                                <a:ea typeface="+mn-ea"/>
                                <a:cs typeface="+mn-cs"/>
                              </a:defRPr>
                            </a:lvl2pPr>
                            <a:lvl3pPr marL="914400" algn="l" defTabSz="457200" rtl="0" eaLnBrk="1" latinLnBrk="0" hangingPunct="1">
                              <a:defRPr sz="1800" kern="1200">
                                <a:solidFill>
                                  <a:schemeClr val="dk1"/>
                                </a:solidFill>
                                <a:latin typeface="+mn-lt"/>
                                <a:ea typeface="+mn-ea"/>
                                <a:cs typeface="+mn-cs"/>
                              </a:defRPr>
                            </a:lvl3pPr>
                            <a:lvl4pPr marL="1371600" algn="l" defTabSz="457200" rtl="0" eaLnBrk="1" latinLnBrk="0" hangingPunct="1">
                              <a:defRPr sz="1800" kern="1200">
                                <a:solidFill>
                                  <a:schemeClr val="dk1"/>
                                </a:solidFill>
                                <a:latin typeface="+mn-lt"/>
                                <a:ea typeface="+mn-ea"/>
                                <a:cs typeface="+mn-cs"/>
                              </a:defRPr>
                            </a:lvl4pPr>
                            <a:lvl5pPr marL="1828800" algn="l" defTabSz="457200" rtl="0" eaLnBrk="1" latinLnBrk="0" hangingPunct="1">
                              <a:defRPr sz="1800" kern="1200">
                                <a:solidFill>
                                  <a:schemeClr val="dk1"/>
                                </a:solidFill>
                                <a:latin typeface="+mn-lt"/>
                                <a:ea typeface="+mn-ea"/>
                                <a:cs typeface="+mn-cs"/>
                              </a:defRPr>
                            </a:lvl5pPr>
                            <a:lvl6pPr marL="2286000" algn="l" defTabSz="457200" rtl="0" eaLnBrk="1" latinLnBrk="0" hangingPunct="1">
                              <a:defRPr sz="1800" kern="1200">
                                <a:solidFill>
                                  <a:schemeClr val="dk1"/>
                                </a:solidFill>
                                <a:latin typeface="+mn-lt"/>
                                <a:ea typeface="+mn-ea"/>
                                <a:cs typeface="+mn-cs"/>
                              </a:defRPr>
                            </a:lvl6pPr>
                            <a:lvl7pPr marL="2743200" algn="l" defTabSz="457200" rtl="0" eaLnBrk="1" latinLnBrk="0" hangingPunct="1">
                              <a:defRPr sz="1800" kern="1200">
                                <a:solidFill>
                                  <a:schemeClr val="dk1"/>
                                </a:solidFill>
                                <a:latin typeface="+mn-lt"/>
                                <a:ea typeface="+mn-ea"/>
                                <a:cs typeface="+mn-cs"/>
                              </a:defRPr>
                            </a:lvl7pPr>
                            <a:lvl8pPr marL="3200400" algn="l" defTabSz="457200" rtl="0" eaLnBrk="1" latinLnBrk="0" hangingPunct="1">
                              <a:defRPr sz="1800" kern="1200">
                                <a:solidFill>
                                  <a:schemeClr val="dk1"/>
                                </a:solidFill>
                                <a:latin typeface="+mn-lt"/>
                                <a:ea typeface="+mn-ea"/>
                                <a:cs typeface="+mn-cs"/>
                              </a:defRPr>
                            </a:lvl8pPr>
                            <a:lvl9pPr marL="3657600" algn="l" defTabSz="457200" rtl="0" eaLnBrk="1" latinLnBrk="0" hangingPunct="1">
                              <a:defRPr sz="1800" kern="1200">
                                <a:solidFill>
                                  <a:schemeClr val="dk1"/>
                                </a:solidFill>
                                <a:latin typeface="+mn-lt"/>
                                <a:ea typeface="+mn-ea"/>
                                <a:cs typeface="+mn-cs"/>
                              </a:defRPr>
                            </a:lvl9pPr>
                          </a:lstStyle>
                          <a:p>
                            <a:pPr algn="ctr"/>
                            <a:r>
                              <a:rPr lang="zh-CN" altLang="en-US" sz="1200" dirty="0">
                                <a:latin typeface="微软雅黑" panose="020B0503020204020204" pitchFamily="2" charset="-122"/>
                                <a:ea typeface="微软雅黑" panose="020B0503020204020204" pitchFamily="2" charset="-122"/>
                              </a:rPr>
                              <a:t>视觉模型组合</a:t>
                            </a:r>
                            <a:endParaRPr lang="en-US" altLang="zh-CN" sz="1200" dirty="0">
                              <a:latin typeface="微软雅黑" panose="020B0503020204020204" pitchFamily="2" charset="-122"/>
                              <a:ea typeface="微软雅黑" panose="020B0503020204020204" pitchFamily="2" charset="-122"/>
                            </a:endParaRPr>
                          </a:p>
                          <a:p>
                            <a:pPr algn="ctr"/>
                            <a:r>
                              <a:rPr lang="zh-CN" altLang="en-US" sz="1200" dirty="0">
                                <a:latin typeface="微软雅黑" panose="020B0503020204020204" pitchFamily="2" charset="-122"/>
                                <a:ea typeface="微软雅黑" panose="020B0503020204020204" pitchFamily="2" charset="-122"/>
                              </a:rPr>
                              <a:t>策略服务</a:t>
                            </a:r>
                            <a:endParaRPr lang="zh-CN" altLang="en-US" sz="1200" dirty="0">
                              <a:latin typeface="微软雅黑" panose="020B0503020204020204" pitchFamily="2" charset="-122"/>
                              <a:ea typeface="微软雅黑" panose="020B0503020204020204" pitchFamily="2" charset="-122"/>
                            </a:endParaRPr>
                          </a:p>
                        </a:txBody>
                        <a:useSpRect/>
                      </a:txSp>
                      <a:style>
                        <a:lnRef idx="2">
                          <a:schemeClr val="dk1"/>
                        </a:lnRef>
                        <a:fillRef idx="1">
                          <a:schemeClr val="lt1"/>
                        </a:fillRef>
                        <a:effectRef idx="0">
                          <a:schemeClr val="dk1"/>
                        </a:effectRef>
                        <a:fontRef idx="minor">
                          <a:schemeClr val="dk1"/>
                        </a:fontRef>
                      </a:style>
                    </a:sp>
                    <a:sp>
                      <a:nvSpPr>
                        <a:cNvPr id="58" name="矩形 57"/>
                        <a:cNvSpPr/>
                      </a:nvSpPr>
                      <a:spPr>
                        <a:xfrm>
                          <a:off x="11782273" y="3169692"/>
                          <a:ext cx="818442" cy="300599"/>
                        </a:xfrm>
                        <a:prstGeom prst="rect">
                          <a:avLst/>
                        </a:prstGeom>
                        <a:ln w="6350"/>
                      </a:spPr>
                      <a:txSp>
                        <a:txBody>
                          <a:bodyPr rtlCol="0" anchor="ctr"/>
                          <a:lstStyle>
                            <a:defPPr>
                              <a:defRPr lang="en-US"/>
                            </a:defPPr>
                            <a:lvl1pPr marL="0" algn="l" defTabSz="457200" rtl="0" eaLnBrk="1" latinLnBrk="0" hangingPunct="1">
                              <a:defRPr sz="1800" kern="1200">
                                <a:solidFill>
                                  <a:schemeClr val="dk1"/>
                                </a:solidFill>
                                <a:latin typeface="+mn-lt"/>
                                <a:ea typeface="+mn-ea"/>
                                <a:cs typeface="+mn-cs"/>
                              </a:defRPr>
                            </a:lvl1pPr>
                            <a:lvl2pPr marL="457200" algn="l" defTabSz="457200" rtl="0" eaLnBrk="1" latinLnBrk="0" hangingPunct="1">
                              <a:defRPr sz="1800" kern="1200">
                                <a:solidFill>
                                  <a:schemeClr val="dk1"/>
                                </a:solidFill>
                                <a:latin typeface="+mn-lt"/>
                                <a:ea typeface="+mn-ea"/>
                                <a:cs typeface="+mn-cs"/>
                              </a:defRPr>
                            </a:lvl2pPr>
                            <a:lvl3pPr marL="914400" algn="l" defTabSz="457200" rtl="0" eaLnBrk="1" latinLnBrk="0" hangingPunct="1">
                              <a:defRPr sz="1800" kern="1200">
                                <a:solidFill>
                                  <a:schemeClr val="dk1"/>
                                </a:solidFill>
                                <a:latin typeface="+mn-lt"/>
                                <a:ea typeface="+mn-ea"/>
                                <a:cs typeface="+mn-cs"/>
                              </a:defRPr>
                            </a:lvl3pPr>
                            <a:lvl4pPr marL="1371600" algn="l" defTabSz="457200" rtl="0" eaLnBrk="1" latinLnBrk="0" hangingPunct="1">
                              <a:defRPr sz="1800" kern="1200">
                                <a:solidFill>
                                  <a:schemeClr val="dk1"/>
                                </a:solidFill>
                                <a:latin typeface="+mn-lt"/>
                                <a:ea typeface="+mn-ea"/>
                                <a:cs typeface="+mn-cs"/>
                              </a:defRPr>
                            </a:lvl4pPr>
                            <a:lvl5pPr marL="1828800" algn="l" defTabSz="457200" rtl="0" eaLnBrk="1" latinLnBrk="0" hangingPunct="1">
                              <a:defRPr sz="1800" kern="1200">
                                <a:solidFill>
                                  <a:schemeClr val="dk1"/>
                                </a:solidFill>
                                <a:latin typeface="+mn-lt"/>
                                <a:ea typeface="+mn-ea"/>
                                <a:cs typeface="+mn-cs"/>
                              </a:defRPr>
                            </a:lvl5pPr>
                            <a:lvl6pPr marL="2286000" algn="l" defTabSz="457200" rtl="0" eaLnBrk="1" latinLnBrk="0" hangingPunct="1">
                              <a:defRPr sz="1800" kern="1200">
                                <a:solidFill>
                                  <a:schemeClr val="dk1"/>
                                </a:solidFill>
                                <a:latin typeface="+mn-lt"/>
                                <a:ea typeface="+mn-ea"/>
                                <a:cs typeface="+mn-cs"/>
                              </a:defRPr>
                            </a:lvl6pPr>
                            <a:lvl7pPr marL="2743200" algn="l" defTabSz="457200" rtl="0" eaLnBrk="1" latinLnBrk="0" hangingPunct="1">
                              <a:defRPr sz="1800" kern="1200">
                                <a:solidFill>
                                  <a:schemeClr val="dk1"/>
                                </a:solidFill>
                                <a:latin typeface="+mn-lt"/>
                                <a:ea typeface="+mn-ea"/>
                                <a:cs typeface="+mn-cs"/>
                              </a:defRPr>
                            </a:lvl7pPr>
                            <a:lvl8pPr marL="3200400" algn="l" defTabSz="457200" rtl="0" eaLnBrk="1" latinLnBrk="0" hangingPunct="1">
                              <a:defRPr sz="1800" kern="1200">
                                <a:solidFill>
                                  <a:schemeClr val="dk1"/>
                                </a:solidFill>
                                <a:latin typeface="+mn-lt"/>
                                <a:ea typeface="+mn-ea"/>
                                <a:cs typeface="+mn-cs"/>
                              </a:defRPr>
                            </a:lvl8pPr>
                            <a:lvl9pPr marL="3657600" algn="l" defTabSz="457200" rtl="0" eaLnBrk="1" latinLnBrk="0" hangingPunct="1">
                              <a:defRPr sz="1800" kern="1200">
                                <a:solidFill>
                                  <a:schemeClr val="dk1"/>
                                </a:solidFill>
                                <a:latin typeface="+mn-lt"/>
                                <a:ea typeface="+mn-ea"/>
                                <a:cs typeface="+mn-cs"/>
                              </a:defRPr>
                            </a:lvl9pPr>
                          </a:lstStyle>
                          <a:p>
                            <a:pPr algn="ctr"/>
                            <a:r>
                              <a:rPr lang="zh-CN" altLang="en-US" sz="1200" dirty="0">
                                <a:latin typeface="微软雅黑" panose="020B0503020204020204" pitchFamily="2" charset="-122"/>
                                <a:ea typeface="微软雅黑" panose="020B0503020204020204" pitchFamily="2" charset="-122"/>
                              </a:rPr>
                              <a:t>视觉模型</a:t>
                            </a:r>
                            <a:endParaRPr lang="en-US" altLang="zh-CN" sz="1200" dirty="0">
                              <a:latin typeface="微软雅黑" panose="020B0503020204020204" pitchFamily="2" charset="-122"/>
                              <a:ea typeface="微软雅黑" panose="020B0503020204020204" pitchFamily="2" charset="-122"/>
                            </a:endParaRPr>
                          </a:p>
                          <a:p>
                            <a:pPr algn="ctr"/>
                            <a:r>
                              <a:rPr lang="zh-CN" altLang="en-US" sz="1200" dirty="0">
                                <a:latin typeface="微软雅黑" panose="020B0503020204020204" pitchFamily="2" charset="-122"/>
                                <a:ea typeface="微软雅黑" panose="020B0503020204020204" pitchFamily="2" charset="-122"/>
                              </a:rPr>
                              <a:t>应用编排</a:t>
                            </a:r>
                            <a:endParaRPr lang="zh-CN" altLang="en-US" sz="1200" dirty="0">
                              <a:latin typeface="微软雅黑" panose="020B0503020204020204" pitchFamily="2" charset="-122"/>
                              <a:ea typeface="微软雅黑" panose="020B0503020204020204" pitchFamily="2" charset="-122"/>
                            </a:endParaRPr>
                          </a:p>
                        </a:txBody>
                        <a:useSpRect/>
                      </a:txSp>
                      <a:style>
                        <a:lnRef idx="2">
                          <a:schemeClr val="dk1"/>
                        </a:lnRef>
                        <a:fillRef idx="1">
                          <a:schemeClr val="lt1"/>
                        </a:fillRef>
                        <a:effectRef idx="0">
                          <a:schemeClr val="dk1"/>
                        </a:effectRef>
                        <a:fontRef idx="minor">
                          <a:schemeClr val="dk1"/>
                        </a:fontRef>
                      </a:style>
                    </a:sp>
                    <a:sp>
                      <a:nvSpPr>
                        <a:cNvPr id="60" name="矩形 59"/>
                        <a:cNvSpPr/>
                      </a:nvSpPr>
                      <a:spPr>
                        <a:xfrm>
                          <a:off x="12701028" y="3169692"/>
                          <a:ext cx="821733" cy="300599"/>
                        </a:xfrm>
                        <a:prstGeom prst="rect">
                          <a:avLst/>
                        </a:prstGeom>
                        <a:ln w="6350"/>
                      </a:spPr>
                      <a:txSp>
                        <a:txBody>
                          <a:bodyPr rtlCol="0" anchor="ctr"/>
                          <a:lstStyle>
                            <a:defPPr>
                              <a:defRPr lang="en-US"/>
                            </a:defPPr>
                            <a:lvl1pPr marL="0" algn="l" defTabSz="457200" rtl="0" eaLnBrk="1" latinLnBrk="0" hangingPunct="1">
                              <a:defRPr sz="1800" kern="1200">
                                <a:solidFill>
                                  <a:schemeClr val="dk1"/>
                                </a:solidFill>
                                <a:latin typeface="+mn-lt"/>
                                <a:ea typeface="+mn-ea"/>
                                <a:cs typeface="+mn-cs"/>
                              </a:defRPr>
                            </a:lvl1pPr>
                            <a:lvl2pPr marL="457200" algn="l" defTabSz="457200" rtl="0" eaLnBrk="1" latinLnBrk="0" hangingPunct="1">
                              <a:defRPr sz="1800" kern="1200">
                                <a:solidFill>
                                  <a:schemeClr val="dk1"/>
                                </a:solidFill>
                                <a:latin typeface="+mn-lt"/>
                                <a:ea typeface="+mn-ea"/>
                                <a:cs typeface="+mn-cs"/>
                              </a:defRPr>
                            </a:lvl2pPr>
                            <a:lvl3pPr marL="914400" algn="l" defTabSz="457200" rtl="0" eaLnBrk="1" latinLnBrk="0" hangingPunct="1">
                              <a:defRPr sz="1800" kern="1200">
                                <a:solidFill>
                                  <a:schemeClr val="dk1"/>
                                </a:solidFill>
                                <a:latin typeface="+mn-lt"/>
                                <a:ea typeface="+mn-ea"/>
                                <a:cs typeface="+mn-cs"/>
                              </a:defRPr>
                            </a:lvl3pPr>
                            <a:lvl4pPr marL="1371600" algn="l" defTabSz="457200" rtl="0" eaLnBrk="1" latinLnBrk="0" hangingPunct="1">
                              <a:defRPr sz="1800" kern="1200">
                                <a:solidFill>
                                  <a:schemeClr val="dk1"/>
                                </a:solidFill>
                                <a:latin typeface="+mn-lt"/>
                                <a:ea typeface="+mn-ea"/>
                                <a:cs typeface="+mn-cs"/>
                              </a:defRPr>
                            </a:lvl4pPr>
                            <a:lvl5pPr marL="1828800" algn="l" defTabSz="457200" rtl="0" eaLnBrk="1" latinLnBrk="0" hangingPunct="1">
                              <a:defRPr sz="1800" kern="1200">
                                <a:solidFill>
                                  <a:schemeClr val="dk1"/>
                                </a:solidFill>
                                <a:latin typeface="+mn-lt"/>
                                <a:ea typeface="+mn-ea"/>
                                <a:cs typeface="+mn-cs"/>
                              </a:defRPr>
                            </a:lvl5pPr>
                            <a:lvl6pPr marL="2286000" algn="l" defTabSz="457200" rtl="0" eaLnBrk="1" latinLnBrk="0" hangingPunct="1">
                              <a:defRPr sz="1800" kern="1200">
                                <a:solidFill>
                                  <a:schemeClr val="dk1"/>
                                </a:solidFill>
                                <a:latin typeface="+mn-lt"/>
                                <a:ea typeface="+mn-ea"/>
                                <a:cs typeface="+mn-cs"/>
                              </a:defRPr>
                            </a:lvl6pPr>
                            <a:lvl7pPr marL="2743200" algn="l" defTabSz="457200" rtl="0" eaLnBrk="1" latinLnBrk="0" hangingPunct="1">
                              <a:defRPr sz="1800" kern="1200">
                                <a:solidFill>
                                  <a:schemeClr val="dk1"/>
                                </a:solidFill>
                                <a:latin typeface="+mn-lt"/>
                                <a:ea typeface="+mn-ea"/>
                                <a:cs typeface="+mn-cs"/>
                              </a:defRPr>
                            </a:lvl7pPr>
                            <a:lvl8pPr marL="3200400" algn="l" defTabSz="457200" rtl="0" eaLnBrk="1" latinLnBrk="0" hangingPunct="1">
                              <a:defRPr sz="1800" kern="1200">
                                <a:solidFill>
                                  <a:schemeClr val="dk1"/>
                                </a:solidFill>
                                <a:latin typeface="+mn-lt"/>
                                <a:ea typeface="+mn-ea"/>
                                <a:cs typeface="+mn-cs"/>
                              </a:defRPr>
                            </a:lvl8pPr>
                            <a:lvl9pPr marL="3657600" algn="l" defTabSz="457200" rtl="0" eaLnBrk="1" latinLnBrk="0" hangingPunct="1">
                              <a:defRPr sz="1800" kern="1200">
                                <a:solidFill>
                                  <a:schemeClr val="dk1"/>
                                </a:solidFill>
                                <a:latin typeface="+mn-lt"/>
                                <a:ea typeface="+mn-ea"/>
                                <a:cs typeface="+mn-cs"/>
                              </a:defRPr>
                            </a:lvl9pPr>
                          </a:lstStyle>
                          <a:p>
                            <a:pPr algn="ctr"/>
                            <a:r>
                              <a:rPr lang="zh-CN" altLang="en-US" sz="1200" dirty="0">
                                <a:latin typeface="微软雅黑" panose="020B0503020204020204" pitchFamily="2" charset="-122"/>
                                <a:ea typeface="微软雅黑" panose="020B0503020204020204" pitchFamily="2" charset="-122"/>
                              </a:rPr>
                              <a:t>视觉能力</a:t>
                            </a:r>
                            <a:endParaRPr lang="en-US" altLang="zh-CN" sz="1200" dirty="0">
                              <a:latin typeface="微软雅黑" panose="020B0503020204020204" pitchFamily="2" charset="-122"/>
                              <a:ea typeface="微软雅黑" panose="020B0503020204020204" pitchFamily="2" charset="-122"/>
                            </a:endParaRPr>
                          </a:p>
                          <a:p>
                            <a:pPr algn="ctr"/>
                            <a:r>
                              <a:rPr lang="zh-CN" altLang="en-US" sz="1200" dirty="0">
                                <a:latin typeface="微软雅黑" panose="020B0503020204020204" pitchFamily="2" charset="-122"/>
                                <a:ea typeface="微软雅黑" panose="020B0503020204020204" pitchFamily="2" charset="-122"/>
                              </a:rPr>
                              <a:t>增强</a:t>
                            </a:r>
                            <a:endParaRPr lang="zh-CN" altLang="en-US" sz="1200" dirty="0">
                              <a:latin typeface="微软雅黑" panose="020B0503020204020204" pitchFamily="2" charset="-122"/>
                              <a:ea typeface="微软雅黑" panose="020B0503020204020204" pitchFamily="2" charset="-122"/>
                            </a:endParaRPr>
                          </a:p>
                        </a:txBody>
                        <a:useSpRect/>
                      </a:txSp>
                      <a:style>
                        <a:lnRef idx="2">
                          <a:schemeClr val="dk1"/>
                        </a:lnRef>
                        <a:fillRef idx="1">
                          <a:schemeClr val="lt1"/>
                        </a:fillRef>
                        <a:effectRef idx="0">
                          <a:schemeClr val="dk1"/>
                        </a:effectRef>
                        <a:fontRef idx="minor">
                          <a:schemeClr val="dk1"/>
                        </a:fontRef>
                      </a:style>
                    </a:sp>
                    <a:sp>
                      <a:nvSpPr>
                        <a:cNvPr id="74" name="文本框 73"/>
                        <a:cNvSpPr txBox="1"/>
                      </a:nvSpPr>
                      <a:spPr>
                        <a:xfrm>
                          <a:off x="9365503" y="3108564"/>
                          <a:ext cx="546379" cy="276983"/>
                        </a:xfrm>
                        <a:prstGeom prst="rect">
                          <a:avLst/>
                        </a:prstGeom>
                        <a:noFill/>
                        <a:ln>
                          <a:noFill/>
                        </a:ln>
                      </a:spPr>
                      <a:txSp>
                        <a:txBody>
                          <a:bodyPr wrap="square" rtlCol="0" anchor="ctr">
                            <a:spAutoFit/>
                          </a:bodyPr>
                          <a:lstStyle>
                            <a:defPPr>
                              <a:defRPr lang="en-US"/>
                            </a:defPPr>
                            <a:lvl1pPr marL="0" algn="l" defTabSz="457200" rtl="0" eaLnBrk="1" latinLnBrk="0" hangingPunct="1">
                              <a:defRPr sz="1800" kern="1200">
                                <a:solidFill>
                                  <a:schemeClr val="dk1"/>
                                </a:solidFill>
                                <a:latin typeface="+mn-lt"/>
                                <a:ea typeface="+mn-ea"/>
                                <a:cs typeface="+mn-cs"/>
                              </a:defRPr>
                            </a:lvl1pPr>
                            <a:lvl2pPr marL="457200" algn="l" defTabSz="457200" rtl="0" eaLnBrk="1" latinLnBrk="0" hangingPunct="1">
                              <a:defRPr sz="1800" kern="1200">
                                <a:solidFill>
                                  <a:schemeClr val="dk1"/>
                                </a:solidFill>
                                <a:latin typeface="+mn-lt"/>
                                <a:ea typeface="+mn-ea"/>
                                <a:cs typeface="+mn-cs"/>
                              </a:defRPr>
                            </a:lvl2pPr>
                            <a:lvl3pPr marL="914400" algn="l" defTabSz="457200" rtl="0" eaLnBrk="1" latinLnBrk="0" hangingPunct="1">
                              <a:defRPr sz="1800" kern="1200">
                                <a:solidFill>
                                  <a:schemeClr val="dk1"/>
                                </a:solidFill>
                                <a:latin typeface="+mn-lt"/>
                                <a:ea typeface="+mn-ea"/>
                                <a:cs typeface="+mn-cs"/>
                              </a:defRPr>
                            </a:lvl3pPr>
                            <a:lvl4pPr marL="1371600" algn="l" defTabSz="457200" rtl="0" eaLnBrk="1" latinLnBrk="0" hangingPunct="1">
                              <a:defRPr sz="1800" kern="1200">
                                <a:solidFill>
                                  <a:schemeClr val="dk1"/>
                                </a:solidFill>
                                <a:latin typeface="+mn-lt"/>
                                <a:ea typeface="+mn-ea"/>
                                <a:cs typeface="+mn-cs"/>
                              </a:defRPr>
                            </a:lvl4pPr>
                            <a:lvl5pPr marL="1828800" algn="l" defTabSz="457200" rtl="0" eaLnBrk="1" latinLnBrk="0" hangingPunct="1">
                              <a:defRPr sz="1800" kern="1200">
                                <a:solidFill>
                                  <a:schemeClr val="dk1"/>
                                </a:solidFill>
                                <a:latin typeface="+mn-lt"/>
                                <a:ea typeface="+mn-ea"/>
                                <a:cs typeface="+mn-cs"/>
                              </a:defRPr>
                            </a:lvl5pPr>
                            <a:lvl6pPr marL="2286000" algn="l" defTabSz="457200" rtl="0" eaLnBrk="1" latinLnBrk="0" hangingPunct="1">
                              <a:defRPr sz="1800" kern="1200">
                                <a:solidFill>
                                  <a:schemeClr val="dk1"/>
                                </a:solidFill>
                                <a:latin typeface="+mn-lt"/>
                                <a:ea typeface="+mn-ea"/>
                                <a:cs typeface="+mn-cs"/>
                              </a:defRPr>
                            </a:lvl6pPr>
                            <a:lvl7pPr marL="2743200" algn="l" defTabSz="457200" rtl="0" eaLnBrk="1" latinLnBrk="0" hangingPunct="1">
                              <a:defRPr sz="1800" kern="1200">
                                <a:solidFill>
                                  <a:schemeClr val="dk1"/>
                                </a:solidFill>
                                <a:latin typeface="+mn-lt"/>
                                <a:ea typeface="+mn-ea"/>
                                <a:cs typeface="+mn-cs"/>
                              </a:defRPr>
                            </a:lvl7pPr>
                            <a:lvl8pPr marL="3200400" algn="l" defTabSz="457200" rtl="0" eaLnBrk="1" latinLnBrk="0" hangingPunct="1">
                              <a:defRPr sz="1800" kern="1200">
                                <a:solidFill>
                                  <a:schemeClr val="dk1"/>
                                </a:solidFill>
                                <a:latin typeface="+mn-lt"/>
                                <a:ea typeface="+mn-ea"/>
                                <a:cs typeface="+mn-cs"/>
                              </a:defRPr>
                            </a:lvl8pPr>
                            <a:lvl9pPr marL="3657600" algn="l" defTabSz="457200" rtl="0" eaLnBrk="1" latinLnBrk="0" hangingPunct="1">
                              <a:defRPr sz="1800" kern="1200">
                                <a:solidFill>
                                  <a:schemeClr val="dk1"/>
                                </a:solidFill>
                                <a:latin typeface="+mn-lt"/>
                                <a:ea typeface="+mn-ea"/>
                                <a:cs typeface="+mn-cs"/>
                              </a:defRPr>
                            </a:lvl9pPr>
                          </a:lstStyle>
                          <a:p>
                            <a:pPr algn="ctr"/>
                            <a:r>
                              <a:rPr lang="en-US" altLang="zh-CN" sz="1200" b="1" dirty="0">
                                <a:latin typeface="微软雅黑" panose="020B0503020204020204" pitchFamily="2" charset="-122"/>
                                <a:ea typeface="微软雅黑" panose="020B0503020204020204" pitchFamily="2" charset="-122"/>
                              </a:rPr>
                              <a:t>AI</a:t>
                            </a:r>
                            <a:r>
                              <a:rPr lang="zh-CN" altLang="en-US" sz="1200" b="1" dirty="0">
                                <a:latin typeface="微软雅黑" panose="020B0503020204020204" pitchFamily="2" charset="-122"/>
                                <a:ea typeface="微软雅黑" panose="020B0503020204020204" pitchFamily="2" charset="-122"/>
                              </a:rPr>
                              <a:t>视觉能力服务管理</a:t>
                            </a:r>
                            <a:endParaRPr lang="zh-CN" altLang="en-US" sz="1200" b="1" dirty="0">
                              <a:latin typeface="微软雅黑" panose="020B0503020204020204" pitchFamily="2" charset="-122"/>
                              <a:ea typeface="微软雅黑" panose="020B0503020204020204" pitchFamily="2" charset="-122"/>
                            </a:endParaRPr>
                          </a:p>
                        </a:txBody>
                        <a:useSpRect/>
                      </a:txSp>
                      <a:style>
                        <a:lnRef idx="2">
                          <a:schemeClr val="dk1"/>
                        </a:lnRef>
                        <a:fillRef idx="1">
                          <a:schemeClr val="lt1"/>
                        </a:fillRef>
                        <a:effectRef idx="0">
                          <a:schemeClr val="dk1"/>
                        </a:effectRef>
                        <a:fontRef idx="minor">
                          <a:schemeClr val="dk1"/>
                        </a:fontRef>
                      </a:style>
                    </a:sp>
                  </a:grpSp>
                  <a:grpSp>
                    <a:nvGrpSpPr>
                      <a:cNvPr id="5" name="组合 96"/>
                      <a:cNvGrpSpPr/>
                    </a:nvGrpSpPr>
                    <a:grpSpPr>
                      <a:xfrm>
                        <a:off x="15931504" y="5968852"/>
                        <a:ext cx="7499709" cy="729843"/>
                        <a:chOff x="9365503" y="3097373"/>
                        <a:chExt cx="4218261" cy="437880"/>
                      </a:xfrm>
                    </a:grpSpPr>
                    <a:sp>
                      <a:nvSpPr>
                        <a:cNvPr id="98" name="矩形 97"/>
                        <a:cNvSpPr/>
                      </a:nvSpPr>
                      <a:spPr>
                        <a:xfrm>
                          <a:off x="9395671" y="3097373"/>
                          <a:ext cx="4188093" cy="437880"/>
                        </a:xfrm>
                        <a:prstGeom prst="rect">
                          <a:avLst/>
                        </a:prstGeom>
                        <a:ln w="6350"/>
                      </a:spPr>
                      <a:txSp>
                        <a:txBody>
                          <a:bodyPr rtlCol="0" anchor="t"/>
                          <a:lstStyle>
                            <a:defPPr>
                              <a:defRPr lang="en-US"/>
                            </a:defPPr>
                            <a:lvl1pPr marL="0" algn="l" defTabSz="457200" rtl="0" eaLnBrk="1" latinLnBrk="0" hangingPunct="1">
                              <a:defRPr sz="1800" kern="1200">
                                <a:solidFill>
                                  <a:schemeClr val="dk1"/>
                                </a:solidFill>
                                <a:latin typeface="+mn-lt"/>
                                <a:ea typeface="+mn-ea"/>
                                <a:cs typeface="+mn-cs"/>
                              </a:defRPr>
                            </a:lvl1pPr>
                            <a:lvl2pPr marL="457200" algn="l" defTabSz="457200" rtl="0" eaLnBrk="1" latinLnBrk="0" hangingPunct="1">
                              <a:defRPr sz="1800" kern="1200">
                                <a:solidFill>
                                  <a:schemeClr val="dk1"/>
                                </a:solidFill>
                                <a:latin typeface="+mn-lt"/>
                                <a:ea typeface="+mn-ea"/>
                                <a:cs typeface="+mn-cs"/>
                              </a:defRPr>
                            </a:lvl2pPr>
                            <a:lvl3pPr marL="914400" algn="l" defTabSz="457200" rtl="0" eaLnBrk="1" latinLnBrk="0" hangingPunct="1">
                              <a:defRPr sz="1800" kern="1200">
                                <a:solidFill>
                                  <a:schemeClr val="dk1"/>
                                </a:solidFill>
                                <a:latin typeface="+mn-lt"/>
                                <a:ea typeface="+mn-ea"/>
                                <a:cs typeface="+mn-cs"/>
                              </a:defRPr>
                            </a:lvl3pPr>
                            <a:lvl4pPr marL="1371600" algn="l" defTabSz="457200" rtl="0" eaLnBrk="1" latinLnBrk="0" hangingPunct="1">
                              <a:defRPr sz="1800" kern="1200">
                                <a:solidFill>
                                  <a:schemeClr val="dk1"/>
                                </a:solidFill>
                                <a:latin typeface="+mn-lt"/>
                                <a:ea typeface="+mn-ea"/>
                                <a:cs typeface="+mn-cs"/>
                              </a:defRPr>
                            </a:lvl4pPr>
                            <a:lvl5pPr marL="1828800" algn="l" defTabSz="457200" rtl="0" eaLnBrk="1" latinLnBrk="0" hangingPunct="1">
                              <a:defRPr sz="1800" kern="1200">
                                <a:solidFill>
                                  <a:schemeClr val="dk1"/>
                                </a:solidFill>
                                <a:latin typeface="+mn-lt"/>
                                <a:ea typeface="+mn-ea"/>
                                <a:cs typeface="+mn-cs"/>
                              </a:defRPr>
                            </a:lvl5pPr>
                            <a:lvl6pPr marL="2286000" algn="l" defTabSz="457200" rtl="0" eaLnBrk="1" latinLnBrk="0" hangingPunct="1">
                              <a:defRPr sz="1800" kern="1200">
                                <a:solidFill>
                                  <a:schemeClr val="dk1"/>
                                </a:solidFill>
                                <a:latin typeface="+mn-lt"/>
                                <a:ea typeface="+mn-ea"/>
                                <a:cs typeface="+mn-cs"/>
                              </a:defRPr>
                            </a:lvl6pPr>
                            <a:lvl7pPr marL="2743200" algn="l" defTabSz="457200" rtl="0" eaLnBrk="1" latinLnBrk="0" hangingPunct="1">
                              <a:defRPr sz="1800" kern="1200">
                                <a:solidFill>
                                  <a:schemeClr val="dk1"/>
                                </a:solidFill>
                                <a:latin typeface="+mn-lt"/>
                                <a:ea typeface="+mn-ea"/>
                                <a:cs typeface="+mn-cs"/>
                              </a:defRPr>
                            </a:lvl7pPr>
                            <a:lvl8pPr marL="3200400" algn="l" defTabSz="457200" rtl="0" eaLnBrk="1" latinLnBrk="0" hangingPunct="1">
                              <a:defRPr sz="1800" kern="1200">
                                <a:solidFill>
                                  <a:schemeClr val="dk1"/>
                                </a:solidFill>
                                <a:latin typeface="+mn-lt"/>
                                <a:ea typeface="+mn-ea"/>
                                <a:cs typeface="+mn-cs"/>
                              </a:defRPr>
                            </a:lvl8pPr>
                            <a:lvl9pPr marL="3657600" algn="l" defTabSz="457200" rtl="0" eaLnBrk="1" latinLnBrk="0" hangingPunct="1">
                              <a:defRPr sz="1800" kern="1200">
                                <a:solidFill>
                                  <a:schemeClr val="dk1"/>
                                </a:solidFill>
                                <a:latin typeface="+mn-lt"/>
                                <a:ea typeface="+mn-ea"/>
                                <a:cs typeface="+mn-cs"/>
                              </a:defRPr>
                            </a:lvl9pPr>
                          </a:lstStyle>
                          <a:p>
                            <a:pPr algn="ctr"/>
                            <a:endParaRPr lang="zh-CN" altLang="en-US" sz="1200" b="1" dirty="0">
                              <a:latin typeface="微软雅黑" panose="020B0503020204020204" pitchFamily="2" charset="-122"/>
                              <a:ea typeface="微软雅黑" panose="020B0503020204020204" pitchFamily="2" charset="-122"/>
                            </a:endParaRPr>
                          </a:p>
                        </a:txBody>
                        <a:useSpRect/>
                      </a:txSp>
                      <a:style>
                        <a:lnRef idx="2">
                          <a:schemeClr val="dk1"/>
                        </a:lnRef>
                        <a:fillRef idx="1">
                          <a:schemeClr val="lt1"/>
                        </a:fillRef>
                        <a:effectRef idx="0">
                          <a:schemeClr val="dk1"/>
                        </a:effectRef>
                        <a:fontRef idx="minor">
                          <a:schemeClr val="dk1"/>
                        </a:fontRef>
                      </a:style>
                    </a:sp>
                    <a:sp>
                      <a:nvSpPr>
                        <a:cNvPr id="99" name="矩形 98"/>
                        <a:cNvSpPr/>
                      </a:nvSpPr>
                      <a:spPr>
                        <a:xfrm>
                          <a:off x="9944765" y="3169693"/>
                          <a:ext cx="818442" cy="300599"/>
                        </a:xfrm>
                        <a:prstGeom prst="rect">
                          <a:avLst/>
                        </a:prstGeom>
                        <a:ln w="6350"/>
                      </a:spPr>
                      <a:txSp>
                        <a:txBody>
                          <a:bodyPr rtlCol="0" anchor="ctr"/>
                          <a:lstStyle>
                            <a:defPPr>
                              <a:defRPr lang="en-US"/>
                            </a:defPPr>
                            <a:lvl1pPr marL="0" algn="l" defTabSz="457200" rtl="0" eaLnBrk="1" latinLnBrk="0" hangingPunct="1">
                              <a:defRPr sz="1800" kern="1200">
                                <a:solidFill>
                                  <a:schemeClr val="dk1"/>
                                </a:solidFill>
                                <a:latin typeface="+mn-lt"/>
                                <a:ea typeface="+mn-ea"/>
                                <a:cs typeface="+mn-cs"/>
                              </a:defRPr>
                            </a:lvl1pPr>
                            <a:lvl2pPr marL="457200" algn="l" defTabSz="457200" rtl="0" eaLnBrk="1" latinLnBrk="0" hangingPunct="1">
                              <a:defRPr sz="1800" kern="1200">
                                <a:solidFill>
                                  <a:schemeClr val="dk1"/>
                                </a:solidFill>
                                <a:latin typeface="+mn-lt"/>
                                <a:ea typeface="+mn-ea"/>
                                <a:cs typeface="+mn-cs"/>
                              </a:defRPr>
                            </a:lvl2pPr>
                            <a:lvl3pPr marL="914400" algn="l" defTabSz="457200" rtl="0" eaLnBrk="1" latinLnBrk="0" hangingPunct="1">
                              <a:defRPr sz="1800" kern="1200">
                                <a:solidFill>
                                  <a:schemeClr val="dk1"/>
                                </a:solidFill>
                                <a:latin typeface="+mn-lt"/>
                                <a:ea typeface="+mn-ea"/>
                                <a:cs typeface="+mn-cs"/>
                              </a:defRPr>
                            </a:lvl3pPr>
                            <a:lvl4pPr marL="1371600" algn="l" defTabSz="457200" rtl="0" eaLnBrk="1" latinLnBrk="0" hangingPunct="1">
                              <a:defRPr sz="1800" kern="1200">
                                <a:solidFill>
                                  <a:schemeClr val="dk1"/>
                                </a:solidFill>
                                <a:latin typeface="+mn-lt"/>
                                <a:ea typeface="+mn-ea"/>
                                <a:cs typeface="+mn-cs"/>
                              </a:defRPr>
                            </a:lvl4pPr>
                            <a:lvl5pPr marL="1828800" algn="l" defTabSz="457200" rtl="0" eaLnBrk="1" latinLnBrk="0" hangingPunct="1">
                              <a:defRPr sz="1800" kern="1200">
                                <a:solidFill>
                                  <a:schemeClr val="dk1"/>
                                </a:solidFill>
                                <a:latin typeface="+mn-lt"/>
                                <a:ea typeface="+mn-ea"/>
                                <a:cs typeface="+mn-cs"/>
                              </a:defRPr>
                            </a:lvl5pPr>
                            <a:lvl6pPr marL="2286000" algn="l" defTabSz="457200" rtl="0" eaLnBrk="1" latinLnBrk="0" hangingPunct="1">
                              <a:defRPr sz="1800" kern="1200">
                                <a:solidFill>
                                  <a:schemeClr val="dk1"/>
                                </a:solidFill>
                                <a:latin typeface="+mn-lt"/>
                                <a:ea typeface="+mn-ea"/>
                                <a:cs typeface="+mn-cs"/>
                              </a:defRPr>
                            </a:lvl6pPr>
                            <a:lvl7pPr marL="2743200" algn="l" defTabSz="457200" rtl="0" eaLnBrk="1" latinLnBrk="0" hangingPunct="1">
                              <a:defRPr sz="1800" kern="1200">
                                <a:solidFill>
                                  <a:schemeClr val="dk1"/>
                                </a:solidFill>
                                <a:latin typeface="+mn-lt"/>
                                <a:ea typeface="+mn-ea"/>
                                <a:cs typeface="+mn-cs"/>
                              </a:defRPr>
                            </a:lvl7pPr>
                            <a:lvl8pPr marL="3200400" algn="l" defTabSz="457200" rtl="0" eaLnBrk="1" latinLnBrk="0" hangingPunct="1">
                              <a:defRPr sz="1800" kern="1200">
                                <a:solidFill>
                                  <a:schemeClr val="dk1"/>
                                </a:solidFill>
                                <a:latin typeface="+mn-lt"/>
                                <a:ea typeface="+mn-ea"/>
                                <a:cs typeface="+mn-cs"/>
                              </a:defRPr>
                            </a:lvl8pPr>
                            <a:lvl9pPr marL="3657600" algn="l" defTabSz="457200" rtl="0" eaLnBrk="1" latinLnBrk="0" hangingPunct="1">
                              <a:defRPr sz="1800" kern="1200">
                                <a:solidFill>
                                  <a:schemeClr val="dk1"/>
                                </a:solidFill>
                                <a:latin typeface="+mn-lt"/>
                                <a:ea typeface="+mn-ea"/>
                                <a:cs typeface="+mn-cs"/>
                              </a:defRPr>
                            </a:lvl9pPr>
                          </a:lstStyle>
                          <a:p>
                            <a:pPr algn="ctr"/>
                            <a:r>
                              <a:rPr lang="zh-CN" altLang="en-US" sz="1200" dirty="0">
                                <a:latin typeface="微软雅黑" panose="020B0503020204020204" pitchFamily="2" charset="-122"/>
                                <a:ea typeface="微软雅黑" panose="020B0503020204020204" pitchFamily="2" charset="-122"/>
                              </a:rPr>
                              <a:t>视觉知识处理</a:t>
                            </a:r>
                            <a:endParaRPr lang="zh-CN" altLang="en-US" sz="1200" dirty="0">
                              <a:latin typeface="微软雅黑" panose="020B0503020204020204" pitchFamily="2" charset="-122"/>
                              <a:ea typeface="微软雅黑" panose="020B0503020204020204" pitchFamily="2" charset="-122"/>
                            </a:endParaRPr>
                          </a:p>
                        </a:txBody>
                        <a:useSpRect/>
                      </a:txSp>
                      <a:style>
                        <a:lnRef idx="2">
                          <a:schemeClr val="dk1"/>
                        </a:lnRef>
                        <a:fillRef idx="1">
                          <a:schemeClr val="lt1"/>
                        </a:fillRef>
                        <a:effectRef idx="0">
                          <a:schemeClr val="dk1"/>
                        </a:effectRef>
                        <a:fontRef idx="minor">
                          <a:schemeClr val="dk1"/>
                        </a:fontRef>
                      </a:style>
                    </a:sp>
                    <a:sp>
                      <a:nvSpPr>
                        <a:cNvPr id="100" name="矩形 99"/>
                        <a:cNvSpPr/>
                      </a:nvSpPr>
                      <a:spPr>
                        <a:xfrm>
                          <a:off x="10863519" y="3169692"/>
                          <a:ext cx="818442" cy="300599"/>
                        </a:xfrm>
                        <a:prstGeom prst="rect">
                          <a:avLst/>
                        </a:prstGeom>
                        <a:ln w="6350"/>
                      </a:spPr>
                      <a:txSp>
                        <a:txBody>
                          <a:bodyPr rtlCol="0" anchor="ctr"/>
                          <a:lstStyle>
                            <a:defPPr>
                              <a:defRPr lang="en-US"/>
                            </a:defPPr>
                            <a:lvl1pPr marL="0" algn="l" defTabSz="457200" rtl="0" eaLnBrk="1" latinLnBrk="0" hangingPunct="1">
                              <a:defRPr sz="1800" kern="1200">
                                <a:solidFill>
                                  <a:schemeClr val="dk1"/>
                                </a:solidFill>
                                <a:latin typeface="+mn-lt"/>
                                <a:ea typeface="+mn-ea"/>
                                <a:cs typeface="+mn-cs"/>
                              </a:defRPr>
                            </a:lvl1pPr>
                            <a:lvl2pPr marL="457200" algn="l" defTabSz="457200" rtl="0" eaLnBrk="1" latinLnBrk="0" hangingPunct="1">
                              <a:defRPr sz="1800" kern="1200">
                                <a:solidFill>
                                  <a:schemeClr val="dk1"/>
                                </a:solidFill>
                                <a:latin typeface="+mn-lt"/>
                                <a:ea typeface="+mn-ea"/>
                                <a:cs typeface="+mn-cs"/>
                              </a:defRPr>
                            </a:lvl2pPr>
                            <a:lvl3pPr marL="914400" algn="l" defTabSz="457200" rtl="0" eaLnBrk="1" latinLnBrk="0" hangingPunct="1">
                              <a:defRPr sz="1800" kern="1200">
                                <a:solidFill>
                                  <a:schemeClr val="dk1"/>
                                </a:solidFill>
                                <a:latin typeface="+mn-lt"/>
                                <a:ea typeface="+mn-ea"/>
                                <a:cs typeface="+mn-cs"/>
                              </a:defRPr>
                            </a:lvl3pPr>
                            <a:lvl4pPr marL="1371600" algn="l" defTabSz="457200" rtl="0" eaLnBrk="1" latinLnBrk="0" hangingPunct="1">
                              <a:defRPr sz="1800" kern="1200">
                                <a:solidFill>
                                  <a:schemeClr val="dk1"/>
                                </a:solidFill>
                                <a:latin typeface="+mn-lt"/>
                                <a:ea typeface="+mn-ea"/>
                                <a:cs typeface="+mn-cs"/>
                              </a:defRPr>
                            </a:lvl4pPr>
                            <a:lvl5pPr marL="1828800" algn="l" defTabSz="457200" rtl="0" eaLnBrk="1" latinLnBrk="0" hangingPunct="1">
                              <a:defRPr sz="1800" kern="1200">
                                <a:solidFill>
                                  <a:schemeClr val="dk1"/>
                                </a:solidFill>
                                <a:latin typeface="+mn-lt"/>
                                <a:ea typeface="+mn-ea"/>
                                <a:cs typeface="+mn-cs"/>
                              </a:defRPr>
                            </a:lvl5pPr>
                            <a:lvl6pPr marL="2286000" algn="l" defTabSz="457200" rtl="0" eaLnBrk="1" latinLnBrk="0" hangingPunct="1">
                              <a:defRPr sz="1800" kern="1200">
                                <a:solidFill>
                                  <a:schemeClr val="dk1"/>
                                </a:solidFill>
                                <a:latin typeface="+mn-lt"/>
                                <a:ea typeface="+mn-ea"/>
                                <a:cs typeface="+mn-cs"/>
                              </a:defRPr>
                            </a:lvl6pPr>
                            <a:lvl7pPr marL="2743200" algn="l" defTabSz="457200" rtl="0" eaLnBrk="1" latinLnBrk="0" hangingPunct="1">
                              <a:defRPr sz="1800" kern="1200">
                                <a:solidFill>
                                  <a:schemeClr val="dk1"/>
                                </a:solidFill>
                                <a:latin typeface="+mn-lt"/>
                                <a:ea typeface="+mn-ea"/>
                                <a:cs typeface="+mn-cs"/>
                              </a:defRPr>
                            </a:lvl7pPr>
                            <a:lvl8pPr marL="3200400" algn="l" defTabSz="457200" rtl="0" eaLnBrk="1" latinLnBrk="0" hangingPunct="1">
                              <a:defRPr sz="1800" kern="1200">
                                <a:solidFill>
                                  <a:schemeClr val="dk1"/>
                                </a:solidFill>
                                <a:latin typeface="+mn-lt"/>
                                <a:ea typeface="+mn-ea"/>
                                <a:cs typeface="+mn-cs"/>
                              </a:defRPr>
                            </a:lvl8pPr>
                            <a:lvl9pPr marL="3657600" algn="l" defTabSz="457200" rtl="0" eaLnBrk="1" latinLnBrk="0" hangingPunct="1">
                              <a:defRPr sz="1800" kern="1200">
                                <a:solidFill>
                                  <a:schemeClr val="dk1"/>
                                </a:solidFill>
                                <a:latin typeface="+mn-lt"/>
                                <a:ea typeface="+mn-ea"/>
                                <a:cs typeface="+mn-cs"/>
                              </a:defRPr>
                            </a:lvl9pPr>
                          </a:lstStyle>
                          <a:p>
                            <a:pPr algn="ctr"/>
                            <a:r>
                              <a:rPr lang="zh-CN" altLang="en-US" sz="1200" dirty="0">
                                <a:latin typeface="微软雅黑" panose="020B0503020204020204" pitchFamily="2" charset="-122"/>
                                <a:ea typeface="微软雅黑" panose="020B0503020204020204" pitchFamily="2" charset="-122"/>
                              </a:rPr>
                              <a:t>视觉知识服务</a:t>
                            </a:r>
                            <a:endParaRPr lang="zh-CN" altLang="en-US" sz="1200" dirty="0">
                              <a:latin typeface="微软雅黑" panose="020B0503020204020204" pitchFamily="2" charset="-122"/>
                              <a:ea typeface="微软雅黑" panose="020B0503020204020204" pitchFamily="2" charset="-122"/>
                            </a:endParaRPr>
                          </a:p>
                        </a:txBody>
                        <a:useSpRect/>
                      </a:txSp>
                      <a:style>
                        <a:lnRef idx="2">
                          <a:schemeClr val="dk1"/>
                        </a:lnRef>
                        <a:fillRef idx="1">
                          <a:schemeClr val="lt1"/>
                        </a:fillRef>
                        <a:effectRef idx="0">
                          <a:schemeClr val="dk1"/>
                        </a:effectRef>
                        <a:fontRef idx="minor">
                          <a:schemeClr val="dk1"/>
                        </a:fontRef>
                      </a:style>
                    </a:sp>
                    <a:sp>
                      <a:nvSpPr>
                        <a:cNvPr id="101" name="矩形 100"/>
                        <a:cNvSpPr/>
                      </a:nvSpPr>
                      <a:spPr>
                        <a:xfrm>
                          <a:off x="11782273" y="3169692"/>
                          <a:ext cx="818442" cy="300599"/>
                        </a:xfrm>
                        <a:prstGeom prst="rect">
                          <a:avLst/>
                        </a:prstGeom>
                        <a:ln w="6350"/>
                      </a:spPr>
                      <a:txSp>
                        <a:txBody>
                          <a:bodyPr rtlCol="0" anchor="ctr"/>
                          <a:lstStyle>
                            <a:defPPr>
                              <a:defRPr lang="en-US"/>
                            </a:defPPr>
                            <a:lvl1pPr marL="0" algn="l" defTabSz="457200" rtl="0" eaLnBrk="1" latinLnBrk="0" hangingPunct="1">
                              <a:defRPr sz="1800" kern="1200">
                                <a:solidFill>
                                  <a:schemeClr val="dk1"/>
                                </a:solidFill>
                                <a:latin typeface="+mn-lt"/>
                                <a:ea typeface="+mn-ea"/>
                                <a:cs typeface="+mn-cs"/>
                              </a:defRPr>
                            </a:lvl1pPr>
                            <a:lvl2pPr marL="457200" algn="l" defTabSz="457200" rtl="0" eaLnBrk="1" latinLnBrk="0" hangingPunct="1">
                              <a:defRPr sz="1800" kern="1200">
                                <a:solidFill>
                                  <a:schemeClr val="dk1"/>
                                </a:solidFill>
                                <a:latin typeface="+mn-lt"/>
                                <a:ea typeface="+mn-ea"/>
                                <a:cs typeface="+mn-cs"/>
                              </a:defRPr>
                            </a:lvl2pPr>
                            <a:lvl3pPr marL="914400" algn="l" defTabSz="457200" rtl="0" eaLnBrk="1" latinLnBrk="0" hangingPunct="1">
                              <a:defRPr sz="1800" kern="1200">
                                <a:solidFill>
                                  <a:schemeClr val="dk1"/>
                                </a:solidFill>
                                <a:latin typeface="+mn-lt"/>
                                <a:ea typeface="+mn-ea"/>
                                <a:cs typeface="+mn-cs"/>
                              </a:defRPr>
                            </a:lvl3pPr>
                            <a:lvl4pPr marL="1371600" algn="l" defTabSz="457200" rtl="0" eaLnBrk="1" latinLnBrk="0" hangingPunct="1">
                              <a:defRPr sz="1800" kern="1200">
                                <a:solidFill>
                                  <a:schemeClr val="dk1"/>
                                </a:solidFill>
                                <a:latin typeface="+mn-lt"/>
                                <a:ea typeface="+mn-ea"/>
                                <a:cs typeface="+mn-cs"/>
                              </a:defRPr>
                            </a:lvl4pPr>
                            <a:lvl5pPr marL="1828800" algn="l" defTabSz="457200" rtl="0" eaLnBrk="1" latinLnBrk="0" hangingPunct="1">
                              <a:defRPr sz="1800" kern="1200">
                                <a:solidFill>
                                  <a:schemeClr val="dk1"/>
                                </a:solidFill>
                                <a:latin typeface="+mn-lt"/>
                                <a:ea typeface="+mn-ea"/>
                                <a:cs typeface="+mn-cs"/>
                              </a:defRPr>
                            </a:lvl5pPr>
                            <a:lvl6pPr marL="2286000" algn="l" defTabSz="457200" rtl="0" eaLnBrk="1" latinLnBrk="0" hangingPunct="1">
                              <a:defRPr sz="1800" kern="1200">
                                <a:solidFill>
                                  <a:schemeClr val="dk1"/>
                                </a:solidFill>
                                <a:latin typeface="+mn-lt"/>
                                <a:ea typeface="+mn-ea"/>
                                <a:cs typeface="+mn-cs"/>
                              </a:defRPr>
                            </a:lvl6pPr>
                            <a:lvl7pPr marL="2743200" algn="l" defTabSz="457200" rtl="0" eaLnBrk="1" latinLnBrk="0" hangingPunct="1">
                              <a:defRPr sz="1800" kern="1200">
                                <a:solidFill>
                                  <a:schemeClr val="dk1"/>
                                </a:solidFill>
                                <a:latin typeface="+mn-lt"/>
                                <a:ea typeface="+mn-ea"/>
                                <a:cs typeface="+mn-cs"/>
                              </a:defRPr>
                            </a:lvl7pPr>
                            <a:lvl8pPr marL="3200400" algn="l" defTabSz="457200" rtl="0" eaLnBrk="1" latinLnBrk="0" hangingPunct="1">
                              <a:defRPr sz="1800" kern="1200">
                                <a:solidFill>
                                  <a:schemeClr val="dk1"/>
                                </a:solidFill>
                                <a:latin typeface="+mn-lt"/>
                                <a:ea typeface="+mn-ea"/>
                                <a:cs typeface="+mn-cs"/>
                              </a:defRPr>
                            </a:lvl8pPr>
                            <a:lvl9pPr marL="3657600" algn="l" defTabSz="457200" rtl="0" eaLnBrk="1" latinLnBrk="0" hangingPunct="1">
                              <a:defRPr sz="1800" kern="1200">
                                <a:solidFill>
                                  <a:schemeClr val="dk1"/>
                                </a:solidFill>
                                <a:latin typeface="+mn-lt"/>
                                <a:ea typeface="+mn-ea"/>
                                <a:cs typeface="+mn-cs"/>
                              </a:defRPr>
                            </a:lvl9pPr>
                          </a:lstStyle>
                          <a:p>
                            <a:pPr algn="ctr"/>
                            <a:r>
                              <a:rPr lang="zh-CN" altLang="en-US" sz="1200" dirty="0">
                                <a:latin typeface="微软雅黑" panose="020B0503020204020204" pitchFamily="2" charset="-122"/>
                                <a:ea typeface="微软雅黑" panose="020B0503020204020204" pitchFamily="2" charset="-122"/>
                              </a:rPr>
                              <a:t>通用智能体专业知识库</a:t>
                            </a:r>
                            <a:endParaRPr lang="zh-CN" altLang="en-US" sz="1200" dirty="0">
                              <a:latin typeface="微软雅黑" panose="020B0503020204020204" pitchFamily="2" charset="-122"/>
                              <a:ea typeface="微软雅黑" panose="020B0503020204020204" pitchFamily="2" charset="-122"/>
                            </a:endParaRPr>
                          </a:p>
                        </a:txBody>
                        <a:useSpRect/>
                      </a:txSp>
                      <a:style>
                        <a:lnRef idx="2">
                          <a:schemeClr val="dk1"/>
                        </a:lnRef>
                        <a:fillRef idx="1">
                          <a:schemeClr val="lt1"/>
                        </a:fillRef>
                        <a:effectRef idx="0">
                          <a:schemeClr val="dk1"/>
                        </a:effectRef>
                        <a:fontRef idx="minor">
                          <a:schemeClr val="dk1"/>
                        </a:fontRef>
                      </a:style>
                    </a:sp>
                    <a:sp>
                      <a:nvSpPr>
                        <a:cNvPr id="102" name="矩形 101"/>
                        <a:cNvSpPr/>
                      </a:nvSpPr>
                      <a:spPr>
                        <a:xfrm>
                          <a:off x="12701028" y="3169692"/>
                          <a:ext cx="821733" cy="300599"/>
                        </a:xfrm>
                        <a:prstGeom prst="rect">
                          <a:avLst/>
                        </a:prstGeom>
                        <a:ln w="6350"/>
                      </a:spPr>
                      <a:txSp>
                        <a:txBody>
                          <a:bodyPr rtlCol="0" anchor="ctr"/>
                          <a:lstStyle>
                            <a:defPPr>
                              <a:defRPr lang="en-US"/>
                            </a:defPPr>
                            <a:lvl1pPr marL="0" algn="l" defTabSz="457200" rtl="0" eaLnBrk="1" latinLnBrk="0" hangingPunct="1">
                              <a:defRPr sz="1800" kern="1200">
                                <a:solidFill>
                                  <a:schemeClr val="dk1"/>
                                </a:solidFill>
                                <a:latin typeface="+mn-lt"/>
                                <a:ea typeface="+mn-ea"/>
                                <a:cs typeface="+mn-cs"/>
                              </a:defRPr>
                            </a:lvl1pPr>
                            <a:lvl2pPr marL="457200" algn="l" defTabSz="457200" rtl="0" eaLnBrk="1" latinLnBrk="0" hangingPunct="1">
                              <a:defRPr sz="1800" kern="1200">
                                <a:solidFill>
                                  <a:schemeClr val="dk1"/>
                                </a:solidFill>
                                <a:latin typeface="+mn-lt"/>
                                <a:ea typeface="+mn-ea"/>
                                <a:cs typeface="+mn-cs"/>
                              </a:defRPr>
                            </a:lvl2pPr>
                            <a:lvl3pPr marL="914400" algn="l" defTabSz="457200" rtl="0" eaLnBrk="1" latinLnBrk="0" hangingPunct="1">
                              <a:defRPr sz="1800" kern="1200">
                                <a:solidFill>
                                  <a:schemeClr val="dk1"/>
                                </a:solidFill>
                                <a:latin typeface="+mn-lt"/>
                                <a:ea typeface="+mn-ea"/>
                                <a:cs typeface="+mn-cs"/>
                              </a:defRPr>
                            </a:lvl3pPr>
                            <a:lvl4pPr marL="1371600" algn="l" defTabSz="457200" rtl="0" eaLnBrk="1" latinLnBrk="0" hangingPunct="1">
                              <a:defRPr sz="1800" kern="1200">
                                <a:solidFill>
                                  <a:schemeClr val="dk1"/>
                                </a:solidFill>
                                <a:latin typeface="+mn-lt"/>
                                <a:ea typeface="+mn-ea"/>
                                <a:cs typeface="+mn-cs"/>
                              </a:defRPr>
                            </a:lvl4pPr>
                            <a:lvl5pPr marL="1828800" algn="l" defTabSz="457200" rtl="0" eaLnBrk="1" latinLnBrk="0" hangingPunct="1">
                              <a:defRPr sz="1800" kern="1200">
                                <a:solidFill>
                                  <a:schemeClr val="dk1"/>
                                </a:solidFill>
                                <a:latin typeface="+mn-lt"/>
                                <a:ea typeface="+mn-ea"/>
                                <a:cs typeface="+mn-cs"/>
                              </a:defRPr>
                            </a:lvl5pPr>
                            <a:lvl6pPr marL="2286000" algn="l" defTabSz="457200" rtl="0" eaLnBrk="1" latinLnBrk="0" hangingPunct="1">
                              <a:defRPr sz="1800" kern="1200">
                                <a:solidFill>
                                  <a:schemeClr val="dk1"/>
                                </a:solidFill>
                                <a:latin typeface="+mn-lt"/>
                                <a:ea typeface="+mn-ea"/>
                                <a:cs typeface="+mn-cs"/>
                              </a:defRPr>
                            </a:lvl6pPr>
                            <a:lvl7pPr marL="2743200" algn="l" defTabSz="457200" rtl="0" eaLnBrk="1" latinLnBrk="0" hangingPunct="1">
                              <a:defRPr sz="1800" kern="1200">
                                <a:solidFill>
                                  <a:schemeClr val="dk1"/>
                                </a:solidFill>
                                <a:latin typeface="+mn-lt"/>
                                <a:ea typeface="+mn-ea"/>
                                <a:cs typeface="+mn-cs"/>
                              </a:defRPr>
                            </a:lvl7pPr>
                            <a:lvl8pPr marL="3200400" algn="l" defTabSz="457200" rtl="0" eaLnBrk="1" latinLnBrk="0" hangingPunct="1">
                              <a:defRPr sz="1800" kern="1200">
                                <a:solidFill>
                                  <a:schemeClr val="dk1"/>
                                </a:solidFill>
                                <a:latin typeface="+mn-lt"/>
                                <a:ea typeface="+mn-ea"/>
                                <a:cs typeface="+mn-cs"/>
                              </a:defRPr>
                            </a:lvl8pPr>
                            <a:lvl9pPr marL="3657600" algn="l" defTabSz="457200" rtl="0" eaLnBrk="1" latinLnBrk="0" hangingPunct="1">
                              <a:defRPr sz="1800" kern="1200">
                                <a:solidFill>
                                  <a:schemeClr val="dk1"/>
                                </a:solidFill>
                                <a:latin typeface="+mn-lt"/>
                                <a:ea typeface="+mn-ea"/>
                                <a:cs typeface="+mn-cs"/>
                              </a:defRPr>
                            </a:lvl9pPr>
                          </a:lstStyle>
                          <a:p>
                            <a:pPr algn="ctr"/>
                            <a:r>
                              <a:rPr lang="zh-CN" altLang="en-US" sz="1200" dirty="0">
                                <a:latin typeface="微软雅黑" panose="020B0503020204020204" pitchFamily="2" charset="-122"/>
                                <a:ea typeface="微软雅黑" panose="020B0503020204020204" pitchFamily="2" charset="-122"/>
                              </a:rPr>
                              <a:t>视觉知识存储</a:t>
                            </a:r>
                            <a:endParaRPr lang="en-US" altLang="zh-CN" sz="1200" dirty="0">
                              <a:latin typeface="微软雅黑" panose="020B0503020204020204" pitchFamily="2" charset="-122"/>
                              <a:ea typeface="微软雅黑" panose="020B0503020204020204" pitchFamily="2" charset="-122"/>
                            </a:endParaRPr>
                          </a:p>
                          <a:p>
                            <a:pPr algn="ctr"/>
                            <a:r>
                              <a:rPr lang="zh-CN" altLang="en-US" sz="1200" dirty="0">
                                <a:latin typeface="微软雅黑" panose="020B0503020204020204" pitchFamily="2" charset="-122"/>
                                <a:ea typeface="微软雅黑" panose="020B0503020204020204" pitchFamily="2" charset="-122"/>
                              </a:rPr>
                              <a:t>管理</a:t>
                            </a:r>
                            <a:endParaRPr lang="zh-CN" altLang="en-US" sz="1200" dirty="0">
                              <a:latin typeface="微软雅黑" panose="020B0503020204020204" pitchFamily="2" charset="-122"/>
                              <a:ea typeface="微软雅黑" panose="020B0503020204020204" pitchFamily="2" charset="-122"/>
                            </a:endParaRPr>
                          </a:p>
                        </a:txBody>
                        <a:useSpRect/>
                      </a:txSp>
                      <a:style>
                        <a:lnRef idx="2">
                          <a:schemeClr val="dk1"/>
                        </a:lnRef>
                        <a:fillRef idx="1">
                          <a:schemeClr val="lt1"/>
                        </a:fillRef>
                        <a:effectRef idx="0">
                          <a:schemeClr val="dk1"/>
                        </a:effectRef>
                        <a:fontRef idx="minor">
                          <a:schemeClr val="dk1"/>
                        </a:fontRef>
                      </a:style>
                    </a:sp>
                    <a:sp>
                      <a:nvSpPr>
                        <a:cNvPr id="103" name="文本框 102"/>
                        <a:cNvSpPr txBox="1"/>
                      </a:nvSpPr>
                      <a:spPr>
                        <a:xfrm>
                          <a:off x="9365503" y="3108564"/>
                          <a:ext cx="546379" cy="387776"/>
                        </a:xfrm>
                        <a:prstGeom prst="rect">
                          <a:avLst/>
                        </a:prstGeom>
                        <a:noFill/>
                        <a:ln>
                          <a:noFill/>
                        </a:ln>
                      </a:spPr>
                      <a:txSp>
                        <a:txBody>
                          <a:bodyPr wrap="square" rtlCol="0" anchor="ctr">
                            <a:spAutoFit/>
                          </a:bodyPr>
                          <a:lstStyle>
                            <a:defPPr>
                              <a:defRPr lang="en-US"/>
                            </a:defPPr>
                            <a:lvl1pPr marL="0" algn="l" defTabSz="457200" rtl="0" eaLnBrk="1" latinLnBrk="0" hangingPunct="1">
                              <a:defRPr sz="1800" kern="1200">
                                <a:solidFill>
                                  <a:schemeClr val="dk1"/>
                                </a:solidFill>
                                <a:latin typeface="+mn-lt"/>
                                <a:ea typeface="+mn-ea"/>
                                <a:cs typeface="+mn-cs"/>
                              </a:defRPr>
                            </a:lvl1pPr>
                            <a:lvl2pPr marL="457200" algn="l" defTabSz="457200" rtl="0" eaLnBrk="1" latinLnBrk="0" hangingPunct="1">
                              <a:defRPr sz="1800" kern="1200">
                                <a:solidFill>
                                  <a:schemeClr val="dk1"/>
                                </a:solidFill>
                                <a:latin typeface="+mn-lt"/>
                                <a:ea typeface="+mn-ea"/>
                                <a:cs typeface="+mn-cs"/>
                              </a:defRPr>
                            </a:lvl2pPr>
                            <a:lvl3pPr marL="914400" algn="l" defTabSz="457200" rtl="0" eaLnBrk="1" latinLnBrk="0" hangingPunct="1">
                              <a:defRPr sz="1800" kern="1200">
                                <a:solidFill>
                                  <a:schemeClr val="dk1"/>
                                </a:solidFill>
                                <a:latin typeface="+mn-lt"/>
                                <a:ea typeface="+mn-ea"/>
                                <a:cs typeface="+mn-cs"/>
                              </a:defRPr>
                            </a:lvl3pPr>
                            <a:lvl4pPr marL="1371600" algn="l" defTabSz="457200" rtl="0" eaLnBrk="1" latinLnBrk="0" hangingPunct="1">
                              <a:defRPr sz="1800" kern="1200">
                                <a:solidFill>
                                  <a:schemeClr val="dk1"/>
                                </a:solidFill>
                                <a:latin typeface="+mn-lt"/>
                                <a:ea typeface="+mn-ea"/>
                                <a:cs typeface="+mn-cs"/>
                              </a:defRPr>
                            </a:lvl4pPr>
                            <a:lvl5pPr marL="1828800" algn="l" defTabSz="457200" rtl="0" eaLnBrk="1" latinLnBrk="0" hangingPunct="1">
                              <a:defRPr sz="1800" kern="1200">
                                <a:solidFill>
                                  <a:schemeClr val="dk1"/>
                                </a:solidFill>
                                <a:latin typeface="+mn-lt"/>
                                <a:ea typeface="+mn-ea"/>
                                <a:cs typeface="+mn-cs"/>
                              </a:defRPr>
                            </a:lvl5pPr>
                            <a:lvl6pPr marL="2286000" algn="l" defTabSz="457200" rtl="0" eaLnBrk="1" latinLnBrk="0" hangingPunct="1">
                              <a:defRPr sz="1800" kern="1200">
                                <a:solidFill>
                                  <a:schemeClr val="dk1"/>
                                </a:solidFill>
                                <a:latin typeface="+mn-lt"/>
                                <a:ea typeface="+mn-ea"/>
                                <a:cs typeface="+mn-cs"/>
                              </a:defRPr>
                            </a:lvl6pPr>
                            <a:lvl7pPr marL="2743200" algn="l" defTabSz="457200" rtl="0" eaLnBrk="1" latinLnBrk="0" hangingPunct="1">
                              <a:defRPr sz="1800" kern="1200">
                                <a:solidFill>
                                  <a:schemeClr val="dk1"/>
                                </a:solidFill>
                                <a:latin typeface="+mn-lt"/>
                                <a:ea typeface="+mn-ea"/>
                                <a:cs typeface="+mn-cs"/>
                              </a:defRPr>
                            </a:lvl7pPr>
                            <a:lvl8pPr marL="3200400" algn="l" defTabSz="457200" rtl="0" eaLnBrk="1" latinLnBrk="0" hangingPunct="1">
                              <a:defRPr sz="1800" kern="1200">
                                <a:solidFill>
                                  <a:schemeClr val="dk1"/>
                                </a:solidFill>
                                <a:latin typeface="+mn-lt"/>
                                <a:ea typeface="+mn-ea"/>
                                <a:cs typeface="+mn-cs"/>
                              </a:defRPr>
                            </a:lvl8pPr>
                            <a:lvl9pPr marL="3657600" algn="l" defTabSz="457200" rtl="0" eaLnBrk="1" latinLnBrk="0" hangingPunct="1">
                              <a:defRPr sz="1800" kern="1200">
                                <a:solidFill>
                                  <a:schemeClr val="dk1"/>
                                </a:solidFill>
                                <a:latin typeface="+mn-lt"/>
                                <a:ea typeface="+mn-ea"/>
                                <a:cs typeface="+mn-cs"/>
                              </a:defRPr>
                            </a:lvl9pPr>
                          </a:lstStyle>
                          <a:p>
                            <a:pPr algn="ctr"/>
                            <a:r>
                              <a:rPr lang="zh-CN" altLang="en-US" sz="1200" b="1" dirty="0">
                                <a:latin typeface="微软雅黑" panose="020B0503020204020204" pitchFamily="2" charset="-122"/>
                                <a:ea typeface="微软雅黑" panose="020B0503020204020204" pitchFamily="2" charset="-122"/>
                              </a:rPr>
                              <a:t>视图知识库（数据集）构建</a:t>
                            </a:r>
                            <a:endParaRPr lang="zh-CN" altLang="en-US" sz="1200" b="1" dirty="0">
                              <a:latin typeface="微软雅黑" panose="020B0503020204020204" pitchFamily="2" charset="-122"/>
                              <a:ea typeface="微软雅黑" panose="020B0503020204020204" pitchFamily="2" charset="-122"/>
                            </a:endParaRPr>
                          </a:p>
                        </a:txBody>
                        <a:useSpRect/>
                      </a:txSp>
                      <a:style>
                        <a:lnRef idx="2">
                          <a:schemeClr val="dk1"/>
                        </a:lnRef>
                        <a:fillRef idx="1">
                          <a:schemeClr val="lt1"/>
                        </a:fillRef>
                        <a:effectRef idx="0">
                          <a:schemeClr val="dk1"/>
                        </a:effectRef>
                        <a:fontRef idx="minor">
                          <a:schemeClr val="dk1"/>
                        </a:fontRef>
                      </a:style>
                    </a:sp>
                  </a:grpSp>
                  <a:grpSp>
                    <a:nvGrpSpPr>
                      <a:cNvPr id="6" name="组合 103"/>
                      <a:cNvGrpSpPr/>
                    </a:nvGrpSpPr>
                    <a:grpSpPr>
                      <a:xfrm>
                        <a:off x="6423882" y="5274265"/>
                        <a:ext cx="7499709" cy="729843"/>
                        <a:chOff x="9365503" y="3097373"/>
                        <a:chExt cx="4218261" cy="437880"/>
                      </a:xfrm>
                    </a:grpSpPr>
                    <a:sp>
                      <a:nvSpPr>
                        <a:cNvPr id="105" name="矩形 104"/>
                        <a:cNvSpPr/>
                      </a:nvSpPr>
                      <a:spPr>
                        <a:xfrm>
                          <a:off x="9395671" y="3097373"/>
                          <a:ext cx="4188093" cy="437880"/>
                        </a:xfrm>
                        <a:prstGeom prst="rect">
                          <a:avLst/>
                        </a:prstGeom>
                        <a:ln w="6350"/>
                      </a:spPr>
                      <a:txSp>
                        <a:txBody>
                          <a:bodyPr rtlCol="0" anchor="t"/>
                          <a:lstStyle>
                            <a:defPPr>
                              <a:defRPr lang="en-US"/>
                            </a:defPPr>
                            <a:lvl1pPr marL="0" algn="l" defTabSz="457200" rtl="0" eaLnBrk="1" latinLnBrk="0" hangingPunct="1">
                              <a:defRPr sz="1800" kern="1200">
                                <a:solidFill>
                                  <a:schemeClr val="dk1"/>
                                </a:solidFill>
                                <a:latin typeface="+mn-lt"/>
                                <a:ea typeface="+mn-ea"/>
                                <a:cs typeface="+mn-cs"/>
                              </a:defRPr>
                            </a:lvl1pPr>
                            <a:lvl2pPr marL="457200" algn="l" defTabSz="457200" rtl="0" eaLnBrk="1" latinLnBrk="0" hangingPunct="1">
                              <a:defRPr sz="1800" kern="1200">
                                <a:solidFill>
                                  <a:schemeClr val="dk1"/>
                                </a:solidFill>
                                <a:latin typeface="+mn-lt"/>
                                <a:ea typeface="+mn-ea"/>
                                <a:cs typeface="+mn-cs"/>
                              </a:defRPr>
                            </a:lvl2pPr>
                            <a:lvl3pPr marL="914400" algn="l" defTabSz="457200" rtl="0" eaLnBrk="1" latinLnBrk="0" hangingPunct="1">
                              <a:defRPr sz="1800" kern="1200">
                                <a:solidFill>
                                  <a:schemeClr val="dk1"/>
                                </a:solidFill>
                                <a:latin typeface="+mn-lt"/>
                                <a:ea typeface="+mn-ea"/>
                                <a:cs typeface="+mn-cs"/>
                              </a:defRPr>
                            </a:lvl3pPr>
                            <a:lvl4pPr marL="1371600" algn="l" defTabSz="457200" rtl="0" eaLnBrk="1" latinLnBrk="0" hangingPunct="1">
                              <a:defRPr sz="1800" kern="1200">
                                <a:solidFill>
                                  <a:schemeClr val="dk1"/>
                                </a:solidFill>
                                <a:latin typeface="+mn-lt"/>
                                <a:ea typeface="+mn-ea"/>
                                <a:cs typeface="+mn-cs"/>
                              </a:defRPr>
                            </a:lvl4pPr>
                            <a:lvl5pPr marL="1828800" algn="l" defTabSz="457200" rtl="0" eaLnBrk="1" latinLnBrk="0" hangingPunct="1">
                              <a:defRPr sz="1800" kern="1200">
                                <a:solidFill>
                                  <a:schemeClr val="dk1"/>
                                </a:solidFill>
                                <a:latin typeface="+mn-lt"/>
                                <a:ea typeface="+mn-ea"/>
                                <a:cs typeface="+mn-cs"/>
                              </a:defRPr>
                            </a:lvl5pPr>
                            <a:lvl6pPr marL="2286000" algn="l" defTabSz="457200" rtl="0" eaLnBrk="1" latinLnBrk="0" hangingPunct="1">
                              <a:defRPr sz="1800" kern="1200">
                                <a:solidFill>
                                  <a:schemeClr val="dk1"/>
                                </a:solidFill>
                                <a:latin typeface="+mn-lt"/>
                                <a:ea typeface="+mn-ea"/>
                                <a:cs typeface="+mn-cs"/>
                              </a:defRPr>
                            </a:lvl6pPr>
                            <a:lvl7pPr marL="2743200" algn="l" defTabSz="457200" rtl="0" eaLnBrk="1" latinLnBrk="0" hangingPunct="1">
                              <a:defRPr sz="1800" kern="1200">
                                <a:solidFill>
                                  <a:schemeClr val="dk1"/>
                                </a:solidFill>
                                <a:latin typeface="+mn-lt"/>
                                <a:ea typeface="+mn-ea"/>
                                <a:cs typeface="+mn-cs"/>
                              </a:defRPr>
                            </a:lvl7pPr>
                            <a:lvl8pPr marL="3200400" algn="l" defTabSz="457200" rtl="0" eaLnBrk="1" latinLnBrk="0" hangingPunct="1">
                              <a:defRPr sz="1800" kern="1200">
                                <a:solidFill>
                                  <a:schemeClr val="dk1"/>
                                </a:solidFill>
                                <a:latin typeface="+mn-lt"/>
                                <a:ea typeface="+mn-ea"/>
                                <a:cs typeface="+mn-cs"/>
                              </a:defRPr>
                            </a:lvl8pPr>
                            <a:lvl9pPr marL="3657600" algn="l" defTabSz="457200" rtl="0" eaLnBrk="1" latinLnBrk="0" hangingPunct="1">
                              <a:defRPr sz="1800" kern="1200">
                                <a:solidFill>
                                  <a:schemeClr val="dk1"/>
                                </a:solidFill>
                                <a:latin typeface="+mn-lt"/>
                                <a:ea typeface="+mn-ea"/>
                                <a:cs typeface="+mn-cs"/>
                              </a:defRPr>
                            </a:lvl9pPr>
                          </a:lstStyle>
                          <a:p>
                            <a:pPr algn="ctr"/>
                            <a:endParaRPr lang="zh-CN" altLang="en-US" sz="1200" b="1" dirty="0">
                              <a:latin typeface="微软雅黑" panose="020B0503020204020204" pitchFamily="2" charset="-122"/>
                              <a:ea typeface="微软雅黑" panose="020B0503020204020204" pitchFamily="2" charset="-122"/>
                            </a:endParaRPr>
                          </a:p>
                        </a:txBody>
                        <a:useSpRect/>
                      </a:txSp>
                      <a:style>
                        <a:lnRef idx="2">
                          <a:schemeClr val="dk1"/>
                        </a:lnRef>
                        <a:fillRef idx="1">
                          <a:schemeClr val="lt1"/>
                        </a:fillRef>
                        <a:effectRef idx="0">
                          <a:schemeClr val="dk1"/>
                        </a:effectRef>
                        <a:fontRef idx="minor">
                          <a:schemeClr val="dk1"/>
                        </a:fontRef>
                      </a:style>
                    </a:sp>
                    <a:sp>
                      <a:nvSpPr>
                        <a:cNvPr id="106" name="矩形 105"/>
                        <a:cNvSpPr/>
                      </a:nvSpPr>
                      <a:spPr>
                        <a:xfrm>
                          <a:off x="9944765" y="3169693"/>
                          <a:ext cx="1656000" cy="300599"/>
                        </a:xfrm>
                        <a:prstGeom prst="rect">
                          <a:avLst/>
                        </a:prstGeom>
                        <a:ln w="6350"/>
                      </a:spPr>
                      <a:txSp>
                        <a:txBody>
                          <a:bodyPr rtlCol="0" anchor="ctr"/>
                          <a:lstStyle>
                            <a:defPPr>
                              <a:defRPr lang="en-US"/>
                            </a:defPPr>
                            <a:lvl1pPr marL="0" algn="l" defTabSz="457200" rtl="0" eaLnBrk="1" latinLnBrk="0" hangingPunct="1">
                              <a:defRPr sz="1800" kern="1200">
                                <a:solidFill>
                                  <a:schemeClr val="dk1"/>
                                </a:solidFill>
                                <a:latin typeface="+mn-lt"/>
                                <a:ea typeface="+mn-ea"/>
                                <a:cs typeface="+mn-cs"/>
                              </a:defRPr>
                            </a:lvl1pPr>
                            <a:lvl2pPr marL="457200" algn="l" defTabSz="457200" rtl="0" eaLnBrk="1" latinLnBrk="0" hangingPunct="1">
                              <a:defRPr sz="1800" kern="1200">
                                <a:solidFill>
                                  <a:schemeClr val="dk1"/>
                                </a:solidFill>
                                <a:latin typeface="+mn-lt"/>
                                <a:ea typeface="+mn-ea"/>
                                <a:cs typeface="+mn-cs"/>
                              </a:defRPr>
                            </a:lvl2pPr>
                            <a:lvl3pPr marL="914400" algn="l" defTabSz="457200" rtl="0" eaLnBrk="1" latinLnBrk="0" hangingPunct="1">
                              <a:defRPr sz="1800" kern="1200">
                                <a:solidFill>
                                  <a:schemeClr val="dk1"/>
                                </a:solidFill>
                                <a:latin typeface="+mn-lt"/>
                                <a:ea typeface="+mn-ea"/>
                                <a:cs typeface="+mn-cs"/>
                              </a:defRPr>
                            </a:lvl3pPr>
                            <a:lvl4pPr marL="1371600" algn="l" defTabSz="457200" rtl="0" eaLnBrk="1" latinLnBrk="0" hangingPunct="1">
                              <a:defRPr sz="1800" kern="1200">
                                <a:solidFill>
                                  <a:schemeClr val="dk1"/>
                                </a:solidFill>
                                <a:latin typeface="+mn-lt"/>
                                <a:ea typeface="+mn-ea"/>
                                <a:cs typeface="+mn-cs"/>
                              </a:defRPr>
                            </a:lvl4pPr>
                            <a:lvl5pPr marL="1828800" algn="l" defTabSz="457200" rtl="0" eaLnBrk="1" latinLnBrk="0" hangingPunct="1">
                              <a:defRPr sz="1800" kern="1200">
                                <a:solidFill>
                                  <a:schemeClr val="dk1"/>
                                </a:solidFill>
                                <a:latin typeface="+mn-lt"/>
                                <a:ea typeface="+mn-ea"/>
                                <a:cs typeface="+mn-cs"/>
                              </a:defRPr>
                            </a:lvl5pPr>
                            <a:lvl6pPr marL="2286000" algn="l" defTabSz="457200" rtl="0" eaLnBrk="1" latinLnBrk="0" hangingPunct="1">
                              <a:defRPr sz="1800" kern="1200">
                                <a:solidFill>
                                  <a:schemeClr val="dk1"/>
                                </a:solidFill>
                                <a:latin typeface="+mn-lt"/>
                                <a:ea typeface="+mn-ea"/>
                                <a:cs typeface="+mn-cs"/>
                              </a:defRPr>
                            </a:lvl6pPr>
                            <a:lvl7pPr marL="2743200" algn="l" defTabSz="457200" rtl="0" eaLnBrk="1" latinLnBrk="0" hangingPunct="1">
                              <a:defRPr sz="1800" kern="1200">
                                <a:solidFill>
                                  <a:schemeClr val="dk1"/>
                                </a:solidFill>
                                <a:latin typeface="+mn-lt"/>
                                <a:ea typeface="+mn-ea"/>
                                <a:cs typeface="+mn-cs"/>
                              </a:defRPr>
                            </a:lvl7pPr>
                            <a:lvl8pPr marL="3200400" algn="l" defTabSz="457200" rtl="0" eaLnBrk="1" latinLnBrk="0" hangingPunct="1">
                              <a:defRPr sz="1800" kern="1200">
                                <a:solidFill>
                                  <a:schemeClr val="dk1"/>
                                </a:solidFill>
                                <a:latin typeface="+mn-lt"/>
                                <a:ea typeface="+mn-ea"/>
                                <a:cs typeface="+mn-cs"/>
                              </a:defRPr>
                            </a:lvl8pPr>
                            <a:lvl9pPr marL="3657600" algn="l" defTabSz="457200" rtl="0" eaLnBrk="1" latinLnBrk="0" hangingPunct="1">
                              <a:defRPr sz="1800" kern="1200">
                                <a:solidFill>
                                  <a:schemeClr val="dk1"/>
                                </a:solidFill>
                                <a:latin typeface="+mn-lt"/>
                                <a:ea typeface="+mn-ea"/>
                                <a:cs typeface="+mn-cs"/>
                              </a:defRPr>
                            </a:lvl9pPr>
                          </a:lstStyle>
                          <a:p>
                            <a:pPr algn="ctr"/>
                            <a:r>
                              <a:rPr lang="zh-CN" altLang="en-US" sz="1200" dirty="0">
                                <a:latin typeface="微软雅黑" panose="020B0503020204020204" pitchFamily="2" charset="-122"/>
                                <a:ea typeface="微软雅黑" panose="020B0503020204020204" pitchFamily="2" charset="-122"/>
                              </a:rPr>
                              <a:t>视频图像样本管理</a:t>
                            </a:r>
                            <a:endParaRPr lang="zh-CN" altLang="en-US" sz="1200" dirty="0">
                              <a:latin typeface="微软雅黑" panose="020B0503020204020204" pitchFamily="2" charset="-122"/>
                              <a:ea typeface="微软雅黑" panose="020B0503020204020204" pitchFamily="2" charset="-122"/>
                            </a:endParaRPr>
                          </a:p>
                        </a:txBody>
                        <a:useSpRect/>
                      </a:txSp>
                      <a:style>
                        <a:lnRef idx="2">
                          <a:schemeClr val="dk1"/>
                        </a:lnRef>
                        <a:fillRef idx="1">
                          <a:schemeClr val="lt1"/>
                        </a:fillRef>
                        <a:effectRef idx="0">
                          <a:schemeClr val="dk1"/>
                        </a:effectRef>
                        <a:fontRef idx="minor">
                          <a:schemeClr val="dk1"/>
                        </a:fontRef>
                      </a:style>
                    </a:sp>
                    <a:sp>
                      <a:nvSpPr>
                        <a:cNvPr id="109" name="矩形 108"/>
                        <a:cNvSpPr/>
                      </a:nvSpPr>
                      <a:spPr>
                        <a:xfrm>
                          <a:off x="11880755" y="3169692"/>
                          <a:ext cx="1620000" cy="300599"/>
                        </a:xfrm>
                        <a:prstGeom prst="rect">
                          <a:avLst/>
                        </a:prstGeom>
                        <a:ln w="6350"/>
                      </a:spPr>
                      <a:txSp>
                        <a:txBody>
                          <a:bodyPr rtlCol="0" anchor="ctr"/>
                          <a:lstStyle>
                            <a:defPPr>
                              <a:defRPr lang="en-US"/>
                            </a:defPPr>
                            <a:lvl1pPr marL="0" algn="l" defTabSz="457200" rtl="0" eaLnBrk="1" latinLnBrk="0" hangingPunct="1">
                              <a:defRPr sz="1800" kern="1200">
                                <a:solidFill>
                                  <a:schemeClr val="dk1"/>
                                </a:solidFill>
                                <a:latin typeface="+mn-lt"/>
                                <a:ea typeface="+mn-ea"/>
                                <a:cs typeface="+mn-cs"/>
                              </a:defRPr>
                            </a:lvl1pPr>
                            <a:lvl2pPr marL="457200" algn="l" defTabSz="457200" rtl="0" eaLnBrk="1" latinLnBrk="0" hangingPunct="1">
                              <a:defRPr sz="1800" kern="1200">
                                <a:solidFill>
                                  <a:schemeClr val="dk1"/>
                                </a:solidFill>
                                <a:latin typeface="+mn-lt"/>
                                <a:ea typeface="+mn-ea"/>
                                <a:cs typeface="+mn-cs"/>
                              </a:defRPr>
                            </a:lvl2pPr>
                            <a:lvl3pPr marL="914400" algn="l" defTabSz="457200" rtl="0" eaLnBrk="1" latinLnBrk="0" hangingPunct="1">
                              <a:defRPr sz="1800" kern="1200">
                                <a:solidFill>
                                  <a:schemeClr val="dk1"/>
                                </a:solidFill>
                                <a:latin typeface="+mn-lt"/>
                                <a:ea typeface="+mn-ea"/>
                                <a:cs typeface="+mn-cs"/>
                              </a:defRPr>
                            </a:lvl3pPr>
                            <a:lvl4pPr marL="1371600" algn="l" defTabSz="457200" rtl="0" eaLnBrk="1" latinLnBrk="0" hangingPunct="1">
                              <a:defRPr sz="1800" kern="1200">
                                <a:solidFill>
                                  <a:schemeClr val="dk1"/>
                                </a:solidFill>
                                <a:latin typeface="+mn-lt"/>
                                <a:ea typeface="+mn-ea"/>
                                <a:cs typeface="+mn-cs"/>
                              </a:defRPr>
                            </a:lvl4pPr>
                            <a:lvl5pPr marL="1828800" algn="l" defTabSz="457200" rtl="0" eaLnBrk="1" latinLnBrk="0" hangingPunct="1">
                              <a:defRPr sz="1800" kern="1200">
                                <a:solidFill>
                                  <a:schemeClr val="dk1"/>
                                </a:solidFill>
                                <a:latin typeface="+mn-lt"/>
                                <a:ea typeface="+mn-ea"/>
                                <a:cs typeface="+mn-cs"/>
                              </a:defRPr>
                            </a:lvl5pPr>
                            <a:lvl6pPr marL="2286000" algn="l" defTabSz="457200" rtl="0" eaLnBrk="1" latinLnBrk="0" hangingPunct="1">
                              <a:defRPr sz="1800" kern="1200">
                                <a:solidFill>
                                  <a:schemeClr val="dk1"/>
                                </a:solidFill>
                                <a:latin typeface="+mn-lt"/>
                                <a:ea typeface="+mn-ea"/>
                                <a:cs typeface="+mn-cs"/>
                              </a:defRPr>
                            </a:lvl6pPr>
                            <a:lvl7pPr marL="2743200" algn="l" defTabSz="457200" rtl="0" eaLnBrk="1" latinLnBrk="0" hangingPunct="1">
                              <a:defRPr sz="1800" kern="1200">
                                <a:solidFill>
                                  <a:schemeClr val="dk1"/>
                                </a:solidFill>
                                <a:latin typeface="+mn-lt"/>
                                <a:ea typeface="+mn-ea"/>
                                <a:cs typeface="+mn-cs"/>
                              </a:defRPr>
                            </a:lvl7pPr>
                            <a:lvl8pPr marL="3200400" algn="l" defTabSz="457200" rtl="0" eaLnBrk="1" latinLnBrk="0" hangingPunct="1">
                              <a:defRPr sz="1800" kern="1200">
                                <a:solidFill>
                                  <a:schemeClr val="dk1"/>
                                </a:solidFill>
                                <a:latin typeface="+mn-lt"/>
                                <a:ea typeface="+mn-ea"/>
                                <a:cs typeface="+mn-cs"/>
                              </a:defRPr>
                            </a:lvl8pPr>
                            <a:lvl9pPr marL="3657600" algn="l" defTabSz="457200" rtl="0" eaLnBrk="1" latinLnBrk="0" hangingPunct="1">
                              <a:defRPr sz="1800" kern="1200">
                                <a:solidFill>
                                  <a:schemeClr val="dk1"/>
                                </a:solidFill>
                                <a:latin typeface="+mn-lt"/>
                                <a:ea typeface="+mn-ea"/>
                                <a:cs typeface="+mn-cs"/>
                              </a:defRPr>
                            </a:lvl9pPr>
                          </a:lstStyle>
                          <a:p>
                            <a:pPr algn="ctr"/>
                            <a:r>
                              <a:rPr lang="zh-CN" altLang="en-US" sz="1200" dirty="0">
                                <a:latin typeface="微软雅黑" panose="020B0503020204020204" pitchFamily="2" charset="-122"/>
                                <a:ea typeface="微软雅黑" panose="020B0503020204020204" pitchFamily="2" charset="-122"/>
                              </a:rPr>
                              <a:t>视频图像数据集服务</a:t>
                            </a:r>
                            <a:endParaRPr lang="zh-CN" altLang="en-US" sz="1200" dirty="0">
                              <a:latin typeface="微软雅黑" panose="020B0503020204020204" pitchFamily="2" charset="-122"/>
                              <a:ea typeface="微软雅黑" panose="020B0503020204020204" pitchFamily="2" charset="-122"/>
                            </a:endParaRPr>
                          </a:p>
                        </a:txBody>
                        <a:useSpRect/>
                      </a:txSp>
                      <a:style>
                        <a:lnRef idx="2">
                          <a:schemeClr val="dk1"/>
                        </a:lnRef>
                        <a:fillRef idx="1">
                          <a:schemeClr val="lt1"/>
                        </a:fillRef>
                        <a:effectRef idx="0">
                          <a:schemeClr val="dk1"/>
                        </a:effectRef>
                        <a:fontRef idx="minor">
                          <a:schemeClr val="dk1"/>
                        </a:fontRef>
                      </a:style>
                    </a:sp>
                    <a:sp>
                      <a:nvSpPr>
                        <a:cNvPr id="110" name="文本框 109"/>
                        <a:cNvSpPr txBox="1"/>
                      </a:nvSpPr>
                      <a:spPr>
                        <a:xfrm>
                          <a:off x="9365503" y="3108564"/>
                          <a:ext cx="546379" cy="387776"/>
                        </a:xfrm>
                        <a:prstGeom prst="rect">
                          <a:avLst/>
                        </a:prstGeom>
                        <a:noFill/>
                        <a:ln>
                          <a:noFill/>
                        </a:ln>
                      </a:spPr>
                      <a:txSp>
                        <a:txBody>
                          <a:bodyPr wrap="square" rtlCol="0" anchor="ctr">
                            <a:spAutoFit/>
                          </a:bodyPr>
                          <a:lstStyle>
                            <a:defPPr>
                              <a:defRPr lang="en-US"/>
                            </a:defPPr>
                            <a:lvl1pPr marL="0" algn="l" defTabSz="457200" rtl="0" eaLnBrk="1" latinLnBrk="0" hangingPunct="1">
                              <a:defRPr sz="1800" kern="1200">
                                <a:solidFill>
                                  <a:schemeClr val="dk1"/>
                                </a:solidFill>
                                <a:latin typeface="+mn-lt"/>
                                <a:ea typeface="+mn-ea"/>
                                <a:cs typeface="+mn-cs"/>
                              </a:defRPr>
                            </a:lvl1pPr>
                            <a:lvl2pPr marL="457200" algn="l" defTabSz="457200" rtl="0" eaLnBrk="1" latinLnBrk="0" hangingPunct="1">
                              <a:defRPr sz="1800" kern="1200">
                                <a:solidFill>
                                  <a:schemeClr val="dk1"/>
                                </a:solidFill>
                                <a:latin typeface="+mn-lt"/>
                                <a:ea typeface="+mn-ea"/>
                                <a:cs typeface="+mn-cs"/>
                              </a:defRPr>
                            </a:lvl2pPr>
                            <a:lvl3pPr marL="914400" algn="l" defTabSz="457200" rtl="0" eaLnBrk="1" latinLnBrk="0" hangingPunct="1">
                              <a:defRPr sz="1800" kern="1200">
                                <a:solidFill>
                                  <a:schemeClr val="dk1"/>
                                </a:solidFill>
                                <a:latin typeface="+mn-lt"/>
                                <a:ea typeface="+mn-ea"/>
                                <a:cs typeface="+mn-cs"/>
                              </a:defRPr>
                            </a:lvl3pPr>
                            <a:lvl4pPr marL="1371600" algn="l" defTabSz="457200" rtl="0" eaLnBrk="1" latinLnBrk="0" hangingPunct="1">
                              <a:defRPr sz="1800" kern="1200">
                                <a:solidFill>
                                  <a:schemeClr val="dk1"/>
                                </a:solidFill>
                                <a:latin typeface="+mn-lt"/>
                                <a:ea typeface="+mn-ea"/>
                                <a:cs typeface="+mn-cs"/>
                              </a:defRPr>
                            </a:lvl4pPr>
                            <a:lvl5pPr marL="1828800" algn="l" defTabSz="457200" rtl="0" eaLnBrk="1" latinLnBrk="0" hangingPunct="1">
                              <a:defRPr sz="1800" kern="1200">
                                <a:solidFill>
                                  <a:schemeClr val="dk1"/>
                                </a:solidFill>
                                <a:latin typeface="+mn-lt"/>
                                <a:ea typeface="+mn-ea"/>
                                <a:cs typeface="+mn-cs"/>
                              </a:defRPr>
                            </a:lvl5pPr>
                            <a:lvl6pPr marL="2286000" algn="l" defTabSz="457200" rtl="0" eaLnBrk="1" latinLnBrk="0" hangingPunct="1">
                              <a:defRPr sz="1800" kern="1200">
                                <a:solidFill>
                                  <a:schemeClr val="dk1"/>
                                </a:solidFill>
                                <a:latin typeface="+mn-lt"/>
                                <a:ea typeface="+mn-ea"/>
                                <a:cs typeface="+mn-cs"/>
                              </a:defRPr>
                            </a:lvl6pPr>
                            <a:lvl7pPr marL="2743200" algn="l" defTabSz="457200" rtl="0" eaLnBrk="1" latinLnBrk="0" hangingPunct="1">
                              <a:defRPr sz="1800" kern="1200">
                                <a:solidFill>
                                  <a:schemeClr val="dk1"/>
                                </a:solidFill>
                                <a:latin typeface="+mn-lt"/>
                                <a:ea typeface="+mn-ea"/>
                                <a:cs typeface="+mn-cs"/>
                              </a:defRPr>
                            </a:lvl7pPr>
                            <a:lvl8pPr marL="3200400" algn="l" defTabSz="457200" rtl="0" eaLnBrk="1" latinLnBrk="0" hangingPunct="1">
                              <a:defRPr sz="1800" kern="1200">
                                <a:solidFill>
                                  <a:schemeClr val="dk1"/>
                                </a:solidFill>
                                <a:latin typeface="+mn-lt"/>
                                <a:ea typeface="+mn-ea"/>
                                <a:cs typeface="+mn-cs"/>
                              </a:defRPr>
                            </a:lvl8pPr>
                            <a:lvl9pPr marL="3657600" algn="l" defTabSz="457200" rtl="0" eaLnBrk="1" latinLnBrk="0" hangingPunct="1">
                              <a:defRPr sz="1800" kern="1200">
                                <a:solidFill>
                                  <a:schemeClr val="dk1"/>
                                </a:solidFill>
                                <a:latin typeface="+mn-lt"/>
                                <a:ea typeface="+mn-ea"/>
                                <a:cs typeface="+mn-cs"/>
                              </a:defRPr>
                            </a:lvl9pPr>
                          </a:lstStyle>
                          <a:p>
                            <a:pPr algn="ctr"/>
                            <a:r>
                              <a:rPr lang="zh-CN" altLang="en-US" sz="1200" b="1" dirty="0">
                                <a:latin typeface="微软雅黑" panose="020B0503020204020204" pitchFamily="2" charset="-122"/>
                                <a:ea typeface="微软雅黑" panose="020B0503020204020204" pitchFamily="2" charset="-122"/>
                              </a:rPr>
                              <a:t>视图知识库（数据集）构建</a:t>
                            </a:r>
                            <a:endParaRPr lang="zh-CN" altLang="en-US" sz="1200" b="1" dirty="0">
                              <a:latin typeface="微软雅黑" panose="020B0503020204020204" pitchFamily="2" charset="-122"/>
                              <a:ea typeface="微软雅黑" panose="020B0503020204020204" pitchFamily="2" charset="-122"/>
                            </a:endParaRPr>
                          </a:p>
                        </a:txBody>
                        <a:useSpRect/>
                      </a:txSp>
                      <a:style>
                        <a:lnRef idx="2">
                          <a:schemeClr val="dk1"/>
                        </a:lnRef>
                        <a:fillRef idx="1">
                          <a:schemeClr val="lt1"/>
                        </a:fillRef>
                        <a:effectRef idx="0">
                          <a:schemeClr val="dk1"/>
                        </a:effectRef>
                        <a:fontRef idx="minor">
                          <a:schemeClr val="dk1"/>
                        </a:fontRef>
                      </a:style>
                    </a:sp>
                  </a:grpSp>
                  <a:grpSp>
                    <a:nvGrpSpPr>
                      <a:cNvPr id="7" name="组合 122"/>
                      <a:cNvGrpSpPr/>
                    </a:nvGrpSpPr>
                    <a:grpSpPr>
                      <a:xfrm>
                        <a:off x="15931504" y="7007745"/>
                        <a:ext cx="7499709" cy="729843"/>
                        <a:chOff x="9365224" y="4010969"/>
                        <a:chExt cx="4218261" cy="437880"/>
                      </a:xfrm>
                    </a:grpSpPr>
                    <a:sp>
                      <a:nvSpPr>
                        <a:cNvPr id="113" name="矩形 112"/>
                        <a:cNvSpPr/>
                      </a:nvSpPr>
                      <a:spPr>
                        <a:xfrm>
                          <a:off x="9395392" y="4010969"/>
                          <a:ext cx="4188093" cy="437880"/>
                        </a:xfrm>
                        <a:prstGeom prst="rect">
                          <a:avLst/>
                        </a:prstGeom>
                        <a:ln w="6350"/>
                      </a:spPr>
                      <a:txSp>
                        <a:txBody>
                          <a:bodyPr rtlCol="0" anchor="t"/>
                          <a:lstStyle>
                            <a:defPPr>
                              <a:defRPr lang="en-US"/>
                            </a:defPPr>
                            <a:lvl1pPr marL="0" algn="l" defTabSz="457200" rtl="0" eaLnBrk="1" latinLnBrk="0" hangingPunct="1">
                              <a:defRPr sz="1800" kern="1200">
                                <a:solidFill>
                                  <a:schemeClr val="dk1"/>
                                </a:solidFill>
                                <a:latin typeface="+mn-lt"/>
                                <a:ea typeface="+mn-ea"/>
                                <a:cs typeface="+mn-cs"/>
                              </a:defRPr>
                            </a:lvl1pPr>
                            <a:lvl2pPr marL="457200" algn="l" defTabSz="457200" rtl="0" eaLnBrk="1" latinLnBrk="0" hangingPunct="1">
                              <a:defRPr sz="1800" kern="1200">
                                <a:solidFill>
                                  <a:schemeClr val="dk1"/>
                                </a:solidFill>
                                <a:latin typeface="+mn-lt"/>
                                <a:ea typeface="+mn-ea"/>
                                <a:cs typeface="+mn-cs"/>
                              </a:defRPr>
                            </a:lvl2pPr>
                            <a:lvl3pPr marL="914400" algn="l" defTabSz="457200" rtl="0" eaLnBrk="1" latinLnBrk="0" hangingPunct="1">
                              <a:defRPr sz="1800" kern="1200">
                                <a:solidFill>
                                  <a:schemeClr val="dk1"/>
                                </a:solidFill>
                                <a:latin typeface="+mn-lt"/>
                                <a:ea typeface="+mn-ea"/>
                                <a:cs typeface="+mn-cs"/>
                              </a:defRPr>
                            </a:lvl3pPr>
                            <a:lvl4pPr marL="1371600" algn="l" defTabSz="457200" rtl="0" eaLnBrk="1" latinLnBrk="0" hangingPunct="1">
                              <a:defRPr sz="1800" kern="1200">
                                <a:solidFill>
                                  <a:schemeClr val="dk1"/>
                                </a:solidFill>
                                <a:latin typeface="+mn-lt"/>
                                <a:ea typeface="+mn-ea"/>
                                <a:cs typeface="+mn-cs"/>
                              </a:defRPr>
                            </a:lvl4pPr>
                            <a:lvl5pPr marL="1828800" algn="l" defTabSz="457200" rtl="0" eaLnBrk="1" latinLnBrk="0" hangingPunct="1">
                              <a:defRPr sz="1800" kern="1200">
                                <a:solidFill>
                                  <a:schemeClr val="dk1"/>
                                </a:solidFill>
                                <a:latin typeface="+mn-lt"/>
                                <a:ea typeface="+mn-ea"/>
                                <a:cs typeface="+mn-cs"/>
                              </a:defRPr>
                            </a:lvl5pPr>
                            <a:lvl6pPr marL="2286000" algn="l" defTabSz="457200" rtl="0" eaLnBrk="1" latinLnBrk="0" hangingPunct="1">
                              <a:defRPr sz="1800" kern="1200">
                                <a:solidFill>
                                  <a:schemeClr val="dk1"/>
                                </a:solidFill>
                                <a:latin typeface="+mn-lt"/>
                                <a:ea typeface="+mn-ea"/>
                                <a:cs typeface="+mn-cs"/>
                              </a:defRPr>
                            </a:lvl6pPr>
                            <a:lvl7pPr marL="2743200" algn="l" defTabSz="457200" rtl="0" eaLnBrk="1" latinLnBrk="0" hangingPunct="1">
                              <a:defRPr sz="1800" kern="1200">
                                <a:solidFill>
                                  <a:schemeClr val="dk1"/>
                                </a:solidFill>
                                <a:latin typeface="+mn-lt"/>
                                <a:ea typeface="+mn-ea"/>
                                <a:cs typeface="+mn-cs"/>
                              </a:defRPr>
                            </a:lvl7pPr>
                            <a:lvl8pPr marL="3200400" algn="l" defTabSz="457200" rtl="0" eaLnBrk="1" latinLnBrk="0" hangingPunct="1">
                              <a:defRPr sz="1800" kern="1200">
                                <a:solidFill>
                                  <a:schemeClr val="dk1"/>
                                </a:solidFill>
                                <a:latin typeface="+mn-lt"/>
                                <a:ea typeface="+mn-ea"/>
                                <a:cs typeface="+mn-cs"/>
                              </a:defRPr>
                            </a:lvl8pPr>
                            <a:lvl9pPr marL="3657600" algn="l" defTabSz="457200" rtl="0" eaLnBrk="1" latinLnBrk="0" hangingPunct="1">
                              <a:defRPr sz="1800" kern="1200">
                                <a:solidFill>
                                  <a:schemeClr val="dk1"/>
                                </a:solidFill>
                                <a:latin typeface="+mn-lt"/>
                                <a:ea typeface="+mn-ea"/>
                                <a:cs typeface="+mn-cs"/>
                              </a:defRPr>
                            </a:lvl9pPr>
                          </a:lstStyle>
                          <a:p>
                            <a:pPr algn="ctr"/>
                            <a:endParaRPr lang="zh-CN" altLang="en-US" sz="1200" b="1" dirty="0">
                              <a:latin typeface="微软雅黑" panose="020B0503020204020204" pitchFamily="2" charset="-122"/>
                              <a:ea typeface="微软雅黑" panose="020B0503020204020204" pitchFamily="2" charset="-122"/>
                            </a:endParaRPr>
                          </a:p>
                        </a:txBody>
                        <a:useSpRect/>
                      </a:txSp>
                      <a:style>
                        <a:lnRef idx="2">
                          <a:schemeClr val="dk1"/>
                        </a:lnRef>
                        <a:fillRef idx="1">
                          <a:schemeClr val="lt1"/>
                        </a:fillRef>
                        <a:effectRef idx="0">
                          <a:schemeClr val="dk1"/>
                        </a:effectRef>
                        <a:fontRef idx="minor">
                          <a:schemeClr val="dk1"/>
                        </a:fontRef>
                      </a:style>
                    </a:sp>
                    <a:sp>
                      <a:nvSpPr>
                        <a:cNvPr id="114" name="矩形 113"/>
                        <a:cNvSpPr/>
                      </a:nvSpPr>
                      <a:spPr>
                        <a:xfrm>
                          <a:off x="9944486" y="4083289"/>
                          <a:ext cx="662508" cy="300599"/>
                        </a:xfrm>
                        <a:prstGeom prst="rect">
                          <a:avLst/>
                        </a:prstGeom>
                        <a:ln w="6350"/>
                      </a:spPr>
                      <a:txSp>
                        <a:txBody>
                          <a:bodyPr rtlCol="0" anchor="ctr"/>
                          <a:lstStyle>
                            <a:defPPr>
                              <a:defRPr lang="en-US"/>
                            </a:defPPr>
                            <a:lvl1pPr marL="0" algn="l" defTabSz="457200" rtl="0" eaLnBrk="1" latinLnBrk="0" hangingPunct="1">
                              <a:defRPr sz="1800" kern="1200">
                                <a:solidFill>
                                  <a:schemeClr val="dk1"/>
                                </a:solidFill>
                                <a:latin typeface="+mn-lt"/>
                                <a:ea typeface="+mn-ea"/>
                                <a:cs typeface="+mn-cs"/>
                              </a:defRPr>
                            </a:lvl1pPr>
                            <a:lvl2pPr marL="457200" algn="l" defTabSz="457200" rtl="0" eaLnBrk="1" latinLnBrk="0" hangingPunct="1">
                              <a:defRPr sz="1800" kern="1200">
                                <a:solidFill>
                                  <a:schemeClr val="dk1"/>
                                </a:solidFill>
                                <a:latin typeface="+mn-lt"/>
                                <a:ea typeface="+mn-ea"/>
                                <a:cs typeface="+mn-cs"/>
                              </a:defRPr>
                            </a:lvl2pPr>
                            <a:lvl3pPr marL="914400" algn="l" defTabSz="457200" rtl="0" eaLnBrk="1" latinLnBrk="0" hangingPunct="1">
                              <a:defRPr sz="1800" kern="1200">
                                <a:solidFill>
                                  <a:schemeClr val="dk1"/>
                                </a:solidFill>
                                <a:latin typeface="+mn-lt"/>
                                <a:ea typeface="+mn-ea"/>
                                <a:cs typeface="+mn-cs"/>
                              </a:defRPr>
                            </a:lvl3pPr>
                            <a:lvl4pPr marL="1371600" algn="l" defTabSz="457200" rtl="0" eaLnBrk="1" latinLnBrk="0" hangingPunct="1">
                              <a:defRPr sz="1800" kern="1200">
                                <a:solidFill>
                                  <a:schemeClr val="dk1"/>
                                </a:solidFill>
                                <a:latin typeface="+mn-lt"/>
                                <a:ea typeface="+mn-ea"/>
                                <a:cs typeface="+mn-cs"/>
                              </a:defRPr>
                            </a:lvl4pPr>
                            <a:lvl5pPr marL="1828800" algn="l" defTabSz="457200" rtl="0" eaLnBrk="1" latinLnBrk="0" hangingPunct="1">
                              <a:defRPr sz="1800" kern="1200">
                                <a:solidFill>
                                  <a:schemeClr val="dk1"/>
                                </a:solidFill>
                                <a:latin typeface="+mn-lt"/>
                                <a:ea typeface="+mn-ea"/>
                                <a:cs typeface="+mn-cs"/>
                              </a:defRPr>
                            </a:lvl5pPr>
                            <a:lvl6pPr marL="2286000" algn="l" defTabSz="457200" rtl="0" eaLnBrk="1" latinLnBrk="0" hangingPunct="1">
                              <a:defRPr sz="1800" kern="1200">
                                <a:solidFill>
                                  <a:schemeClr val="dk1"/>
                                </a:solidFill>
                                <a:latin typeface="+mn-lt"/>
                                <a:ea typeface="+mn-ea"/>
                                <a:cs typeface="+mn-cs"/>
                              </a:defRPr>
                            </a:lvl6pPr>
                            <a:lvl7pPr marL="2743200" algn="l" defTabSz="457200" rtl="0" eaLnBrk="1" latinLnBrk="0" hangingPunct="1">
                              <a:defRPr sz="1800" kern="1200">
                                <a:solidFill>
                                  <a:schemeClr val="dk1"/>
                                </a:solidFill>
                                <a:latin typeface="+mn-lt"/>
                                <a:ea typeface="+mn-ea"/>
                                <a:cs typeface="+mn-cs"/>
                              </a:defRPr>
                            </a:lvl7pPr>
                            <a:lvl8pPr marL="3200400" algn="l" defTabSz="457200" rtl="0" eaLnBrk="1" latinLnBrk="0" hangingPunct="1">
                              <a:defRPr sz="1800" kern="1200">
                                <a:solidFill>
                                  <a:schemeClr val="dk1"/>
                                </a:solidFill>
                                <a:latin typeface="+mn-lt"/>
                                <a:ea typeface="+mn-ea"/>
                                <a:cs typeface="+mn-cs"/>
                              </a:defRPr>
                            </a:lvl8pPr>
                            <a:lvl9pPr marL="3657600" algn="l" defTabSz="457200" rtl="0" eaLnBrk="1" latinLnBrk="0" hangingPunct="1">
                              <a:defRPr sz="1800" kern="1200">
                                <a:solidFill>
                                  <a:schemeClr val="dk1"/>
                                </a:solidFill>
                                <a:latin typeface="+mn-lt"/>
                                <a:ea typeface="+mn-ea"/>
                                <a:cs typeface="+mn-cs"/>
                              </a:defRPr>
                            </a:lvl9pPr>
                          </a:lstStyle>
                          <a:p>
                            <a:pPr algn="ctr"/>
                            <a:r>
                              <a:rPr lang="zh-CN" altLang="en-US" sz="1200" dirty="0">
                                <a:latin typeface="微软雅黑" panose="020B0503020204020204" pitchFamily="2" charset="-122"/>
                                <a:ea typeface="微软雅黑" panose="020B0503020204020204" pitchFamily="2" charset="-122"/>
                              </a:rPr>
                              <a:t>视频图像模型权重管理</a:t>
                            </a:r>
                            <a:endParaRPr lang="zh-CN" altLang="en-US" sz="1200" dirty="0">
                              <a:latin typeface="微软雅黑" panose="020B0503020204020204" pitchFamily="2" charset="-122"/>
                              <a:ea typeface="微软雅黑" panose="020B0503020204020204" pitchFamily="2" charset="-122"/>
                            </a:endParaRPr>
                          </a:p>
                        </a:txBody>
                        <a:useSpRect/>
                      </a:txSp>
                      <a:style>
                        <a:lnRef idx="2">
                          <a:schemeClr val="dk1"/>
                        </a:lnRef>
                        <a:fillRef idx="1">
                          <a:schemeClr val="lt1"/>
                        </a:fillRef>
                        <a:effectRef idx="0">
                          <a:schemeClr val="dk1"/>
                        </a:effectRef>
                        <a:fontRef idx="minor">
                          <a:schemeClr val="dk1"/>
                        </a:fontRef>
                      </a:style>
                    </a:sp>
                    <a:sp>
                      <a:nvSpPr>
                        <a:cNvPr id="115" name="矩形 114"/>
                        <a:cNvSpPr/>
                      </a:nvSpPr>
                      <a:spPr>
                        <a:xfrm>
                          <a:off x="10673516" y="4083288"/>
                          <a:ext cx="662400" cy="300599"/>
                        </a:xfrm>
                        <a:prstGeom prst="rect">
                          <a:avLst/>
                        </a:prstGeom>
                        <a:ln w="6350"/>
                      </a:spPr>
                      <a:txSp>
                        <a:txBody>
                          <a:bodyPr rtlCol="0" anchor="ctr"/>
                          <a:lstStyle>
                            <a:defPPr>
                              <a:defRPr lang="en-US"/>
                            </a:defPPr>
                            <a:lvl1pPr marL="0" algn="l" defTabSz="457200" rtl="0" eaLnBrk="1" latinLnBrk="0" hangingPunct="1">
                              <a:defRPr sz="1800" kern="1200">
                                <a:solidFill>
                                  <a:schemeClr val="dk1"/>
                                </a:solidFill>
                                <a:latin typeface="+mn-lt"/>
                                <a:ea typeface="+mn-ea"/>
                                <a:cs typeface="+mn-cs"/>
                              </a:defRPr>
                            </a:lvl1pPr>
                            <a:lvl2pPr marL="457200" algn="l" defTabSz="457200" rtl="0" eaLnBrk="1" latinLnBrk="0" hangingPunct="1">
                              <a:defRPr sz="1800" kern="1200">
                                <a:solidFill>
                                  <a:schemeClr val="dk1"/>
                                </a:solidFill>
                                <a:latin typeface="+mn-lt"/>
                                <a:ea typeface="+mn-ea"/>
                                <a:cs typeface="+mn-cs"/>
                              </a:defRPr>
                            </a:lvl2pPr>
                            <a:lvl3pPr marL="914400" algn="l" defTabSz="457200" rtl="0" eaLnBrk="1" latinLnBrk="0" hangingPunct="1">
                              <a:defRPr sz="1800" kern="1200">
                                <a:solidFill>
                                  <a:schemeClr val="dk1"/>
                                </a:solidFill>
                                <a:latin typeface="+mn-lt"/>
                                <a:ea typeface="+mn-ea"/>
                                <a:cs typeface="+mn-cs"/>
                              </a:defRPr>
                            </a:lvl3pPr>
                            <a:lvl4pPr marL="1371600" algn="l" defTabSz="457200" rtl="0" eaLnBrk="1" latinLnBrk="0" hangingPunct="1">
                              <a:defRPr sz="1800" kern="1200">
                                <a:solidFill>
                                  <a:schemeClr val="dk1"/>
                                </a:solidFill>
                                <a:latin typeface="+mn-lt"/>
                                <a:ea typeface="+mn-ea"/>
                                <a:cs typeface="+mn-cs"/>
                              </a:defRPr>
                            </a:lvl4pPr>
                            <a:lvl5pPr marL="1828800" algn="l" defTabSz="457200" rtl="0" eaLnBrk="1" latinLnBrk="0" hangingPunct="1">
                              <a:defRPr sz="1800" kern="1200">
                                <a:solidFill>
                                  <a:schemeClr val="dk1"/>
                                </a:solidFill>
                                <a:latin typeface="+mn-lt"/>
                                <a:ea typeface="+mn-ea"/>
                                <a:cs typeface="+mn-cs"/>
                              </a:defRPr>
                            </a:lvl5pPr>
                            <a:lvl6pPr marL="2286000" algn="l" defTabSz="457200" rtl="0" eaLnBrk="1" latinLnBrk="0" hangingPunct="1">
                              <a:defRPr sz="1800" kern="1200">
                                <a:solidFill>
                                  <a:schemeClr val="dk1"/>
                                </a:solidFill>
                                <a:latin typeface="+mn-lt"/>
                                <a:ea typeface="+mn-ea"/>
                                <a:cs typeface="+mn-cs"/>
                              </a:defRPr>
                            </a:lvl6pPr>
                            <a:lvl7pPr marL="2743200" algn="l" defTabSz="457200" rtl="0" eaLnBrk="1" latinLnBrk="0" hangingPunct="1">
                              <a:defRPr sz="1800" kern="1200">
                                <a:solidFill>
                                  <a:schemeClr val="dk1"/>
                                </a:solidFill>
                                <a:latin typeface="+mn-lt"/>
                                <a:ea typeface="+mn-ea"/>
                                <a:cs typeface="+mn-cs"/>
                              </a:defRPr>
                            </a:lvl7pPr>
                            <a:lvl8pPr marL="3200400" algn="l" defTabSz="457200" rtl="0" eaLnBrk="1" latinLnBrk="0" hangingPunct="1">
                              <a:defRPr sz="1800" kern="1200">
                                <a:solidFill>
                                  <a:schemeClr val="dk1"/>
                                </a:solidFill>
                                <a:latin typeface="+mn-lt"/>
                                <a:ea typeface="+mn-ea"/>
                                <a:cs typeface="+mn-cs"/>
                              </a:defRPr>
                            </a:lvl8pPr>
                            <a:lvl9pPr marL="3657600" algn="l" defTabSz="457200" rtl="0" eaLnBrk="1" latinLnBrk="0" hangingPunct="1">
                              <a:defRPr sz="1800" kern="1200">
                                <a:solidFill>
                                  <a:schemeClr val="dk1"/>
                                </a:solidFill>
                                <a:latin typeface="+mn-lt"/>
                                <a:ea typeface="+mn-ea"/>
                                <a:cs typeface="+mn-cs"/>
                              </a:defRPr>
                            </a:lvl9pPr>
                          </a:lstStyle>
                          <a:p>
                            <a:pPr algn="ctr"/>
                            <a:r>
                              <a:rPr lang="zh-CN" altLang="en-US" sz="1200" dirty="0">
                                <a:latin typeface="微软雅黑" panose="020B0503020204020204" pitchFamily="2" charset="-122"/>
                                <a:ea typeface="微软雅黑" panose="020B0503020204020204" pitchFamily="2" charset="-122"/>
                              </a:rPr>
                              <a:t>视频图像模型仓库</a:t>
                            </a:r>
                            <a:endParaRPr lang="zh-CN" altLang="en-US" sz="1200" dirty="0">
                              <a:latin typeface="微软雅黑" panose="020B0503020204020204" pitchFamily="2" charset="-122"/>
                              <a:ea typeface="微软雅黑" panose="020B0503020204020204" pitchFamily="2" charset="-122"/>
                            </a:endParaRPr>
                          </a:p>
                        </a:txBody>
                        <a:useSpRect/>
                      </a:txSp>
                      <a:style>
                        <a:lnRef idx="2">
                          <a:schemeClr val="dk1"/>
                        </a:lnRef>
                        <a:fillRef idx="1">
                          <a:schemeClr val="lt1"/>
                        </a:fillRef>
                        <a:effectRef idx="0">
                          <a:schemeClr val="dk1"/>
                        </a:effectRef>
                        <a:fontRef idx="minor">
                          <a:schemeClr val="dk1"/>
                        </a:fontRef>
                      </a:style>
                    </a:sp>
                    <a:sp>
                      <a:nvSpPr>
                        <a:cNvPr id="116" name="矩形 115"/>
                        <a:cNvSpPr/>
                      </a:nvSpPr>
                      <a:spPr>
                        <a:xfrm>
                          <a:off x="12131360" y="4083288"/>
                          <a:ext cx="662400" cy="300599"/>
                        </a:xfrm>
                        <a:prstGeom prst="rect">
                          <a:avLst/>
                        </a:prstGeom>
                        <a:ln w="6350"/>
                      </a:spPr>
                      <a:txSp>
                        <a:txBody>
                          <a:bodyPr rtlCol="0" anchor="ctr"/>
                          <a:lstStyle>
                            <a:defPPr>
                              <a:defRPr lang="en-US"/>
                            </a:defPPr>
                            <a:lvl1pPr marL="0" algn="l" defTabSz="457200" rtl="0" eaLnBrk="1" latinLnBrk="0" hangingPunct="1">
                              <a:defRPr sz="1800" kern="1200">
                                <a:solidFill>
                                  <a:schemeClr val="dk1"/>
                                </a:solidFill>
                                <a:latin typeface="+mn-lt"/>
                                <a:ea typeface="+mn-ea"/>
                                <a:cs typeface="+mn-cs"/>
                              </a:defRPr>
                            </a:lvl1pPr>
                            <a:lvl2pPr marL="457200" algn="l" defTabSz="457200" rtl="0" eaLnBrk="1" latinLnBrk="0" hangingPunct="1">
                              <a:defRPr sz="1800" kern="1200">
                                <a:solidFill>
                                  <a:schemeClr val="dk1"/>
                                </a:solidFill>
                                <a:latin typeface="+mn-lt"/>
                                <a:ea typeface="+mn-ea"/>
                                <a:cs typeface="+mn-cs"/>
                              </a:defRPr>
                            </a:lvl2pPr>
                            <a:lvl3pPr marL="914400" algn="l" defTabSz="457200" rtl="0" eaLnBrk="1" latinLnBrk="0" hangingPunct="1">
                              <a:defRPr sz="1800" kern="1200">
                                <a:solidFill>
                                  <a:schemeClr val="dk1"/>
                                </a:solidFill>
                                <a:latin typeface="+mn-lt"/>
                                <a:ea typeface="+mn-ea"/>
                                <a:cs typeface="+mn-cs"/>
                              </a:defRPr>
                            </a:lvl3pPr>
                            <a:lvl4pPr marL="1371600" algn="l" defTabSz="457200" rtl="0" eaLnBrk="1" latinLnBrk="0" hangingPunct="1">
                              <a:defRPr sz="1800" kern="1200">
                                <a:solidFill>
                                  <a:schemeClr val="dk1"/>
                                </a:solidFill>
                                <a:latin typeface="+mn-lt"/>
                                <a:ea typeface="+mn-ea"/>
                                <a:cs typeface="+mn-cs"/>
                              </a:defRPr>
                            </a:lvl4pPr>
                            <a:lvl5pPr marL="1828800" algn="l" defTabSz="457200" rtl="0" eaLnBrk="1" latinLnBrk="0" hangingPunct="1">
                              <a:defRPr sz="1800" kern="1200">
                                <a:solidFill>
                                  <a:schemeClr val="dk1"/>
                                </a:solidFill>
                                <a:latin typeface="+mn-lt"/>
                                <a:ea typeface="+mn-ea"/>
                                <a:cs typeface="+mn-cs"/>
                              </a:defRPr>
                            </a:lvl5pPr>
                            <a:lvl6pPr marL="2286000" algn="l" defTabSz="457200" rtl="0" eaLnBrk="1" latinLnBrk="0" hangingPunct="1">
                              <a:defRPr sz="1800" kern="1200">
                                <a:solidFill>
                                  <a:schemeClr val="dk1"/>
                                </a:solidFill>
                                <a:latin typeface="+mn-lt"/>
                                <a:ea typeface="+mn-ea"/>
                                <a:cs typeface="+mn-cs"/>
                              </a:defRPr>
                            </a:lvl6pPr>
                            <a:lvl7pPr marL="2743200" algn="l" defTabSz="457200" rtl="0" eaLnBrk="1" latinLnBrk="0" hangingPunct="1">
                              <a:defRPr sz="1800" kern="1200">
                                <a:solidFill>
                                  <a:schemeClr val="dk1"/>
                                </a:solidFill>
                                <a:latin typeface="+mn-lt"/>
                                <a:ea typeface="+mn-ea"/>
                                <a:cs typeface="+mn-cs"/>
                              </a:defRPr>
                            </a:lvl7pPr>
                            <a:lvl8pPr marL="3200400" algn="l" defTabSz="457200" rtl="0" eaLnBrk="1" latinLnBrk="0" hangingPunct="1">
                              <a:defRPr sz="1800" kern="1200">
                                <a:solidFill>
                                  <a:schemeClr val="dk1"/>
                                </a:solidFill>
                                <a:latin typeface="+mn-lt"/>
                                <a:ea typeface="+mn-ea"/>
                                <a:cs typeface="+mn-cs"/>
                              </a:defRPr>
                            </a:lvl8pPr>
                            <a:lvl9pPr marL="3657600" algn="l" defTabSz="457200" rtl="0" eaLnBrk="1" latinLnBrk="0" hangingPunct="1">
                              <a:defRPr sz="1800" kern="1200">
                                <a:solidFill>
                                  <a:schemeClr val="dk1"/>
                                </a:solidFill>
                                <a:latin typeface="+mn-lt"/>
                                <a:ea typeface="+mn-ea"/>
                                <a:cs typeface="+mn-cs"/>
                              </a:defRPr>
                            </a:lvl9pPr>
                          </a:lstStyle>
                          <a:p>
                            <a:pPr algn="ctr"/>
                            <a:r>
                              <a:rPr lang="zh-CN" altLang="en-US" sz="1200" dirty="0">
                                <a:latin typeface="微软雅黑" panose="020B0503020204020204" pitchFamily="2" charset="-122"/>
                                <a:ea typeface="微软雅黑" panose="020B0503020204020204" pitchFamily="2" charset="-122"/>
                              </a:rPr>
                              <a:t>视频图像模型推理</a:t>
                            </a:r>
                            <a:endParaRPr lang="zh-CN" altLang="en-US" sz="1200" dirty="0">
                              <a:latin typeface="微软雅黑" panose="020B0503020204020204" pitchFamily="2" charset="-122"/>
                              <a:ea typeface="微软雅黑" panose="020B0503020204020204" pitchFamily="2" charset="-122"/>
                            </a:endParaRPr>
                          </a:p>
                        </a:txBody>
                        <a:useSpRect/>
                      </a:txSp>
                      <a:style>
                        <a:lnRef idx="2">
                          <a:schemeClr val="dk1"/>
                        </a:lnRef>
                        <a:fillRef idx="1">
                          <a:schemeClr val="lt1"/>
                        </a:fillRef>
                        <a:effectRef idx="0">
                          <a:schemeClr val="dk1"/>
                        </a:effectRef>
                        <a:fontRef idx="minor">
                          <a:schemeClr val="dk1"/>
                        </a:fontRef>
                      </a:style>
                    </a:sp>
                    <a:sp>
                      <a:nvSpPr>
                        <a:cNvPr id="117" name="矩形 116"/>
                        <a:cNvSpPr/>
                      </a:nvSpPr>
                      <a:spPr>
                        <a:xfrm>
                          <a:off x="12860283" y="4083288"/>
                          <a:ext cx="662400" cy="300599"/>
                        </a:xfrm>
                        <a:prstGeom prst="rect">
                          <a:avLst/>
                        </a:prstGeom>
                        <a:ln w="6350"/>
                      </a:spPr>
                      <a:txSp>
                        <a:txBody>
                          <a:bodyPr rtlCol="0" anchor="ctr"/>
                          <a:lstStyle>
                            <a:defPPr>
                              <a:defRPr lang="en-US"/>
                            </a:defPPr>
                            <a:lvl1pPr marL="0" algn="l" defTabSz="457200" rtl="0" eaLnBrk="1" latinLnBrk="0" hangingPunct="1">
                              <a:defRPr sz="1800" kern="1200">
                                <a:solidFill>
                                  <a:schemeClr val="dk1"/>
                                </a:solidFill>
                                <a:latin typeface="+mn-lt"/>
                                <a:ea typeface="+mn-ea"/>
                                <a:cs typeface="+mn-cs"/>
                              </a:defRPr>
                            </a:lvl1pPr>
                            <a:lvl2pPr marL="457200" algn="l" defTabSz="457200" rtl="0" eaLnBrk="1" latinLnBrk="0" hangingPunct="1">
                              <a:defRPr sz="1800" kern="1200">
                                <a:solidFill>
                                  <a:schemeClr val="dk1"/>
                                </a:solidFill>
                                <a:latin typeface="+mn-lt"/>
                                <a:ea typeface="+mn-ea"/>
                                <a:cs typeface="+mn-cs"/>
                              </a:defRPr>
                            </a:lvl2pPr>
                            <a:lvl3pPr marL="914400" algn="l" defTabSz="457200" rtl="0" eaLnBrk="1" latinLnBrk="0" hangingPunct="1">
                              <a:defRPr sz="1800" kern="1200">
                                <a:solidFill>
                                  <a:schemeClr val="dk1"/>
                                </a:solidFill>
                                <a:latin typeface="+mn-lt"/>
                                <a:ea typeface="+mn-ea"/>
                                <a:cs typeface="+mn-cs"/>
                              </a:defRPr>
                            </a:lvl3pPr>
                            <a:lvl4pPr marL="1371600" algn="l" defTabSz="457200" rtl="0" eaLnBrk="1" latinLnBrk="0" hangingPunct="1">
                              <a:defRPr sz="1800" kern="1200">
                                <a:solidFill>
                                  <a:schemeClr val="dk1"/>
                                </a:solidFill>
                                <a:latin typeface="+mn-lt"/>
                                <a:ea typeface="+mn-ea"/>
                                <a:cs typeface="+mn-cs"/>
                              </a:defRPr>
                            </a:lvl4pPr>
                            <a:lvl5pPr marL="1828800" algn="l" defTabSz="457200" rtl="0" eaLnBrk="1" latinLnBrk="0" hangingPunct="1">
                              <a:defRPr sz="1800" kern="1200">
                                <a:solidFill>
                                  <a:schemeClr val="dk1"/>
                                </a:solidFill>
                                <a:latin typeface="+mn-lt"/>
                                <a:ea typeface="+mn-ea"/>
                                <a:cs typeface="+mn-cs"/>
                              </a:defRPr>
                            </a:lvl5pPr>
                            <a:lvl6pPr marL="2286000" algn="l" defTabSz="457200" rtl="0" eaLnBrk="1" latinLnBrk="0" hangingPunct="1">
                              <a:defRPr sz="1800" kern="1200">
                                <a:solidFill>
                                  <a:schemeClr val="dk1"/>
                                </a:solidFill>
                                <a:latin typeface="+mn-lt"/>
                                <a:ea typeface="+mn-ea"/>
                                <a:cs typeface="+mn-cs"/>
                              </a:defRPr>
                            </a:lvl6pPr>
                            <a:lvl7pPr marL="2743200" algn="l" defTabSz="457200" rtl="0" eaLnBrk="1" latinLnBrk="0" hangingPunct="1">
                              <a:defRPr sz="1800" kern="1200">
                                <a:solidFill>
                                  <a:schemeClr val="dk1"/>
                                </a:solidFill>
                                <a:latin typeface="+mn-lt"/>
                                <a:ea typeface="+mn-ea"/>
                                <a:cs typeface="+mn-cs"/>
                              </a:defRPr>
                            </a:lvl7pPr>
                            <a:lvl8pPr marL="3200400" algn="l" defTabSz="457200" rtl="0" eaLnBrk="1" latinLnBrk="0" hangingPunct="1">
                              <a:defRPr sz="1800" kern="1200">
                                <a:solidFill>
                                  <a:schemeClr val="dk1"/>
                                </a:solidFill>
                                <a:latin typeface="+mn-lt"/>
                                <a:ea typeface="+mn-ea"/>
                                <a:cs typeface="+mn-cs"/>
                              </a:defRPr>
                            </a:lvl8pPr>
                            <a:lvl9pPr marL="3657600" algn="l" defTabSz="457200" rtl="0" eaLnBrk="1" latinLnBrk="0" hangingPunct="1">
                              <a:defRPr sz="1800" kern="1200">
                                <a:solidFill>
                                  <a:schemeClr val="dk1"/>
                                </a:solidFill>
                                <a:latin typeface="+mn-lt"/>
                                <a:ea typeface="+mn-ea"/>
                                <a:cs typeface="+mn-cs"/>
                              </a:defRPr>
                            </a:lvl9pPr>
                          </a:lstStyle>
                          <a:p>
                            <a:pPr algn="ctr"/>
                            <a:r>
                              <a:rPr lang="zh-CN" altLang="en-US" sz="1200" dirty="0">
                                <a:latin typeface="微软雅黑" panose="020B0503020204020204" pitchFamily="2" charset="-122"/>
                                <a:ea typeface="微软雅黑" panose="020B0503020204020204" pitchFamily="2" charset="-122"/>
                              </a:rPr>
                              <a:t>视频图像模型优化</a:t>
                            </a:r>
                            <a:endParaRPr lang="zh-CN" altLang="en-US" sz="1200" dirty="0">
                              <a:latin typeface="微软雅黑" panose="020B0503020204020204" pitchFamily="2" charset="-122"/>
                              <a:ea typeface="微软雅黑" panose="020B0503020204020204" pitchFamily="2" charset="-122"/>
                            </a:endParaRPr>
                          </a:p>
                        </a:txBody>
                        <a:useSpRect/>
                      </a:txSp>
                      <a:style>
                        <a:lnRef idx="2">
                          <a:schemeClr val="dk1"/>
                        </a:lnRef>
                        <a:fillRef idx="1">
                          <a:schemeClr val="lt1"/>
                        </a:fillRef>
                        <a:effectRef idx="0">
                          <a:schemeClr val="dk1"/>
                        </a:effectRef>
                        <a:fontRef idx="minor">
                          <a:schemeClr val="dk1"/>
                        </a:fontRef>
                      </a:style>
                    </a:sp>
                    <a:sp>
                      <a:nvSpPr>
                        <a:cNvPr id="118" name="文本框 117"/>
                        <a:cNvSpPr txBox="1"/>
                      </a:nvSpPr>
                      <a:spPr>
                        <a:xfrm>
                          <a:off x="9365224" y="4022160"/>
                          <a:ext cx="546379" cy="387776"/>
                        </a:xfrm>
                        <a:prstGeom prst="rect">
                          <a:avLst/>
                        </a:prstGeom>
                        <a:noFill/>
                        <a:ln>
                          <a:noFill/>
                        </a:ln>
                      </a:spPr>
                      <a:txSp>
                        <a:txBody>
                          <a:bodyPr wrap="square" rtlCol="0" anchor="ctr">
                            <a:spAutoFit/>
                          </a:bodyPr>
                          <a:lstStyle>
                            <a:defPPr>
                              <a:defRPr lang="en-US"/>
                            </a:defPPr>
                            <a:lvl1pPr marL="0" algn="l" defTabSz="457200" rtl="0" eaLnBrk="1" latinLnBrk="0" hangingPunct="1">
                              <a:defRPr sz="1800" kern="1200">
                                <a:solidFill>
                                  <a:schemeClr val="dk1"/>
                                </a:solidFill>
                                <a:latin typeface="+mn-lt"/>
                                <a:ea typeface="+mn-ea"/>
                                <a:cs typeface="+mn-cs"/>
                              </a:defRPr>
                            </a:lvl1pPr>
                            <a:lvl2pPr marL="457200" algn="l" defTabSz="457200" rtl="0" eaLnBrk="1" latinLnBrk="0" hangingPunct="1">
                              <a:defRPr sz="1800" kern="1200">
                                <a:solidFill>
                                  <a:schemeClr val="dk1"/>
                                </a:solidFill>
                                <a:latin typeface="+mn-lt"/>
                                <a:ea typeface="+mn-ea"/>
                                <a:cs typeface="+mn-cs"/>
                              </a:defRPr>
                            </a:lvl2pPr>
                            <a:lvl3pPr marL="914400" algn="l" defTabSz="457200" rtl="0" eaLnBrk="1" latinLnBrk="0" hangingPunct="1">
                              <a:defRPr sz="1800" kern="1200">
                                <a:solidFill>
                                  <a:schemeClr val="dk1"/>
                                </a:solidFill>
                                <a:latin typeface="+mn-lt"/>
                                <a:ea typeface="+mn-ea"/>
                                <a:cs typeface="+mn-cs"/>
                              </a:defRPr>
                            </a:lvl3pPr>
                            <a:lvl4pPr marL="1371600" algn="l" defTabSz="457200" rtl="0" eaLnBrk="1" latinLnBrk="0" hangingPunct="1">
                              <a:defRPr sz="1800" kern="1200">
                                <a:solidFill>
                                  <a:schemeClr val="dk1"/>
                                </a:solidFill>
                                <a:latin typeface="+mn-lt"/>
                                <a:ea typeface="+mn-ea"/>
                                <a:cs typeface="+mn-cs"/>
                              </a:defRPr>
                            </a:lvl4pPr>
                            <a:lvl5pPr marL="1828800" algn="l" defTabSz="457200" rtl="0" eaLnBrk="1" latinLnBrk="0" hangingPunct="1">
                              <a:defRPr sz="1800" kern="1200">
                                <a:solidFill>
                                  <a:schemeClr val="dk1"/>
                                </a:solidFill>
                                <a:latin typeface="+mn-lt"/>
                                <a:ea typeface="+mn-ea"/>
                                <a:cs typeface="+mn-cs"/>
                              </a:defRPr>
                            </a:lvl5pPr>
                            <a:lvl6pPr marL="2286000" algn="l" defTabSz="457200" rtl="0" eaLnBrk="1" latinLnBrk="0" hangingPunct="1">
                              <a:defRPr sz="1800" kern="1200">
                                <a:solidFill>
                                  <a:schemeClr val="dk1"/>
                                </a:solidFill>
                                <a:latin typeface="+mn-lt"/>
                                <a:ea typeface="+mn-ea"/>
                                <a:cs typeface="+mn-cs"/>
                              </a:defRPr>
                            </a:lvl6pPr>
                            <a:lvl7pPr marL="2743200" algn="l" defTabSz="457200" rtl="0" eaLnBrk="1" latinLnBrk="0" hangingPunct="1">
                              <a:defRPr sz="1800" kern="1200">
                                <a:solidFill>
                                  <a:schemeClr val="dk1"/>
                                </a:solidFill>
                                <a:latin typeface="+mn-lt"/>
                                <a:ea typeface="+mn-ea"/>
                                <a:cs typeface="+mn-cs"/>
                              </a:defRPr>
                            </a:lvl7pPr>
                            <a:lvl8pPr marL="3200400" algn="l" defTabSz="457200" rtl="0" eaLnBrk="1" latinLnBrk="0" hangingPunct="1">
                              <a:defRPr sz="1800" kern="1200">
                                <a:solidFill>
                                  <a:schemeClr val="dk1"/>
                                </a:solidFill>
                                <a:latin typeface="+mn-lt"/>
                                <a:ea typeface="+mn-ea"/>
                                <a:cs typeface="+mn-cs"/>
                              </a:defRPr>
                            </a:lvl8pPr>
                            <a:lvl9pPr marL="3657600" algn="l" defTabSz="457200" rtl="0" eaLnBrk="1" latinLnBrk="0" hangingPunct="1">
                              <a:defRPr sz="1800" kern="1200">
                                <a:solidFill>
                                  <a:schemeClr val="dk1"/>
                                </a:solidFill>
                                <a:latin typeface="+mn-lt"/>
                                <a:ea typeface="+mn-ea"/>
                                <a:cs typeface="+mn-cs"/>
                              </a:defRPr>
                            </a:lvl9pPr>
                          </a:lstStyle>
                          <a:p>
                            <a:pPr algn="ctr"/>
                            <a:r>
                              <a:rPr lang="zh-CN" altLang="en-US" sz="1200" b="1" dirty="0">
                                <a:latin typeface="微软雅黑" panose="020B0503020204020204" pitchFamily="2" charset="-122"/>
                                <a:ea typeface="微软雅黑" panose="020B0503020204020204" pitchFamily="2" charset="-122"/>
                              </a:rPr>
                              <a:t>跨模型</a:t>
                            </a:r>
                            <a:endParaRPr lang="en-US" altLang="zh-CN" sz="1200" b="1" dirty="0">
                              <a:latin typeface="微软雅黑" panose="020B0503020204020204" pitchFamily="2" charset="-122"/>
                              <a:ea typeface="微软雅黑" panose="020B0503020204020204" pitchFamily="2" charset="-122"/>
                            </a:endParaRPr>
                          </a:p>
                          <a:p>
                            <a:pPr algn="ctr"/>
                            <a:r>
                              <a:rPr lang="zh-CN" altLang="en-US" sz="1200" b="1" dirty="0">
                                <a:latin typeface="微软雅黑" panose="020B0503020204020204" pitchFamily="2" charset="-122"/>
                                <a:ea typeface="微软雅黑" panose="020B0503020204020204" pitchFamily="2" charset="-122"/>
                              </a:rPr>
                              <a:t>统一调度管理</a:t>
                            </a:r>
                            <a:endParaRPr lang="zh-CN" altLang="en-US" sz="1200" b="1" dirty="0">
                              <a:latin typeface="微软雅黑" panose="020B0503020204020204" pitchFamily="2" charset="-122"/>
                              <a:ea typeface="微软雅黑" panose="020B0503020204020204" pitchFamily="2" charset="-122"/>
                            </a:endParaRPr>
                          </a:p>
                        </a:txBody>
                        <a:useSpRect/>
                      </a:txSp>
                      <a:style>
                        <a:lnRef idx="2">
                          <a:schemeClr val="dk1"/>
                        </a:lnRef>
                        <a:fillRef idx="1">
                          <a:schemeClr val="lt1"/>
                        </a:fillRef>
                        <a:effectRef idx="0">
                          <a:schemeClr val="dk1"/>
                        </a:effectRef>
                        <a:fontRef idx="minor">
                          <a:schemeClr val="dk1"/>
                        </a:fontRef>
                      </a:style>
                    </a:sp>
                    <a:sp>
                      <a:nvSpPr>
                        <a:cNvPr id="120" name="矩形 119"/>
                        <a:cNvSpPr/>
                      </a:nvSpPr>
                      <a:spPr>
                        <a:xfrm>
                          <a:off x="11402438" y="4079609"/>
                          <a:ext cx="662400" cy="300599"/>
                        </a:xfrm>
                        <a:prstGeom prst="rect">
                          <a:avLst/>
                        </a:prstGeom>
                        <a:ln w="6350"/>
                      </a:spPr>
                      <a:txSp>
                        <a:txBody>
                          <a:bodyPr rtlCol="0" anchor="ctr"/>
                          <a:lstStyle>
                            <a:defPPr>
                              <a:defRPr lang="en-US"/>
                            </a:defPPr>
                            <a:lvl1pPr marL="0" algn="l" defTabSz="457200" rtl="0" eaLnBrk="1" latinLnBrk="0" hangingPunct="1">
                              <a:defRPr sz="1800" kern="1200">
                                <a:solidFill>
                                  <a:schemeClr val="dk1"/>
                                </a:solidFill>
                                <a:latin typeface="+mn-lt"/>
                                <a:ea typeface="+mn-ea"/>
                                <a:cs typeface="+mn-cs"/>
                              </a:defRPr>
                            </a:lvl1pPr>
                            <a:lvl2pPr marL="457200" algn="l" defTabSz="457200" rtl="0" eaLnBrk="1" latinLnBrk="0" hangingPunct="1">
                              <a:defRPr sz="1800" kern="1200">
                                <a:solidFill>
                                  <a:schemeClr val="dk1"/>
                                </a:solidFill>
                                <a:latin typeface="+mn-lt"/>
                                <a:ea typeface="+mn-ea"/>
                                <a:cs typeface="+mn-cs"/>
                              </a:defRPr>
                            </a:lvl2pPr>
                            <a:lvl3pPr marL="914400" algn="l" defTabSz="457200" rtl="0" eaLnBrk="1" latinLnBrk="0" hangingPunct="1">
                              <a:defRPr sz="1800" kern="1200">
                                <a:solidFill>
                                  <a:schemeClr val="dk1"/>
                                </a:solidFill>
                                <a:latin typeface="+mn-lt"/>
                                <a:ea typeface="+mn-ea"/>
                                <a:cs typeface="+mn-cs"/>
                              </a:defRPr>
                            </a:lvl3pPr>
                            <a:lvl4pPr marL="1371600" algn="l" defTabSz="457200" rtl="0" eaLnBrk="1" latinLnBrk="0" hangingPunct="1">
                              <a:defRPr sz="1800" kern="1200">
                                <a:solidFill>
                                  <a:schemeClr val="dk1"/>
                                </a:solidFill>
                                <a:latin typeface="+mn-lt"/>
                                <a:ea typeface="+mn-ea"/>
                                <a:cs typeface="+mn-cs"/>
                              </a:defRPr>
                            </a:lvl4pPr>
                            <a:lvl5pPr marL="1828800" algn="l" defTabSz="457200" rtl="0" eaLnBrk="1" latinLnBrk="0" hangingPunct="1">
                              <a:defRPr sz="1800" kern="1200">
                                <a:solidFill>
                                  <a:schemeClr val="dk1"/>
                                </a:solidFill>
                                <a:latin typeface="+mn-lt"/>
                                <a:ea typeface="+mn-ea"/>
                                <a:cs typeface="+mn-cs"/>
                              </a:defRPr>
                            </a:lvl5pPr>
                            <a:lvl6pPr marL="2286000" algn="l" defTabSz="457200" rtl="0" eaLnBrk="1" latinLnBrk="0" hangingPunct="1">
                              <a:defRPr sz="1800" kern="1200">
                                <a:solidFill>
                                  <a:schemeClr val="dk1"/>
                                </a:solidFill>
                                <a:latin typeface="+mn-lt"/>
                                <a:ea typeface="+mn-ea"/>
                                <a:cs typeface="+mn-cs"/>
                              </a:defRPr>
                            </a:lvl6pPr>
                            <a:lvl7pPr marL="2743200" algn="l" defTabSz="457200" rtl="0" eaLnBrk="1" latinLnBrk="0" hangingPunct="1">
                              <a:defRPr sz="1800" kern="1200">
                                <a:solidFill>
                                  <a:schemeClr val="dk1"/>
                                </a:solidFill>
                                <a:latin typeface="+mn-lt"/>
                                <a:ea typeface="+mn-ea"/>
                                <a:cs typeface="+mn-cs"/>
                              </a:defRPr>
                            </a:lvl7pPr>
                            <a:lvl8pPr marL="3200400" algn="l" defTabSz="457200" rtl="0" eaLnBrk="1" latinLnBrk="0" hangingPunct="1">
                              <a:defRPr sz="1800" kern="1200">
                                <a:solidFill>
                                  <a:schemeClr val="dk1"/>
                                </a:solidFill>
                                <a:latin typeface="+mn-lt"/>
                                <a:ea typeface="+mn-ea"/>
                                <a:cs typeface="+mn-cs"/>
                              </a:defRPr>
                            </a:lvl8pPr>
                            <a:lvl9pPr marL="3657600" algn="l" defTabSz="457200" rtl="0" eaLnBrk="1" latinLnBrk="0" hangingPunct="1">
                              <a:defRPr sz="1800" kern="1200">
                                <a:solidFill>
                                  <a:schemeClr val="dk1"/>
                                </a:solidFill>
                                <a:latin typeface="+mn-lt"/>
                                <a:ea typeface="+mn-ea"/>
                                <a:cs typeface="+mn-cs"/>
                              </a:defRPr>
                            </a:lvl9pPr>
                          </a:lstStyle>
                          <a:p>
                            <a:pPr algn="ctr"/>
                            <a:r>
                              <a:rPr lang="zh-CN" altLang="en-US" sz="1200" dirty="0">
                                <a:latin typeface="微软雅黑" panose="020B0503020204020204" pitchFamily="2" charset="-122"/>
                                <a:ea typeface="微软雅黑" panose="020B0503020204020204" pitchFamily="2" charset="-122"/>
                              </a:rPr>
                              <a:t>视频图像模型微调</a:t>
                            </a:r>
                            <a:endParaRPr lang="zh-CN" altLang="en-US" sz="1200" dirty="0">
                              <a:latin typeface="微软雅黑" panose="020B0503020204020204" pitchFamily="2" charset="-122"/>
                              <a:ea typeface="微软雅黑" panose="020B0503020204020204" pitchFamily="2" charset="-122"/>
                            </a:endParaRPr>
                          </a:p>
                        </a:txBody>
                        <a:useSpRect/>
                      </a:txSp>
                      <a:style>
                        <a:lnRef idx="2">
                          <a:schemeClr val="dk1"/>
                        </a:lnRef>
                        <a:fillRef idx="1">
                          <a:schemeClr val="lt1"/>
                        </a:fillRef>
                        <a:effectRef idx="0">
                          <a:schemeClr val="dk1"/>
                        </a:effectRef>
                        <a:fontRef idx="minor">
                          <a:schemeClr val="dk1"/>
                        </a:fontRef>
                      </a:style>
                    </a:sp>
                  </a:grpSp>
                  <a:grpSp>
                    <a:nvGrpSpPr>
                      <a:cNvPr id="8" name="组合 123"/>
                      <a:cNvGrpSpPr/>
                    </a:nvGrpSpPr>
                    <a:grpSpPr>
                      <a:xfrm>
                        <a:off x="6434825" y="6280744"/>
                        <a:ext cx="7499709" cy="729843"/>
                        <a:chOff x="9365224" y="4010969"/>
                        <a:chExt cx="4218261" cy="437880"/>
                      </a:xfrm>
                    </a:grpSpPr>
                    <a:sp>
                      <a:nvSpPr>
                        <a:cNvPr id="125" name="矩形 124"/>
                        <a:cNvSpPr/>
                      </a:nvSpPr>
                      <a:spPr>
                        <a:xfrm>
                          <a:off x="9395392" y="4010969"/>
                          <a:ext cx="4188093" cy="437880"/>
                        </a:xfrm>
                        <a:prstGeom prst="rect">
                          <a:avLst/>
                        </a:prstGeom>
                        <a:ln w="6350"/>
                      </a:spPr>
                      <a:txSp>
                        <a:txBody>
                          <a:bodyPr rtlCol="0" anchor="t"/>
                          <a:lstStyle>
                            <a:defPPr>
                              <a:defRPr lang="en-US"/>
                            </a:defPPr>
                            <a:lvl1pPr marL="0" algn="l" defTabSz="457200" rtl="0" eaLnBrk="1" latinLnBrk="0" hangingPunct="1">
                              <a:defRPr sz="1800" kern="1200">
                                <a:solidFill>
                                  <a:schemeClr val="dk1"/>
                                </a:solidFill>
                                <a:latin typeface="+mn-lt"/>
                                <a:ea typeface="+mn-ea"/>
                                <a:cs typeface="+mn-cs"/>
                              </a:defRPr>
                            </a:lvl1pPr>
                            <a:lvl2pPr marL="457200" algn="l" defTabSz="457200" rtl="0" eaLnBrk="1" latinLnBrk="0" hangingPunct="1">
                              <a:defRPr sz="1800" kern="1200">
                                <a:solidFill>
                                  <a:schemeClr val="dk1"/>
                                </a:solidFill>
                                <a:latin typeface="+mn-lt"/>
                                <a:ea typeface="+mn-ea"/>
                                <a:cs typeface="+mn-cs"/>
                              </a:defRPr>
                            </a:lvl2pPr>
                            <a:lvl3pPr marL="914400" algn="l" defTabSz="457200" rtl="0" eaLnBrk="1" latinLnBrk="0" hangingPunct="1">
                              <a:defRPr sz="1800" kern="1200">
                                <a:solidFill>
                                  <a:schemeClr val="dk1"/>
                                </a:solidFill>
                                <a:latin typeface="+mn-lt"/>
                                <a:ea typeface="+mn-ea"/>
                                <a:cs typeface="+mn-cs"/>
                              </a:defRPr>
                            </a:lvl3pPr>
                            <a:lvl4pPr marL="1371600" algn="l" defTabSz="457200" rtl="0" eaLnBrk="1" latinLnBrk="0" hangingPunct="1">
                              <a:defRPr sz="1800" kern="1200">
                                <a:solidFill>
                                  <a:schemeClr val="dk1"/>
                                </a:solidFill>
                                <a:latin typeface="+mn-lt"/>
                                <a:ea typeface="+mn-ea"/>
                                <a:cs typeface="+mn-cs"/>
                              </a:defRPr>
                            </a:lvl4pPr>
                            <a:lvl5pPr marL="1828800" algn="l" defTabSz="457200" rtl="0" eaLnBrk="1" latinLnBrk="0" hangingPunct="1">
                              <a:defRPr sz="1800" kern="1200">
                                <a:solidFill>
                                  <a:schemeClr val="dk1"/>
                                </a:solidFill>
                                <a:latin typeface="+mn-lt"/>
                                <a:ea typeface="+mn-ea"/>
                                <a:cs typeface="+mn-cs"/>
                              </a:defRPr>
                            </a:lvl5pPr>
                            <a:lvl6pPr marL="2286000" algn="l" defTabSz="457200" rtl="0" eaLnBrk="1" latinLnBrk="0" hangingPunct="1">
                              <a:defRPr sz="1800" kern="1200">
                                <a:solidFill>
                                  <a:schemeClr val="dk1"/>
                                </a:solidFill>
                                <a:latin typeface="+mn-lt"/>
                                <a:ea typeface="+mn-ea"/>
                                <a:cs typeface="+mn-cs"/>
                              </a:defRPr>
                            </a:lvl6pPr>
                            <a:lvl7pPr marL="2743200" algn="l" defTabSz="457200" rtl="0" eaLnBrk="1" latinLnBrk="0" hangingPunct="1">
                              <a:defRPr sz="1800" kern="1200">
                                <a:solidFill>
                                  <a:schemeClr val="dk1"/>
                                </a:solidFill>
                                <a:latin typeface="+mn-lt"/>
                                <a:ea typeface="+mn-ea"/>
                                <a:cs typeface="+mn-cs"/>
                              </a:defRPr>
                            </a:lvl7pPr>
                            <a:lvl8pPr marL="3200400" algn="l" defTabSz="457200" rtl="0" eaLnBrk="1" latinLnBrk="0" hangingPunct="1">
                              <a:defRPr sz="1800" kern="1200">
                                <a:solidFill>
                                  <a:schemeClr val="dk1"/>
                                </a:solidFill>
                                <a:latin typeface="+mn-lt"/>
                                <a:ea typeface="+mn-ea"/>
                                <a:cs typeface="+mn-cs"/>
                              </a:defRPr>
                            </a:lvl8pPr>
                            <a:lvl9pPr marL="3657600" algn="l" defTabSz="457200" rtl="0" eaLnBrk="1" latinLnBrk="0" hangingPunct="1">
                              <a:defRPr sz="1800" kern="1200">
                                <a:solidFill>
                                  <a:schemeClr val="dk1"/>
                                </a:solidFill>
                                <a:latin typeface="+mn-lt"/>
                                <a:ea typeface="+mn-ea"/>
                                <a:cs typeface="+mn-cs"/>
                              </a:defRPr>
                            </a:lvl9pPr>
                          </a:lstStyle>
                          <a:p>
                            <a:pPr algn="ctr"/>
                            <a:endParaRPr lang="zh-CN" altLang="en-US" sz="1200" b="1" dirty="0">
                              <a:latin typeface="微软雅黑" panose="020B0503020204020204" pitchFamily="2" charset="-122"/>
                              <a:ea typeface="微软雅黑" panose="020B0503020204020204" pitchFamily="2" charset="-122"/>
                            </a:endParaRPr>
                          </a:p>
                        </a:txBody>
                        <a:useSpRect/>
                      </a:txSp>
                      <a:style>
                        <a:lnRef idx="2">
                          <a:schemeClr val="dk1"/>
                        </a:lnRef>
                        <a:fillRef idx="1">
                          <a:schemeClr val="lt1"/>
                        </a:fillRef>
                        <a:effectRef idx="0">
                          <a:schemeClr val="dk1"/>
                        </a:effectRef>
                        <a:fontRef idx="minor">
                          <a:schemeClr val="dk1"/>
                        </a:fontRef>
                      </a:style>
                    </a:sp>
                    <a:sp>
                      <a:nvSpPr>
                        <a:cNvPr id="126" name="矩形 125"/>
                        <a:cNvSpPr/>
                      </a:nvSpPr>
                      <a:spPr>
                        <a:xfrm>
                          <a:off x="9944486" y="4083289"/>
                          <a:ext cx="662508" cy="300599"/>
                        </a:xfrm>
                        <a:prstGeom prst="rect">
                          <a:avLst/>
                        </a:prstGeom>
                        <a:ln w="6350"/>
                      </a:spPr>
                      <a:txSp>
                        <a:txBody>
                          <a:bodyPr rtlCol="0" anchor="ctr"/>
                          <a:lstStyle>
                            <a:defPPr>
                              <a:defRPr lang="en-US"/>
                            </a:defPPr>
                            <a:lvl1pPr marL="0" algn="l" defTabSz="457200" rtl="0" eaLnBrk="1" latinLnBrk="0" hangingPunct="1">
                              <a:defRPr sz="1800" kern="1200">
                                <a:solidFill>
                                  <a:schemeClr val="dk1"/>
                                </a:solidFill>
                                <a:latin typeface="+mn-lt"/>
                                <a:ea typeface="+mn-ea"/>
                                <a:cs typeface="+mn-cs"/>
                              </a:defRPr>
                            </a:lvl1pPr>
                            <a:lvl2pPr marL="457200" algn="l" defTabSz="457200" rtl="0" eaLnBrk="1" latinLnBrk="0" hangingPunct="1">
                              <a:defRPr sz="1800" kern="1200">
                                <a:solidFill>
                                  <a:schemeClr val="dk1"/>
                                </a:solidFill>
                                <a:latin typeface="+mn-lt"/>
                                <a:ea typeface="+mn-ea"/>
                                <a:cs typeface="+mn-cs"/>
                              </a:defRPr>
                            </a:lvl2pPr>
                            <a:lvl3pPr marL="914400" algn="l" defTabSz="457200" rtl="0" eaLnBrk="1" latinLnBrk="0" hangingPunct="1">
                              <a:defRPr sz="1800" kern="1200">
                                <a:solidFill>
                                  <a:schemeClr val="dk1"/>
                                </a:solidFill>
                                <a:latin typeface="+mn-lt"/>
                                <a:ea typeface="+mn-ea"/>
                                <a:cs typeface="+mn-cs"/>
                              </a:defRPr>
                            </a:lvl3pPr>
                            <a:lvl4pPr marL="1371600" algn="l" defTabSz="457200" rtl="0" eaLnBrk="1" latinLnBrk="0" hangingPunct="1">
                              <a:defRPr sz="1800" kern="1200">
                                <a:solidFill>
                                  <a:schemeClr val="dk1"/>
                                </a:solidFill>
                                <a:latin typeface="+mn-lt"/>
                                <a:ea typeface="+mn-ea"/>
                                <a:cs typeface="+mn-cs"/>
                              </a:defRPr>
                            </a:lvl4pPr>
                            <a:lvl5pPr marL="1828800" algn="l" defTabSz="457200" rtl="0" eaLnBrk="1" latinLnBrk="0" hangingPunct="1">
                              <a:defRPr sz="1800" kern="1200">
                                <a:solidFill>
                                  <a:schemeClr val="dk1"/>
                                </a:solidFill>
                                <a:latin typeface="+mn-lt"/>
                                <a:ea typeface="+mn-ea"/>
                                <a:cs typeface="+mn-cs"/>
                              </a:defRPr>
                            </a:lvl5pPr>
                            <a:lvl6pPr marL="2286000" algn="l" defTabSz="457200" rtl="0" eaLnBrk="1" latinLnBrk="0" hangingPunct="1">
                              <a:defRPr sz="1800" kern="1200">
                                <a:solidFill>
                                  <a:schemeClr val="dk1"/>
                                </a:solidFill>
                                <a:latin typeface="+mn-lt"/>
                                <a:ea typeface="+mn-ea"/>
                                <a:cs typeface="+mn-cs"/>
                              </a:defRPr>
                            </a:lvl6pPr>
                            <a:lvl7pPr marL="2743200" algn="l" defTabSz="457200" rtl="0" eaLnBrk="1" latinLnBrk="0" hangingPunct="1">
                              <a:defRPr sz="1800" kern="1200">
                                <a:solidFill>
                                  <a:schemeClr val="dk1"/>
                                </a:solidFill>
                                <a:latin typeface="+mn-lt"/>
                                <a:ea typeface="+mn-ea"/>
                                <a:cs typeface="+mn-cs"/>
                              </a:defRPr>
                            </a:lvl7pPr>
                            <a:lvl8pPr marL="3200400" algn="l" defTabSz="457200" rtl="0" eaLnBrk="1" latinLnBrk="0" hangingPunct="1">
                              <a:defRPr sz="1800" kern="1200">
                                <a:solidFill>
                                  <a:schemeClr val="dk1"/>
                                </a:solidFill>
                                <a:latin typeface="+mn-lt"/>
                                <a:ea typeface="+mn-ea"/>
                                <a:cs typeface="+mn-cs"/>
                              </a:defRPr>
                            </a:lvl8pPr>
                            <a:lvl9pPr marL="3657600" algn="l" defTabSz="457200" rtl="0" eaLnBrk="1" latinLnBrk="0" hangingPunct="1">
                              <a:defRPr sz="1800" kern="1200">
                                <a:solidFill>
                                  <a:schemeClr val="dk1"/>
                                </a:solidFill>
                                <a:latin typeface="+mn-lt"/>
                                <a:ea typeface="+mn-ea"/>
                                <a:cs typeface="+mn-cs"/>
                              </a:defRPr>
                            </a:lvl9pPr>
                          </a:lstStyle>
                          <a:p>
                            <a:pPr algn="ctr"/>
                            <a:r>
                              <a:rPr lang="zh-CN" altLang="en-US" sz="1200" dirty="0">
                                <a:latin typeface="微软雅黑" panose="020B0503020204020204" pitchFamily="2" charset="-122"/>
                                <a:ea typeface="微软雅黑" panose="020B0503020204020204" pitchFamily="2" charset="-122"/>
                              </a:rPr>
                              <a:t>视频图像模型权重管理</a:t>
                            </a:r>
                            <a:endParaRPr lang="zh-CN" altLang="en-US" sz="1200" dirty="0">
                              <a:latin typeface="微软雅黑" panose="020B0503020204020204" pitchFamily="2" charset="-122"/>
                              <a:ea typeface="微软雅黑" panose="020B0503020204020204" pitchFamily="2" charset="-122"/>
                            </a:endParaRPr>
                          </a:p>
                        </a:txBody>
                        <a:useSpRect/>
                      </a:txSp>
                      <a:style>
                        <a:lnRef idx="2">
                          <a:schemeClr val="dk1"/>
                        </a:lnRef>
                        <a:fillRef idx="1">
                          <a:schemeClr val="lt1"/>
                        </a:fillRef>
                        <a:effectRef idx="0">
                          <a:schemeClr val="dk1"/>
                        </a:effectRef>
                        <a:fontRef idx="minor">
                          <a:schemeClr val="dk1"/>
                        </a:fontRef>
                      </a:style>
                    </a:sp>
                    <a:sp>
                      <a:nvSpPr>
                        <a:cNvPr id="127" name="矩形 126"/>
                        <a:cNvSpPr/>
                      </a:nvSpPr>
                      <a:spPr>
                        <a:xfrm>
                          <a:off x="10673516" y="4083288"/>
                          <a:ext cx="662400" cy="300599"/>
                        </a:xfrm>
                        <a:prstGeom prst="rect">
                          <a:avLst/>
                        </a:prstGeom>
                        <a:ln w="6350"/>
                      </a:spPr>
                      <a:txSp>
                        <a:txBody>
                          <a:bodyPr rtlCol="0" anchor="ctr"/>
                          <a:lstStyle>
                            <a:defPPr>
                              <a:defRPr lang="en-US"/>
                            </a:defPPr>
                            <a:lvl1pPr marL="0" algn="l" defTabSz="457200" rtl="0" eaLnBrk="1" latinLnBrk="0" hangingPunct="1">
                              <a:defRPr sz="1800" kern="1200">
                                <a:solidFill>
                                  <a:schemeClr val="dk1"/>
                                </a:solidFill>
                                <a:latin typeface="+mn-lt"/>
                                <a:ea typeface="+mn-ea"/>
                                <a:cs typeface="+mn-cs"/>
                              </a:defRPr>
                            </a:lvl1pPr>
                            <a:lvl2pPr marL="457200" algn="l" defTabSz="457200" rtl="0" eaLnBrk="1" latinLnBrk="0" hangingPunct="1">
                              <a:defRPr sz="1800" kern="1200">
                                <a:solidFill>
                                  <a:schemeClr val="dk1"/>
                                </a:solidFill>
                                <a:latin typeface="+mn-lt"/>
                                <a:ea typeface="+mn-ea"/>
                                <a:cs typeface="+mn-cs"/>
                              </a:defRPr>
                            </a:lvl2pPr>
                            <a:lvl3pPr marL="914400" algn="l" defTabSz="457200" rtl="0" eaLnBrk="1" latinLnBrk="0" hangingPunct="1">
                              <a:defRPr sz="1800" kern="1200">
                                <a:solidFill>
                                  <a:schemeClr val="dk1"/>
                                </a:solidFill>
                                <a:latin typeface="+mn-lt"/>
                                <a:ea typeface="+mn-ea"/>
                                <a:cs typeface="+mn-cs"/>
                              </a:defRPr>
                            </a:lvl3pPr>
                            <a:lvl4pPr marL="1371600" algn="l" defTabSz="457200" rtl="0" eaLnBrk="1" latinLnBrk="0" hangingPunct="1">
                              <a:defRPr sz="1800" kern="1200">
                                <a:solidFill>
                                  <a:schemeClr val="dk1"/>
                                </a:solidFill>
                                <a:latin typeface="+mn-lt"/>
                                <a:ea typeface="+mn-ea"/>
                                <a:cs typeface="+mn-cs"/>
                              </a:defRPr>
                            </a:lvl4pPr>
                            <a:lvl5pPr marL="1828800" algn="l" defTabSz="457200" rtl="0" eaLnBrk="1" latinLnBrk="0" hangingPunct="1">
                              <a:defRPr sz="1800" kern="1200">
                                <a:solidFill>
                                  <a:schemeClr val="dk1"/>
                                </a:solidFill>
                                <a:latin typeface="+mn-lt"/>
                                <a:ea typeface="+mn-ea"/>
                                <a:cs typeface="+mn-cs"/>
                              </a:defRPr>
                            </a:lvl5pPr>
                            <a:lvl6pPr marL="2286000" algn="l" defTabSz="457200" rtl="0" eaLnBrk="1" latinLnBrk="0" hangingPunct="1">
                              <a:defRPr sz="1800" kern="1200">
                                <a:solidFill>
                                  <a:schemeClr val="dk1"/>
                                </a:solidFill>
                                <a:latin typeface="+mn-lt"/>
                                <a:ea typeface="+mn-ea"/>
                                <a:cs typeface="+mn-cs"/>
                              </a:defRPr>
                            </a:lvl6pPr>
                            <a:lvl7pPr marL="2743200" algn="l" defTabSz="457200" rtl="0" eaLnBrk="1" latinLnBrk="0" hangingPunct="1">
                              <a:defRPr sz="1800" kern="1200">
                                <a:solidFill>
                                  <a:schemeClr val="dk1"/>
                                </a:solidFill>
                                <a:latin typeface="+mn-lt"/>
                                <a:ea typeface="+mn-ea"/>
                                <a:cs typeface="+mn-cs"/>
                              </a:defRPr>
                            </a:lvl7pPr>
                            <a:lvl8pPr marL="3200400" algn="l" defTabSz="457200" rtl="0" eaLnBrk="1" latinLnBrk="0" hangingPunct="1">
                              <a:defRPr sz="1800" kern="1200">
                                <a:solidFill>
                                  <a:schemeClr val="dk1"/>
                                </a:solidFill>
                                <a:latin typeface="+mn-lt"/>
                                <a:ea typeface="+mn-ea"/>
                                <a:cs typeface="+mn-cs"/>
                              </a:defRPr>
                            </a:lvl8pPr>
                            <a:lvl9pPr marL="3657600" algn="l" defTabSz="457200" rtl="0" eaLnBrk="1" latinLnBrk="0" hangingPunct="1">
                              <a:defRPr sz="1800" kern="1200">
                                <a:solidFill>
                                  <a:schemeClr val="dk1"/>
                                </a:solidFill>
                                <a:latin typeface="+mn-lt"/>
                                <a:ea typeface="+mn-ea"/>
                                <a:cs typeface="+mn-cs"/>
                              </a:defRPr>
                            </a:lvl9pPr>
                          </a:lstStyle>
                          <a:p>
                            <a:pPr algn="ctr"/>
                            <a:r>
                              <a:rPr lang="zh-CN" altLang="en-US" sz="1200" dirty="0">
                                <a:latin typeface="微软雅黑" panose="020B0503020204020204" pitchFamily="2" charset="-122"/>
                                <a:ea typeface="微软雅黑" panose="020B0503020204020204" pitchFamily="2" charset="-122"/>
                              </a:rPr>
                              <a:t>视频图像模型仓库</a:t>
                            </a:r>
                            <a:endParaRPr lang="zh-CN" altLang="en-US" sz="1200" dirty="0">
                              <a:latin typeface="微软雅黑" panose="020B0503020204020204" pitchFamily="2" charset="-122"/>
                              <a:ea typeface="微软雅黑" panose="020B0503020204020204" pitchFamily="2" charset="-122"/>
                            </a:endParaRPr>
                          </a:p>
                        </a:txBody>
                        <a:useSpRect/>
                      </a:txSp>
                      <a:style>
                        <a:lnRef idx="2">
                          <a:schemeClr val="dk1"/>
                        </a:lnRef>
                        <a:fillRef idx="1">
                          <a:schemeClr val="lt1"/>
                        </a:fillRef>
                        <a:effectRef idx="0">
                          <a:schemeClr val="dk1"/>
                        </a:effectRef>
                        <a:fontRef idx="minor">
                          <a:schemeClr val="dk1"/>
                        </a:fontRef>
                      </a:style>
                    </a:sp>
                    <a:sp>
                      <a:nvSpPr>
                        <a:cNvPr id="128" name="矩形 127"/>
                        <a:cNvSpPr/>
                      </a:nvSpPr>
                      <a:spPr>
                        <a:xfrm>
                          <a:off x="12131360" y="4083288"/>
                          <a:ext cx="662400" cy="300599"/>
                        </a:xfrm>
                        <a:prstGeom prst="rect">
                          <a:avLst/>
                        </a:prstGeom>
                        <a:ln w="6350"/>
                      </a:spPr>
                      <a:txSp>
                        <a:txBody>
                          <a:bodyPr rtlCol="0" anchor="ctr"/>
                          <a:lstStyle>
                            <a:defPPr>
                              <a:defRPr lang="en-US"/>
                            </a:defPPr>
                            <a:lvl1pPr marL="0" algn="l" defTabSz="457200" rtl="0" eaLnBrk="1" latinLnBrk="0" hangingPunct="1">
                              <a:defRPr sz="1800" kern="1200">
                                <a:solidFill>
                                  <a:schemeClr val="dk1"/>
                                </a:solidFill>
                                <a:latin typeface="+mn-lt"/>
                                <a:ea typeface="+mn-ea"/>
                                <a:cs typeface="+mn-cs"/>
                              </a:defRPr>
                            </a:lvl1pPr>
                            <a:lvl2pPr marL="457200" algn="l" defTabSz="457200" rtl="0" eaLnBrk="1" latinLnBrk="0" hangingPunct="1">
                              <a:defRPr sz="1800" kern="1200">
                                <a:solidFill>
                                  <a:schemeClr val="dk1"/>
                                </a:solidFill>
                                <a:latin typeface="+mn-lt"/>
                                <a:ea typeface="+mn-ea"/>
                                <a:cs typeface="+mn-cs"/>
                              </a:defRPr>
                            </a:lvl2pPr>
                            <a:lvl3pPr marL="914400" algn="l" defTabSz="457200" rtl="0" eaLnBrk="1" latinLnBrk="0" hangingPunct="1">
                              <a:defRPr sz="1800" kern="1200">
                                <a:solidFill>
                                  <a:schemeClr val="dk1"/>
                                </a:solidFill>
                                <a:latin typeface="+mn-lt"/>
                                <a:ea typeface="+mn-ea"/>
                                <a:cs typeface="+mn-cs"/>
                              </a:defRPr>
                            </a:lvl3pPr>
                            <a:lvl4pPr marL="1371600" algn="l" defTabSz="457200" rtl="0" eaLnBrk="1" latinLnBrk="0" hangingPunct="1">
                              <a:defRPr sz="1800" kern="1200">
                                <a:solidFill>
                                  <a:schemeClr val="dk1"/>
                                </a:solidFill>
                                <a:latin typeface="+mn-lt"/>
                                <a:ea typeface="+mn-ea"/>
                                <a:cs typeface="+mn-cs"/>
                              </a:defRPr>
                            </a:lvl4pPr>
                            <a:lvl5pPr marL="1828800" algn="l" defTabSz="457200" rtl="0" eaLnBrk="1" latinLnBrk="0" hangingPunct="1">
                              <a:defRPr sz="1800" kern="1200">
                                <a:solidFill>
                                  <a:schemeClr val="dk1"/>
                                </a:solidFill>
                                <a:latin typeface="+mn-lt"/>
                                <a:ea typeface="+mn-ea"/>
                                <a:cs typeface="+mn-cs"/>
                              </a:defRPr>
                            </a:lvl5pPr>
                            <a:lvl6pPr marL="2286000" algn="l" defTabSz="457200" rtl="0" eaLnBrk="1" latinLnBrk="0" hangingPunct="1">
                              <a:defRPr sz="1800" kern="1200">
                                <a:solidFill>
                                  <a:schemeClr val="dk1"/>
                                </a:solidFill>
                                <a:latin typeface="+mn-lt"/>
                                <a:ea typeface="+mn-ea"/>
                                <a:cs typeface="+mn-cs"/>
                              </a:defRPr>
                            </a:lvl6pPr>
                            <a:lvl7pPr marL="2743200" algn="l" defTabSz="457200" rtl="0" eaLnBrk="1" latinLnBrk="0" hangingPunct="1">
                              <a:defRPr sz="1800" kern="1200">
                                <a:solidFill>
                                  <a:schemeClr val="dk1"/>
                                </a:solidFill>
                                <a:latin typeface="+mn-lt"/>
                                <a:ea typeface="+mn-ea"/>
                                <a:cs typeface="+mn-cs"/>
                              </a:defRPr>
                            </a:lvl7pPr>
                            <a:lvl8pPr marL="3200400" algn="l" defTabSz="457200" rtl="0" eaLnBrk="1" latinLnBrk="0" hangingPunct="1">
                              <a:defRPr sz="1800" kern="1200">
                                <a:solidFill>
                                  <a:schemeClr val="dk1"/>
                                </a:solidFill>
                                <a:latin typeface="+mn-lt"/>
                                <a:ea typeface="+mn-ea"/>
                                <a:cs typeface="+mn-cs"/>
                              </a:defRPr>
                            </a:lvl8pPr>
                            <a:lvl9pPr marL="3657600" algn="l" defTabSz="457200" rtl="0" eaLnBrk="1" latinLnBrk="0" hangingPunct="1">
                              <a:defRPr sz="1800" kern="1200">
                                <a:solidFill>
                                  <a:schemeClr val="dk1"/>
                                </a:solidFill>
                                <a:latin typeface="+mn-lt"/>
                                <a:ea typeface="+mn-ea"/>
                                <a:cs typeface="+mn-cs"/>
                              </a:defRPr>
                            </a:lvl9pPr>
                          </a:lstStyle>
                          <a:p>
                            <a:pPr algn="ctr"/>
                            <a:r>
                              <a:rPr lang="zh-CN" altLang="en-US" sz="1200" dirty="0">
                                <a:latin typeface="微软雅黑" panose="020B0503020204020204" pitchFamily="2" charset="-122"/>
                                <a:ea typeface="微软雅黑" panose="020B0503020204020204" pitchFamily="2" charset="-122"/>
                              </a:rPr>
                              <a:t>视频图像模型推理</a:t>
                            </a:r>
                            <a:endParaRPr lang="zh-CN" altLang="en-US" sz="1200" dirty="0">
                              <a:latin typeface="微软雅黑" panose="020B0503020204020204" pitchFamily="2" charset="-122"/>
                              <a:ea typeface="微软雅黑" panose="020B0503020204020204" pitchFamily="2" charset="-122"/>
                            </a:endParaRPr>
                          </a:p>
                        </a:txBody>
                        <a:useSpRect/>
                      </a:txSp>
                      <a:style>
                        <a:lnRef idx="2">
                          <a:schemeClr val="dk1"/>
                        </a:lnRef>
                        <a:fillRef idx="1">
                          <a:schemeClr val="lt1"/>
                        </a:fillRef>
                        <a:effectRef idx="0">
                          <a:schemeClr val="dk1"/>
                        </a:effectRef>
                        <a:fontRef idx="minor">
                          <a:schemeClr val="dk1"/>
                        </a:fontRef>
                      </a:style>
                    </a:sp>
                    <a:sp>
                      <a:nvSpPr>
                        <a:cNvPr id="130" name="矩形 129"/>
                        <a:cNvSpPr/>
                      </a:nvSpPr>
                      <a:spPr>
                        <a:xfrm>
                          <a:off x="12860283" y="4083288"/>
                          <a:ext cx="662400" cy="300599"/>
                        </a:xfrm>
                        <a:prstGeom prst="rect">
                          <a:avLst/>
                        </a:prstGeom>
                        <a:ln w="6350"/>
                      </a:spPr>
                      <a:txSp>
                        <a:txBody>
                          <a:bodyPr rtlCol="0" anchor="ctr"/>
                          <a:lstStyle>
                            <a:defPPr>
                              <a:defRPr lang="en-US"/>
                            </a:defPPr>
                            <a:lvl1pPr marL="0" algn="l" defTabSz="457200" rtl="0" eaLnBrk="1" latinLnBrk="0" hangingPunct="1">
                              <a:defRPr sz="1800" kern="1200">
                                <a:solidFill>
                                  <a:schemeClr val="dk1"/>
                                </a:solidFill>
                                <a:latin typeface="+mn-lt"/>
                                <a:ea typeface="+mn-ea"/>
                                <a:cs typeface="+mn-cs"/>
                              </a:defRPr>
                            </a:lvl1pPr>
                            <a:lvl2pPr marL="457200" algn="l" defTabSz="457200" rtl="0" eaLnBrk="1" latinLnBrk="0" hangingPunct="1">
                              <a:defRPr sz="1800" kern="1200">
                                <a:solidFill>
                                  <a:schemeClr val="dk1"/>
                                </a:solidFill>
                                <a:latin typeface="+mn-lt"/>
                                <a:ea typeface="+mn-ea"/>
                                <a:cs typeface="+mn-cs"/>
                              </a:defRPr>
                            </a:lvl2pPr>
                            <a:lvl3pPr marL="914400" algn="l" defTabSz="457200" rtl="0" eaLnBrk="1" latinLnBrk="0" hangingPunct="1">
                              <a:defRPr sz="1800" kern="1200">
                                <a:solidFill>
                                  <a:schemeClr val="dk1"/>
                                </a:solidFill>
                                <a:latin typeface="+mn-lt"/>
                                <a:ea typeface="+mn-ea"/>
                                <a:cs typeface="+mn-cs"/>
                              </a:defRPr>
                            </a:lvl3pPr>
                            <a:lvl4pPr marL="1371600" algn="l" defTabSz="457200" rtl="0" eaLnBrk="1" latinLnBrk="0" hangingPunct="1">
                              <a:defRPr sz="1800" kern="1200">
                                <a:solidFill>
                                  <a:schemeClr val="dk1"/>
                                </a:solidFill>
                                <a:latin typeface="+mn-lt"/>
                                <a:ea typeface="+mn-ea"/>
                                <a:cs typeface="+mn-cs"/>
                              </a:defRPr>
                            </a:lvl4pPr>
                            <a:lvl5pPr marL="1828800" algn="l" defTabSz="457200" rtl="0" eaLnBrk="1" latinLnBrk="0" hangingPunct="1">
                              <a:defRPr sz="1800" kern="1200">
                                <a:solidFill>
                                  <a:schemeClr val="dk1"/>
                                </a:solidFill>
                                <a:latin typeface="+mn-lt"/>
                                <a:ea typeface="+mn-ea"/>
                                <a:cs typeface="+mn-cs"/>
                              </a:defRPr>
                            </a:lvl5pPr>
                            <a:lvl6pPr marL="2286000" algn="l" defTabSz="457200" rtl="0" eaLnBrk="1" latinLnBrk="0" hangingPunct="1">
                              <a:defRPr sz="1800" kern="1200">
                                <a:solidFill>
                                  <a:schemeClr val="dk1"/>
                                </a:solidFill>
                                <a:latin typeface="+mn-lt"/>
                                <a:ea typeface="+mn-ea"/>
                                <a:cs typeface="+mn-cs"/>
                              </a:defRPr>
                            </a:lvl6pPr>
                            <a:lvl7pPr marL="2743200" algn="l" defTabSz="457200" rtl="0" eaLnBrk="1" latinLnBrk="0" hangingPunct="1">
                              <a:defRPr sz="1800" kern="1200">
                                <a:solidFill>
                                  <a:schemeClr val="dk1"/>
                                </a:solidFill>
                                <a:latin typeface="+mn-lt"/>
                                <a:ea typeface="+mn-ea"/>
                                <a:cs typeface="+mn-cs"/>
                              </a:defRPr>
                            </a:lvl7pPr>
                            <a:lvl8pPr marL="3200400" algn="l" defTabSz="457200" rtl="0" eaLnBrk="1" latinLnBrk="0" hangingPunct="1">
                              <a:defRPr sz="1800" kern="1200">
                                <a:solidFill>
                                  <a:schemeClr val="dk1"/>
                                </a:solidFill>
                                <a:latin typeface="+mn-lt"/>
                                <a:ea typeface="+mn-ea"/>
                                <a:cs typeface="+mn-cs"/>
                              </a:defRPr>
                            </a:lvl8pPr>
                            <a:lvl9pPr marL="3657600" algn="l" defTabSz="457200" rtl="0" eaLnBrk="1" latinLnBrk="0" hangingPunct="1">
                              <a:defRPr sz="1800" kern="1200">
                                <a:solidFill>
                                  <a:schemeClr val="dk1"/>
                                </a:solidFill>
                                <a:latin typeface="+mn-lt"/>
                                <a:ea typeface="+mn-ea"/>
                                <a:cs typeface="+mn-cs"/>
                              </a:defRPr>
                            </a:lvl9pPr>
                          </a:lstStyle>
                          <a:p>
                            <a:pPr algn="ctr"/>
                            <a:r>
                              <a:rPr lang="zh-CN" altLang="en-US" sz="1200" dirty="0">
                                <a:latin typeface="微软雅黑" panose="020B0503020204020204" pitchFamily="2" charset="-122"/>
                                <a:ea typeface="微软雅黑" panose="020B0503020204020204" pitchFamily="2" charset="-122"/>
                              </a:rPr>
                              <a:t>视频图像模型优化</a:t>
                            </a:r>
                            <a:endParaRPr lang="zh-CN" altLang="en-US" sz="1200" dirty="0">
                              <a:latin typeface="微软雅黑" panose="020B0503020204020204" pitchFamily="2" charset="-122"/>
                              <a:ea typeface="微软雅黑" panose="020B0503020204020204" pitchFamily="2" charset="-122"/>
                            </a:endParaRPr>
                          </a:p>
                        </a:txBody>
                        <a:useSpRect/>
                      </a:txSp>
                      <a:style>
                        <a:lnRef idx="2">
                          <a:schemeClr val="dk1"/>
                        </a:lnRef>
                        <a:fillRef idx="1">
                          <a:schemeClr val="lt1"/>
                        </a:fillRef>
                        <a:effectRef idx="0">
                          <a:schemeClr val="dk1"/>
                        </a:effectRef>
                        <a:fontRef idx="minor">
                          <a:schemeClr val="dk1"/>
                        </a:fontRef>
                      </a:style>
                    </a:sp>
                    <a:sp>
                      <a:nvSpPr>
                        <a:cNvPr id="131" name="文本框 130"/>
                        <a:cNvSpPr txBox="1"/>
                      </a:nvSpPr>
                      <a:spPr>
                        <a:xfrm>
                          <a:off x="9365224" y="4022160"/>
                          <a:ext cx="546379" cy="387776"/>
                        </a:xfrm>
                        <a:prstGeom prst="rect">
                          <a:avLst/>
                        </a:prstGeom>
                        <a:noFill/>
                        <a:ln>
                          <a:noFill/>
                        </a:ln>
                      </a:spPr>
                      <a:txSp>
                        <a:txBody>
                          <a:bodyPr wrap="square" rtlCol="0" anchor="ctr">
                            <a:spAutoFit/>
                          </a:bodyPr>
                          <a:lstStyle>
                            <a:defPPr>
                              <a:defRPr lang="en-US"/>
                            </a:defPPr>
                            <a:lvl1pPr marL="0" algn="l" defTabSz="457200" rtl="0" eaLnBrk="1" latinLnBrk="0" hangingPunct="1">
                              <a:defRPr sz="1800" kern="1200">
                                <a:solidFill>
                                  <a:schemeClr val="dk1"/>
                                </a:solidFill>
                                <a:latin typeface="+mn-lt"/>
                                <a:ea typeface="+mn-ea"/>
                                <a:cs typeface="+mn-cs"/>
                              </a:defRPr>
                            </a:lvl1pPr>
                            <a:lvl2pPr marL="457200" algn="l" defTabSz="457200" rtl="0" eaLnBrk="1" latinLnBrk="0" hangingPunct="1">
                              <a:defRPr sz="1800" kern="1200">
                                <a:solidFill>
                                  <a:schemeClr val="dk1"/>
                                </a:solidFill>
                                <a:latin typeface="+mn-lt"/>
                                <a:ea typeface="+mn-ea"/>
                                <a:cs typeface="+mn-cs"/>
                              </a:defRPr>
                            </a:lvl2pPr>
                            <a:lvl3pPr marL="914400" algn="l" defTabSz="457200" rtl="0" eaLnBrk="1" latinLnBrk="0" hangingPunct="1">
                              <a:defRPr sz="1800" kern="1200">
                                <a:solidFill>
                                  <a:schemeClr val="dk1"/>
                                </a:solidFill>
                                <a:latin typeface="+mn-lt"/>
                                <a:ea typeface="+mn-ea"/>
                                <a:cs typeface="+mn-cs"/>
                              </a:defRPr>
                            </a:lvl3pPr>
                            <a:lvl4pPr marL="1371600" algn="l" defTabSz="457200" rtl="0" eaLnBrk="1" latinLnBrk="0" hangingPunct="1">
                              <a:defRPr sz="1800" kern="1200">
                                <a:solidFill>
                                  <a:schemeClr val="dk1"/>
                                </a:solidFill>
                                <a:latin typeface="+mn-lt"/>
                                <a:ea typeface="+mn-ea"/>
                                <a:cs typeface="+mn-cs"/>
                              </a:defRPr>
                            </a:lvl4pPr>
                            <a:lvl5pPr marL="1828800" algn="l" defTabSz="457200" rtl="0" eaLnBrk="1" latinLnBrk="0" hangingPunct="1">
                              <a:defRPr sz="1800" kern="1200">
                                <a:solidFill>
                                  <a:schemeClr val="dk1"/>
                                </a:solidFill>
                                <a:latin typeface="+mn-lt"/>
                                <a:ea typeface="+mn-ea"/>
                                <a:cs typeface="+mn-cs"/>
                              </a:defRPr>
                            </a:lvl5pPr>
                            <a:lvl6pPr marL="2286000" algn="l" defTabSz="457200" rtl="0" eaLnBrk="1" latinLnBrk="0" hangingPunct="1">
                              <a:defRPr sz="1800" kern="1200">
                                <a:solidFill>
                                  <a:schemeClr val="dk1"/>
                                </a:solidFill>
                                <a:latin typeface="+mn-lt"/>
                                <a:ea typeface="+mn-ea"/>
                                <a:cs typeface="+mn-cs"/>
                              </a:defRPr>
                            </a:lvl6pPr>
                            <a:lvl7pPr marL="2743200" algn="l" defTabSz="457200" rtl="0" eaLnBrk="1" latinLnBrk="0" hangingPunct="1">
                              <a:defRPr sz="1800" kern="1200">
                                <a:solidFill>
                                  <a:schemeClr val="dk1"/>
                                </a:solidFill>
                                <a:latin typeface="+mn-lt"/>
                                <a:ea typeface="+mn-ea"/>
                                <a:cs typeface="+mn-cs"/>
                              </a:defRPr>
                            </a:lvl7pPr>
                            <a:lvl8pPr marL="3200400" algn="l" defTabSz="457200" rtl="0" eaLnBrk="1" latinLnBrk="0" hangingPunct="1">
                              <a:defRPr sz="1800" kern="1200">
                                <a:solidFill>
                                  <a:schemeClr val="dk1"/>
                                </a:solidFill>
                                <a:latin typeface="+mn-lt"/>
                                <a:ea typeface="+mn-ea"/>
                                <a:cs typeface="+mn-cs"/>
                              </a:defRPr>
                            </a:lvl8pPr>
                            <a:lvl9pPr marL="3657600" algn="l" defTabSz="457200" rtl="0" eaLnBrk="1" latinLnBrk="0" hangingPunct="1">
                              <a:defRPr sz="1800" kern="1200">
                                <a:solidFill>
                                  <a:schemeClr val="dk1"/>
                                </a:solidFill>
                                <a:latin typeface="+mn-lt"/>
                                <a:ea typeface="+mn-ea"/>
                                <a:cs typeface="+mn-cs"/>
                              </a:defRPr>
                            </a:lvl9pPr>
                          </a:lstStyle>
                          <a:p>
                            <a:pPr algn="ctr"/>
                            <a:r>
                              <a:rPr lang="zh-CN" altLang="en-US" sz="1200" b="1" dirty="0">
                                <a:latin typeface="微软雅黑" panose="020B0503020204020204" pitchFamily="2" charset="-122"/>
                                <a:ea typeface="微软雅黑" panose="020B0503020204020204" pitchFamily="2" charset="-122"/>
                              </a:rPr>
                              <a:t>跨模型</a:t>
                            </a:r>
                            <a:endParaRPr lang="en-US" altLang="zh-CN" sz="1200" b="1" dirty="0">
                              <a:latin typeface="微软雅黑" panose="020B0503020204020204" pitchFamily="2" charset="-122"/>
                              <a:ea typeface="微软雅黑" panose="020B0503020204020204" pitchFamily="2" charset="-122"/>
                            </a:endParaRPr>
                          </a:p>
                          <a:p>
                            <a:pPr algn="ctr"/>
                            <a:r>
                              <a:rPr lang="zh-CN" altLang="en-US" sz="1200" b="1" dirty="0">
                                <a:latin typeface="微软雅黑" panose="020B0503020204020204" pitchFamily="2" charset="-122"/>
                                <a:ea typeface="微软雅黑" panose="020B0503020204020204" pitchFamily="2" charset="-122"/>
                              </a:rPr>
                              <a:t>统一调度管理</a:t>
                            </a:r>
                            <a:endParaRPr lang="zh-CN" altLang="en-US" sz="1200" b="1" dirty="0">
                              <a:latin typeface="微软雅黑" panose="020B0503020204020204" pitchFamily="2" charset="-122"/>
                              <a:ea typeface="微软雅黑" panose="020B0503020204020204" pitchFamily="2" charset="-122"/>
                            </a:endParaRPr>
                          </a:p>
                        </a:txBody>
                        <a:useSpRect/>
                      </a:txSp>
                      <a:style>
                        <a:lnRef idx="2">
                          <a:schemeClr val="dk1"/>
                        </a:lnRef>
                        <a:fillRef idx="1">
                          <a:schemeClr val="lt1"/>
                        </a:fillRef>
                        <a:effectRef idx="0">
                          <a:schemeClr val="dk1"/>
                        </a:effectRef>
                        <a:fontRef idx="minor">
                          <a:schemeClr val="dk1"/>
                        </a:fontRef>
                      </a:style>
                    </a:sp>
                    <a:sp>
                      <a:nvSpPr>
                        <a:cNvPr id="132" name="矩形 131"/>
                        <a:cNvSpPr/>
                      </a:nvSpPr>
                      <a:spPr>
                        <a:xfrm>
                          <a:off x="11402438" y="4079609"/>
                          <a:ext cx="662400" cy="300599"/>
                        </a:xfrm>
                        <a:prstGeom prst="rect">
                          <a:avLst/>
                        </a:prstGeom>
                        <a:ln w="6350"/>
                      </a:spPr>
                      <a:txSp>
                        <a:txBody>
                          <a:bodyPr rtlCol="0" anchor="ctr"/>
                          <a:lstStyle>
                            <a:defPPr>
                              <a:defRPr lang="en-US"/>
                            </a:defPPr>
                            <a:lvl1pPr marL="0" algn="l" defTabSz="457200" rtl="0" eaLnBrk="1" latinLnBrk="0" hangingPunct="1">
                              <a:defRPr sz="1800" kern="1200">
                                <a:solidFill>
                                  <a:schemeClr val="dk1"/>
                                </a:solidFill>
                                <a:latin typeface="+mn-lt"/>
                                <a:ea typeface="+mn-ea"/>
                                <a:cs typeface="+mn-cs"/>
                              </a:defRPr>
                            </a:lvl1pPr>
                            <a:lvl2pPr marL="457200" algn="l" defTabSz="457200" rtl="0" eaLnBrk="1" latinLnBrk="0" hangingPunct="1">
                              <a:defRPr sz="1800" kern="1200">
                                <a:solidFill>
                                  <a:schemeClr val="dk1"/>
                                </a:solidFill>
                                <a:latin typeface="+mn-lt"/>
                                <a:ea typeface="+mn-ea"/>
                                <a:cs typeface="+mn-cs"/>
                              </a:defRPr>
                            </a:lvl2pPr>
                            <a:lvl3pPr marL="914400" algn="l" defTabSz="457200" rtl="0" eaLnBrk="1" latinLnBrk="0" hangingPunct="1">
                              <a:defRPr sz="1800" kern="1200">
                                <a:solidFill>
                                  <a:schemeClr val="dk1"/>
                                </a:solidFill>
                                <a:latin typeface="+mn-lt"/>
                                <a:ea typeface="+mn-ea"/>
                                <a:cs typeface="+mn-cs"/>
                              </a:defRPr>
                            </a:lvl3pPr>
                            <a:lvl4pPr marL="1371600" algn="l" defTabSz="457200" rtl="0" eaLnBrk="1" latinLnBrk="0" hangingPunct="1">
                              <a:defRPr sz="1800" kern="1200">
                                <a:solidFill>
                                  <a:schemeClr val="dk1"/>
                                </a:solidFill>
                                <a:latin typeface="+mn-lt"/>
                                <a:ea typeface="+mn-ea"/>
                                <a:cs typeface="+mn-cs"/>
                              </a:defRPr>
                            </a:lvl4pPr>
                            <a:lvl5pPr marL="1828800" algn="l" defTabSz="457200" rtl="0" eaLnBrk="1" latinLnBrk="0" hangingPunct="1">
                              <a:defRPr sz="1800" kern="1200">
                                <a:solidFill>
                                  <a:schemeClr val="dk1"/>
                                </a:solidFill>
                                <a:latin typeface="+mn-lt"/>
                                <a:ea typeface="+mn-ea"/>
                                <a:cs typeface="+mn-cs"/>
                              </a:defRPr>
                            </a:lvl5pPr>
                            <a:lvl6pPr marL="2286000" algn="l" defTabSz="457200" rtl="0" eaLnBrk="1" latinLnBrk="0" hangingPunct="1">
                              <a:defRPr sz="1800" kern="1200">
                                <a:solidFill>
                                  <a:schemeClr val="dk1"/>
                                </a:solidFill>
                                <a:latin typeface="+mn-lt"/>
                                <a:ea typeface="+mn-ea"/>
                                <a:cs typeface="+mn-cs"/>
                              </a:defRPr>
                            </a:lvl6pPr>
                            <a:lvl7pPr marL="2743200" algn="l" defTabSz="457200" rtl="0" eaLnBrk="1" latinLnBrk="0" hangingPunct="1">
                              <a:defRPr sz="1800" kern="1200">
                                <a:solidFill>
                                  <a:schemeClr val="dk1"/>
                                </a:solidFill>
                                <a:latin typeface="+mn-lt"/>
                                <a:ea typeface="+mn-ea"/>
                                <a:cs typeface="+mn-cs"/>
                              </a:defRPr>
                            </a:lvl7pPr>
                            <a:lvl8pPr marL="3200400" algn="l" defTabSz="457200" rtl="0" eaLnBrk="1" latinLnBrk="0" hangingPunct="1">
                              <a:defRPr sz="1800" kern="1200">
                                <a:solidFill>
                                  <a:schemeClr val="dk1"/>
                                </a:solidFill>
                                <a:latin typeface="+mn-lt"/>
                                <a:ea typeface="+mn-ea"/>
                                <a:cs typeface="+mn-cs"/>
                              </a:defRPr>
                            </a:lvl8pPr>
                            <a:lvl9pPr marL="3657600" algn="l" defTabSz="457200" rtl="0" eaLnBrk="1" latinLnBrk="0" hangingPunct="1">
                              <a:defRPr sz="1800" kern="1200">
                                <a:solidFill>
                                  <a:schemeClr val="dk1"/>
                                </a:solidFill>
                                <a:latin typeface="+mn-lt"/>
                                <a:ea typeface="+mn-ea"/>
                                <a:cs typeface="+mn-cs"/>
                              </a:defRPr>
                            </a:lvl9pPr>
                          </a:lstStyle>
                          <a:p>
                            <a:pPr algn="ctr"/>
                            <a:r>
                              <a:rPr lang="zh-CN" altLang="en-US" sz="1200" dirty="0">
                                <a:latin typeface="微软雅黑" panose="020B0503020204020204" pitchFamily="2" charset="-122"/>
                                <a:ea typeface="微软雅黑" panose="020B0503020204020204" pitchFamily="2" charset="-122"/>
                              </a:rPr>
                              <a:t>视频图像模型微调</a:t>
                            </a:r>
                            <a:endParaRPr lang="zh-CN" altLang="en-US" sz="1200" dirty="0">
                              <a:latin typeface="微软雅黑" panose="020B0503020204020204" pitchFamily="2" charset="-122"/>
                              <a:ea typeface="微软雅黑" panose="020B0503020204020204" pitchFamily="2" charset="-122"/>
                            </a:endParaRPr>
                          </a:p>
                        </a:txBody>
                        <a:useSpRect/>
                      </a:txSp>
                      <a:style>
                        <a:lnRef idx="2">
                          <a:schemeClr val="dk1"/>
                        </a:lnRef>
                        <a:fillRef idx="1">
                          <a:schemeClr val="lt1"/>
                        </a:fillRef>
                        <a:effectRef idx="0">
                          <a:schemeClr val="dk1"/>
                        </a:effectRef>
                        <a:fontRef idx="minor">
                          <a:schemeClr val="dk1"/>
                        </a:fontRef>
                      </a:style>
                    </a:sp>
                  </a:grpSp>
                  <a:sp>
                    <a:nvSpPr>
                      <a:cNvPr id="134" name="矩形 133"/>
                      <a:cNvSpPr/>
                    </a:nvSpPr>
                    <a:spPr>
                      <a:xfrm>
                        <a:off x="6477516" y="7317735"/>
                        <a:ext cx="7446070" cy="369148"/>
                      </a:xfrm>
                      <a:prstGeom prst="rect">
                        <a:avLst/>
                      </a:prstGeom>
                      <a:ln w="6350"/>
                    </a:spPr>
                    <a:txSp>
                      <a:txBody>
                        <a:bodyPr lIns="158758" tIns="79379" rIns="158758" bIns="79379" rtlCol="0" anchor="ctr"/>
                        <a:lstStyle>
                          <a:defPPr>
                            <a:defRPr lang="en-US"/>
                          </a:defPPr>
                          <a:lvl1pPr marL="0" algn="l" defTabSz="457200" rtl="0" eaLnBrk="1" latinLnBrk="0" hangingPunct="1">
                            <a:defRPr sz="1800" kern="1200">
                              <a:solidFill>
                                <a:schemeClr val="dk1"/>
                              </a:solidFill>
                              <a:latin typeface="+mn-lt"/>
                              <a:ea typeface="+mn-ea"/>
                              <a:cs typeface="+mn-cs"/>
                            </a:defRPr>
                          </a:lvl1pPr>
                          <a:lvl2pPr marL="457200" algn="l" defTabSz="457200" rtl="0" eaLnBrk="1" latinLnBrk="0" hangingPunct="1">
                            <a:defRPr sz="1800" kern="1200">
                              <a:solidFill>
                                <a:schemeClr val="dk1"/>
                              </a:solidFill>
                              <a:latin typeface="+mn-lt"/>
                              <a:ea typeface="+mn-ea"/>
                              <a:cs typeface="+mn-cs"/>
                            </a:defRPr>
                          </a:lvl2pPr>
                          <a:lvl3pPr marL="914400" algn="l" defTabSz="457200" rtl="0" eaLnBrk="1" latinLnBrk="0" hangingPunct="1">
                            <a:defRPr sz="1800" kern="1200">
                              <a:solidFill>
                                <a:schemeClr val="dk1"/>
                              </a:solidFill>
                              <a:latin typeface="+mn-lt"/>
                              <a:ea typeface="+mn-ea"/>
                              <a:cs typeface="+mn-cs"/>
                            </a:defRPr>
                          </a:lvl3pPr>
                          <a:lvl4pPr marL="1371600" algn="l" defTabSz="457200" rtl="0" eaLnBrk="1" latinLnBrk="0" hangingPunct="1">
                            <a:defRPr sz="1800" kern="1200">
                              <a:solidFill>
                                <a:schemeClr val="dk1"/>
                              </a:solidFill>
                              <a:latin typeface="+mn-lt"/>
                              <a:ea typeface="+mn-ea"/>
                              <a:cs typeface="+mn-cs"/>
                            </a:defRPr>
                          </a:lvl4pPr>
                          <a:lvl5pPr marL="1828800" algn="l" defTabSz="457200" rtl="0" eaLnBrk="1" latinLnBrk="0" hangingPunct="1">
                            <a:defRPr sz="1800" kern="1200">
                              <a:solidFill>
                                <a:schemeClr val="dk1"/>
                              </a:solidFill>
                              <a:latin typeface="+mn-lt"/>
                              <a:ea typeface="+mn-ea"/>
                              <a:cs typeface="+mn-cs"/>
                            </a:defRPr>
                          </a:lvl5pPr>
                          <a:lvl6pPr marL="2286000" algn="l" defTabSz="457200" rtl="0" eaLnBrk="1" latinLnBrk="0" hangingPunct="1">
                            <a:defRPr sz="1800" kern="1200">
                              <a:solidFill>
                                <a:schemeClr val="dk1"/>
                              </a:solidFill>
                              <a:latin typeface="+mn-lt"/>
                              <a:ea typeface="+mn-ea"/>
                              <a:cs typeface="+mn-cs"/>
                            </a:defRPr>
                          </a:lvl6pPr>
                          <a:lvl7pPr marL="2743200" algn="l" defTabSz="457200" rtl="0" eaLnBrk="1" latinLnBrk="0" hangingPunct="1">
                            <a:defRPr sz="1800" kern="1200">
                              <a:solidFill>
                                <a:schemeClr val="dk1"/>
                              </a:solidFill>
                              <a:latin typeface="+mn-lt"/>
                              <a:ea typeface="+mn-ea"/>
                              <a:cs typeface="+mn-cs"/>
                            </a:defRPr>
                          </a:lvl7pPr>
                          <a:lvl8pPr marL="3200400" algn="l" defTabSz="457200" rtl="0" eaLnBrk="1" latinLnBrk="0" hangingPunct="1">
                            <a:defRPr sz="1800" kern="1200">
                              <a:solidFill>
                                <a:schemeClr val="dk1"/>
                              </a:solidFill>
                              <a:latin typeface="+mn-lt"/>
                              <a:ea typeface="+mn-ea"/>
                              <a:cs typeface="+mn-cs"/>
                            </a:defRPr>
                          </a:lvl8pPr>
                          <a:lvl9pPr marL="3657600" algn="l" defTabSz="457200" rtl="0" eaLnBrk="1" latinLnBrk="0" hangingPunct="1">
                            <a:defRPr sz="1800" kern="1200">
                              <a:solidFill>
                                <a:schemeClr val="dk1"/>
                              </a:solidFill>
                              <a:latin typeface="+mn-lt"/>
                              <a:ea typeface="+mn-ea"/>
                              <a:cs typeface="+mn-cs"/>
                            </a:defRPr>
                          </a:lvl9pPr>
                        </a:lstStyle>
                        <a:p>
                          <a:pPr algn="ctr"/>
                          <a:r>
                            <a:rPr lang="en-US" altLang="zh-CN" sz="1200" dirty="0">
                              <a:latin typeface="微软雅黑" panose="020B0503020204020204" pitchFamily="2" charset="-122"/>
                              <a:ea typeface="微软雅黑" panose="020B0503020204020204" pitchFamily="2" charset="-122"/>
                            </a:rPr>
                            <a:t>Maas</a:t>
                          </a:r>
                          <a:r>
                            <a:rPr lang="zh-CN" altLang="en-US" sz="1200" dirty="0">
                              <a:latin typeface="微软雅黑" panose="020B0503020204020204" pitchFamily="2" charset="-122"/>
                              <a:ea typeface="微软雅黑" panose="020B0503020204020204" pitchFamily="2" charset="-122"/>
                            </a:rPr>
                            <a:t>平台</a:t>
                          </a:r>
                          <a:endParaRPr lang="zh-CN" altLang="en-US" sz="1200" dirty="0">
                            <a:latin typeface="微软雅黑" panose="020B0503020204020204" pitchFamily="2" charset="-122"/>
                            <a:ea typeface="微软雅黑" panose="020B0503020204020204" pitchFamily="2" charset="-122"/>
                          </a:endParaRPr>
                        </a:p>
                      </a:txBody>
                      <a:useSpRect/>
                    </a:txSp>
                    <a:style>
                      <a:lnRef idx="2">
                        <a:schemeClr val="dk1"/>
                      </a:lnRef>
                      <a:fillRef idx="1">
                        <a:schemeClr val="lt1"/>
                      </a:fillRef>
                      <a:effectRef idx="0">
                        <a:schemeClr val="dk1"/>
                      </a:effectRef>
                      <a:fontRef idx="minor">
                        <a:schemeClr val="dk1"/>
                      </a:fontRef>
                    </a:style>
                  </a:sp>
                  <a:sp>
                    <a:nvSpPr>
                      <a:cNvPr id="140" name="矩形 139"/>
                      <a:cNvSpPr/>
                    </a:nvSpPr>
                    <a:spPr>
                      <a:xfrm>
                        <a:off x="6477516" y="7756724"/>
                        <a:ext cx="7446070" cy="369148"/>
                      </a:xfrm>
                      <a:prstGeom prst="rect">
                        <a:avLst/>
                      </a:prstGeom>
                      <a:ln w="6350"/>
                    </a:spPr>
                    <a:txSp>
                      <a:txBody>
                        <a:bodyPr lIns="158758" tIns="79379" rIns="158758" bIns="79379" rtlCol="0" anchor="ctr"/>
                        <a:lstStyle>
                          <a:defPPr>
                            <a:defRPr lang="en-US"/>
                          </a:defPPr>
                          <a:lvl1pPr marL="0" algn="l" defTabSz="457200" rtl="0" eaLnBrk="1" latinLnBrk="0" hangingPunct="1">
                            <a:defRPr sz="1800" kern="1200">
                              <a:solidFill>
                                <a:schemeClr val="dk1"/>
                              </a:solidFill>
                              <a:latin typeface="+mn-lt"/>
                              <a:ea typeface="+mn-ea"/>
                              <a:cs typeface="+mn-cs"/>
                            </a:defRPr>
                          </a:lvl1pPr>
                          <a:lvl2pPr marL="457200" algn="l" defTabSz="457200" rtl="0" eaLnBrk="1" latinLnBrk="0" hangingPunct="1">
                            <a:defRPr sz="1800" kern="1200">
                              <a:solidFill>
                                <a:schemeClr val="dk1"/>
                              </a:solidFill>
                              <a:latin typeface="+mn-lt"/>
                              <a:ea typeface="+mn-ea"/>
                              <a:cs typeface="+mn-cs"/>
                            </a:defRPr>
                          </a:lvl2pPr>
                          <a:lvl3pPr marL="914400" algn="l" defTabSz="457200" rtl="0" eaLnBrk="1" latinLnBrk="0" hangingPunct="1">
                            <a:defRPr sz="1800" kern="1200">
                              <a:solidFill>
                                <a:schemeClr val="dk1"/>
                              </a:solidFill>
                              <a:latin typeface="+mn-lt"/>
                              <a:ea typeface="+mn-ea"/>
                              <a:cs typeface="+mn-cs"/>
                            </a:defRPr>
                          </a:lvl3pPr>
                          <a:lvl4pPr marL="1371600" algn="l" defTabSz="457200" rtl="0" eaLnBrk="1" latinLnBrk="0" hangingPunct="1">
                            <a:defRPr sz="1800" kern="1200">
                              <a:solidFill>
                                <a:schemeClr val="dk1"/>
                              </a:solidFill>
                              <a:latin typeface="+mn-lt"/>
                              <a:ea typeface="+mn-ea"/>
                              <a:cs typeface="+mn-cs"/>
                            </a:defRPr>
                          </a:lvl4pPr>
                          <a:lvl5pPr marL="1828800" algn="l" defTabSz="457200" rtl="0" eaLnBrk="1" latinLnBrk="0" hangingPunct="1">
                            <a:defRPr sz="1800" kern="1200">
                              <a:solidFill>
                                <a:schemeClr val="dk1"/>
                              </a:solidFill>
                              <a:latin typeface="+mn-lt"/>
                              <a:ea typeface="+mn-ea"/>
                              <a:cs typeface="+mn-cs"/>
                            </a:defRPr>
                          </a:lvl5pPr>
                          <a:lvl6pPr marL="2286000" algn="l" defTabSz="457200" rtl="0" eaLnBrk="1" latinLnBrk="0" hangingPunct="1">
                            <a:defRPr sz="1800" kern="1200">
                              <a:solidFill>
                                <a:schemeClr val="dk1"/>
                              </a:solidFill>
                              <a:latin typeface="+mn-lt"/>
                              <a:ea typeface="+mn-ea"/>
                              <a:cs typeface="+mn-cs"/>
                            </a:defRPr>
                          </a:lvl6pPr>
                          <a:lvl7pPr marL="2743200" algn="l" defTabSz="457200" rtl="0" eaLnBrk="1" latinLnBrk="0" hangingPunct="1">
                            <a:defRPr sz="1800" kern="1200">
                              <a:solidFill>
                                <a:schemeClr val="dk1"/>
                              </a:solidFill>
                              <a:latin typeface="+mn-lt"/>
                              <a:ea typeface="+mn-ea"/>
                              <a:cs typeface="+mn-cs"/>
                            </a:defRPr>
                          </a:lvl7pPr>
                          <a:lvl8pPr marL="3200400" algn="l" defTabSz="457200" rtl="0" eaLnBrk="1" latinLnBrk="0" hangingPunct="1">
                            <a:defRPr sz="1800" kern="1200">
                              <a:solidFill>
                                <a:schemeClr val="dk1"/>
                              </a:solidFill>
                              <a:latin typeface="+mn-lt"/>
                              <a:ea typeface="+mn-ea"/>
                              <a:cs typeface="+mn-cs"/>
                            </a:defRPr>
                          </a:lvl8pPr>
                          <a:lvl9pPr marL="3657600" algn="l" defTabSz="457200" rtl="0" eaLnBrk="1" latinLnBrk="0" hangingPunct="1">
                            <a:defRPr sz="1800" kern="1200">
                              <a:solidFill>
                                <a:schemeClr val="dk1"/>
                              </a:solidFill>
                              <a:latin typeface="+mn-lt"/>
                              <a:ea typeface="+mn-ea"/>
                              <a:cs typeface="+mn-cs"/>
                            </a:defRPr>
                          </a:lvl9pPr>
                        </a:lstStyle>
                        <a:p>
                          <a:pPr algn="ctr"/>
                          <a:r>
                            <a:rPr lang="zh-CN" altLang="en-US" sz="1200" dirty="0">
                              <a:latin typeface="微软雅黑" panose="020B0503020204020204" pitchFamily="2" charset="-122"/>
                              <a:ea typeface="微软雅黑" panose="020B0503020204020204" pitchFamily="2" charset="-122"/>
                            </a:rPr>
                            <a:t>算力调度平台平台</a:t>
                          </a:r>
                          <a:endParaRPr lang="zh-CN" altLang="en-US" sz="1200" dirty="0">
                            <a:latin typeface="微软雅黑" panose="020B0503020204020204" pitchFamily="2" charset="-122"/>
                            <a:ea typeface="微软雅黑" panose="020B0503020204020204" pitchFamily="2" charset="-122"/>
                          </a:endParaRPr>
                        </a:p>
                      </a:txBody>
                      <a:useSpRect/>
                    </a:txSp>
                    <a:style>
                      <a:lnRef idx="2">
                        <a:schemeClr val="dk1"/>
                      </a:lnRef>
                      <a:fillRef idx="1">
                        <a:schemeClr val="lt1"/>
                      </a:fillRef>
                      <a:effectRef idx="0">
                        <a:schemeClr val="dk1"/>
                      </a:effectRef>
                      <a:fontRef idx="minor">
                        <a:schemeClr val="dk1"/>
                      </a:fontRef>
                    </a:style>
                  </a:sp>
                  <a:sp>
                    <a:nvSpPr>
                      <a:cNvPr id="150" name="矩形 149"/>
                      <a:cNvSpPr/>
                    </a:nvSpPr>
                    <a:spPr>
                      <a:xfrm>
                        <a:off x="14061173" y="5552698"/>
                        <a:ext cx="668512" cy="965513"/>
                      </a:xfrm>
                      <a:prstGeom prst="rect">
                        <a:avLst/>
                      </a:prstGeom>
                      <a:ln w="6350"/>
                    </a:spPr>
                    <a:txSp>
                      <a:txBody>
                        <a:bodyPr lIns="158758" tIns="79379" rIns="158758" bIns="79379" rtlCol="0" anchor="ctr"/>
                        <a:lstStyle>
                          <a:defPPr>
                            <a:defRPr lang="en-US"/>
                          </a:defPPr>
                          <a:lvl1pPr marL="0" algn="l" defTabSz="457200" rtl="0" eaLnBrk="1" latinLnBrk="0" hangingPunct="1">
                            <a:defRPr sz="1800" kern="1200">
                              <a:solidFill>
                                <a:schemeClr val="dk1"/>
                              </a:solidFill>
                              <a:latin typeface="+mn-lt"/>
                              <a:ea typeface="+mn-ea"/>
                              <a:cs typeface="+mn-cs"/>
                            </a:defRPr>
                          </a:lvl1pPr>
                          <a:lvl2pPr marL="457200" algn="l" defTabSz="457200" rtl="0" eaLnBrk="1" latinLnBrk="0" hangingPunct="1">
                            <a:defRPr sz="1800" kern="1200">
                              <a:solidFill>
                                <a:schemeClr val="dk1"/>
                              </a:solidFill>
                              <a:latin typeface="+mn-lt"/>
                              <a:ea typeface="+mn-ea"/>
                              <a:cs typeface="+mn-cs"/>
                            </a:defRPr>
                          </a:lvl2pPr>
                          <a:lvl3pPr marL="914400" algn="l" defTabSz="457200" rtl="0" eaLnBrk="1" latinLnBrk="0" hangingPunct="1">
                            <a:defRPr sz="1800" kern="1200">
                              <a:solidFill>
                                <a:schemeClr val="dk1"/>
                              </a:solidFill>
                              <a:latin typeface="+mn-lt"/>
                              <a:ea typeface="+mn-ea"/>
                              <a:cs typeface="+mn-cs"/>
                            </a:defRPr>
                          </a:lvl3pPr>
                          <a:lvl4pPr marL="1371600" algn="l" defTabSz="457200" rtl="0" eaLnBrk="1" latinLnBrk="0" hangingPunct="1">
                            <a:defRPr sz="1800" kern="1200">
                              <a:solidFill>
                                <a:schemeClr val="dk1"/>
                              </a:solidFill>
                              <a:latin typeface="+mn-lt"/>
                              <a:ea typeface="+mn-ea"/>
                              <a:cs typeface="+mn-cs"/>
                            </a:defRPr>
                          </a:lvl4pPr>
                          <a:lvl5pPr marL="1828800" algn="l" defTabSz="457200" rtl="0" eaLnBrk="1" latinLnBrk="0" hangingPunct="1">
                            <a:defRPr sz="1800" kern="1200">
                              <a:solidFill>
                                <a:schemeClr val="dk1"/>
                              </a:solidFill>
                              <a:latin typeface="+mn-lt"/>
                              <a:ea typeface="+mn-ea"/>
                              <a:cs typeface="+mn-cs"/>
                            </a:defRPr>
                          </a:lvl5pPr>
                          <a:lvl6pPr marL="2286000" algn="l" defTabSz="457200" rtl="0" eaLnBrk="1" latinLnBrk="0" hangingPunct="1">
                            <a:defRPr sz="1800" kern="1200">
                              <a:solidFill>
                                <a:schemeClr val="dk1"/>
                              </a:solidFill>
                              <a:latin typeface="+mn-lt"/>
                              <a:ea typeface="+mn-ea"/>
                              <a:cs typeface="+mn-cs"/>
                            </a:defRPr>
                          </a:lvl6pPr>
                          <a:lvl7pPr marL="2743200" algn="l" defTabSz="457200" rtl="0" eaLnBrk="1" latinLnBrk="0" hangingPunct="1">
                            <a:defRPr sz="1800" kern="1200">
                              <a:solidFill>
                                <a:schemeClr val="dk1"/>
                              </a:solidFill>
                              <a:latin typeface="+mn-lt"/>
                              <a:ea typeface="+mn-ea"/>
                              <a:cs typeface="+mn-cs"/>
                            </a:defRPr>
                          </a:lvl7pPr>
                          <a:lvl8pPr marL="3200400" algn="l" defTabSz="457200" rtl="0" eaLnBrk="1" latinLnBrk="0" hangingPunct="1">
                            <a:defRPr sz="1800" kern="1200">
                              <a:solidFill>
                                <a:schemeClr val="dk1"/>
                              </a:solidFill>
                              <a:latin typeface="+mn-lt"/>
                              <a:ea typeface="+mn-ea"/>
                              <a:cs typeface="+mn-cs"/>
                            </a:defRPr>
                          </a:lvl8pPr>
                          <a:lvl9pPr marL="3657600" algn="l" defTabSz="457200" rtl="0" eaLnBrk="1" latinLnBrk="0" hangingPunct="1">
                            <a:defRPr sz="1800" kern="1200">
                              <a:solidFill>
                                <a:schemeClr val="dk1"/>
                              </a:solidFill>
                              <a:latin typeface="+mn-lt"/>
                              <a:ea typeface="+mn-ea"/>
                              <a:cs typeface="+mn-cs"/>
                            </a:defRPr>
                          </a:lvl9pPr>
                        </a:lstStyle>
                        <a:p>
                          <a:pPr algn="ctr"/>
                          <a:r>
                            <a:rPr lang="zh-CN" altLang="en-US" sz="1200" dirty="0">
                              <a:latin typeface="微软雅黑" panose="020B0503020204020204" pitchFamily="2" charset="-122"/>
                              <a:ea typeface="微软雅黑" panose="020B0503020204020204" pitchFamily="2" charset="-122"/>
                            </a:rPr>
                            <a:t>视觉大模型测评</a:t>
                          </a:r>
                          <a:endParaRPr lang="zh-CN" altLang="en-US" sz="1200" dirty="0">
                            <a:latin typeface="微软雅黑" panose="020B0503020204020204" pitchFamily="2" charset="-122"/>
                            <a:ea typeface="微软雅黑" panose="020B0503020204020204" pitchFamily="2" charset="-122"/>
                          </a:endParaRPr>
                        </a:p>
                      </a:txBody>
                      <a:useSpRect/>
                    </a:txSp>
                    <a:style>
                      <a:lnRef idx="2">
                        <a:schemeClr val="dk1"/>
                      </a:lnRef>
                      <a:fillRef idx="1">
                        <a:schemeClr val="lt1"/>
                      </a:fillRef>
                      <a:effectRef idx="0">
                        <a:schemeClr val="dk1"/>
                      </a:effectRef>
                      <a:fontRef idx="minor">
                        <a:schemeClr val="dk1"/>
                      </a:fontRef>
                    </a:style>
                  </a:sp>
                  <a:sp>
                    <a:nvSpPr>
                      <a:cNvPr id="154" name="矩形 153"/>
                      <a:cNvSpPr/>
                    </a:nvSpPr>
                    <a:spPr>
                      <a:xfrm>
                        <a:off x="14065357" y="6812681"/>
                        <a:ext cx="668512" cy="965513"/>
                      </a:xfrm>
                      <a:prstGeom prst="rect">
                        <a:avLst/>
                      </a:prstGeom>
                      <a:ln w="6350"/>
                    </a:spPr>
                    <a:txSp>
                      <a:txBody>
                        <a:bodyPr lIns="158758" tIns="79379" rIns="158758" bIns="79379" rtlCol="0" anchor="ctr"/>
                        <a:lstStyle>
                          <a:defPPr>
                            <a:defRPr lang="en-US"/>
                          </a:defPPr>
                          <a:lvl1pPr marL="0" algn="l" defTabSz="457200" rtl="0" eaLnBrk="1" latinLnBrk="0" hangingPunct="1">
                            <a:defRPr sz="1800" kern="1200">
                              <a:solidFill>
                                <a:schemeClr val="dk1"/>
                              </a:solidFill>
                              <a:latin typeface="+mn-lt"/>
                              <a:ea typeface="+mn-ea"/>
                              <a:cs typeface="+mn-cs"/>
                            </a:defRPr>
                          </a:lvl1pPr>
                          <a:lvl2pPr marL="457200" algn="l" defTabSz="457200" rtl="0" eaLnBrk="1" latinLnBrk="0" hangingPunct="1">
                            <a:defRPr sz="1800" kern="1200">
                              <a:solidFill>
                                <a:schemeClr val="dk1"/>
                              </a:solidFill>
                              <a:latin typeface="+mn-lt"/>
                              <a:ea typeface="+mn-ea"/>
                              <a:cs typeface="+mn-cs"/>
                            </a:defRPr>
                          </a:lvl2pPr>
                          <a:lvl3pPr marL="914400" algn="l" defTabSz="457200" rtl="0" eaLnBrk="1" latinLnBrk="0" hangingPunct="1">
                            <a:defRPr sz="1800" kern="1200">
                              <a:solidFill>
                                <a:schemeClr val="dk1"/>
                              </a:solidFill>
                              <a:latin typeface="+mn-lt"/>
                              <a:ea typeface="+mn-ea"/>
                              <a:cs typeface="+mn-cs"/>
                            </a:defRPr>
                          </a:lvl3pPr>
                          <a:lvl4pPr marL="1371600" algn="l" defTabSz="457200" rtl="0" eaLnBrk="1" latinLnBrk="0" hangingPunct="1">
                            <a:defRPr sz="1800" kern="1200">
                              <a:solidFill>
                                <a:schemeClr val="dk1"/>
                              </a:solidFill>
                              <a:latin typeface="+mn-lt"/>
                              <a:ea typeface="+mn-ea"/>
                              <a:cs typeface="+mn-cs"/>
                            </a:defRPr>
                          </a:lvl4pPr>
                          <a:lvl5pPr marL="1828800" algn="l" defTabSz="457200" rtl="0" eaLnBrk="1" latinLnBrk="0" hangingPunct="1">
                            <a:defRPr sz="1800" kern="1200">
                              <a:solidFill>
                                <a:schemeClr val="dk1"/>
                              </a:solidFill>
                              <a:latin typeface="+mn-lt"/>
                              <a:ea typeface="+mn-ea"/>
                              <a:cs typeface="+mn-cs"/>
                            </a:defRPr>
                          </a:lvl5pPr>
                          <a:lvl6pPr marL="2286000" algn="l" defTabSz="457200" rtl="0" eaLnBrk="1" latinLnBrk="0" hangingPunct="1">
                            <a:defRPr sz="1800" kern="1200">
                              <a:solidFill>
                                <a:schemeClr val="dk1"/>
                              </a:solidFill>
                              <a:latin typeface="+mn-lt"/>
                              <a:ea typeface="+mn-ea"/>
                              <a:cs typeface="+mn-cs"/>
                            </a:defRPr>
                          </a:lvl6pPr>
                          <a:lvl7pPr marL="2743200" algn="l" defTabSz="457200" rtl="0" eaLnBrk="1" latinLnBrk="0" hangingPunct="1">
                            <a:defRPr sz="1800" kern="1200">
                              <a:solidFill>
                                <a:schemeClr val="dk1"/>
                              </a:solidFill>
                              <a:latin typeface="+mn-lt"/>
                              <a:ea typeface="+mn-ea"/>
                              <a:cs typeface="+mn-cs"/>
                            </a:defRPr>
                          </a:lvl7pPr>
                          <a:lvl8pPr marL="3200400" algn="l" defTabSz="457200" rtl="0" eaLnBrk="1" latinLnBrk="0" hangingPunct="1">
                            <a:defRPr sz="1800" kern="1200">
                              <a:solidFill>
                                <a:schemeClr val="dk1"/>
                              </a:solidFill>
                              <a:latin typeface="+mn-lt"/>
                              <a:ea typeface="+mn-ea"/>
                              <a:cs typeface="+mn-cs"/>
                            </a:defRPr>
                          </a:lvl8pPr>
                          <a:lvl9pPr marL="3657600" algn="l" defTabSz="457200" rtl="0" eaLnBrk="1" latinLnBrk="0" hangingPunct="1">
                            <a:defRPr sz="1800" kern="1200">
                              <a:solidFill>
                                <a:schemeClr val="dk1"/>
                              </a:solidFill>
                              <a:latin typeface="+mn-lt"/>
                              <a:ea typeface="+mn-ea"/>
                              <a:cs typeface="+mn-cs"/>
                            </a:defRPr>
                          </a:lvl9pPr>
                        </a:lstStyle>
                        <a:p>
                          <a:pPr algn="ctr"/>
                          <a:r>
                            <a:rPr lang="zh-CN" altLang="en-US" sz="1200" dirty="0">
                              <a:latin typeface="微软雅黑" panose="020B0503020204020204" pitchFamily="2" charset="-122"/>
                              <a:ea typeface="微软雅黑" panose="020B0503020204020204" pitchFamily="2" charset="-122"/>
                            </a:rPr>
                            <a:t>大模型安全管理</a:t>
                          </a:r>
                          <a:endParaRPr lang="zh-CN" altLang="en-US" sz="1200" dirty="0">
                            <a:latin typeface="微软雅黑" panose="020B0503020204020204" pitchFamily="2" charset="-122"/>
                            <a:ea typeface="微软雅黑" panose="020B0503020204020204" pitchFamily="2" charset="-122"/>
                          </a:endParaRPr>
                        </a:p>
                      </a:txBody>
                      <a:useSpRect/>
                    </a:txSp>
                    <a:style>
                      <a:lnRef idx="2">
                        <a:schemeClr val="dk1"/>
                      </a:lnRef>
                      <a:fillRef idx="1">
                        <a:schemeClr val="lt1"/>
                      </a:fillRef>
                      <a:effectRef idx="0">
                        <a:schemeClr val="dk1"/>
                      </a:effectRef>
                      <a:fontRef idx="minor">
                        <a:schemeClr val="dk1"/>
                      </a:fontRef>
                    </a:style>
                  </a:sp>
                  <a:sp>
                    <a:nvSpPr>
                      <a:cNvPr id="158" name="矩形 157"/>
                      <a:cNvSpPr/>
                    </a:nvSpPr>
                    <a:spPr>
                      <a:xfrm>
                        <a:off x="23496920" y="5220444"/>
                        <a:ext cx="668512" cy="965513"/>
                      </a:xfrm>
                      <a:prstGeom prst="rect">
                        <a:avLst/>
                      </a:prstGeom>
                      <a:ln w="6350"/>
                    </a:spPr>
                    <a:txSp>
                      <a:txBody>
                        <a:bodyPr lIns="158758" tIns="79379" rIns="158758" bIns="79379" rtlCol="0" anchor="ctr"/>
                        <a:lstStyle>
                          <a:defPPr>
                            <a:defRPr lang="en-US"/>
                          </a:defPPr>
                          <a:lvl1pPr marL="0" algn="l" defTabSz="457200" rtl="0" eaLnBrk="1" latinLnBrk="0" hangingPunct="1">
                            <a:defRPr sz="1800" kern="1200">
                              <a:solidFill>
                                <a:schemeClr val="dk1"/>
                              </a:solidFill>
                              <a:latin typeface="+mn-lt"/>
                              <a:ea typeface="+mn-ea"/>
                              <a:cs typeface="+mn-cs"/>
                            </a:defRPr>
                          </a:lvl1pPr>
                          <a:lvl2pPr marL="457200" algn="l" defTabSz="457200" rtl="0" eaLnBrk="1" latinLnBrk="0" hangingPunct="1">
                            <a:defRPr sz="1800" kern="1200">
                              <a:solidFill>
                                <a:schemeClr val="dk1"/>
                              </a:solidFill>
                              <a:latin typeface="+mn-lt"/>
                              <a:ea typeface="+mn-ea"/>
                              <a:cs typeface="+mn-cs"/>
                            </a:defRPr>
                          </a:lvl2pPr>
                          <a:lvl3pPr marL="914400" algn="l" defTabSz="457200" rtl="0" eaLnBrk="1" latinLnBrk="0" hangingPunct="1">
                            <a:defRPr sz="1800" kern="1200">
                              <a:solidFill>
                                <a:schemeClr val="dk1"/>
                              </a:solidFill>
                              <a:latin typeface="+mn-lt"/>
                              <a:ea typeface="+mn-ea"/>
                              <a:cs typeface="+mn-cs"/>
                            </a:defRPr>
                          </a:lvl3pPr>
                          <a:lvl4pPr marL="1371600" algn="l" defTabSz="457200" rtl="0" eaLnBrk="1" latinLnBrk="0" hangingPunct="1">
                            <a:defRPr sz="1800" kern="1200">
                              <a:solidFill>
                                <a:schemeClr val="dk1"/>
                              </a:solidFill>
                              <a:latin typeface="+mn-lt"/>
                              <a:ea typeface="+mn-ea"/>
                              <a:cs typeface="+mn-cs"/>
                            </a:defRPr>
                          </a:lvl4pPr>
                          <a:lvl5pPr marL="1828800" algn="l" defTabSz="457200" rtl="0" eaLnBrk="1" latinLnBrk="0" hangingPunct="1">
                            <a:defRPr sz="1800" kern="1200">
                              <a:solidFill>
                                <a:schemeClr val="dk1"/>
                              </a:solidFill>
                              <a:latin typeface="+mn-lt"/>
                              <a:ea typeface="+mn-ea"/>
                              <a:cs typeface="+mn-cs"/>
                            </a:defRPr>
                          </a:lvl5pPr>
                          <a:lvl6pPr marL="2286000" algn="l" defTabSz="457200" rtl="0" eaLnBrk="1" latinLnBrk="0" hangingPunct="1">
                            <a:defRPr sz="1800" kern="1200">
                              <a:solidFill>
                                <a:schemeClr val="dk1"/>
                              </a:solidFill>
                              <a:latin typeface="+mn-lt"/>
                              <a:ea typeface="+mn-ea"/>
                              <a:cs typeface="+mn-cs"/>
                            </a:defRPr>
                          </a:lvl6pPr>
                          <a:lvl7pPr marL="2743200" algn="l" defTabSz="457200" rtl="0" eaLnBrk="1" latinLnBrk="0" hangingPunct="1">
                            <a:defRPr sz="1800" kern="1200">
                              <a:solidFill>
                                <a:schemeClr val="dk1"/>
                              </a:solidFill>
                              <a:latin typeface="+mn-lt"/>
                              <a:ea typeface="+mn-ea"/>
                              <a:cs typeface="+mn-cs"/>
                            </a:defRPr>
                          </a:lvl7pPr>
                          <a:lvl8pPr marL="3200400" algn="l" defTabSz="457200" rtl="0" eaLnBrk="1" latinLnBrk="0" hangingPunct="1">
                            <a:defRPr sz="1800" kern="1200">
                              <a:solidFill>
                                <a:schemeClr val="dk1"/>
                              </a:solidFill>
                              <a:latin typeface="+mn-lt"/>
                              <a:ea typeface="+mn-ea"/>
                              <a:cs typeface="+mn-cs"/>
                            </a:defRPr>
                          </a:lvl8pPr>
                          <a:lvl9pPr marL="3657600" algn="l" defTabSz="457200" rtl="0" eaLnBrk="1" latinLnBrk="0" hangingPunct="1">
                            <a:defRPr sz="1800" kern="1200">
                              <a:solidFill>
                                <a:schemeClr val="dk1"/>
                              </a:solidFill>
                              <a:latin typeface="+mn-lt"/>
                              <a:ea typeface="+mn-ea"/>
                              <a:cs typeface="+mn-cs"/>
                            </a:defRPr>
                          </a:lvl9pPr>
                        </a:lstStyle>
                        <a:p>
                          <a:pPr algn="ctr"/>
                          <a:r>
                            <a:rPr lang="zh-CN" altLang="en-US" sz="1200" dirty="0">
                              <a:latin typeface="微软雅黑" panose="020B0503020204020204" pitchFamily="2" charset="-122"/>
                              <a:ea typeface="微软雅黑" panose="020B0503020204020204" pitchFamily="2" charset="-122"/>
                            </a:rPr>
                            <a:t>视觉大模型测评</a:t>
                          </a:r>
                          <a:endParaRPr lang="zh-CN" altLang="en-US" sz="1200" dirty="0">
                            <a:latin typeface="微软雅黑" panose="020B0503020204020204" pitchFamily="2" charset="-122"/>
                            <a:ea typeface="微软雅黑" panose="020B0503020204020204" pitchFamily="2" charset="-122"/>
                          </a:endParaRPr>
                        </a:p>
                      </a:txBody>
                      <a:useSpRect/>
                    </a:txSp>
                    <a:style>
                      <a:lnRef idx="2">
                        <a:schemeClr val="dk1"/>
                      </a:lnRef>
                      <a:fillRef idx="1">
                        <a:schemeClr val="lt1"/>
                      </a:fillRef>
                      <a:effectRef idx="0">
                        <a:schemeClr val="dk1"/>
                      </a:effectRef>
                      <a:fontRef idx="minor">
                        <a:schemeClr val="dk1"/>
                      </a:fontRef>
                    </a:style>
                  </a:sp>
                  <a:sp>
                    <a:nvSpPr>
                      <a:cNvPr id="160" name="矩形 159"/>
                      <a:cNvSpPr/>
                    </a:nvSpPr>
                    <a:spPr>
                      <a:xfrm>
                        <a:off x="23501103" y="6480426"/>
                        <a:ext cx="668512" cy="965513"/>
                      </a:xfrm>
                      <a:prstGeom prst="rect">
                        <a:avLst/>
                      </a:prstGeom>
                      <a:ln w="6350"/>
                    </a:spPr>
                    <a:txSp>
                      <a:txBody>
                        <a:bodyPr lIns="158758" tIns="79379" rIns="158758" bIns="79379" rtlCol="0" anchor="ctr"/>
                        <a:lstStyle>
                          <a:defPPr>
                            <a:defRPr lang="en-US"/>
                          </a:defPPr>
                          <a:lvl1pPr marL="0" algn="l" defTabSz="457200" rtl="0" eaLnBrk="1" latinLnBrk="0" hangingPunct="1">
                            <a:defRPr sz="1800" kern="1200">
                              <a:solidFill>
                                <a:schemeClr val="dk1"/>
                              </a:solidFill>
                              <a:latin typeface="+mn-lt"/>
                              <a:ea typeface="+mn-ea"/>
                              <a:cs typeface="+mn-cs"/>
                            </a:defRPr>
                          </a:lvl1pPr>
                          <a:lvl2pPr marL="457200" algn="l" defTabSz="457200" rtl="0" eaLnBrk="1" latinLnBrk="0" hangingPunct="1">
                            <a:defRPr sz="1800" kern="1200">
                              <a:solidFill>
                                <a:schemeClr val="dk1"/>
                              </a:solidFill>
                              <a:latin typeface="+mn-lt"/>
                              <a:ea typeface="+mn-ea"/>
                              <a:cs typeface="+mn-cs"/>
                            </a:defRPr>
                          </a:lvl2pPr>
                          <a:lvl3pPr marL="914400" algn="l" defTabSz="457200" rtl="0" eaLnBrk="1" latinLnBrk="0" hangingPunct="1">
                            <a:defRPr sz="1800" kern="1200">
                              <a:solidFill>
                                <a:schemeClr val="dk1"/>
                              </a:solidFill>
                              <a:latin typeface="+mn-lt"/>
                              <a:ea typeface="+mn-ea"/>
                              <a:cs typeface="+mn-cs"/>
                            </a:defRPr>
                          </a:lvl3pPr>
                          <a:lvl4pPr marL="1371600" algn="l" defTabSz="457200" rtl="0" eaLnBrk="1" latinLnBrk="0" hangingPunct="1">
                            <a:defRPr sz="1800" kern="1200">
                              <a:solidFill>
                                <a:schemeClr val="dk1"/>
                              </a:solidFill>
                              <a:latin typeface="+mn-lt"/>
                              <a:ea typeface="+mn-ea"/>
                              <a:cs typeface="+mn-cs"/>
                            </a:defRPr>
                          </a:lvl4pPr>
                          <a:lvl5pPr marL="1828800" algn="l" defTabSz="457200" rtl="0" eaLnBrk="1" latinLnBrk="0" hangingPunct="1">
                            <a:defRPr sz="1800" kern="1200">
                              <a:solidFill>
                                <a:schemeClr val="dk1"/>
                              </a:solidFill>
                              <a:latin typeface="+mn-lt"/>
                              <a:ea typeface="+mn-ea"/>
                              <a:cs typeface="+mn-cs"/>
                            </a:defRPr>
                          </a:lvl5pPr>
                          <a:lvl6pPr marL="2286000" algn="l" defTabSz="457200" rtl="0" eaLnBrk="1" latinLnBrk="0" hangingPunct="1">
                            <a:defRPr sz="1800" kern="1200">
                              <a:solidFill>
                                <a:schemeClr val="dk1"/>
                              </a:solidFill>
                              <a:latin typeface="+mn-lt"/>
                              <a:ea typeface="+mn-ea"/>
                              <a:cs typeface="+mn-cs"/>
                            </a:defRPr>
                          </a:lvl6pPr>
                          <a:lvl7pPr marL="2743200" algn="l" defTabSz="457200" rtl="0" eaLnBrk="1" latinLnBrk="0" hangingPunct="1">
                            <a:defRPr sz="1800" kern="1200">
                              <a:solidFill>
                                <a:schemeClr val="dk1"/>
                              </a:solidFill>
                              <a:latin typeface="+mn-lt"/>
                              <a:ea typeface="+mn-ea"/>
                              <a:cs typeface="+mn-cs"/>
                            </a:defRPr>
                          </a:lvl7pPr>
                          <a:lvl8pPr marL="3200400" algn="l" defTabSz="457200" rtl="0" eaLnBrk="1" latinLnBrk="0" hangingPunct="1">
                            <a:defRPr sz="1800" kern="1200">
                              <a:solidFill>
                                <a:schemeClr val="dk1"/>
                              </a:solidFill>
                              <a:latin typeface="+mn-lt"/>
                              <a:ea typeface="+mn-ea"/>
                              <a:cs typeface="+mn-cs"/>
                            </a:defRPr>
                          </a:lvl8pPr>
                          <a:lvl9pPr marL="3657600" algn="l" defTabSz="457200" rtl="0" eaLnBrk="1" latinLnBrk="0" hangingPunct="1">
                            <a:defRPr sz="1800" kern="1200">
                              <a:solidFill>
                                <a:schemeClr val="dk1"/>
                              </a:solidFill>
                              <a:latin typeface="+mn-lt"/>
                              <a:ea typeface="+mn-ea"/>
                              <a:cs typeface="+mn-cs"/>
                            </a:defRPr>
                          </a:lvl9pPr>
                        </a:lstStyle>
                        <a:p>
                          <a:pPr algn="ctr"/>
                          <a:r>
                            <a:rPr lang="zh-CN" altLang="en-US" sz="1200" dirty="0">
                              <a:latin typeface="微软雅黑" panose="020B0503020204020204" pitchFamily="2" charset="-122"/>
                              <a:ea typeface="微软雅黑" panose="020B0503020204020204" pitchFamily="2" charset="-122"/>
                            </a:rPr>
                            <a:t>大模型安全管理</a:t>
                          </a:r>
                          <a:endParaRPr lang="zh-CN" altLang="en-US" sz="1200" dirty="0">
                            <a:latin typeface="微软雅黑" panose="020B0503020204020204" pitchFamily="2" charset="-122"/>
                            <a:ea typeface="微软雅黑" panose="020B0503020204020204" pitchFamily="2" charset="-122"/>
                          </a:endParaRPr>
                        </a:p>
                      </a:txBody>
                      <a:useSpRect/>
                    </a:txSp>
                    <a:style>
                      <a:lnRef idx="2">
                        <a:schemeClr val="dk1"/>
                      </a:lnRef>
                      <a:fillRef idx="1">
                        <a:schemeClr val="lt1"/>
                      </a:fillRef>
                      <a:effectRef idx="0">
                        <a:schemeClr val="dk1"/>
                      </a:effectRef>
                      <a:fontRef idx="minor">
                        <a:schemeClr val="dk1"/>
                      </a:fontRef>
                    </a:style>
                  </a:sp>
                </lc:lockedCanvas>
              </a:graphicData>
            </a:graphic>
          </wp:anchor>
        </w:drawing>
      </w:r>
      <w:r>
        <w:rPr>
          <w:rFonts w:hint="eastAsia" w:ascii="仿宋_GB2312" w:eastAsia="仿宋_GB2312"/>
          <w:kern w:val="0"/>
          <w:sz w:val="32"/>
          <w:szCs w:val="32"/>
        </w:rPr>
        <w:t>（2）部署架构</w:t>
      </w:r>
    </w:p>
    <w:p w14:paraId="0FFCE476">
      <w:pPr>
        <w:widowControl/>
        <w:adjustRightInd w:val="0"/>
        <w:snapToGrid w:val="0"/>
        <w:spacing w:line="560" w:lineRule="exact"/>
        <w:ind w:firstLine="646"/>
        <w:rPr>
          <w:rFonts w:ascii="仿宋_GB2312" w:eastAsia="仿宋_GB2312"/>
          <w:sz w:val="32"/>
          <w:szCs w:val="32"/>
        </w:rPr>
      </w:pPr>
      <w:r>
        <w:rPr>
          <w:rFonts w:hint="eastAsia" w:ascii="仿宋_GB2312" w:eastAsia="仿宋_GB2312"/>
          <w:sz w:val="32"/>
          <w:szCs w:val="32"/>
        </w:rPr>
        <w:t>视觉大模型能力支撑子系统支持“两网两级”建设部署。市局层面，在视频传输网侧建设完整的视觉大模型能力支撑子系统架构与对应功能模块，向下与分局视觉大模型算力设施联动，向上提供单纯的视觉大模型能力支撑图像网侧的各条线视图能力示范性应用，侧重视觉大模型能力本身的汇聚、管理、微调、推理部署、运行维护等；在公安信息网侧，本系统除了本系统基础模块的部署之外，侧重建设融合认知模块、拟融合公安业务知识对视觉大模型进行微调、实现文本、视频、音频等多模态对齐认知增强，并与大语言模型实现数据互通、能力互用，提供以视觉智能为核心的多模态融合认知推理能力以支撑公安各条线业务专题应用，面向全警种和各业务单位使用。在分局层面，可根据实际业务需要，配套建设基础设施，包括算力节点和视频流媒体转发节点，即可充分利用市局视觉大模型基础能力和分局视频流媒体本地化转发优势，快速开发符合分局自身业务特点的应用以支撑分局的公安工作。</w:t>
      </w:r>
    </w:p>
    <w:p w14:paraId="4792935E">
      <w:pPr>
        <w:widowControl/>
        <w:adjustRightInd w:val="0"/>
        <w:snapToGrid w:val="0"/>
        <w:spacing w:line="560" w:lineRule="exact"/>
        <w:ind w:firstLine="646"/>
        <w:outlineLvl w:val="2"/>
        <w:rPr>
          <w:rFonts w:eastAsia="仿宋_GB2312"/>
          <w:kern w:val="0"/>
          <w:sz w:val="32"/>
          <w:szCs w:val="32"/>
        </w:rPr>
      </w:pPr>
      <w:r>
        <w:rPr>
          <w:rFonts w:eastAsia="仿宋_GB2312"/>
          <w:kern w:val="0"/>
          <w:sz w:val="32"/>
          <w:szCs w:val="32"/>
        </w:rPr>
        <w:t>3、功能和性能需求</w:t>
      </w:r>
    </w:p>
    <w:p w14:paraId="5AC3505B">
      <w:pPr>
        <w:ind w:firstLine="640" w:firstLineChars="200"/>
        <w:rPr>
          <w:rFonts w:ascii="仿宋_GB2312" w:eastAsia="仿宋_GB2312"/>
          <w:kern w:val="0"/>
          <w:sz w:val="32"/>
          <w:szCs w:val="32"/>
        </w:rPr>
      </w:pPr>
      <w:r>
        <w:rPr>
          <w:rFonts w:hint="eastAsia" w:ascii="仿宋_GB2312" w:eastAsia="仿宋_GB2312"/>
          <w:kern w:val="0"/>
          <w:sz w:val="32"/>
          <w:szCs w:val="32"/>
        </w:rPr>
        <w:t>（1）应用系统建设</w:t>
      </w:r>
    </w:p>
    <w:p w14:paraId="0ABD17CC">
      <w:pPr>
        <w:ind w:firstLine="640" w:firstLineChars="200"/>
        <w:rPr>
          <w:rFonts w:ascii="仿宋_GB2312" w:eastAsia="仿宋_GB2312"/>
          <w:kern w:val="0"/>
          <w:sz w:val="32"/>
          <w:szCs w:val="32"/>
        </w:rPr>
      </w:pPr>
      <w:bookmarkStart w:id="0" w:name="_Toc216961923"/>
      <w:bookmarkStart w:id="1" w:name="_Toc205230586"/>
      <w:r>
        <w:rPr>
          <w:rFonts w:hint="eastAsia" w:ascii="仿宋_GB2312" w:eastAsia="仿宋_GB2312"/>
          <w:kern w:val="0"/>
          <w:sz w:val="32"/>
          <w:szCs w:val="32"/>
        </w:rPr>
        <w:t>①AI视觉能力服务管理</w:t>
      </w:r>
      <w:bookmarkEnd w:id="0"/>
      <w:bookmarkEnd w:id="1"/>
    </w:p>
    <w:p w14:paraId="42688671">
      <w:pPr>
        <w:ind w:firstLine="640" w:firstLineChars="200"/>
        <w:rPr>
          <w:rFonts w:ascii="仿宋_GB2312" w:eastAsia="仿宋_GB2312"/>
          <w:kern w:val="0"/>
          <w:sz w:val="32"/>
          <w:szCs w:val="32"/>
        </w:rPr>
      </w:pPr>
      <w:bookmarkStart w:id="2" w:name="_Toc205135453"/>
      <w:r>
        <w:rPr>
          <w:rFonts w:hint="eastAsia" w:ascii="仿宋_GB2312" w:eastAsia="仿宋_GB2312"/>
          <w:kern w:val="0"/>
          <w:sz w:val="32"/>
          <w:szCs w:val="32"/>
        </w:rPr>
        <w:t>a.视觉算法MCP服务</w:t>
      </w:r>
    </w:p>
    <w:bookmarkEnd w:id="2"/>
    <w:p w14:paraId="5130074C">
      <w:pPr>
        <w:ind w:firstLine="640" w:firstLineChars="200"/>
        <w:rPr>
          <w:rFonts w:ascii="仿宋_GB2312" w:eastAsia="仿宋_GB2312"/>
          <w:kern w:val="0"/>
          <w:sz w:val="32"/>
          <w:szCs w:val="32"/>
        </w:rPr>
      </w:pPr>
      <w:r>
        <w:rPr>
          <w:rFonts w:hint="eastAsia" w:ascii="仿宋_GB2312" w:eastAsia="仿宋_GB2312"/>
          <w:kern w:val="0"/>
          <w:sz w:val="32"/>
          <w:szCs w:val="32"/>
        </w:rPr>
        <w:t>(a)视觉算法MCP服务-视觉算法工具接入</w:t>
      </w:r>
    </w:p>
    <w:p w14:paraId="17660126">
      <w:pPr>
        <w:widowControl/>
        <w:adjustRightInd w:val="0"/>
        <w:snapToGrid w:val="0"/>
        <w:spacing w:line="560" w:lineRule="exact"/>
        <w:ind w:firstLine="646"/>
        <w:rPr>
          <w:rFonts w:ascii="仿宋_GB2312" w:eastAsia="仿宋_GB2312"/>
          <w:sz w:val="32"/>
          <w:szCs w:val="32"/>
        </w:rPr>
      </w:pPr>
      <w:r>
        <w:rPr>
          <w:rFonts w:hint="eastAsia" w:ascii="仿宋_GB2312" w:eastAsia="仿宋_GB2312"/>
          <w:sz w:val="32"/>
          <w:szCs w:val="32"/>
        </w:rPr>
        <w:t>提供标准化接口，支持外部视觉场景算法工具快速接入平台，实现无缝集成与资源注册，提升工具部署效率。</w:t>
      </w:r>
    </w:p>
    <w:p w14:paraId="7FCA0C4B">
      <w:pPr>
        <w:ind w:firstLine="640" w:firstLineChars="200"/>
        <w:rPr>
          <w:rFonts w:ascii="仿宋_GB2312" w:eastAsia="仿宋_GB2312"/>
          <w:kern w:val="0"/>
          <w:sz w:val="32"/>
          <w:szCs w:val="32"/>
        </w:rPr>
      </w:pPr>
      <w:r>
        <w:rPr>
          <w:rFonts w:hint="eastAsia" w:ascii="仿宋_GB2312" w:eastAsia="仿宋_GB2312"/>
          <w:kern w:val="0"/>
          <w:sz w:val="32"/>
          <w:szCs w:val="32"/>
        </w:rPr>
        <w:t>(b)视觉算法MCP服务-视觉场景算法工具编辑</w:t>
      </w:r>
    </w:p>
    <w:p w14:paraId="52EF7487">
      <w:pPr>
        <w:widowControl/>
        <w:adjustRightInd w:val="0"/>
        <w:snapToGrid w:val="0"/>
        <w:spacing w:line="560" w:lineRule="exact"/>
        <w:ind w:firstLine="646"/>
        <w:rPr>
          <w:rFonts w:ascii="仿宋_GB2312" w:eastAsia="仿宋_GB2312"/>
          <w:sz w:val="32"/>
          <w:szCs w:val="32"/>
        </w:rPr>
      </w:pPr>
      <w:r>
        <w:rPr>
          <w:rFonts w:hint="eastAsia" w:ascii="仿宋_GB2312" w:eastAsia="仿宋_GB2312"/>
          <w:sz w:val="32"/>
          <w:szCs w:val="32"/>
        </w:rPr>
        <w:t>允许用户在线修改视觉场景算法工具参数、配置及逻辑，支持场景适配优化，确保工具灵活应对不同任务需求。</w:t>
      </w:r>
    </w:p>
    <w:p w14:paraId="04975F08">
      <w:pPr>
        <w:ind w:firstLine="640" w:firstLineChars="200"/>
        <w:rPr>
          <w:rFonts w:ascii="仿宋_GB2312" w:eastAsia="仿宋_GB2312"/>
          <w:kern w:val="0"/>
          <w:sz w:val="32"/>
          <w:szCs w:val="32"/>
        </w:rPr>
      </w:pPr>
      <w:r>
        <w:rPr>
          <w:rFonts w:hint="eastAsia" w:ascii="仿宋_GB2312" w:eastAsia="仿宋_GB2312"/>
          <w:kern w:val="0"/>
          <w:sz w:val="32"/>
          <w:szCs w:val="32"/>
        </w:rPr>
        <w:t>(c)视觉算法MCP服务-视觉场景算法工具删除</w:t>
      </w:r>
    </w:p>
    <w:p w14:paraId="016B978F">
      <w:pPr>
        <w:widowControl/>
        <w:adjustRightInd w:val="0"/>
        <w:snapToGrid w:val="0"/>
        <w:spacing w:line="560" w:lineRule="exact"/>
        <w:ind w:firstLine="646"/>
        <w:rPr>
          <w:rFonts w:ascii="仿宋_GB2312" w:eastAsia="仿宋_GB2312"/>
          <w:sz w:val="32"/>
          <w:szCs w:val="32"/>
        </w:rPr>
      </w:pPr>
      <w:r>
        <w:rPr>
          <w:rFonts w:hint="eastAsia" w:ascii="仿宋_GB2312" w:eastAsia="仿宋_GB2312"/>
          <w:sz w:val="32"/>
          <w:szCs w:val="32"/>
        </w:rPr>
        <w:t>提供移除功能，支持从平台中彻底删除闲置或无效视觉场景算法，释放存储资源并维护系统整洁。</w:t>
      </w:r>
    </w:p>
    <w:p w14:paraId="40B3C8A7">
      <w:pPr>
        <w:ind w:firstLine="640" w:firstLineChars="200"/>
        <w:rPr>
          <w:rFonts w:ascii="仿宋_GB2312" w:eastAsia="仿宋_GB2312"/>
          <w:kern w:val="0"/>
          <w:sz w:val="32"/>
          <w:szCs w:val="32"/>
        </w:rPr>
      </w:pPr>
      <w:r>
        <w:rPr>
          <w:rFonts w:hint="eastAsia" w:ascii="仿宋_GB2312" w:eastAsia="仿宋_GB2312"/>
          <w:kern w:val="0"/>
          <w:sz w:val="32"/>
          <w:szCs w:val="32"/>
        </w:rPr>
        <w:t>(d)视觉算法MCP服务-视觉场景算法工具导出</w:t>
      </w:r>
    </w:p>
    <w:p w14:paraId="3D7150CE">
      <w:pPr>
        <w:widowControl/>
        <w:adjustRightInd w:val="0"/>
        <w:snapToGrid w:val="0"/>
        <w:spacing w:line="560" w:lineRule="exact"/>
        <w:ind w:firstLine="646"/>
        <w:rPr>
          <w:rFonts w:ascii="仿宋_GB2312" w:eastAsia="仿宋_GB2312"/>
          <w:sz w:val="32"/>
          <w:szCs w:val="32"/>
        </w:rPr>
      </w:pPr>
      <w:r>
        <w:rPr>
          <w:rFonts w:hint="eastAsia" w:ascii="仿宋_GB2312" w:eastAsia="仿宋_GB2312"/>
          <w:sz w:val="32"/>
          <w:szCs w:val="32"/>
        </w:rPr>
        <w:t>支持用户导出视觉场景算法工具集配置，便于跨平台迁移或本地测试，确保数据可移植性。</w:t>
      </w:r>
    </w:p>
    <w:p w14:paraId="19330AE1">
      <w:pPr>
        <w:ind w:firstLine="640" w:firstLineChars="200"/>
        <w:rPr>
          <w:rFonts w:ascii="仿宋_GB2312" w:eastAsia="仿宋_GB2312"/>
          <w:kern w:val="0"/>
          <w:sz w:val="32"/>
          <w:szCs w:val="32"/>
        </w:rPr>
      </w:pPr>
      <w:r>
        <w:rPr>
          <w:rFonts w:hint="eastAsia" w:ascii="仿宋_GB2312" w:eastAsia="仿宋_GB2312"/>
          <w:kern w:val="0"/>
          <w:sz w:val="32"/>
          <w:szCs w:val="32"/>
        </w:rPr>
        <w:t>(e)视觉算法MCP服务-MCP工具集能力定义</w:t>
      </w:r>
    </w:p>
    <w:p w14:paraId="18F5535B">
      <w:pPr>
        <w:widowControl/>
        <w:adjustRightInd w:val="0"/>
        <w:snapToGrid w:val="0"/>
        <w:spacing w:line="560" w:lineRule="exact"/>
        <w:ind w:firstLine="646"/>
        <w:rPr>
          <w:rFonts w:ascii="仿宋_GB2312" w:eastAsia="仿宋_GB2312"/>
          <w:sz w:val="32"/>
          <w:szCs w:val="32"/>
        </w:rPr>
      </w:pPr>
      <w:r>
        <w:rPr>
          <w:rFonts w:hint="eastAsia" w:ascii="仿宋_GB2312" w:eastAsia="仿宋_GB2312"/>
          <w:sz w:val="32"/>
          <w:szCs w:val="32"/>
        </w:rPr>
        <w:t>定义算法工具的核心能力框架，包括输入输出格式、处理逻辑及性能指标，确保工具标准化描述。</w:t>
      </w:r>
    </w:p>
    <w:p w14:paraId="56CA49E4">
      <w:pPr>
        <w:ind w:firstLine="640" w:firstLineChars="200"/>
        <w:rPr>
          <w:rFonts w:ascii="仿宋_GB2312" w:eastAsia="仿宋_GB2312"/>
          <w:kern w:val="0"/>
          <w:sz w:val="32"/>
          <w:szCs w:val="32"/>
        </w:rPr>
      </w:pPr>
      <w:r>
        <w:rPr>
          <w:rFonts w:hint="eastAsia" w:ascii="仿宋_GB2312" w:eastAsia="仿宋_GB2312"/>
          <w:kern w:val="0"/>
          <w:sz w:val="32"/>
          <w:szCs w:val="32"/>
        </w:rPr>
        <w:t>(f)视觉算法MCP服务-MCP工具集参数配置管理</w:t>
      </w:r>
    </w:p>
    <w:p w14:paraId="4E0F9330">
      <w:pPr>
        <w:widowControl/>
        <w:adjustRightInd w:val="0"/>
        <w:snapToGrid w:val="0"/>
        <w:spacing w:line="560" w:lineRule="exact"/>
        <w:ind w:firstLine="646"/>
        <w:rPr>
          <w:rFonts w:ascii="仿宋_GB2312" w:eastAsia="仿宋_GB2312"/>
          <w:sz w:val="32"/>
          <w:szCs w:val="32"/>
        </w:rPr>
      </w:pPr>
      <w:r>
        <w:rPr>
          <w:rFonts w:hint="eastAsia" w:ascii="仿宋_GB2312" w:eastAsia="仿宋_GB2312"/>
          <w:sz w:val="32"/>
          <w:szCs w:val="32"/>
        </w:rPr>
        <w:t>支持用户设置和调整工具参数（如阈值、精度），提供模板化配置界面，实现快速能力定制。</w:t>
      </w:r>
    </w:p>
    <w:p w14:paraId="4B36FD95">
      <w:pPr>
        <w:ind w:firstLine="640" w:firstLineChars="200"/>
        <w:rPr>
          <w:rFonts w:ascii="仿宋_GB2312" w:eastAsia="仿宋_GB2312"/>
          <w:kern w:val="0"/>
          <w:sz w:val="32"/>
          <w:szCs w:val="32"/>
        </w:rPr>
      </w:pPr>
      <w:r>
        <w:rPr>
          <w:rFonts w:hint="eastAsia" w:ascii="仿宋_GB2312" w:eastAsia="仿宋_GB2312"/>
          <w:kern w:val="0"/>
          <w:sz w:val="32"/>
          <w:szCs w:val="32"/>
        </w:rPr>
        <w:t>(g)视觉算法MCP服务-MCP工具集性能评估标准</w:t>
      </w:r>
    </w:p>
    <w:p w14:paraId="632EB81D">
      <w:pPr>
        <w:widowControl/>
        <w:adjustRightInd w:val="0"/>
        <w:snapToGrid w:val="0"/>
        <w:spacing w:line="560" w:lineRule="exact"/>
        <w:ind w:firstLine="646"/>
        <w:rPr>
          <w:rFonts w:ascii="仿宋_GB2312" w:eastAsia="仿宋_GB2312"/>
          <w:sz w:val="32"/>
          <w:szCs w:val="32"/>
        </w:rPr>
      </w:pPr>
      <w:r>
        <w:rPr>
          <w:rFonts w:hint="eastAsia" w:ascii="仿宋_GB2312" w:eastAsia="仿宋_GB2312"/>
          <w:sz w:val="32"/>
          <w:szCs w:val="32"/>
        </w:rPr>
        <w:t>定义工具性能评估体系，包括准确率、响应时间等指标，支持自动化测试。</w:t>
      </w:r>
    </w:p>
    <w:p w14:paraId="7C1FB9F5">
      <w:pPr>
        <w:ind w:firstLine="640" w:firstLineChars="200"/>
        <w:rPr>
          <w:rFonts w:ascii="仿宋_GB2312" w:eastAsia="仿宋_GB2312"/>
          <w:kern w:val="0"/>
          <w:sz w:val="32"/>
          <w:szCs w:val="32"/>
        </w:rPr>
      </w:pPr>
      <w:r>
        <w:rPr>
          <w:rFonts w:hint="eastAsia" w:ascii="仿宋_GB2312" w:eastAsia="仿宋_GB2312"/>
          <w:kern w:val="0"/>
          <w:sz w:val="32"/>
          <w:szCs w:val="32"/>
        </w:rPr>
        <w:t>(h)视觉算法MCP服务-MCP工具集兼容性设置</w:t>
      </w:r>
    </w:p>
    <w:p w14:paraId="6C9FEA33">
      <w:pPr>
        <w:widowControl/>
        <w:adjustRightInd w:val="0"/>
        <w:snapToGrid w:val="0"/>
        <w:spacing w:line="560" w:lineRule="exact"/>
        <w:ind w:firstLine="646"/>
        <w:rPr>
          <w:rFonts w:ascii="仿宋_GB2312" w:eastAsia="仿宋_GB2312"/>
          <w:sz w:val="32"/>
          <w:szCs w:val="32"/>
        </w:rPr>
      </w:pPr>
      <w:r>
        <w:rPr>
          <w:rFonts w:hint="eastAsia" w:ascii="仿宋_GB2312" w:eastAsia="仿宋_GB2312"/>
          <w:sz w:val="32"/>
          <w:szCs w:val="32"/>
        </w:rPr>
        <w:t>配置工具与平台环境的兼容性要求（如硬件依赖），确保无缝运行与资源优化。</w:t>
      </w:r>
    </w:p>
    <w:p w14:paraId="3A2D587D">
      <w:pPr>
        <w:ind w:firstLine="640" w:firstLineChars="200"/>
        <w:rPr>
          <w:rFonts w:ascii="仿宋_GB2312" w:eastAsia="仿宋_GB2312"/>
          <w:kern w:val="0"/>
          <w:sz w:val="32"/>
          <w:szCs w:val="32"/>
        </w:rPr>
      </w:pPr>
      <w:r>
        <w:rPr>
          <w:rFonts w:hint="eastAsia" w:ascii="仿宋_GB2312" w:eastAsia="仿宋_GB2312"/>
          <w:kern w:val="0"/>
          <w:sz w:val="32"/>
          <w:szCs w:val="32"/>
        </w:rPr>
        <w:t>(i)视觉算法MCP服务-视觉算法MCP服务开放</w:t>
      </w:r>
    </w:p>
    <w:p w14:paraId="719D739D">
      <w:pPr>
        <w:ind w:firstLine="640" w:firstLineChars="200"/>
        <w:rPr>
          <w:rFonts w:ascii="仿宋_GB2312" w:eastAsia="仿宋_GB2312"/>
          <w:kern w:val="0"/>
          <w:sz w:val="32"/>
          <w:szCs w:val="32"/>
        </w:rPr>
      </w:pPr>
      <w:r>
        <w:rPr>
          <w:rFonts w:hint="eastAsia" w:ascii="仿宋_GB2312" w:eastAsia="仿宋_GB2312"/>
          <w:kern w:val="0"/>
          <w:sz w:val="32"/>
          <w:szCs w:val="32"/>
        </w:rPr>
        <w:t>支持用户创建MCP服务，输入服务名称及添加应用。</w:t>
      </w:r>
    </w:p>
    <w:p w14:paraId="4A25A288">
      <w:pPr>
        <w:ind w:firstLine="640" w:firstLineChars="200"/>
        <w:rPr>
          <w:rFonts w:ascii="仿宋_GB2312" w:eastAsia="仿宋_GB2312"/>
          <w:kern w:val="0"/>
          <w:sz w:val="32"/>
          <w:szCs w:val="32"/>
        </w:rPr>
      </w:pPr>
      <w:r>
        <w:rPr>
          <w:rFonts w:hint="eastAsia" w:ascii="仿宋_GB2312" w:eastAsia="仿宋_GB2312"/>
          <w:kern w:val="0"/>
          <w:sz w:val="32"/>
          <w:szCs w:val="32"/>
        </w:rPr>
        <w:t>(j)视觉算法MCP服务-MCP服务编辑</w:t>
      </w:r>
    </w:p>
    <w:p w14:paraId="3EFFDADB">
      <w:pPr>
        <w:ind w:firstLine="640" w:firstLineChars="200"/>
        <w:rPr>
          <w:rFonts w:ascii="仿宋_GB2312" w:eastAsia="仿宋_GB2312"/>
          <w:kern w:val="0"/>
          <w:sz w:val="32"/>
          <w:szCs w:val="32"/>
        </w:rPr>
      </w:pPr>
      <w:r>
        <w:rPr>
          <w:rFonts w:hint="eastAsia" w:ascii="仿宋_GB2312" w:eastAsia="仿宋_GB2312"/>
          <w:kern w:val="0"/>
          <w:sz w:val="32"/>
          <w:szCs w:val="32"/>
        </w:rPr>
        <w:t>支持用户重新配置服务名称及重新选择应用等。</w:t>
      </w:r>
    </w:p>
    <w:p w14:paraId="50B8EEEC">
      <w:pPr>
        <w:ind w:firstLine="640" w:firstLineChars="200"/>
        <w:rPr>
          <w:rFonts w:ascii="仿宋_GB2312" w:eastAsia="仿宋_GB2312"/>
          <w:kern w:val="0"/>
          <w:sz w:val="32"/>
          <w:szCs w:val="32"/>
        </w:rPr>
      </w:pPr>
      <w:r>
        <w:rPr>
          <w:rFonts w:hint="eastAsia" w:ascii="仿宋_GB2312" w:eastAsia="仿宋_GB2312"/>
          <w:kern w:val="0"/>
          <w:sz w:val="32"/>
          <w:szCs w:val="32"/>
        </w:rPr>
        <w:t>(k)视觉算法MCP服务-MCP服务API接口管理</w:t>
      </w:r>
    </w:p>
    <w:p w14:paraId="682C8371">
      <w:pPr>
        <w:ind w:firstLine="640" w:firstLineChars="200"/>
        <w:rPr>
          <w:rFonts w:ascii="仿宋_GB2312" w:eastAsia="仿宋_GB2312"/>
          <w:kern w:val="0"/>
          <w:sz w:val="32"/>
          <w:szCs w:val="32"/>
        </w:rPr>
      </w:pPr>
      <w:r>
        <w:rPr>
          <w:rFonts w:hint="eastAsia" w:ascii="仿宋_GB2312" w:eastAsia="仿宋_GB2312"/>
          <w:kern w:val="0"/>
          <w:sz w:val="32"/>
          <w:szCs w:val="32"/>
        </w:rPr>
        <w:t>提供标准接口，支持外部系统调用算法服务，实现统一接入。</w:t>
      </w:r>
    </w:p>
    <w:p w14:paraId="6CF15E3D">
      <w:pPr>
        <w:ind w:firstLine="640" w:firstLineChars="200"/>
        <w:rPr>
          <w:rFonts w:ascii="仿宋_GB2312" w:eastAsia="仿宋_GB2312"/>
          <w:kern w:val="0"/>
          <w:sz w:val="32"/>
          <w:szCs w:val="32"/>
        </w:rPr>
      </w:pPr>
      <w:r>
        <w:rPr>
          <w:rFonts w:hint="eastAsia" w:ascii="仿宋_GB2312" w:eastAsia="仿宋_GB2312"/>
          <w:kern w:val="0"/>
          <w:sz w:val="32"/>
          <w:szCs w:val="32"/>
        </w:rPr>
        <w:t>(l)视觉算法MCP服务-MCP服务访问控制与认证</w:t>
      </w:r>
    </w:p>
    <w:p w14:paraId="636ECA6A">
      <w:pPr>
        <w:ind w:firstLine="640" w:firstLineChars="200"/>
        <w:rPr>
          <w:rFonts w:ascii="仿宋_GB2312" w:eastAsia="仿宋_GB2312"/>
          <w:kern w:val="0"/>
          <w:sz w:val="32"/>
          <w:szCs w:val="32"/>
        </w:rPr>
      </w:pPr>
      <w:r>
        <w:rPr>
          <w:rFonts w:hint="eastAsia" w:ascii="仿宋_GB2312" w:eastAsia="仿宋_GB2312"/>
          <w:kern w:val="0"/>
          <w:sz w:val="32"/>
          <w:szCs w:val="32"/>
        </w:rPr>
        <w:t>集成权限管理，控制服务访问权限，确保数据安全与合规使用。</w:t>
      </w:r>
    </w:p>
    <w:p w14:paraId="58A4F739">
      <w:pPr>
        <w:ind w:firstLine="640" w:firstLineChars="200"/>
        <w:rPr>
          <w:rFonts w:ascii="仿宋_GB2312" w:eastAsia="仿宋_GB2312"/>
          <w:kern w:val="0"/>
          <w:sz w:val="32"/>
          <w:szCs w:val="32"/>
        </w:rPr>
      </w:pPr>
      <w:r>
        <w:rPr>
          <w:rFonts w:hint="eastAsia" w:ascii="仿宋_GB2312" w:eastAsia="仿宋_GB2312"/>
          <w:kern w:val="0"/>
          <w:sz w:val="32"/>
          <w:szCs w:val="32"/>
        </w:rPr>
        <w:t>(m)视觉算法MCP服务-MCP服务导出与删除</w:t>
      </w:r>
    </w:p>
    <w:p w14:paraId="768F6567">
      <w:pPr>
        <w:ind w:firstLine="640" w:firstLineChars="200"/>
        <w:rPr>
          <w:rFonts w:ascii="仿宋_GB2312" w:eastAsia="仿宋_GB2312"/>
          <w:kern w:val="0"/>
          <w:sz w:val="32"/>
          <w:szCs w:val="32"/>
        </w:rPr>
      </w:pPr>
      <w:r>
        <w:rPr>
          <w:rFonts w:hint="eastAsia" w:ascii="仿宋_GB2312" w:eastAsia="仿宋_GB2312"/>
          <w:kern w:val="0"/>
          <w:sz w:val="32"/>
          <w:szCs w:val="32"/>
        </w:rPr>
        <w:t>支持用户导出与删除MCP服务，便于服务原配置迁移。</w:t>
      </w:r>
    </w:p>
    <w:p w14:paraId="2F1BDD87">
      <w:pPr>
        <w:ind w:firstLine="640" w:firstLineChars="200"/>
        <w:rPr>
          <w:rFonts w:ascii="仿宋_GB2312" w:eastAsia="仿宋_GB2312"/>
          <w:kern w:val="0"/>
          <w:sz w:val="32"/>
          <w:szCs w:val="32"/>
        </w:rPr>
      </w:pPr>
      <w:r>
        <w:rPr>
          <w:rFonts w:hint="eastAsia" w:ascii="仿宋_GB2312" w:eastAsia="仿宋_GB2312"/>
          <w:kern w:val="0"/>
          <w:sz w:val="32"/>
          <w:szCs w:val="32"/>
        </w:rPr>
        <w:t>(n)视觉算法MCP服务-MCP服务服务jk与日志</w:t>
      </w:r>
    </w:p>
    <w:p w14:paraId="7D358163">
      <w:pPr>
        <w:ind w:firstLine="640" w:firstLineChars="200"/>
        <w:rPr>
          <w:rFonts w:ascii="仿宋_GB2312" w:eastAsia="仿宋_GB2312"/>
          <w:kern w:val="0"/>
          <w:sz w:val="32"/>
          <w:szCs w:val="32"/>
        </w:rPr>
      </w:pPr>
      <w:r>
        <w:rPr>
          <w:rFonts w:hint="eastAsia" w:ascii="仿宋_GB2312" w:eastAsia="仿宋_GB2312"/>
          <w:kern w:val="0"/>
          <w:sz w:val="32"/>
          <w:szCs w:val="32"/>
        </w:rPr>
        <w:t>实时监测服务运行状态、调用频率及错误日志。</w:t>
      </w:r>
    </w:p>
    <w:p w14:paraId="4313C4AA">
      <w:pPr>
        <w:ind w:firstLine="640" w:firstLineChars="200"/>
        <w:rPr>
          <w:rFonts w:ascii="仿宋_GB2312" w:eastAsia="仿宋_GB2312"/>
          <w:kern w:val="0"/>
          <w:sz w:val="32"/>
          <w:szCs w:val="32"/>
        </w:rPr>
      </w:pPr>
      <w:r>
        <w:rPr>
          <w:rFonts w:hint="eastAsia" w:ascii="仿宋_GB2312" w:eastAsia="仿宋_GB2312"/>
          <w:kern w:val="0"/>
          <w:sz w:val="32"/>
          <w:szCs w:val="32"/>
        </w:rPr>
        <w:t>b.视觉能力增强</w:t>
      </w:r>
    </w:p>
    <w:p w14:paraId="1AD75C4B">
      <w:pPr>
        <w:ind w:firstLine="640" w:firstLineChars="200"/>
        <w:rPr>
          <w:rFonts w:ascii="仿宋_GB2312" w:eastAsia="仿宋_GB2312"/>
          <w:kern w:val="0"/>
          <w:sz w:val="32"/>
          <w:szCs w:val="32"/>
        </w:rPr>
      </w:pPr>
      <w:r>
        <w:rPr>
          <w:rFonts w:hint="eastAsia" w:ascii="仿宋_GB2312" w:eastAsia="仿宋_GB2312"/>
          <w:kern w:val="0"/>
          <w:sz w:val="32"/>
          <w:szCs w:val="32"/>
        </w:rPr>
        <w:t>(a)视觉能力增强 -视觉能力增强API服务对接</w:t>
      </w:r>
    </w:p>
    <w:p w14:paraId="46AA60BF">
      <w:pPr>
        <w:ind w:firstLine="640" w:firstLineChars="200"/>
        <w:rPr>
          <w:rFonts w:ascii="仿宋_GB2312" w:eastAsia="仿宋_GB2312"/>
          <w:kern w:val="0"/>
          <w:sz w:val="32"/>
          <w:szCs w:val="32"/>
        </w:rPr>
      </w:pPr>
      <w:r>
        <w:rPr>
          <w:rFonts w:hint="eastAsia" w:ascii="仿宋_GB2312" w:eastAsia="仿宋_GB2312"/>
          <w:kern w:val="0"/>
          <w:sz w:val="32"/>
          <w:szCs w:val="32"/>
        </w:rPr>
        <w:t>提供视觉能力增强API服务对接功能。</w:t>
      </w:r>
    </w:p>
    <w:p w14:paraId="669BC862">
      <w:pPr>
        <w:ind w:firstLine="640" w:firstLineChars="200"/>
        <w:rPr>
          <w:rFonts w:ascii="仿宋_GB2312" w:eastAsia="仿宋_GB2312"/>
          <w:kern w:val="0"/>
          <w:sz w:val="32"/>
          <w:szCs w:val="32"/>
        </w:rPr>
      </w:pPr>
      <w:r>
        <w:rPr>
          <w:rFonts w:hint="eastAsia" w:ascii="仿宋_GB2312" w:eastAsia="仿宋_GB2312"/>
          <w:kern w:val="0"/>
          <w:sz w:val="32"/>
          <w:szCs w:val="32"/>
        </w:rPr>
        <w:t>(b)视频人车目标解析通用智能体-基于人的解析</w:t>
      </w:r>
    </w:p>
    <w:p w14:paraId="70348096">
      <w:pPr>
        <w:ind w:firstLine="640" w:firstLineChars="200"/>
        <w:rPr>
          <w:rFonts w:ascii="仿宋_GB2312" w:eastAsia="仿宋_GB2312"/>
          <w:kern w:val="0"/>
          <w:sz w:val="32"/>
          <w:szCs w:val="32"/>
        </w:rPr>
      </w:pPr>
      <w:r>
        <w:rPr>
          <w:rFonts w:hint="eastAsia" w:ascii="仿宋_GB2312" w:eastAsia="仿宋_GB2312"/>
          <w:kern w:val="0"/>
          <w:sz w:val="32"/>
          <w:szCs w:val="32"/>
        </w:rPr>
        <w:t>支持根据用户意图，对特定视频点位所拍摄的基于人的目标进行解析，提取其中的特定的基于人的相关目标内容。</w:t>
      </w:r>
    </w:p>
    <w:p w14:paraId="3B01690B">
      <w:pPr>
        <w:ind w:firstLine="640" w:firstLineChars="200"/>
        <w:rPr>
          <w:rFonts w:ascii="仿宋_GB2312" w:eastAsia="仿宋_GB2312"/>
          <w:kern w:val="0"/>
          <w:sz w:val="32"/>
          <w:szCs w:val="32"/>
        </w:rPr>
      </w:pPr>
      <w:r>
        <w:rPr>
          <w:rFonts w:hint="eastAsia" w:ascii="仿宋_GB2312" w:eastAsia="仿宋_GB2312"/>
          <w:kern w:val="0"/>
          <w:sz w:val="32"/>
          <w:szCs w:val="32"/>
        </w:rPr>
        <w:t>(c)视频人车目标解析通用智能体-基于车的解析</w:t>
      </w:r>
    </w:p>
    <w:p w14:paraId="565F9FEA">
      <w:pPr>
        <w:ind w:firstLine="640" w:firstLineChars="200"/>
        <w:rPr>
          <w:rFonts w:ascii="仿宋_GB2312" w:eastAsia="仿宋_GB2312"/>
          <w:kern w:val="0"/>
          <w:sz w:val="32"/>
          <w:szCs w:val="32"/>
        </w:rPr>
      </w:pPr>
      <w:r>
        <w:rPr>
          <w:rFonts w:hint="eastAsia" w:ascii="仿宋_GB2312" w:eastAsia="仿宋_GB2312"/>
          <w:kern w:val="0"/>
          <w:sz w:val="32"/>
          <w:szCs w:val="32"/>
        </w:rPr>
        <w:t>支持根据用户意图，对特定视频点位所拍摄的基于车辆的目标进行解析，提取其中的特定的基于车辆的相关目标内容。</w:t>
      </w:r>
    </w:p>
    <w:p w14:paraId="449298E1">
      <w:pPr>
        <w:ind w:firstLine="640" w:firstLineChars="200"/>
        <w:rPr>
          <w:rFonts w:ascii="仿宋_GB2312" w:eastAsia="仿宋_GB2312"/>
          <w:kern w:val="0"/>
          <w:sz w:val="32"/>
          <w:szCs w:val="32"/>
        </w:rPr>
      </w:pPr>
      <w:r>
        <w:rPr>
          <w:rFonts w:hint="eastAsia" w:ascii="仿宋_GB2312" w:eastAsia="仿宋_GB2312"/>
          <w:kern w:val="0"/>
          <w:sz w:val="32"/>
          <w:szCs w:val="32"/>
        </w:rPr>
        <w:t>(d)视频物品目标解析通用智能体-物品解析</w:t>
      </w:r>
    </w:p>
    <w:p w14:paraId="70B57535">
      <w:pPr>
        <w:ind w:firstLine="640" w:firstLineChars="200"/>
        <w:rPr>
          <w:rFonts w:ascii="仿宋_GB2312" w:eastAsia="仿宋_GB2312"/>
          <w:kern w:val="0"/>
          <w:sz w:val="32"/>
          <w:szCs w:val="32"/>
        </w:rPr>
      </w:pPr>
      <w:r>
        <w:rPr>
          <w:rFonts w:hint="eastAsia" w:ascii="仿宋_GB2312" w:eastAsia="仿宋_GB2312"/>
          <w:kern w:val="0"/>
          <w:sz w:val="32"/>
          <w:szCs w:val="32"/>
        </w:rPr>
        <w:t>支持根据用户意图，对特定视频点位所拍摄的物品目标进行解析，提取其中的特定的物品内容。</w:t>
      </w:r>
    </w:p>
    <w:p w14:paraId="45402FF0">
      <w:pPr>
        <w:ind w:firstLine="640" w:firstLineChars="200"/>
        <w:rPr>
          <w:rFonts w:ascii="仿宋_GB2312" w:eastAsia="仿宋_GB2312"/>
          <w:kern w:val="0"/>
          <w:sz w:val="32"/>
          <w:szCs w:val="32"/>
        </w:rPr>
      </w:pPr>
      <w:r>
        <w:rPr>
          <w:rFonts w:hint="eastAsia" w:ascii="仿宋_GB2312" w:eastAsia="仿宋_GB2312"/>
          <w:kern w:val="0"/>
          <w:sz w:val="32"/>
          <w:szCs w:val="32"/>
        </w:rPr>
        <w:t>(e)视频行为解析通用智能体-行为解析</w:t>
      </w:r>
    </w:p>
    <w:p w14:paraId="3F7E48D2">
      <w:pPr>
        <w:ind w:firstLine="640" w:firstLineChars="200"/>
        <w:rPr>
          <w:rFonts w:ascii="仿宋_GB2312" w:eastAsia="仿宋_GB2312"/>
          <w:kern w:val="0"/>
          <w:sz w:val="32"/>
          <w:szCs w:val="32"/>
        </w:rPr>
      </w:pPr>
      <w:r>
        <w:rPr>
          <w:rFonts w:hint="eastAsia" w:ascii="仿宋_GB2312" w:eastAsia="仿宋_GB2312"/>
          <w:kern w:val="0"/>
          <w:sz w:val="32"/>
          <w:szCs w:val="32"/>
        </w:rPr>
        <w:t>支持根据用户意图，对特定视频点位所拍摄的目标行为进行解析，提取其中的特定的行为内容。</w:t>
      </w:r>
    </w:p>
    <w:p w14:paraId="2248577A">
      <w:pPr>
        <w:ind w:firstLine="640" w:firstLineChars="200"/>
        <w:rPr>
          <w:rFonts w:ascii="仿宋_GB2312" w:eastAsia="仿宋_GB2312"/>
          <w:kern w:val="0"/>
          <w:sz w:val="32"/>
          <w:szCs w:val="32"/>
        </w:rPr>
      </w:pPr>
      <w:r>
        <w:rPr>
          <w:rFonts w:hint="eastAsia" w:ascii="仿宋_GB2312" w:eastAsia="仿宋_GB2312"/>
          <w:kern w:val="0"/>
          <w:sz w:val="32"/>
          <w:szCs w:val="32"/>
        </w:rPr>
        <w:t>(f)视频静态目标解析通用智能体-时间解析</w:t>
      </w:r>
    </w:p>
    <w:p w14:paraId="07173B46">
      <w:pPr>
        <w:ind w:firstLine="640" w:firstLineChars="200"/>
        <w:rPr>
          <w:rFonts w:ascii="仿宋_GB2312" w:eastAsia="仿宋_GB2312"/>
          <w:kern w:val="0"/>
          <w:sz w:val="32"/>
          <w:szCs w:val="32"/>
        </w:rPr>
      </w:pPr>
      <w:r>
        <w:rPr>
          <w:rFonts w:hint="eastAsia" w:ascii="仿宋_GB2312" w:eastAsia="仿宋_GB2312"/>
          <w:kern w:val="0"/>
          <w:sz w:val="32"/>
          <w:szCs w:val="32"/>
        </w:rPr>
        <w:t>支持根据用户意图，对特定视频点位所拍摄的时间目标进行解析，提取其中的特定的时间内容。</w:t>
      </w:r>
    </w:p>
    <w:p w14:paraId="6B2B924A">
      <w:pPr>
        <w:ind w:firstLine="640" w:firstLineChars="200"/>
        <w:rPr>
          <w:rFonts w:ascii="仿宋_GB2312" w:eastAsia="仿宋_GB2312"/>
          <w:kern w:val="0"/>
          <w:sz w:val="32"/>
          <w:szCs w:val="32"/>
        </w:rPr>
      </w:pPr>
      <w:r>
        <w:rPr>
          <w:rFonts w:hint="eastAsia" w:ascii="仿宋_GB2312" w:eastAsia="仿宋_GB2312"/>
          <w:kern w:val="0"/>
          <w:sz w:val="32"/>
          <w:szCs w:val="32"/>
        </w:rPr>
        <w:t>(e)视频静态目标解析通用智能体-空间解析</w:t>
      </w:r>
    </w:p>
    <w:p w14:paraId="0D4CE717">
      <w:pPr>
        <w:ind w:firstLine="640" w:firstLineChars="200"/>
        <w:rPr>
          <w:rFonts w:ascii="仿宋_GB2312" w:eastAsia="仿宋_GB2312"/>
          <w:kern w:val="0"/>
          <w:sz w:val="32"/>
          <w:szCs w:val="32"/>
        </w:rPr>
      </w:pPr>
      <w:r>
        <w:rPr>
          <w:rFonts w:hint="eastAsia" w:ascii="仿宋_GB2312" w:eastAsia="仿宋_GB2312"/>
          <w:kern w:val="0"/>
          <w:sz w:val="32"/>
          <w:szCs w:val="32"/>
        </w:rPr>
        <w:t>支持对特定点位进行空间解析，识别其中的关键空间位置信息。</w:t>
      </w:r>
    </w:p>
    <w:p w14:paraId="48541508">
      <w:pPr>
        <w:ind w:firstLine="640" w:firstLineChars="200"/>
        <w:rPr>
          <w:rFonts w:ascii="仿宋_GB2312" w:eastAsia="仿宋_GB2312"/>
          <w:kern w:val="0"/>
          <w:sz w:val="32"/>
          <w:szCs w:val="32"/>
        </w:rPr>
      </w:pPr>
      <w:r>
        <w:rPr>
          <w:rFonts w:hint="eastAsia" w:ascii="仿宋_GB2312" w:eastAsia="仿宋_GB2312"/>
          <w:kern w:val="0"/>
          <w:sz w:val="32"/>
          <w:szCs w:val="32"/>
        </w:rPr>
        <w:t>(f)视频语义图片检索通用智能体-在线点位</w:t>
      </w:r>
    </w:p>
    <w:p w14:paraId="688AAF00">
      <w:pPr>
        <w:ind w:firstLine="640" w:firstLineChars="200"/>
        <w:rPr>
          <w:rFonts w:ascii="仿宋_GB2312" w:eastAsia="仿宋_GB2312"/>
          <w:kern w:val="0"/>
          <w:sz w:val="32"/>
          <w:szCs w:val="32"/>
        </w:rPr>
      </w:pPr>
      <w:r>
        <w:rPr>
          <w:rFonts w:hint="eastAsia" w:ascii="仿宋_GB2312" w:eastAsia="仿宋_GB2312"/>
          <w:kern w:val="0"/>
          <w:sz w:val="32"/>
          <w:szCs w:val="32"/>
        </w:rPr>
        <w:t>支持根据图片进行语义识别，对接入的在线视频点位进行视频语义检索。</w:t>
      </w:r>
    </w:p>
    <w:p w14:paraId="75B9887A">
      <w:pPr>
        <w:ind w:firstLine="640" w:firstLineChars="200"/>
        <w:rPr>
          <w:rFonts w:ascii="仿宋_GB2312" w:eastAsia="仿宋_GB2312"/>
          <w:kern w:val="0"/>
          <w:sz w:val="32"/>
          <w:szCs w:val="32"/>
        </w:rPr>
      </w:pPr>
      <w:r>
        <w:rPr>
          <w:rFonts w:hint="eastAsia" w:ascii="仿宋_GB2312" w:eastAsia="仿宋_GB2312"/>
          <w:kern w:val="0"/>
          <w:sz w:val="32"/>
          <w:szCs w:val="32"/>
        </w:rPr>
        <w:t>(g)视频语义图片检索通用智能体-离线上传</w:t>
      </w:r>
    </w:p>
    <w:p w14:paraId="586C6AD0">
      <w:pPr>
        <w:ind w:firstLine="640" w:firstLineChars="200"/>
        <w:rPr>
          <w:rFonts w:ascii="仿宋_GB2312" w:eastAsia="仿宋_GB2312"/>
          <w:kern w:val="0"/>
          <w:sz w:val="32"/>
          <w:szCs w:val="32"/>
        </w:rPr>
      </w:pPr>
      <w:r>
        <w:rPr>
          <w:rFonts w:hint="eastAsia" w:ascii="仿宋_GB2312" w:eastAsia="仿宋_GB2312"/>
          <w:kern w:val="0"/>
          <w:sz w:val="32"/>
          <w:szCs w:val="32"/>
        </w:rPr>
        <w:t>支持根据图片进行语义识别，对离线上传的视频进行视频语义检索。</w:t>
      </w:r>
    </w:p>
    <w:p w14:paraId="4392DA17">
      <w:pPr>
        <w:ind w:firstLine="640" w:firstLineChars="200"/>
        <w:rPr>
          <w:rFonts w:ascii="仿宋_GB2312" w:eastAsia="仿宋_GB2312"/>
          <w:kern w:val="0"/>
          <w:sz w:val="32"/>
          <w:szCs w:val="32"/>
        </w:rPr>
      </w:pPr>
      <w:r>
        <w:rPr>
          <w:rFonts w:hint="eastAsia" w:ascii="仿宋_GB2312" w:eastAsia="仿宋_GB2312"/>
          <w:kern w:val="0"/>
          <w:sz w:val="32"/>
          <w:szCs w:val="32"/>
        </w:rPr>
        <w:t>(h)视频语义文字检索通用智能体-在线点位</w:t>
      </w:r>
    </w:p>
    <w:p w14:paraId="3142A0D4">
      <w:pPr>
        <w:ind w:firstLine="640" w:firstLineChars="200"/>
        <w:rPr>
          <w:rFonts w:ascii="仿宋_GB2312" w:eastAsia="仿宋_GB2312"/>
          <w:kern w:val="0"/>
          <w:sz w:val="32"/>
          <w:szCs w:val="32"/>
        </w:rPr>
      </w:pPr>
      <w:r>
        <w:rPr>
          <w:rFonts w:hint="eastAsia" w:ascii="仿宋_GB2312" w:eastAsia="仿宋_GB2312"/>
          <w:kern w:val="0"/>
          <w:sz w:val="32"/>
          <w:szCs w:val="32"/>
        </w:rPr>
        <w:t>支持根据文字进行语义识别，对接入的在线视频点位进行视频语义检索。</w:t>
      </w:r>
    </w:p>
    <w:p w14:paraId="5AE1B9E7">
      <w:pPr>
        <w:ind w:firstLine="640" w:firstLineChars="200"/>
        <w:rPr>
          <w:rFonts w:ascii="仿宋_GB2312" w:eastAsia="仿宋_GB2312"/>
          <w:kern w:val="0"/>
          <w:sz w:val="32"/>
          <w:szCs w:val="32"/>
        </w:rPr>
      </w:pPr>
      <w:r>
        <w:rPr>
          <w:rFonts w:hint="eastAsia" w:ascii="仿宋_GB2312" w:eastAsia="仿宋_GB2312"/>
          <w:kern w:val="0"/>
          <w:sz w:val="32"/>
          <w:szCs w:val="32"/>
        </w:rPr>
        <w:t>(i)视频语义文字检索通用智能体-离线上传</w:t>
      </w:r>
    </w:p>
    <w:p w14:paraId="7B652593">
      <w:pPr>
        <w:ind w:firstLine="640" w:firstLineChars="200"/>
        <w:rPr>
          <w:rFonts w:ascii="仿宋_GB2312" w:eastAsia="仿宋_GB2312"/>
          <w:kern w:val="0"/>
          <w:sz w:val="32"/>
          <w:szCs w:val="32"/>
        </w:rPr>
      </w:pPr>
      <w:r>
        <w:rPr>
          <w:rFonts w:hint="eastAsia" w:ascii="仿宋_GB2312" w:eastAsia="仿宋_GB2312"/>
          <w:kern w:val="0"/>
          <w:sz w:val="32"/>
          <w:szCs w:val="32"/>
        </w:rPr>
        <w:t>支持根据文字进行语义识别，对离线上传的视频进行视频语义检索。</w:t>
      </w:r>
    </w:p>
    <w:p w14:paraId="512C6E75">
      <w:pPr>
        <w:ind w:firstLine="640" w:firstLineChars="200"/>
        <w:rPr>
          <w:rFonts w:ascii="仿宋_GB2312" w:eastAsia="仿宋_GB2312"/>
          <w:kern w:val="0"/>
          <w:sz w:val="32"/>
          <w:szCs w:val="32"/>
        </w:rPr>
      </w:pPr>
      <w:r>
        <w:rPr>
          <w:rFonts w:hint="eastAsia" w:ascii="仿宋_GB2312" w:eastAsia="仿宋_GB2312"/>
          <w:kern w:val="0"/>
          <w:sz w:val="32"/>
          <w:szCs w:val="32"/>
        </w:rPr>
        <w:t>(j)图片语义图片检索通用智能体-在线图片</w:t>
      </w:r>
    </w:p>
    <w:p w14:paraId="7F1E1027">
      <w:pPr>
        <w:ind w:firstLine="640" w:firstLineChars="200"/>
        <w:rPr>
          <w:rFonts w:ascii="仿宋_GB2312" w:eastAsia="仿宋_GB2312"/>
          <w:kern w:val="0"/>
          <w:sz w:val="32"/>
          <w:szCs w:val="32"/>
        </w:rPr>
      </w:pPr>
      <w:r>
        <w:rPr>
          <w:rFonts w:hint="eastAsia" w:ascii="仿宋_GB2312" w:eastAsia="仿宋_GB2312"/>
          <w:kern w:val="0"/>
          <w:sz w:val="32"/>
          <w:szCs w:val="32"/>
        </w:rPr>
        <w:t>支持根据图片进行语义识别，对接入的在线图片点位进行图片语义检索。</w:t>
      </w:r>
    </w:p>
    <w:p w14:paraId="10AA9733">
      <w:pPr>
        <w:ind w:firstLine="640" w:firstLineChars="200"/>
        <w:rPr>
          <w:rFonts w:ascii="仿宋_GB2312" w:eastAsia="仿宋_GB2312"/>
          <w:kern w:val="0"/>
          <w:sz w:val="32"/>
          <w:szCs w:val="32"/>
        </w:rPr>
      </w:pPr>
      <w:r>
        <w:rPr>
          <w:rFonts w:hint="eastAsia" w:ascii="仿宋_GB2312" w:eastAsia="仿宋_GB2312"/>
          <w:kern w:val="0"/>
          <w:sz w:val="32"/>
          <w:szCs w:val="32"/>
        </w:rPr>
        <w:t>(k)图片语义图片检索通用智能体-离线上传</w:t>
      </w:r>
    </w:p>
    <w:p w14:paraId="5CA28225">
      <w:pPr>
        <w:ind w:firstLine="640" w:firstLineChars="200"/>
        <w:rPr>
          <w:rFonts w:ascii="仿宋_GB2312" w:eastAsia="仿宋_GB2312"/>
          <w:kern w:val="0"/>
          <w:sz w:val="32"/>
          <w:szCs w:val="32"/>
        </w:rPr>
      </w:pPr>
      <w:r>
        <w:rPr>
          <w:rFonts w:hint="eastAsia" w:ascii="仿宋_GB2312" w:eastAsia="仿宋_GB2312"/>
          <w:kern w:val="0"/>
          <w:sz w:val="32"/>
          <w:szCs w:val="32"/>
        </w:rPr>
        <w:t>支持根据图片进行语义识别，对离线上传的图片进行图片语义检索。</w:t>
      </w:r>
    </w:p>
    <w:p w14:paraId="502B1660">
      <w:pPr>
        <w:ind w:firstLine="640" w:firstLineChars="200"/>
        <w:rPr>
          <w:rFonts w:ascii="仿宋_GB2312" w:eastAsia="仿宋_GB2312"/>
          <w:kern w:val="0"/>
          <w:sz w:val="32"/>
          <w:szCs w:val="32"/>
        </w:rPr>
      </w:pPr>
      <w:r>
        <w:rPr>
          <w:rFonts w:hint="eastAsia" w:ascii="仿宋_GB2312" w:eastAsia="仿宋_GB2312"/>
          <w:kern w:val="0"/>
          <w:sz w:val="32"/>
          <w:szCs w:val="32"/>
        </w:rPr>
        <w:t>(l)图片语义文字检索通用智能体-在线图片</w:t>
      </w:r>
    </w:p>
    <w:p w14:paraId="3597742F">
      <w:pPr>
        <w:ind w:firstLine="640" w:firstLineChars="200"/>
        <w:rPr>
          <w:rFonts w:ascii="仿宋_GB2312" w:eastAsia="仿宋_GB2312"/>
          <w:kern w:val="0"/>
          <w:sz w:val="32"/>
          <w:szCs w:val="32"/>
        </w:rPr>
      </w:pPr>
      <w:r>
        <w:rPr>
          <w:rFonts w:hint="eastAsia" w:ascii="仿宋_GB2312" w:eastAsia="仿宋_GB2312"/>
          <w:kern w:val="0"/>
          <w:sz w:val="32"/>
          <w:szCs w:val="32"/>
        </w:rPr>
        <w:t>支持根据文字进行语义识别，对接入的在线图片点位进行图片语义检索。</w:t>
      </w:r>
    </w:p>
    <w:p w14:paraId="3A5F0568">
      <w:pPr>
        <w:ind w:firstLine="640" w:firstLineChars="200"/>
        <w:rPr>
          <w:rFonts w:ascii="仿宋_GB2312" w:eastAsia="仿宋_GB2312"/>
          <w:kern w:val="0"/>
          <w:sz w:val="32"/>
          <w:szCs w:val="32"/>
        </w:rPr>
      </w:pPr>
      <w:r>
        <w:rPr>
          <w:rFonts w:hint="eastAsia" w:ascii="仿宋_GB2312" w:eastAsia="仿宋_GB2312"/>
          <w:kern w:val="0"/>
          <w:sz w:val="32"/>
          <w:szCs w:val="32"/>
        </w:rPr>
        <w:t>(m)图片语义文字检索通用智能体-离线上传</w:t>
      </w:r>
    </w:p>
    <w:p w14:paraId="68FBAF03">
      <w:pPr>
        <w:ind w:firstLine="640" w:firstLineChars="200"/>
        <w:rPr>
          <w:rFonts w:ascii="仿宋_GB2312" w:eastAsia="仿宋_GB2312"/>
          <w:kern w:val="0"/>
          <w:sz w:val="32"/>
          <w:szCs w:val="32"/>
        </w:rPr>
      </w:pPr>
      <w:r>
        <w:rPr>
          <w:rFonts w:hint="eastAsia" w:ascii="仿宋_GB2312" w:eastAsia="仿宋_GB2312"/>
          <w:kern w:val="0"/>
          <w:sz w:val="32"/>
          <w:szCs w:val="32"/>
        </w:rPr>
        <w:t>支持根据文字进行语义识别，对离线上传的图片进行图片语义检索。</w:t>
      </w:r>
    </w:p>
    <w:p w14:paraId="7F193B3C">
      <w:pPr>
        <w:ind w:firstLine="640" w:firstLineChars="200"/>
        <w:rPr>
          <w:rFonts w:ascii="仿宋_GB2312" w:eastAsia="仿宋_GB2312"/>
          <w:kern w:val="0"/>
          <w:sz w:val="32"/>
          <w:szCs w:val="32"/>
        </w:rPr>
      </w:pPr>
      <w:r>
        <w:rPr>
          <w:rFonts w:hint="eastAsia" w:ascii="仿宋_GB2312" w:eastAsia="仿宋_GB2312"/>
          <w:kern w:val="0"/>
          <w:sz w:val="32"/>
          <w:szCs w:val="32"/>
        </w:rPr>
        <w:t>(n)视频内容推荐通用智能体</w:t>
      </w:r>
    </w:p>
    <w:p w14:paraId="1BE27847">
      <w:pPr>
        <w:ind w:firstLine="640" w:firstLineChars="200"/>
        <w:rPr>
          <w:rFonts w:ascii="仿宋_GB2312" w:eastAsia="仿宋_GB2312"/>
          <w:kern w:val="0"/>
          <w:sz w:val="32"/>
          <w:szCs w:val="32"/>
        </w:rPr>
      </w:pPr>
      <w:r>
        <w:rPr>
          <w:rFonts w:hint="eastAsia" w:ascii="仿宋_GB2312" w:eastAsia="仿宋_GB2312"/>
          <w:kern w:val="0"/>
          <w:sz w:val="32"/>
          <w:szCs w:val="32"/>
        </w:rPr>
        <w:t>基于自然语言的复杂视频查询，用户可用口语化描述查询视频内容，系统自动解析并返回视频内容推荐结果。</w:t>
      </w:r>
    </w:p>
    <w:p w14:paraId="3CCF9BC5">
      <w:pPr>
        <w:ind w:firstLine="640" w:firstLineChars="200"/>
        <w:rPr>
          <w:rFonts w:ascii="仿宋_GB2312" w:eastAsia="仿宋_GB2312"/>
          <w:kern w:val="0"/>
          <w:sz w:val="32"/>
          <w:szCs w:val="32"/>
        </w:rPr>
      </w:pPr>
      <w:r>
        <w:rPr>
          <w:rFonts w:hint="eastAsia" w:ascii="仿宋_GB2312" w:eastAsia="仿宋_GB2312"/>
          <w:kern w:val="0"/>
          <w:sz w:val="32"/>
          <w:szCs w:val="32"/>
        </w:rPr>
        <w:t>(o)智能辅助决策通用智能体-任务下发</w:t>
      </w:r>
    </w:p>
    <w:p w14:paraId="7CDEE168">
      <w:pPr>
        <w:ind w:firstLine="640" w:firstLineChars="200"/>
        <w:rPr>
          <w:rFonts w:ascii="仿宋_GB2312" w:eastAsia="仿宋_GB2312"/>
          <w:kern w:val="0"/>
          <w:sz w:val="32"/>
          <w:szCs w:val="32"/>
        </w:rPr>
      </w:pPr>
      <w:r>
        <w:rPr>
          <w:rFonts w:hint="eastAsia" w:ascii="仿宋_GB2312" w:eastAsia="仿宋_GB2312"/>
          <w:kern w:val="0"/>
          <w:sz w:val="32"/>
          <w:szCs w:val="32"/>
        </w:rPr>
        <w:t>基于自然语言的异动感知事件进行预警任务下发，用户可以用口语化描述下发异动感知任务部署,实现智能辅助决策。</w:t>
      </w:r>
    </w:p>
    <w:p w14:paraId="75F00386">
      <w:pPr>
        <w:ind w:firstLine="640" w:firstLineChars="200"/>
        <w:rPr>
          <w:rFonts w:ascii="仿宋_GB2312" w:eastAsia="仿宋_GB2312"/>
          <w:kern w:val="0"/>
          <w:sz w:val="32"/>
          <w:szCs w:val="32"/>
        </w:rPr>
      </w:pPr>
      <w:r>
        <w:rPr>
          <w:rFonts w:hint="eastAsia" w:ascii="仿宋_GB2312" w:eastAsia="仿宋_GB2312"/>
          <w:kern w:val="0"/>
          <w:sz w:val="32"/>
          <w:szCs w:val="32"/>
        </w:rPr>
        <w:t>(p)智能辅助决策通用智能体-预警检索</w:t>
      </w:r>
    </w:p>
    <w:p w14:paraId="33019F11">
      <w:pPr>
        <w:ind w:firstLine="640" w:firstLineChars="200"/>
        <w:rPr>
          <w:rFonts w:ascii="仿宋_GB2312" w:eastAsia="仿宋_GB2312"/>
          <w:kern w:val="0"/>
          <w:sz w:val="32"/>
          <w:szCs w:val="32"/>
        </w:rPr>
      </w:pPr>
      <w:r>
        <w:rPr>
          <w:rFonts w:hint="eastAsia" w:ascii="仿宋_GB2312" w:eastAsia="仿宋_GB2312"/>
          <w:kern w:val="0"/>
          <w:sz w:val="32"/>
          <w:szCs w:val="32"/>
        </w:rPr>
        <w:t>基于自然语言的异动感知事件进行预警结果检索，用户可以用口语化描述查询异动感知任务预警信息，实现智能辅助决策。</w:t>
      </w:r>
    </w:p>
    <w:p w14:paraId="0CB95ED9">
      <w:pPr>
        <w:ind w:firstLine="640" w:firstLineChars="200"/>
        <w:rPr>
          <w:rFonts w:ascii="仿宋_GB2312" w:eastAsia="仿宋_GB2312"/>
          <w:kern w:val="0"/>
          <w:sz w:val="32"/>
          <w:szCs w:val="32"/>
        </w:rPr>
      </w:pPr>
      <w:bookmarkStart w:id="3" w:name="_Toc216961924"/>
      <w:bookmarkStart w:id="4" w:name="_Toc205230587"/>
      <w:r>
        <w:rPr>
          <w:rFonts w:hint="eastAsia" w:ascii="仿宋_GB2312" w:eastAsia="仿宋_GB2312"/>
          <w:kern w:val="0"/>
          <w:sz w:val="32"/>
          <w:szCs w:val="32"/>
        </w:rPr>
        <w:t>②视图知识库（数据集）构建</w:t>
      </w:r>
      <w:bookmarkEnd w:id="3"/>
      <w:bookmarkEnd w:id="4"/>
    </w:p>
    <w:p w14:paraId="65FE47DF">
      <w:pPr>
        <w:ind w:firstLine="640" w:firstLineChars="200"/>
        <w:rPr>
          <w:rFonts w:ascii="仿宋_GB2312" w:eastAsia="仿宋_GB2312"/>
          <w:kern w:val="0"/>
          <w:sz w:val="32"/>
          <w:szCs w:val="32"/>
        </w:rPr>
      </w:pPr>
      <w:r>
        <w:rPr>
          <w:rFonts w:hint="eastAsia" w:ascii="仿宋_GB2312" w:eastAsia="仿宋_GB2312"/>
          <w:kern w:val="0"/>
          <w:sz w:val="32"/>
          <w:szCs w:val="32"/>
        </w:rPr>
        <w:t>a.视频图像样本管理</w:t>
      </w:r>
    </w:p>
    <w:p w14:paraId="66B6DF66">
      <w:pPr>
        <w:ind w:firstLine="640" w:firstLineChars="200"/>
        <w:rPr>
          <w:rFonts w:ascii="仿宋_GB2312" w:eastAsia="仿宋_GB2312"/>
          <w:kern w:val="0"/>
          <w:sz w:val="32"/>
          <w:szCs w:val="32"/>
        </w:rPr>
      </w:pPr>
      <w:r>
        <w:rPr>
          <w:rFonts w:hint="eastAsia" w:ascii="仿宋_GB2312" w:eastAsia="仿宋_GB2312"/>
          <w:kern w:val="0"/>
          <w:sz w:val="32"/>
          <w:szCs w:val="32"/>
        </w:rPr>
        <w:t>(a)视频图像样本采集-视频样本采集</w:t>
      </w:r>
    </w:p>
    <w:p w14:paraId="384F28E1">
      <w:pPr>
        <w:ind w:firstLine="640" w:firstLineChars="200"/>
        <w:rPr>
          <w:rFonts w:ascii="仿宋_GB2312" w:eastAsia="仿宋_GB2312"/>
          <w:kern w:val="0"/>
          <w:sz w:val="32"/>
          <w:szCs w:val="32"/>
        </w:rPr>
      </w:pPr>
      <w:r>
        <w:rPr>
          <w:rFonts w:hint="eastAsia" w:ascii="仿宋_GB2312" w:eastAsia="仿宋_GB2312"/>
          <w:kern w:val="0"/>
          <w:sz w:val="32"/>
          <w:szCs w:val="32"/>
        </w:rPr>
        <w:t>支持采集实时流视频，一定时间段内的历史视频流，以及上传本地视频片段，形成原始的视频样本数据。并可对原始视频样本数据进行标注（包括采集时间，地点，以及对应语义描述等）。</w:t>
      </w:r>
    </w:p>
    <w:p w14:paraId="0AEADEE9">
      <w:pPr>
        <w:ind w:firstLine="640" w:firstLineChars="200"/>
        <w:rPr>
          <w:rFonts w:ascii="仿宋_GB2312" w:eastAsia="仿宋_GB2312"/>
          <w:kern w:val="0"/>
          <w:sz w:val="32"/>
          <w:szCs w:val="32"/>
        </w:rPr>
      </w:pPr>
      <w:r>
        <w:rPr>
          <w:rFonts w:hint="eastAsia" w:ascii="仿宋_GB2312" w:eastAsia="仿宋_GB2312"/>
          <w:kern w:val="0"/>
          <w:sz w:val="32"/>
          <w:szCs w:val="32"/>
        </w:rPr>
        <w:t>(b)视频图像样本采集-视频样本历史视频回溯提取</w:t>
      </w:r>
    </w:p>
    <w:p w14:paraId="3CDB4B67">
      <w:pPr>
        <w:ind w:firstLine="640" w:firstLineChars="200"/>
        <w:rPr>
          <w:rFonts w:ascii="仿宋_GB2312" w:eastAsia="仿宋_GB2312"/>
          <w:kern w:val="0"/>
          <w:sz w:val="32"/>
          <w:szCs w:val="32"/>
        </w:rPr>
      </w:pPr>
      <w:r>
        <w:rPr>
          <w:rFonts w:hint="eastAsia" w:ascii="仿宋_GB2312" w:eastAsia="仿宋_GB2312"/>
          <w:kern w:val="0"/>
          <w:sz w:val="32"/>
          <w:szCs w:val="32"/>
        </w:rPr>
        <w:t>按采集时间、样本地点、以及标注的关键内容，检索历史jk库，精准提取关联视频段。</w:t>
      </w:r>
    </w:p>
    <w:p w14:paraId="0278AF2E">
      <w:pPr>
        <w:ind w:firstLine="640" w:firstLineChars="200"/>
        <w:rPr>
          <w:rFonts w:ascii="仿宋_GB2312" w:eastAsia="仿宋_GB2312"/>
          <w:kern w:val="0"/>
          <w:sz w:val="32"/>
          <w:szCs w:val="32"/>
        </w:rPr>
      </w:pPr>
      <w:r>
        <w:rPr>
          <w:rFonts w:hint="eastAsia" w:ascii="仿宋_GB2312" w:eastAsia="仿宋_GB2312"/>
          <w:kern w:val="0"/>
          <w:sz w:val="32"/>
          <w:szCs w:val="32"/>
        </w:rPr>
        <w:t>(c)视频图像样本采集-图像样本采集</w:t>
      </w:r>
    </w:p>
    <w:p w14:paraId="38CBA4CE">
      <w:pPr>
        <w:ind w:firstLine="640" w:firstLineChars="200"/>
        <w:rPr>
          <w:rFonts w:ascii="仿宋_GB2312" w:eastAsia="仿宋_GB2312"/>
          <w:kern w:val="0"/>
          <w:sz w:val="32"/>
          <w:szCs w:val="32"/>
        </w:rPr>
      </w:pPr>
      <w:r>
        <w:rPr>
          <w:rFonts w:hint="eastAsia" w:ascii="仿宋_GB2312" w:eastAsia="仿宋_GB2312"/>
          <w:kern w:val="0"/>
          <w:sz w:val="32"/>
          <w:szCs w:val="32"/>
        </w:rPr>
        <w:t>支持图像样本上传与对象存储，并标注图像样本对应的采集时间、地点图像语义描述等多维度bq。</w:t>
      </w:r>
    </w:p>
    <w:p w14:paraId="1EF934AE">
      <w:pPr>
        <w:ind w:firstLine="640" w:firstLineChars="200"/>
        <w:rPr>
          <w:rFonts w:ascii="仿宋_GB2312" w:eastAsia="仿宋_GB2312"/>
          <w:kern w:val="0"/>
          <w:sz w:val="32"/>
          <w:szCs w:val="32"/>
        </w:rPr>
      </w:pPr>
      <w:r>
        <w:rPr>
          <w:rFonts w:hint="eastAsia" w:ascii="仿宋_GB2312" w:eastAsia="仿宋_GB2312"/>
          <w:kern w:val="0"/>
          <w:sz w:val="32"/>
          <w:szCs w:val="32"/>
        </w:rPr>
        <w:t>(d)视频图像样本采集-图像样本多目标分离切片</w:t>
      </w:r>
    </w:p>
    <w:p w14:paraId="0FB2A4E8">
      <w:pPr>
        <w:ind w:firstLine="640" w:firstLineChars="200"/>
        <w:rPr>
          <w:rFonts w:ascii="仿宋_GB2312" w:eastAsia="仿宋_GB2312"/>
          <w:kern w:val="0"/>
          <w:sz w:val="32"/>
          <w:szCs w:val="32"/>
        </w:rPr>
      </w:pPr>
      <w:r>
        <w:rPr>
          <w:rFonts w:hint="eastAsia" w:ascii="仿宋_GB2312" w:eastAsia="仿宋_GB2312"/>
          <w:kern w:val="0"/>
          <w:sz w:val="32"/>
          <w:szCs w:val="32"/>
        </w:rPr>
        <w:t>对复杂场景图像（如人群）执行实例分割，输出单个目标独立样本（行人/车辆）。</w:t>
      </w:r>
    </w:p>
    <w:p w14:paraId="188BC88F">
      <w:pPr>
        <w:ind w:firstLine="640" w:firstLineChars="200"/>
        <w:rPr>
          <w:rFonts w:ascii="仿宋_GB2312" w:eastAsia="仿宋_GB2312"/>
          <w:kern w:val="0"/>
          <w:sz w:val="32"/>
          <w:szCs w:val="32"/>
        </w:rPr>
      </w:pPr>
      <w:r>
        <w:rPr>
          <w:rFonts w:hint="eastAsia" w:ascii="仿宋_GB2312" w:eastAsia="仿宋_GB2312"/>
          <w:kern w:val="0"/>
          <w:sz w:val="32"/>
          <w:szCs w:val="32"/>
        </w:rPr>
        <w:t>(e)视频图像样本采集-样本分类管理</w:t>
      </w:r>
    </w:p>
    <w:p w14:paraId="49A132BA">
      <w:pPr>
        <w:ind w:firstLine="640" w:firstLineChars="200"/>
        <w:rPr>
          <w:rFonts w:ascii="仿宋_GB2312" w:eastAsia="仿宋_GB2312"/>
          <w:kern w:val="0"/>
          <w:sz w:val="32"/>
          <w:szCs w:val="32"/>
        </w:rPr>
      </w:pPr>
      <w:r>
        <w:rPr>
          <w:rFonts w:hint="eastAsia" w:ascii="仿宋_GB2312" w:eastAsia="仿宋_GB2312"/>
          <w:kern w:val="0"/>
          <w:sz w:val="32"/>
          <w:szCs w:val="32"/>
        </w:rPr>
        <w:t>支持针对视频、图片以及对应的不同bq内容的样本进行分类管理，可检索查看不同类型的样本。</w:t>
      </w:r>
    </w:p>
    <w:p w14:paraId="6B01263D">
      <w:pPr>
        <w:ind w:firstLine="640" w:firstLineChars="200"/>
        <w:rPr>
          <w:rFonts w:ascii="仿宋_GB2312" w:eastAsia="仿宋_GB2312"/>
          <w:kern w:val="0"/>
          <w:sz w:val="32"/>
          <w:szCs w:val="32"/>
        </w:rPr>
      </w:pPr>
      <w:r>
        <w:rPr>
          <w:rFonts w:hint="eastAsia" w:ascii="仿宋_GB2312" w:eastAsia="仿宋_GB2312"/>
          <w:kern w:val="0"/>
          <w:sz w:val="32"/>
          <w:szCs w:val="32"/>
        </w:rPr>
        <w:t>(f)视频图像样本采集-样本跨警种目录树</w:t>
      </w:r>
    </w:p>
    <w:p w14:paraId="578079D2">
      <w:pPr>
        <w:ind w:firstLine="640" w:firstLineChars="200"/>
        <w:rPr>
          <w:rFonts w:ascii="仿宋_GB2312" w:eastAsia="仿宋_GB2312"/>
          <w:kern w:val="0"/>
          <w:sz w:val="32"/>
          <w:szCs w:val="32"/>
        </w:rPr>
      </w:pPr>
      <w:r>
        <w:rPr>
          <w:rFonts w:hint="eastAsia" w:ascii="仿宋_GB2312" w:eastAsia="仿宋_GB2312"/>
          <w:kern w:val="0"/>
          <w:sz w:val="32"/>
          <w:szCs w:val="32"/>
        </w:rPr>
        <w:t>按刑侦/交警/治安等不同业务建立分类目录，查看不同目录树下的样本情况。</w:t>
      </w:r>
    </w:p>
    <w:p w14:paraId="6C8B71DC">
      <w:pPr>
        <w:ind w:firstLine="640" w:firstLineChars="200"/>
        <w:rPr>
          <w:rFonts w:ascii="仿宋_GB2312" w:eastAsia="仿宋_GB2312"/>
          <w:kern w:val="0"/>
          <w:sz w:val="32"/>
          <w:szCs w:val="32"/>
        </w:rPr>
      </w:pPr>
      <w:r>
        <w:rPr>
          <w:rFonts w:hint="eastAsia" w:ascii="仿宋_GB2312" w:eastAsia="仿宋_GB2312"/>
          <w:kern w:val="0"/>
          <w:sz w:val="32"/>
          <w:szCs w:val="32"/>
        </w:rPr>
        <w:t>(g)视频图像样本采集-样本样本血缘溯源</w:t>
      </w:r>
    </w:p>
    <w:p w14:paraId="40826B8E">
      <w:pPr>
        <w:ind w:firstLine="640" w:firstLineChars="200"/>
        <w:rPr>
          <w:rFonts w:ascii="仿宋_GB2312" w:eastAsia="仿宋_GB2312"/>
          <w:kern w:val="0"/>
          <w:sz w:val="32"/>
          <w:szCs w:val="32"/>
        </w:rPr>
      </w:pPr>
      <w:r>
        <w:rPr>
          <w:rFonts w:hint="eastAsia" w:ascii="仿宋_GB2312" w:eastAsia="仿宋_GB2312"/>
          <w:kern w:val="0"/>
          <w:sz w:val="32"/>
          <w:szCs w:val="32"/>
        </w:rPr>
        <w:t>记录样本来源（摄像头名称/采集人/采集时间），支持对样本采集情况进行追溯。</w:t>
      </w:r>
    </w:p>
    <w:p w14:paraId="35E1A056">
      <w:pPr>
        <w:ind w:firstLine="640" w:firstLineChars="200"/>
        <w:rPr>
          <w:rFonts w:ascii="仿宋_GB2312" w:eastAsia="仿宋_GB2312"/>
          <w:kern w:val="0"/>
          <w:sz w:val="32"/>
          <w:szCs w:val="32"/>
        </w:rPr>
      </w:pPr>
      <w:r>
        <w:rPr>
          <w:rFonts w:hint="eastAsia" w:ascii="仿宋_GB2312" w:eastAsia="仿宋_GB2312"/>
          <w:kern w:val="0"/>
          <w:sz w:val="32"/>
          <w:szCs w:val="32"/>
        </w:rPr>
        <w:t>(h)视频图像样本采集-样本相似样本去重</w:t>
      </w:r>
    </w:p>
    <w:p w14:paraId="09CC4446">
      <w:pPr>
        <w:ind w:firstLine="640" w:firstLineChars="200"/>
        <w:rPr>
          <w:rFonts w:ascii="仿宋_GB2312" w:eastAsia="仿宋_GB2312"/>
          <w:kern w:val="0"/>
          <w:sz w:val="32"/>
          <w:szCs w:val="32"/>
        </w:rPr>
      </w:pPr>
      <w:r>
        <w:rPr>
          <w:rFonts w:hint="eastAsia" w:ascii="仿宋_GB2312" w:eastAsia="仿宋_GB2312"/>
          <w:kern w:val="0"/>
          <w:sz w:val="32"/>
          <w:szCs w:val="32"/>
        </w:rPr>
        <w:t>通过样本的特征比对，提示用户可能存在重复的样本情况。辅助用户进行样本管理，减少存储冗余。</w:t>
      </w:r>
    </w:p>
    <w:p w14:paraId="5DD1ABFF">
      <w:pPr>
        <w:ind w:firstLine="640" w:firstLineChars="200"/>
        <w:rPr>
          <w:rFonts w:ascii="仿宋_GB2312" w:eastAsia="仿宋_GB2312"/>
          <w:kern w:val="0"/>
          <w:sz w:val="32"/>
          <w:szCs w:val="32"/>
        </w:rPr>
      </w:pPr>
      <w:r>
        <w:rPr>
          <w:rFonts w:hint="eastAsia" w:ascii="仿宋_GB2312" w:eastAsia="仿宋_GB2312"/>
          <w:kern w:val="0"/>
          <w:sz w:val="32"/>
          <w:szCs w:val="32"/>
        </w:rPr>
        <w:t>(i)视频图像样本采集-样本异地容灾备份</w:t>
      </w:r>
    </w:p>
    <w:p w14:paraId="0D8A17C7">
      <w:pPr>
        <w:ind w:firstLine="640" w:firstLineChars="200"/>
        <w:rPr>
          <w:rFonts w:ascii="仿宋_GB2312" w:eastAsia="仿宋_GB2312"/>
          <w:kern w:val="0"/>
          <w:sz w:val="32"/>
          <w:szCs w:val="32"/>
        </w:rPr>
      </w:pPr>
      <w:r>
        <w:rPr>
          <w:rFonts w:hint="eastAsia" w:ascii="仿宋_GB2312" w:eastAsia="仿宋_GB2312"/>
          <w:kern w:val="0"/>
          <w:sz w:val="32"/>
          <w:szCs w:val="32"/>
        </w:rPr>
        <w:t>支持定期增量备份至异地存储，防止样本被破坏后，可及时恢复。</w:t>
      </w:r>
    </w:p>
    <w:p w14:paraId="46D84706">
      <w:pPr>
        <w:ind w:firstLine="640" w:firstLineChars="200"/>
        <w:rPr>
          <w:rFonts w:ascii="仿宋_GB2312" w:eastAsia="仿宋_GB2312"/>
          <w:kern w:val="0"/>
          <w:sz w:val="32"/>
          <w:szCs w:val="32"/>
        </w:rPr>
      </w:pPr>
      <w:r>
        <w:rPr>
          <w:rFonts w:hint="eastAsia" w:ascii="仿宋_GB2312" w:eastAsia="仿宋_GB2312"/>
          <w:kern w:val="0"/>
          <w:sz w:val="32"/>
          <w:szCs w:val="32"/>
        </w:rPr>
        <w:t>(j)视频图像样本采集-样本备份完整性校验</w:t>
      </w:r>
    </w:p>
    <w:p w14:paraId="089EB511">
      <w:pPr>
        <w:ind w:firstLine="640" w:firstLineChars="200"/>
        <w:rPr>
          <w:rFonts w:ascii="仿宋_GB2312" w:eastAsia="仿宋_GB2312"/>
          <w:kern w:val="0"/>
          <w:sz w:val="32"/>
          <w:szCs w:val="32"/>
        </w:rPr>
      </w:pPr>
      <w:r>
        <w:rPr>
          <w:rFonts w:hint="eastAsia" w:ascii="仿宋_GB2312" w:eastAsia="仿宋_GB2312"/>
          <w:kern w:val="0"/>
          <w:sz w:val="32"/>
          <w:szCs w:val="32"/>
        </w:rPr>
        <w:t>支持验证备份数据的完整性，异常时给出提示。</w:t>
      </w:r>
    </w:p>
    <w:p w14:paraId="3CF8944E">
      <w:pPr>
        <w:ind w:firstLine="640" w:firstLineChars="200"/>
        <w:rPr>
          <w:rFonts w:ascii="仿宋_GB2312" w:eastAsia="仿宋_GB2312"/>
          <w:kern w:val="0"/>
          <w:sz w:val="32"/>
          <w:szCs w:val="32"/>
        </w:rPr>
      </w:pPr>
      <w:r>
        <w:rPr>
          <w:rFonts w:hint="eastAsia" w:ascii="仿宋_GB2312" w:eastAsia="仿宋_GB2312"/>
          <w:kern w:val="0"/>
          <w:sz w:val="32"/>
          <w:szCs w:val="32"/>
        </w:rPr>
        <w:t>(k)视频图像样本采集-样本备份一键恢复演练</w:t>
      </w:r>
    </w:p>
    <w:p w14:paraId="3AFDDE5A">
      <w:pPr>
        <w:ind w:firstLine="640" w:firstLineChars="200"/>
        <w:rPr>
          <w:rFonts w:ascii="仿宋_GB2312" w:eastAsia="仿宋_GB2312"/>
          <w:kern w:val="0"/>
          <w:sz w:val="32"/>
          <w:szCs w:val="32"/>
        </w:rPr>
      </w:pPr>
      <w:r>
        <w:rPr>
          <w:rFonts w:hint="eastAsia" w:ascii="仿宋_GB2312" w:eastAsia="仿宋_GB2312"/>
          <w:kern w:val="0"/>
          <w:sz w:val="32"/>
          <w:szCs w:val="32"/>
        </w:rPr>
        <w:t>模拟数据丢失场景，验证备份恢复流程有效性。</w:t>
      </w:r>
    </w:p>
    <w:p w14:paraId="44FF23E0">
      <w:pPr>
        <w:ind w:firstLine="640" w:firstLineChars="200"/>
        <w:rPr>
          <w:rFonts w:ascii="仿宋_GB2312" w:eastAsia="仿宋_GB2312"/>
          <w:kern w:val="0"/>
          <w:sz w:val="32"/>
          <w:szCs w:val="32"/>
        </w:rPr>
      </w:pPr>
      <w:r>
        <w:rPr>
          <w:rFonts w:hint="eastAsia" w:ascii="仿宋_GB2312" w:eastAsia="仿宋_GB2312"/>
          <w:kern w:val="0"/>
          <w:sz w:val="32"/>
          <w:szCs w:val="32"/>
        </w:rPr>
        <w:t>(l)视频图像样本处理-样本预处理</w:t>
      </w:r>
    </w:p>
    <w:p w14:paraId="4FAB8CD3">
      <w:pPr>
        <w:ind w:firstLine="640" w:firstLineChars="200"/>
        <w:rPr>
          <w:rFonts w:ascii="仿宋_GB2312" w:eastAsia="仿宋_GB2312"/>
          <w:kern w:val="0"/>
          <w:sz w:val="32"/>
          <w:szCs w:val="32"/>
        </w:rPr>
      </w:pPr>
      <w:r>
        <w:rPr>
          <w:rFonts w:hint="eastAsia" w:ascii="仿宋_GB2312" w:eastAsia="仿宋_GB2312"/>
          <w:kern w:val="0"/>
          <w:sz w:val="32"/>
          <w:szCs w:val="32"/>
        </w:rPr>
        <w:t>多源数据归一化，统一转换不同分辨率/格式的输入样本为标准化数据，消除设备差异影响。</w:t>
      </w:r>
    </w:p>
    <w:p w14:paraId="587A21A7">
      <w:pPr>
        <w:ind w:firstLine="640" w:firstLineChars="200"/>
        <w:rPr>
          <w:rFonts w:ascii="仿宋_GB2312" w:eastAsia="仿宋_GB2312"/>
          <w:kern w:val="0"/>
          <w:sz w:val="32"/>
          <w:szCs w:val="32"/>
        </w:rPr>
      </w:pPr>
      <w:r>
        <w:rPr>
          <w:rFonts w:hint="eastAsia" w:ascii="仿宋_GB2312" w:eastAsia="仿宋_GB2312"/>
          <w:kern w:val="0"/>
          <w:sz w:val="32"/>
          <w:szCs w:val="32"/>
        </w:rPr>
        <w:t>(m)视频图像样本处理-标本标注</w:t>
      </w:r>
    </w:p>
    <w:p w14:paraId="3A0B6260">
      <w:pPr>
        <w:ind w:firstLine="640" w:firstLineChars="200"/>
        <w:rPr>
          <w:rFonts w:ascii="仿宋_GB2312" w:eastAsia="仿宋_GB2312"/>
          <w:kern w:val="0"/>
          <w:sz w:val="32"/>
          <w:szCs w:val="32"/>
        </w:rPr>
      </w:pPr>
      <w:r>
        <w:rPr>
          <w:rFonts w:hint="eastAsia" w:ascii="仿宋_GB2312" w:eastAsia="仿宋_GB2312"/>
          <w:kern w:val="0"/>
          <w:sz w:val="32"/>
          <w:szCs w:val="32"/>
        </w:rPr>
        <w:t>智能预标注引擎，调用预训练模型自动生成初版bq（对象/行为/场景），减少人工校正量。</w:t>
      </w:r>
    </w:p>
    <w:p w14:paraId="585B7F77">
      <w:pPr>
        <w:ind w:firstLine="640" w:firstLineChars="200"/>
        <w:rPr>
          <w:rFonts w:ascii="仿宋_GB2312" w:eastAsia="仿宋_GB2312"/>
          <w:kern w:val="0"/>
          <w:sz w:val="32"/>
          <w:szCs w:val="32"/>
        </w:rPr>
      </w:pPr>
      <w:r>
        <w:rPr>
          <w:rFonts w:hint="eastAsia" w:ascii="仿宋_GB2312" w:eastAsia="仿宋_GB2312"/>
          <w:kern w:val="0"/>
          <w:sz w:val="32"/>
          <w:szCs w:val="32"/>
        </w:rPr>
        <w:t>(n)视频图像样本处理-标本多模态标注工具</w:t>
      </w:r>
    </w:p>
    <w:p w14:paraId="51FDEB8B">
      <w:pPr>
        <w:ind w:firstLine="640" w:firstLineChars="200"/>
        <w:rPr>
          <w:rFonts w:ascii="仿宋_GB2312" w:eastAsia="仿宋_GB2312"/>
          <w:kern w:val="0"/>
          <w:sz w:val="32"/>
          <w:szCs w:val="32"/>
        </w:rPr>
      </w:pPr>
      <w:r>
        <w:rPr>
          <w:rFonts w:hint="eastAsia" w:ascii="仿宋_GB2312" w:eastAsia="仿宋_GB2312"/>
          <w:kern w:val="0"/>
          <w:sz w:val="32"/>
          <w:szCs w:val="32"/>
        </w:rPr>
        <w:t>支持框选、多边形、驻留地线标注，融合文本描述（如“黑衣男子翻越护栏”）。</w:t>
      </w:r>
    </w:p>
    <w:p w14:paraId="12965D60">
      <w:pPr>
        <w:ind w:firstLine="640" w:firstLineChars="200"/>
        <w:rPr>
          <w:rFonts w:ascii="仿宋_GB2312" w:eastAsia="仿宋_GB2312"/>
          <w:kern w:val="0"/>
          <w:sz w:val="32"/>
          <w:szCs w:val="32"/>
        </w:rPr>
      </w:pPr>
      <w:r>
        <w:rPr>
          <w:rFonts w:hint="eastAsia" w:ascii="仿宋_GB2312" w:eastAsia="仿宋_GB2312"/>
          <w:kern w:val="0"/>
          <w:sz w:val="32"/>
          <w:szCs w:val="32"/>
        </w:rPr>
        <w:t>(o)视频图像样本处理-公安标准bq库</w:t>
      </w:r>
    </w:p>
    <w:p w14:paraId="3BA41DEB">
      <w:pPr>
        <w:ind w:firstLine="640" w:firstLineChars="200"/>
        <w:rPr>
          <w:rFonts w:ascii="仿宋_GB2312" w:eastAsia="仿宋_GB2312"/>
          <w:kern w:val="0"/>
          <w:sz w:val="32"/>
          <w:szCs w:val="32"/>
        </w:rPr>
      </w:pPr>
      <w:r>
        <w:rPr>
          <w:rFonts w:hint="eastAsia" w:ascii="仿宋_GB2312" w:eastAsia="仿宋_GB2312"/>
          <w:kern w:val="0"/>
          <w:sz w:val="32"/>
          <w:szCs w:val="32"/>
        </w:rPr>
        <w:t>内置公安业务标准bq体系（案件类型/嫌疑人特征），确保标注规范性。</w:t>
      </w:r>
    </w:p>
    <w:p w14:paraId="417B76C3">
      <w:pPr>
        <w:ind w:firstLine="640" w:firstLineChars="200"/>
        <w:rPr>
          <w:rFonts w:ascii="仿宋_GB2312" w:eastAsia="仿宋_GB2312"/>
          <w:kern w:val="0"/>
          <w:sz w:val="32"/>
          <w:szCs w:val="32"/>
        </w:rPr>
      </w:pPr>
      <w:r>
        <w:rPr>
          <w:rFonts w:hint="eastAsia" w:ascii="仿宋_GB2312" w:eastAsia="仿宋_GB2312"/>
          <w:kern w:val="0"/>
          <w:sz w:val="32"/>
          <w:szCs w:val="32"/>
        </w:rPr>
        <w:t>(p)视频图像样本处理-标本标注质量自检</w:t>
      </w:r>
    </w:p>
    <w:p w14:paraId="00E6199A">
      <w:pPr>
        <w:ind w:firstLine="640" w:firstLineChars="200"/>
        <w:rPr>
          <w:rFonts w:ascii="仿宋_GB2312" w:eastAsia="仿宋_GB2312"/>
          <w:kern w:val="0"/>
          <w:sz w:val="32"/>
          <w:szCs w:val="32"/>
        </w:rPr>
      </w:pPr>
      <w:r>
        <w:rPr>
          <w:rFonts w:hint="eastAsia" w:ascii="仿宋_GB2312" w:eastAsia="仿宋_GB2312"/>
          <w:kern w:val="0"/>
          <w:sz w:val="32"/>
          <w:szCs w:val="32"/>
        </w:rPr>
        <w:t>实时检测标注冲突（如重叠框），自动提示错误并定位问题样本。</w:t>
      </w:r>
    </w:p>
    <w:p w14:paraId="22A43FD8">
      <w:pPr>
        <w:ind w:firstLine="640" w:firstLineChars="200"/>
        <w:rPr>
          <w:rFonts w:ascii="仿宋_GB2312" w:eastAsia="仿宋_GB2312"/>
          <w:kern w:val="0"/>
          <w:sz w:val="32"/>
          <w:szCs w:val="32"/>
        </w:rPr>
      </w:pPr>
      <w:r>
        <w:rPr>
          <w:rFonts w:hint="eastAsia" w:ascii="仿宋_GB2312" w:eastAsia="仿宋_GB2312"/>
          <w:kern w:val="0"/>
          <w:sz w:val="32"/>
          <w:szCs w:val="32"/>
        </w:rPr>
        <w:t>(q)视频图像样本处理-协同标注</w:t>
      </w:r>
    </w:p>
    <w:p w14:paraId="5F165554">
      <w:pPr>
        <w:ind w:firstLine="640" w:firstLineChars="200"/>
        <w:rPr>
          <w:rFonts w:ascii="仿宋_GB2312" w:eastAsia="仿宋_GB2312"/>
          <w:kern w:val="0"/>
          <w:sz w:val="32"/>
          <w:szCs w:val="32"/>
        </w:rPr>
      </w:pPr>
      <w:r>
        <w:rPr>
          <w:rFonts w:hint="eastAsia" w:ascii="仿宋_GB2312" w:eastAsia="仿宋_GB2312"/>
          <w:kern w:val="0"/>
          <w:sz w:val="32"/>
          <w:szCs w:val="32"/>
        </w:rPr>
        <w:t>任务分片派发，将大型标注任务拆解为微任务，按警种专长分配（交警标车辆/刑警标rl）。</w:t>
      </w:r>
    </w:p>
    <w:p w14:paraId="72B77C58">
      <w:pPr>
        <w:ind w:firstLine="640" w:firstLineChars="200"/>
        <w:rPr>
          <w:rFonts w:ascii="仿宋_GB2312" w:eastAsia="仿宋_GB2312"/>
          <w:kern w:val="0"/>
          <w:sz w:val="32"/>
          <w:szCs w:val="32"/>
        </w:rPr>
      </w:pPr>
      <w:r>
        <w:rPr>
          <w:rFonts w:hint="eastAsia" w:ascii="仿宋_GB2312" w:eastAsia="仿宋_GB2312"/>
          <w:kern w:val="0"/>
          <w:sz w:val="32"/>
          <w:szCs w:val="32"/>
        </w:rPr>
        <w:t>(r)视频图像样本处理-协同标注实时协作看板</w:t>
      </w:r>
    </w:p>
    <w:p w14:paraId="3527706B">
      <w:pPr>
        <w:ind w:firstLine="640" w:firstLineChars="200"/>
        <w:rPr>
          <w:rFonts w:ascii="仿宋_GB2312" w:eastAsia="仿宋_GB2312"/>
          <w:kern w:val="0"/>
          <w:sz w:val="32"/>
          <w:szCs w:val="32"/>
        </w:rPr>
      </w:pPr>
      <w:r>
        <w:rPr>
          <w:rFonts w:hint="eastAsia" w:ascii="仿宋_GB2312" w:eastAsia="仿宋_GB2312"/>
          <w:kern w:val="0"/>
          <w:sz w:val="32"/>
          <w:szCs w:val="32"/>
        </w:rPr>
        <w:t>可视化展示各成员进度、质量评分，支持批注讨论与争议样本仲裁。</w:t>
      </w:r>
    </w:p>
    <w:p w14:paraId="51984B11">
      <w:pPr>
        <w:ind w:firstLine="640" w:firstLineChars="200"/>
        <w:rPr>
          <w:rFonts w:ascii="仿宋_GB2312" w:eastAsia="仿宋_GB2312"/>
          <w:kern w:val="0"/>
          <w:sz w:val="32"/>
          <w:szCs w:val="32"/>
        </w:rPr>
      </w:pPr>
      <w:r>
        <w:rPr>
          <w:rFonts w:hint="eastAsia" w:ascii="仿宋_GB2312" w:eastAsia="仿宋_GB2312"/>
          <w:kern w:val="0"/>
          <w:sz w:val="32"/>
          <w:szCs w:val="32"/>
        </w:rPr>
        <w:t>(s)视频图像样本处理-协同标注复核机制</w:t>
      </w:r>
    </w:p>
    <w:p w14:paraId="41CCC02F">
      <w:pPr>
        <w:ind w:firstLine="640" w:firstLineChars="200"/>
        <w:rPr>
          <w:rFonts w:ascii="仿宋_GB2312" w:eastAsia="仿宋_GB2312"/>
          <w:kern w:val="0"/>
          <w:sz w:val="32"/>
          <w:szCs w:val="32"/>
        </w:rPr>
      </w:pPr>
      <w:r>
        <w:rPr>
          <w:rFonts w:hint="eastAsia" w:ascii="仿宋_GB2312" w:eastAsia="仿宋_GB2312"/>
          <w:kern w:val="0"/>
          <w:sz w:val="32"/>
          <w:szCs w:val="32"/>
        </w:rPr>
        <w:t>样本标注任务支持双重复核机制，复核时标注ry，初始标注结果和初始标注ry的身份信息，</w:t>
      </w:r>
    </w:p>
    <w:p w14:paraId="1D65FC51">
      <w:pPr>
        <w:ind w:firstLine="640" w:firstLineChars="200"/>
        <w:rPr>
          <w:rFonts w:ascii="仿宋_GB2312" w:eastAsia="仿宋_GB2312"/>
          <w:kern w:val="0"/>
          <w:sz w:val="32"/>
          <w:szCs w:val="32"/>
        </w:rPr>
      </w:pPr>
      <w:r>
        <w:rPr>
          <w:rFonts w:hint="eastAsia" w:ascii="仿宋_GB2312" w:eastAsia="仿宋_GB2312"/>
          <w:kern w:val="0"/>
          <w:sz w:val="32"/>
          <w:szCs w:val="32"/>
        </w:rPr>
        <w:t>(t)视频图像样本处理-结果核验</w:t>
      </w:r>
    </w:p>
    <w:p w14:paraId="3AF50FF1">
      <w:pPr>
        <w:ind w:firstLine="640" w:firstLineChars="200"/>
        <w:rPr>
          <w:rFonts w:ascii="仿宋_GB2312" w:eastAsia="仿宋_GB2312"/>
          <w:kern w:val="0"/>
          <w:sz w:val="32"/>
          <w:szCs w:val="32"/>
        </w:rPr>
      </w:pPr>
      <w:r>
        <w:rPr>
          <w:rFonts w:hint="eastAsia" w:ascii="仿宋_GB2312" w:eastAsia="仿宋_GB2312"/>
          <w:kern w:val="0"/>
          <w:sz w:val="32"/>
          <w:szCs w:val="32"/>
        </w:rPr>
        <w:t>支持交叉验证标注，比对算法预标注、人工标注、协同标注结果，辅助标注员识别差异样本。</w:t>
      </w:r>
    </w:p>
    <w:p w14:paraId="697CA51F">
      <w:pPr>
        <w:ind w:firstLine="640" w:firstLineChars="200"/>
        <w:rPr>
          <w:rFonts w:ascii="仿宋_GB2312" w:eastAsia="仿宋_GB2312"/>
          <w:kern w:val="0"/>
          <w:sz w:val="32"/>
          <w:szCs w:val="32"/>
        </w:rPr>
      </w:pPr>
      <w:r>
        <w:rPr>
          <w:rFonts w:hint="eastAsia" w:ascii="仿宋_GB2312" w:eastAsia="仿宋_GB2312"/>
          <w:kern w:val="0"/>
          <w:sz w:val="32"/>
          <w:szCs w:val="32"/>
        </w:rPr>
        <w:t>(u)视频图像样本处理-结果溯源审计zz</w:t>
      </w:r>
    </w:p>
    <w:p w14:paraId="6734F9B9">
      <w:pPr>
        <w:ind w:firstLine="640" w:firstLineChars="200"/>
        <w:rPr>
          <w:rFonts w:ascii="仿宋_GB2312" w:eastAsia="仿宋_GB2312"/>
          <w:kern w:val="0"/>
          <w:sz w:val="32"/>
          <w:szCs w:val="32"/>
        </w:rPr>
      </w:pPr>
      <w:r>
        <w:rPr>
          <w:rFonts w:hint="eastAsia" w:ascii="仿宋_GB2312" w:eastAsia="仿宋_GB2312"/>
          <w:kern w:val="0"/>
          <w:sz w:val="32"/>
          <w:szCs w:val="32"/>
        </w:rPr>
        <w:t>记录核验ry、修改记录及依据，全程留痕。</w:t>
      </w:r>
    </w:p>
    <w:p w14:paraId="1D06B5B1">
      <w:pPr>
        <w:ind w:firstLine="640" w:firstLineChars="200"/>
        <w:rPr>
          <w:rFonts w:ascii="仿宋_GB2312" w:eastAsia="仿宋_GB2312"/>
          <w:kern w:val="0"/>
          <w:sz w:val="32"/>
          <w:szCs w:val="32"/>
        </w:rPr>
      </w:pPr>
      <w:r>
        <w:rPr>
          <w:rFonts w:hint="eastAsia" w:ascii="仿宋_GB2312" w:eastAsia="仿宋_GB2312"/>
          <w:kern w:val="0"/>
          <w:sz w:val="32"/>
          <w:szCs w:val="32"/>
        </w:rPr>
        <w:t>(v)视频图像样本处理-结果样本效用评估</w:t>
      </w:r>
    </w:p>
    <w:p w14:paraId="6DC50666">
      <w:pPr>
        <w:ind w:firstLine="640" w:firstLineChars="200"/>
        <w:rPr>
          <w:rFonts w:ascii="仿宋_GB2312" w:eastAsia="仿宋_GB2312"/>
          <w:kern w:val="0"/>
          <w:sz w:val="32"/>
          <w:szCs w:val="32"/>
        </w:rPr>
      </w:pPr>
      <w:r>
        <w:rPr>
          <w:rFonts w:hint="eastAsia" w:ascii="仿宋_GB2312" w:eastAsia="仿宋_GB2312"/>
          <w:kern w:val="0"/>
          <w:sz w:val="32"/>
          <w:szCs w:val="32"/>
        </w:rPr>
        <w:t>通过裁判员模型根据用户自定义的语料质量评估标准提示词进行质量评估，淘汰不符合语料标注要求的样本。</w:t>
      </w:r>
    </w:p>
    <w:p w14:paraId="0AD996A5">
      <w:pPr>
        <w:ind w:firstLine="640" w:firstLineChars="200"/>
        <w:rPr>
          <w:rFonts w:ascii="仿宋_GB2312" w:eastAsia="仿宋_GB2312"/>
          <w:kern w:val="0"/>
          <w:sz w:val="32"/>
          <w:szCs w:val="32"/>
        </w:rPr>
      </w:pPr>
      <w:r>
        <w:rPr>
          <w:rFonts w:hint="eastAsia" w:ascii="仿宋_GB2312" w:eastAsia="仿宋_GB2312"/>
          <w:kern w:val="0"/>
          <w:sz w:val="32"/>
          <w:szCs w:val="32"/>
        </w:rPr>
        <w:t>(w)视频图像样本处理-标注管理</w:t>
      </w:r>
    </w:p>
    <w:p w14:paraId="52869042">
      <w:pPr>
        <w:ind w:firstLine="640" w:firstLineChars="200"/>
        <w:rPr>
          <w:rFonts w:ascii="仿宋_GB2312" w:eastAsia="仿宋_GB2312"/>
          <w:kern w:val="0"/>
          <w:sz w:val="32"/>
          <w:szCs w:val="32"/>
        </w:rPr>
      </w:pPr>
      <w:r>
        <w:rPr>
          <w:rFonts w:hint="eastAsia" w:ascii="仿宋_GB2312" w:eastAsia="仿宋_GB2312"/>
          <w:kern w:val="0"/>
          <w:sz w:val="32"/>
          <w:szCs w:val="32"/>
        </w:rPr>
        <w:t>全生命周期跟踪，监测样本从采集到标注完成的状态流（待处理/标注中/已核验/已入库）。</w:t>
      </w:r>
    </w:p>
    <w:p w14:paraId="2B00939D">
      <w:pPr>
        <w:ind w:firstLine="640" w:firstLineChars="200"/>
        <w:rPr>
          <w:rFonts w:ascii="仿宋_GB2312" w:eastAsia="仿宋_GB2312"/>
          <w:kern w:val="0"/>
          <w:sz w:val="32"/>
          <w:szCs w:val="32"/>
        </w:rPr>
      </w:pPr>
      <w:r>
        <w:rPr>
          <w:rFonts w:hint="eastAsia" w:ascii="仿宋_GB2312" w:eastAsia="仿宋_GB2312"/>
          <w:kern w:val="0"/>
          <w:sz w:val="32"/>
          <w:szCs w:val="32"/>
        </w:rPr>
        <w:t>(x)视频图像样本处理-标注多维统计报表</w:t>
      </w:r>
    </w:p>
    <w:p w14:paraId="0110C259">
      <w:pPr>
        <w:ind w:firstLine="640" w:firstLineChars="200"/>
        <w:rPr>
          <w:rFonts w:ascii="仿宋_GB2312" w:eastAsia="仿宋_GB2312"/>
          <w:kern w:val="0"/>
          <w:sz w:val="32"/>
          <w:szCs w:val="32"/>
        </w:rPr>
      </w:pPr>
      <w:r>
        <w:rPr>
          <w:rFonts w:hint="eastAsia" w:ascii="仿宋_GB2312" w:eastAsia="仿宋_GB2312"/>
          <w:kern w:val="0"/>
          <w:sz w:val="32"/>
          <w:szCs w:val="32"/>
        </w:rPr>
        <w:t>生成警种/ry/时段维度的标注效率、质量分析报告，支持绩效考核。</w:t>
      </w:r>
    </w:p>
    <w:p w14:paraId="11FE7EDA">
      <w:pPr>
        <w:ind w:firstLine="640" w:firstLineChars="200"/>
        <w:rPr>
          <w:rFonts w:ascii="仿宋_GB2312" w:eastAsia="仿宋_GB2312"/>
          <w:kern w:val="0"/>
          <w:sz w:val="32"/>
          <w:szCs w:val="32"/>
        </w:rPr>
      </w:pPr>
      <w:r>
        <w:rPr>
          <w:rFonts w:hint="eastAsia" w:ascii="仿宋_GB2312" w:eastAsia="仿宋_GB2312"/>
          <w:kern w:val="0"/>
          <w:sz w:val="32"/>
          <w:szCs w:val="32"/>
        </w:rPr>
        <w:t>(y)视频图像样本处理-向量化处理</w:t>
      </w:r>
    </w:p>
    <w:p w14:paraId="25010573">
      <w:pPr>
        <w:ind w:firstLine="640" w:firstLineChars="200"/>
        <w:rPr>
          <w:rFonts w:ascii="仿宋_GB2312" w:eastAsia="仿宋_GB2312"/>
          <w:kern w:val="0"/>
          <w:sz w:val="32"/>
          <w:szCs w:val="32"/>
        </w:rPr>
      </w:pPr>
      <w:r>
        <w:rPr>
          <w:rFonts w:hint="eastAsia" w:ascii="仿宋_GB2312" w:eastAsia="仿宋_GB2312"/>
          <w:kern w:val="0"/>
          <w:sz w:val="32"/>
          <w:szCs w:val="32"/>
        </w:rPr>
        <w:t>深度特征提取，通过相关技术模型提取样本高维特征，丢弃原始像素数据。</w:t>
      </w:r>
    </w:p>
    <w:p w14:paraId="78740C83">
      <w:pPr>
        <w:ind w:firstLine="640" w:firstLineChars="200"/>
        <w:rPr>
          <w:rFonts w:ascii="仿宋_GB2312" w:eastAsia="仿宋_GB2312"/>
          <w:kern w:val="0"/>
          <w:sz w:val="32"/>
          <w:szCs w:val="32"/>
        </w:rPr>
      </w:pPr>
      <w:r>
        <w:rPr>
          <w:rFonts w:hint="eastAsia" w:ascii="仿宋_GB2312" w:eastAsia="仿宋_GB2312"/>
          <w:kern w:val="0"/>
          <w:sz w:val="32"/>
          <w:szCs w:val="32"/>
        </w:rPr>
        <w:t>(z)视频图像样本处理-向量跨模态对齐编码</w:t>
      </w:r>
    </w:p>
    <w:p w14:paraId="5F506F7A">
      <w:pPr>
        <w:ind w:firstLine="640" w:firstLineChars="200"/>
        <w:rPr>
          <w:rFonts w:ascii="仿宋_GB2312" w:eastAsia="仿宋_GB2312"/>
          <w:kern w:val="0"/>
          <w:sz w:val="32"/>
          <w:szCs w:val="32"/>
        </w:rPr>
      </w:pPr>
      <w:r>
        <w:rPr>
          <w:rFonts w:hint="eastAsia" w:ascii="仿宋_GB2312" w:eastAsia="仿宋_GB2312"/>
          <w:kern w:val="0"/>
          <w:sz w:val="32"/>
          <w:szCs w:val="32"/>
        </w:rPr>
        <w:t>统一视频、图像、文本特征到同一向量空间，支持图文互搜（如“搜图找视频”）。</w:t>
      </w:r>
    </w:p>
    <w:p w14:paraId="7742B560">
      <w:pPr>
        <w:ind w:firstLine="640" w:firstLineChars="200"/>
        <w:rPr>
          <w:rFonts w:ascii="仿宋_GB2312" w:eastAsia="仿宋_GB2312"/>
          <w:kern w:val="0"/>
          <w:sz w:val="32"/>
          <w:szCs w:val="32"/>
        </w:rPr>
      </w:pPr>
      <w:r>
        <w:rPr>
          <w:rFonts w:hint="eastAsia" w:ascii="仿宋_GB2312" w:eastAsia="仿宋_GB2312"/>
          <w:kern w:val="0"/>
          <w:sz w:val="32"/>
          <w:szCs w:val="32"/>
        </w:rPr>
        <w:t>b.视频图像数据集服务</w:t>
      </w:r>
    </w:p>
    <w:p w14:paraId="7D1B8915">
      <w:pPr>
        <w:ind w:firstLine="640" w:firstLineChars="200"/>
        <w:rPr>
          <w:rFonts w:ascii="仿宋_GB2312" w:eastAsia="仿宋_GB2312"/>
          <w:kern w:val="0"/>
          <w:sz w:val="32"/>
          <w:szCs w:val="32"/>
        </w:rPr>
      </w:pPr>
      <w:r>
        <w:rPr>
          <w:rFonts w:hint="eastAsia" w:ascii="仿宋_GB2312" w:eastAsia="仿宋_GB2312"/>
          <w:kern w:val="0"/>
          <w:sz w:val="32"/>
          <w:szCs w:val="32"/>
        </w:rPr>
        <w:t>(a)视频图像数据集管理-视频图像数据集创建及时空信息对齐接入</w:t>
      </w:r>
    </w:p>
    <w:p w14:paraId="71AADE9E">
      <w:pPr>
        <w:ind w:firstLine="640" w:firstLineChars="200"/>
        <w:rPr>
          <w:rFonts w:ascii="仿宋_GB2312" w:eastAsia="仿宋_GB2312"/>
          <w:kern w:val="0"/>
          <w:sz w:val="32"/>
          <w:szCs w:val="32"/>
        </w:rPr>
      </w:pPr>
      <w:r>
        <w:rPr>
          <w:rFonts w:hint="eastAsia" w:ascii="仿宋_GB2312" w:eastAsia="仿宋_GB2312"/>
          <w:kern w:val="0"/>
          <w:sz w:val="32"/>
          <w:szCs w:val="32"/>
        </w:rPr>
        <w:t>实现视频图像等多模态数据集的创建，支持视频流、图像序列、音频、文本等多模态数据的时空对齐融合接入，支持解析视频帧时间戳、图像空间坐标，并生成跨模态关联索引。</w:t>
      </w:r>
    </w:p>
    <w:p w14:paraId="46F2C59A">
      <w:pPr>
        <w:ind w:firstLine="640" w:firstLineChars="200"/>
        <w:rPr>
          <w:rFonts w:ascii="仿宋_GB2312" w:eastAsia="仿宋_GB2312"/>
          <w:kern w:val="0"/>
          <w:sz w:val="32"/>
          <w:szCs w:val="32"/>
        </w:rPr>
      </w:pPr>
      <w:r>
        <w:rPr>
          <w:rFonts w:hint="eastAsia" w:ascii="仿宋_GB2312" w:eastAsia="仿宋_GB2312"/>
          <w:kern w:val="0"/>
          <w:sz w:val="32"/>
          <w:szCs w:val="32"/>
        </w:rPr>
        <w:t>(b)视频图像数据集管理-公安视频理解场景模板库</w:t>
      </w:r>
    </w:p>
    <w:p w14:paraId="43E00AA4">
      <w:pPr>
        <w:ind w:firstLine="640" w:firstLineChars="200"/>
        <w:rPr>
          <w:rFonts w:ascii="仿宋_GB2312" w:eastAsia="仿宋_GB2312"/>
          <w:kern w:val="0"/>
          <w:sz w:val="32"/>
          <w:szCs w:val="32"/>
        </w:rPr>
      </w:pPr>
      <w:r>
        <w:rPr>
          <w:rFonts w:hint="eastAsia" w:ascii="仿宋_GB2312" w:eastAsia="仿宋_GB2312"/>
          <w:kern w:val="0"/>
          <w:sz w:val="32"/>
          <w:szCs w:val="32"/>
        </w:rPr>
        <w:t>预置面向公安业务视频理解的业务场景模板（如案件侦查、交通治理过程中的行为识别、场景分割、目标zz等），包含场景化的标准字段及其专属的视觉bq体系，支持垂直领域视频数据集的构建。</w:t>
      </w:r>
    </w:p>
    <w:p w14:paraId="747044EE">
      <w:pPr>
        <w:ind w:firstLine="640" w:firstLineChars="200"/>
        <w:rPr>
          <w:rFonts w:ascii="仿宋_GB2312" w:eastAsia="仿宋_GB2312"/>
          <w:kern w:val="0"/>
          <w:sz w:val="32"/>
          <w:szCs w:val="32"/>
        </w:rPr>
      </w:pPr>
      <w:r>
        <w:rPr>
          <w:rFonts w:hint="eastAsia" w:ascii="仿宋_GB2312" w:eastAsia="仿宋_GB2312"/>
          <w:kern w:val="0"/>
          <w:sz w:val="32"/>
          <w:szCs w:val="32"/>
        </w:rPr>
        <w:t>(c)视频图像数据集管理-视觉数据集元数据灵活定义</w:t>
      </w:r>
    </w:p>
    <w:p w14:paraId="5FD1BE2F">
      <w:pPr>
        <w:ind w:firstLine="640" w:firstLineChars="200"/>
        <w:rPr>
          <w:rFonts w:ascii="仿宋_GB2312" w:eastAsia="仿宋_GB2312"/>
          <w:kern w:val="0"/>
          <w:sz w:val="32"/>
          <w:szCs w:val="32"/>
        </w:rPr>
      </w:pPr>
      <w:r>
        <w:rPr>
          <w:rFonts w:hint="eastAsia" w:ascii="仿宋_GB2312" w:eastAsia="仿宋_GB2312"/>
          <w:kern w:val="0"/>
          <w:sz w:val="32"/>
          <w:szCs w:val="32"/>
        </w:rPr>
        <w:t>支持灵活定义富含视觉特性的元数据，如视频分辨率、帧率、关键帧列表、主色调、场景复杂度bq等，使数据集的视觉属性可被系统化描述、筛选和管理。</w:t>
      </w:r>
    </w:p>
    <w:p w14:paraId="50993975">
      <w:pPr>
        <w:ind w:firstLine="640" w:firstLineChars="200"/>
        <w:rPr>
          <w:rFonts w:ascii="仿宋_GB2312" w:eastAsia="仿宋_GB2312"/>
          <w:kern w:val="0"/>
          <w:sz w:val="32"/>
          <w:szCs w:val="32"/>
        </w:rPr>
      </w:pPr>
      <w:r>
        <w:rPr>
          <w:rFonts w:hint="eastAsia" w:ascii="仿宋_GB2312" w:eastAsia="仿宋_GB2312"/>
          <w:kern w:val="0"/>
          <w:sz w:val="32"/>
          <w:szCs w:val="32"/>
        </w:rPr>
        <w:t>(d)视频图像数据集管理-视觉数据多副本容错存储</w:t>
      </w:r>
    </w:p>
    <w:p w14:paraId="0000F960">
      <w:pPr>
        <w:ind w:firstLine="640" w:firstLineChars="200"/>
        <w:rPr>
          <w:rFonts w:ascii="仿宋_GB2312" w:eastAsia="仿宋_GB2312"/>
          <w:kern w:val="0"/>
          <w:sz w:val="32"/>
          <w:szCs w:val="32"/>
        </w:rPr>
      </w:pPr>
      <w:r>
        <w:rPr>
          <w:rFonts w:hint="eastAsia" w:ascii="仿宋_GB2312" w:eastAsia="仿宋_GB2312"/>
          <w:kern w:val="0"/>
          <w:sz w:val="32"/>
          <w:szCs w:val="32"/>
        </w:rPr>
        <w:t>针对大容量视频和图像文件，采用分布式对象存储与3副本策略，支持在频繁进行大规模视觉数据读取和训练时的高吞吐量与高可用性，避免单点故障导致训练任务中断。</w:t>
      </w:r>
    </w:p>
    <w:p w14:paraId="3B620238">
      <w:pPr>
        <w:ind w:firstLine="640" w:firstLineChars="200"/>
        <w:rPr>
          <w:rFonts w:ascii="仿宋_GB2312" w:eastAsia="仿宋_GB2312"/>
          <w:kern w:val="0"/>
          <w:sz w:val="32"/>
          <w:szCs w:val="32"/>
        </w:rPr>
      </w:pPr>
      <w:r>
        <w:rPr>
          <w:rFonts w:hint="eastAsia" w:ascii="仿宋_GB2312" w:eastAsia="仿宋_GB2312"/>
          <w:kern w:val="0"/>
          <w:sz w:val="32"/>
          <w:szCs w:val="32"/>
        </w:rPr>
        <w:t>(e)视频图像数据集管理-视觉数据样本存储效能洞察</w:t>
      </w:r>
    </w:p>
    <w:p w14:paraId="6D8115A0">
      <w:pPr>
        <w:ind w:firstLine="640" w:firstLineChars="200"/>
        <w:rPr>
          <w:rFonts w:ascii="仿宋_GB2312" w:eastAsia="仿宋_GB2312"/>
          <w:kern w:val="0"/>
          <w:sz w:val="32"/>
          <w:szCs w:val="32"/>
        </w:rPr>
      </w:pPr>
      <w:r>
        <w:rPr>
          <w:rFonts w:hint="eastAsia" w:ascii="仿宋_GB2312" w:eastAsia="仿宋_GB2312"/>
          <w:kern w:val="0"/>
          <w:sz w:val="32"/>
          <w:szCs w:val="32"/>
        </w:rPr>
        <w:t>监测视频、图像等大文件存储容量，并分析存储增长趋势（如按视频时长、分辨率统计），直观展示视觉数据占据的空间比例，为存储资源的扩容与冷热数据分层管理提供精准决策依据。</w:t>
      </w:r>
    </w:p>
    <w:p w14:paraId="1948ECE6">
      <w:pPr>
        <w:ind w:firstLine="640" w:firstLineChars="200"/>
        <w:rPr>
          <w:rFonts w:ascii="仿宋_GB2312" w:eastAsia="仿宋_GB2312"/>
          <w:kern w:val="0"/>
          <w:sz w:val="32"/>
          <w:szCs w:val="32"/>
        </w:rPr>
      </w:pPr>
      <w:r>
        <w:rPr>
          <w:rFonts w:hint="eastAsia" w:ascii="仿宋_GB2312" w:eastAsia="仿宋_GB2312"/>
          <w:kern w:val="0"/>
          <w:sz w:val="32"/>
          <w:szCs w:val="32"/>
        </w:rPr>
        <w:t>(f)视频图像数据集管理-视觉数据集版本溯源管理</w:t>
      </w:r>
    </w:p>
    <w:p w14:paraId="0ADBC79F">
      <w:pPr>
        <w:ind w:firstLine="640" w:firstLineChars="200"/>
        <w:rPr>
          <w:rFonts w:ascii="仿宋_GB2312" w:eastAsia="仿宋_GB2312"/>
          <w:kern w:val="0"/>
          <w:sz w:val="32"/>
          <w:szCs w:val="32"/>
        </w:rPr>
      </w:pPr>
      <w:r>
        <w:rPr>
          <w:rFonts w:hint="eastAsia" w:ascii="仿宋_GB2312" w:eastAsia="仿宋_GB2312"/>
          <w:kern w:val="0"/>
          <w:sz w:val="32"/>
          <w:szCs w:val="32"/>
        </w:rPr>
        <w:t>实现视频图像数据集的全量版本快照，支持记录样本文件的增删改，支持追溯视觉标注（如框注、分割线）的迭代历史，确保模型训练可回溯至任一特定的数据状态，满足模型可复现性的严格要求。</w:t>
      </w:r>
    </w:p>
    <w:p w14:paraId="6C193493">
      <w:pPr>
        <w:ind w:firstLine="640" w:firstLineChars="200"/>
        <w:rPr>
          <w:rFonts w:ascii="仿宋_GB2312" w:eastAsia="仿宋_GB2312"/>
          <w:kern w:val="0"/>
          <w:sz w:val="32"/>
          <w:szCs w:val="32"/>
        </w:rPr>
      </w:pPr>
      <w:r>
        <w:rPr>
          <w:rFonts w:hint="eastAsia" w:ascii="仿宋_GB2312" w:eastAsia="仿宋_GB2312"/>
          <w:kern w:val="0"/>
          <w:sz w:val="32"/>
          <w:szCs w:val="32"/>
        </w:rPr>
        <w:t>(g)视频图像数据集服务-数据集服务注册</w:t>
      </w:r>
    </w:p>
    <w:p w14:paraId="395B560B">
      <w:pPr>
        <w:ind w:firstLine="640" w:firstLineChars="200"/>
        <w:rPr>
          <w:rFonts w:ascii="仿宋_GB2312" w:eastAsia="仿宋_GB2312"/>
          <w:kern w:val="0"/>
          <w:sz w:val="32"/>
          <w:szCs w:val="32"/>
        </w:rPr>
      </w:pPr>
      <w:r>
        <w:rPr>
          <w:rFonts w:hint="eastAsia" w:ascii="仿宋_GB2312" w:eastAsia="仿宋_GB2312"/>
          <w:kern w:val="0"/>
          <w:sz w:val="32"/>
          <w:szCs w:val="32"/>
        </w:rPr>
        <w:t>支持对数据集内容内容进行标准化管理，可查看数据集的唯一ID、数据量、密级等核心元数据，生成全局可检索的数据集服务目录。</w:t>
      </w:r>
    </w:p>
    <w:p w14:paraId="4E9A511A">
      <w:pPr>
        <w:ind w:firstLine="640" w:firstLineChars="200"/>
        <w:rPr>
          <w:rFonts w:ascii="仿宋_GB2312" w:eastAsia="仿宋_GB2312"/>
          <w:kern w:val="0"/>
          <w:sz w:val="32"/>
          <w:szCs w:val="32"/>
        </w:rPr>
      </w:pPr>
      <w:r>
        <w:rPr>
          <w:rFonts w:hint="eastAsia" w:ascii="仿宋_GB2312" w:eastAsia="仿宋_GB2312"/>
          <w:kern w:val="0"/>
          <w:sz w:val="32"/>
          <w:szCs w:val="32"/>
        </w:rPr>
        <w:t>(h)视频图像数据集服务-数据集质量合规性校验</w:t>
      </w:r>
    </w:p>
    <w:p w14:paraId="63F23154">
      <w:pPr>
        <w:ind w:firstLine="640" w:firstLineChars="200"/>
        <w:rPr>
          <w:rFonts w:ascii="仿宋_GB2312" w:eastAsia="仿宋_GB2312"/>
          <w:kern w:val="0"/>
          <w:sz w:val="32"/>
          <w:szCs w:val="32"/>
        </w:rPr>
      </w:pPr>
      <w:r>
        <w:rPr>
          <w:rFonts w:hint="eastAsia" w:ascii="仿宋_GB2312" w:eastAsia="仿宋_GB2312"/>
          <w:kern w:val="0"/>
          <w:sz w:val="32"/>
          <w:szCs w:val="32"/>
        </w:rPr>
        <w:t>支持检测数据集以及各样本的bq的整体完整性情况。</w:t>
      </w:r>
    </w:p>
    <w:p w14:paraId="628E82E1">
      <w:pPr>
        <w:ind w:firstLine="640" w:firstLineChars="200"/>
        <w:rPr>
          <w:rFonts w:ascii="仿宋_GB2312" w:eastAsia="仿宋_GB2312"/>
          <w:kern w:val="0"/>
          <w:sz w:val="32"/>
          <w:szCs w:val="32"/>
        </w:rPr>
      </w:pPr>
      <w:r>
        <w:rPr>
          <w:rFonts w:hint="eastAsia" w:ascii="仿宋_GB2312" w:eastAsia="仿宋_GB2312"/>
          <w:kern w:val="0"/>
          <w:sz w:val="32"/>
          <w:szCs w:val="32"/>
        </w:rPr>
        <w:t>(i)视频图像数据集服务-数据集服务状态jk</w:t>
      </w:r>
    </w:p>
    <w:p w14:paraId="1CFEE7CD">
      <w:pPr>
        <w:ind w:firstLine="640" w:firstLineChars="200"/>
        <w:rPr>
          <w:rFonts w:ascii="仿宋_GB2312" w:eastAsia="仿宋_GB2312"/>
          <w:kern w:val="0"/>
          <w:sz w:val="32"/>
          <w:szCs w:val="32"/>
        </w:rPr>
      </w:pPr>
      <w:r>
        <w:rPr>
          <w:rFonts w:hint="eastAsia" w:ascii="仿宋_GB2312" w:eastAsia="仿宋_GB2312"/>
          <w:kern w:val="0"/>
          <w:sz w:val="32"/>
          <w:szCs w:val="32"/>
        </w:rPr>
        <w:t>支持展示数据集服务健康度（在线/离线）、请求量、响应延迟，异常时产生告警。</w:t>
      </w:r>
    </w:p>
    <w:p w14:paraId="2AF64AA2">
      <w:pPr>
        <w:ind w:firstLine="640" w:firstLineChars="200"/>
        <w:rPr>
          <w:rFonts w:ascii="仿宋_GB2312" w:eastAsia="仿宋_GB2312"/>
          <w:kern w:val="0"/>
          <w:sz w:val="32"/>
          <w:szCs w:val="32"/>
        </w:rPr>
      </w:pPr>
      <w:r>
        <w:rPr>
          <w:rFonts w:hint="eastAsia" w:ascii="仿宋_GB2312" w:eastAsia="仿宋_GB2312"/>
          <w:kern w:val="0"/>
          <w:sz w:val="32"/>
          <w:szCs w:val="32"/>
        </w:rPr>
        <w:t>(j)视频图像数据集服务-数据集访问控制</w:t>
      </w:r>
    </w:p>
    <w:p w14:paraId="02B5EEA4">
      <w:pPr>
        <w:ind w:firstLine="640" w:firstLineChars="200"/>
        <w:rPr>
          <w:rFonts w:ascii="仿宋_GB2312" w:eastAsia="仿宋_GB2312"/>
          <w:kern w:val="0"/>
          <w:sz w:val="32"/>
          <w:szCs w:val="32"/>
        </w:rPr>
      </w:pPr>
      <w:r>
        <w:rPr>
          <w:rFonts w:hint="eastAsia" w:ascii="仿宋_GB2312" w:eastAsia="仿宋_GB2312"/>
          <w:kern w:val="0"/>
          <w:sz w:val="32"/>
          <w:szCs w:val="32"/>
        </w:rPr>
        <w:t>支持对数据集访问进行权限配置，只有具备某数据集访问权限的用户才能获取数据集信息。</w:t>
      </w:r>
    </w:p>
    <w:p w14:paraId="424221D3">
      <w:pPr>
        <w:ind w:firstLine="640" w:firstLineChars="200"/>
        <w:rPr>
          <w:rFonts w:ascii="仿宋_GB2312" w:eastAsia="仿宋_GB2312"/>
          <w:kern w:val="0"/>
          <w:sz w:val="32"/>
          <w:szCs w:val="32"/>
        </w:rPr>
      </w:pPr>
      <w:r>
        <w:rPr>
          <w:rFonts w:hint="eastAsia" w:ascii="仿宋_GB2312" w:eastAsia="仿宋_GB2312"/>
          <w:kern w:val="0"/>
          <w:sz w:val="32"/>
          <w:szCs w:val="32"/>
        </w:rPr>
        <w:t>(k)视频图像数据集服务-数据集访问用量配额管理</w:t>
      </w:r>
    </w:p>
    <w:p w14:paraId="30B5A47F">
      <w:pPr>
        <w:ind w:firstLine="640" w:firstLineChars="200"/>
        <w:rPr>
          <w:rFonts w:ascii="仿宋_GB2312" w:eastAsia="仿宋_GB2312"/>
          <w:kern w:val="0"/>
          <w:sz w:val="32"/>
          <w:szCs w:val="32"/>
        </w:rPr>
      </w:pPr>
      <w:r>
        <w:rPr>
          <w:rFonts w:hint="eastAsia" w:ascii="仿宋_GB2312" w:eastAsia="仿宋_GB2312"/>
          <w:kern w:val="0"/>
          <w:sz w:val="32"/>
          <w:szCs w:val="32"/>
        </w:rPr>
        <w:t>支持设置单账号日访问量上限，超限则自动熔断。</w:t>
      </w:r>
    </w:p>
    <w:p w14:paraId="0B0B93F0">
      <w:pPr>
        <w:ind w:firstLine="640" w:firstLineChars="200"/>
        <w:rPr>
          <w:rFonts w:ascii="仿宋_GB2312" w:eastAsia="仿宋_GB2312"/>
          <w:kern w:val="0"/>
          <w:sz w:val="32"/>
          <w:szCs w:val="32"/>
        </w:rPr>
      </w:pPr>
      <w:r>
        <w:rPr>
          <w:rFonts w:hint="eastAsia" w:ascii="仿宋_GB2312" w:eastAsia="仿宋_GB2312"/>
          <w:kern w:val="0"/>
          <w:sz w:val="32"/>
          <w:szCs w:val="32"/>
        </w:rPr>
        <w:t>(l)视频图像数据集服务-文件流式调用</w:t>
      </w:r>
    </w:p>
    <w:p w14:paraId="764F45DE">
      <w:pPr>
        <w:ind w:firstLine="640" w:firstLineChars="200"/>
        <w:rPr>
          <w:rFonts w:ascii="仿宋_GB2312" w:eastAsia="仿宋_GB2312"/>
          <w:kern w:val="0"/>
          <w:sz w:val="32"/>
          <w:szCs w:val="32"/>
        </w:rPr>
      </w:pPr>
      <w:r>
        <w:rPr>
          <w:rFonts w:hint="eastAsia" w:ascii="仿宋_GB2312" w:eastAsia="仿宋_GB2312"/>
          <w:kern w:val="0"/>
          <w:sz w:val="32"/>
          <w:szCs w:val="32"/>
        </w:rPr>
        <w:t>支持数据集流式传输，将大型数据集自动拆分为小型的流式分片，支持断点续传与并行下载。</w:t>
      </w:r>
    </w:p>
    <w:p w14:paraId="7A828C0D">
      <w:pPr>
        <w:ind w:firstLine="640" w:firstLineChars="200"/>
        <w:rPr>
          <w:rFonts w:ascii="仿宋_GB2312" w:eastAsia="仿宋_GB2312"/>
          <w:kern w:val="0"/>
          <w:sz w:val="32"/>
          <w:szCs w:val="32"/>
        </w:rPr>
      </w:pPr>
      <w:r>
        <w:rPr>
          <w:rFonts w:hint="eastAsia" w:ascii="仿宋_GB2312" w:eastAsia="仿宋_GB2312"/>
          <w:kern w:val="0"/>
          <w:sz w:val="32"/>
          <w:szCs w:val="32"/>
        </w:rPr>
        <w:t>(m)视频图像数据集服务-文件流式QoS优先级调度</w:t>
      </w:r>
    </w:p>
    <w:p w14:paraId="0DAE6F10">
      <w:pPr>
        <w:ind w:firstLine="640" w:firstLineChars="200"/>
        <w:rPr>
          <w:rFonts w:ascii="仿宋_GB2312" w:eastAsia="仿宋_GB2312"/>
          <w:kern w:val="0"/>
          <w:sz w:val="32"/>
          <w:szCs w:val="32"/>
        </w:rPr>
      </w:pPr>
      <w:r>
        <w:rPr>
          <w:rFonts w:hint="eastAsia" w:ascii="仿宋_GB2312" w:eastAsia="仿宋_GB2312"/>
          <w:kern w:val="0"/>
          <w:sz w:val="32"/>
          <w:szCs w:val="32"/>
        </w:rPr>
        <w:t>支持根据任务的优先级，进行文件传输的调度，确保高优先级任务能够优先获取数据。</w:t>
      </w:r>
    </w:p>
    <w:p w14:paraId="6D831A0B">
      <w:pPr>
        <w:ind w:firstLine="640" w:firstLineChars="200"/>
        <w:rPr>
          <w:rFonts w:ascii="仿宋_GB2312" w:eastAsia="仿宋_GB2312"/>
          <w:kern w:val="0"/>
          <w:sz w:val="32"/>
          <w:szCs w:val="32"/>
        </w:rPr>
      </w:pPr>
      <w:r>
        <w:rPr>
          <w:rFonts w:hint="eastAsia" w:ascii="仿宋_GB2312" w:eastAsia="仿宋_GB2312"/>
          <w:kern w:val="0"/>
          <w:sz w:val="32"/>
          <w:szCs w:val="32"/>
        </w:rPr>
        <w:t>(n)视频图像数据集服务-文件流式摘要生成</w:t>
      </w:r>
    </w:p>
    <w:p w14:paraId="2561D359">
      <w:pPr>
        <w:ind w:firstLine="640" w:firstLineChars="200"/>
        <w:rPr>
          <w:rFonts w:ascii="仿宋_GB2312" w:eastAsia="仿宋_GB2312"/>
          <w:kern w:val="0"/>
          <w:sz w:val="32"/>
          <w:szCs w:val="32"/>
        </w:rPr>
      </w:pPr>
      <w:r>
        <w:rPr>
          <w:rFonts w:hint="eastAsia" w:ascii="仿宋_GB2312" w:eastAsia="仿宋_GB2312"/>
          <w:kern w:val="0"/>
          <w:sz w:val="32"/>
          <w:szCs w:val="32"/>
        </w:rPr>
        <w:t>可查看数据集内容摘要情况，用户可预览摘要再决定是否全量下载。</w:t>
      </w:r>
    </w:p>
    <w:p w14:paraId="6317EBF1">
      <w:pPr>
        <w:ind w:firstLine="640" w:firstLineChars="200"/>
        <w:rPr>
          <w:rFonts w:ascii="仿宋_GB2312" w:eastAsia="仿宋_GB2312"/>
          <w:kern w:val="0"/>
          <w:sz w:val="32"/>
          <w:szCs w:val="32"/>
        </w:rPr>
      </w:pPr>
      <w:r>
        <w:rPr>
          <w:rFonts w:hint="eastAsia" w:ascii="仿宋_GB2312" w:eastAsia="仿宋_GB2312"/>
          <w:kern w:val="0"/>
          <w:sz w:val="32"/>
          <w:szCs w:val="32"/>
        </w:rPr>
        <w:t>c.视觉知识处理</w:t>
      </w:r>
    </w:p>
    <w:p w14:paraId="2678CE7C">
      <w:pPr>
        <w:ind w:firstLine="640" w:firstLineChars="200"/>
        <w:rPr>
          <w:rFonts w:ascii="仿宋_GB2312" w:eastAsiaTheme="minorEastAsia"/>
          <w:kern w:val="0"/>
          <w:sz w:val="32"/>
          <w:szCs w:val="32"/>
        </w:rPr>
      </w:pPr>
      <w:r>
        <w:rPr>
          <w:rFonts w:hint="eastAsia" w:ascii="仿宋_GB2312" w:eastAsia="仿宋_GB2312"/>
          <w:kern w:val="0"/>
          <w:sz w:val="32"/>
          <w:szCs w:val="32"/>
        </w:rPr>
        <w:t>(a)视觉知识处理</w:t>
      </w:r>
      <w:r>
        <w:rPr>
          <w:rFonts w:ascii="仿宋_GB2312" w:eastAsia="仿宋_GB2312"/>
          <w:kern w:val="0"/>
          <w:sz w:val="32"/>
          <w:szCs w:val="32"/>
        </w:rPr>
        <w:t>-</w:t>
      </w:r>
      <w:r>
        <w:rPr>
          <w:rFonts w:hint="eastAsia" w:ascii="仿宋_GB2312" w:eastAsia="仿宋_GB2312"/>
          <w:kern w:val="0"/>
          <w:sz w:val="32"/>
          <w:szCs w:val="32"/>
        </w:rPr>
        <w:t>视频流语义分段切片</w:t>
      </w:r>
      <w:r>
        <w:rPr>
          <w:rFonts w:hint="eastAsia" w:ascii="MS Mincho" w:hAnsi="MS Mincho" w:eastAsia="MS Mincho" w:cs="MS Mincho"/>
          <w:kern w:val="0"/>
          <w:sz w:val="32"/>
          <w:szCs w:val="32"/>
        </w:rPr>
        <w:t>​</w:t>
      </w:r>
    </w:p>
    <w:p w14:paraId="41DFEEBA">
      <w:pPr>
        <w:ind w:firstLine="640" w:firstLineChars="200"/>
        <w:rPr>
          <w:rFonts w:ascii="仿宋_GB2312" w:eastAsia="仿宋_GB2312"/>
          <w:kern w:val="0"/>
          <w:sz w:val="32"/>
          <w:szCs w:val="32"/>
        </w:rPr>
      </w:pPr>
      <w:r>
        <w:rPr>
          <w:rFonts w:ascii="仿宋_GB2312" w:eastAsia="仿宋_GB2312"/>
          <w:kern w:val="0"/>
          <w:sz w:val="32"/>
          <w:szCs w:val="32"/>
        </w:rPr>
        <w:t>支持对视频流进行多模态解析，自动提取关键帧、识别场景切换，并基于视觉内容与语义边界（如场景转换、主题变化）进行智能切片，保持视觉语义连贯性。</w:t>
      </w:r>
    </w:p>
    <w:p w14:paraId="6ADC7D5B">
      <w:pPr>
        <w:ind w:firstLine="640" w:firstLineChars="200"/>
        <w:rPr>
          <w:rFonts w:ascii="仿宋_GB2312" w:eastAsia="仿宋_GB2312"/>
          <w:kern w:val="0"/>
          <w:sz w:val="32"/>
          <w:szCs w:val="32"/>
        </w:rPr>
      </w:pPr>
      <w:r>
        <w:rPr>
          <w:rFonts w:hint="eastAsia" w:ascii="仿宋_GB2312" w:eastAsia="仿宋_GB2312"/>
          <w:kern w:val="0"/>
          <w:sz w:val="32"/>
          <w:szCs w:val="32"/>
        </w:rPr>
        <w:t>(b)视觉知识处理-视觉内容上下文感知切分</w:t>
      </w:r>
    </w:p>
    <w:p w14:paraId="01FA5B3C">
      <w:pPr>
        <w:ind w:firstLine="640" w:firstLineChars="200"/>
        <w:rPr>
          <w:rFonts w:ascii="仿宋_GB2312" w:eastAsia="仿宋_GB2312"/>
          <w:kern w:val="0"/>
          <w:sz w:val="32"/>
          <w:szCs w:val="32"/>
        </w:rPr>
      </w:pPr>
      <w:r>
        <w:rPr>
          <w:rFonts w:ascii="仿宋_GB2312" w:eastAsia="仿宋_GB2312"/>
          <w:kern w:val="0"/>
          <w:sz w:val="32"/>
          <w:szCs w:val="32"/>
        </w:rPr>
        <w:t>结合时序分析与视觉上下文理解，识别视频中的镜头边界、目标运动</w:t>
      </w:r>
      <w:r>
        <w:rPr>
          <w:rFonts w:hint="eastAsia" w:ascii="仿宋_GB2312" w:eastAsia="仿宋_GB2312"/>
          <w:kern w:val="0"/>
          <w:sz w:val="32"/>
          <w:szCs w:val="32"/>
        </w:rPr>
        <w:t>驻留区域</w:t>
      </w:r>
      <w:r>
        <w:rPr>
          <w:rFonts w:ascii="仿宋_GB2312" w:eastAsia="仿宋_GB2312"/>
          <w:kern w:val="0"/>
          <w:sz w:val="32"/>
          <w:szCs w:val="32"/>
        </w:rPr>
        <w:t>等，避免在动作连贯或目标主体变化过程中切分关键信息。</w:t>
      </w:r>
    </w:p>
    <w:p w14:paraId="764DA4CF">
      <w:pPr>
        <w:ind w:firstLine="640" w:firstLineChars="200"/>
        <w:rPr>
          <w:rFonts w:ascii="仿宋_GB2312" w:eastAsia="仿宋_GB2312"/>
          <w:kern w:val="0"/>
          <w:sz w:val="32"/>
          <w:szCs w:val="32"/>
        </w:rPr>
      </w:pPr>
      <w:r>
        <w:rPr>
          <w:rFonts w:hint="eastAsia" w:ascii="仿宋_GB2312" w:eastAsia="仿宋_GB2312"/>
          <w:kern w:val="0"/>
          <w:sz w:val="32"/>
          <w:szCs w:val="32"/>
        </w:rPr>
        <w:t>(c)视觉知识处理</w:t>
      </w:r>
      <w:r>
        <w:rPr>
          <w:rFonts w:ascii="仿宋_GB2312" w:eastAsia="仿宋_GB2312"/>
          <w:kern w:val="0"/>
          <w:sz w:val="32"/>
          <w:szCs w:val="32"/>
        </w:rPr>
        <w:t>-</w:t>
      </w:r>
      <w:r>
        <w:rPr>
          <w:rFonts w:hint="eastAsia" w:ascii="仿宋_GB2312" w:eastAsia="仿宋_GB2312"/>
          <w:kern w:val="0"/>
          <w:sz w:val="32"/>
          <w:szCs w:val="32"/>
        </w:rPr>
        <w:t>视觉切片元数据标注</w:t>
      </w:r>
      <w:r>
        <w:rPr>
          <w:rFonts w:hint="eastAsia" w:ascii="MS Mincho" w:hAnsi="MS Mincho" w:eastAsia="MS Mincho" w:cs="MS Mincho"/>
          <w:kern w:val="0"/>
          <w:sz w:val="32"/>
          <w:szCs w:val="32"/>
        </w:rPr>
        <w:t>​</w:t>
      </w:r>
    </w:p>
    <w:p w14:paraId="2E7D3986">
      <w:pPr>
        <w:ind w:firstLine="640" w:firstLineChars="200"/>
        <w:rPr>
          <w:rFonts w:ascii="仿宋_GB2312" w:eastAsia="仿宋_GB2312"/>
          <w:kern w:val="0"/>
          <w:sz w:val="32"/>
          <w:szCs w:val="32"/>
        </w:rPr>
      </w:pPr>
      <w:r>
        <w:rPr>
          <w:rFonts w:ascii="仿宋_GB2312" w:eastAsia="仿宋_GB2312"/>
          <w:kern w:val="0"/>
          <w:sz w:val="32"/>
          <w:szCs w:val="32"/>
        </w:rPr>
        <w:t>为每个视频/图像切片自动生成来源视频、时间戳、关键帧特征描述、目标bq等元数据，建立可追溯的视觉内容索引。</w:t>
      </w:r>
    </w:p>
    <w:p w14:paraId="50786DB6">
      <w:pPr>
        <w:ind w:firstLine="640" w:firstLineChars="200"/>
        <w:rPr>
          <w:rFonts w:ascii="仿宋_GB2312" w:eastAsia="仿宋_GB2312"/>
          <w:kern w:val="0"/>
          <w:sz w:val="32"/>
          <w:szCs w:val="32"/>
        </w:rPr>
      </w:pPr>
      <w:r>
        <w:rPr>
          <w:rFonts w:hint="eastAsia" w:ascii="仿宋_GB2312" w:eastAsia="仿宋_GB2312"/>
          <w:kern w:val="0"/>
          <w:sz w:val="32"/>
          <w:szCs w:val="32"/>
        </w:rPr>
        <w:t>(d)视觉知识处理</w:t>
      </w:r>
      <w:r>
        <w:rPr>
          <w:rFonts w:ascii="仿宋_GB2312" w:eastAsia="仿宋_GB2312"/>
          <w:kern w:val="0"/>
          <w:sz w:val="32"/>
          <w:szCs w:val="32"/>
        </w:rPr>
        <w:t>-</w:t>
      </w:r>
      <w:r>
        <w:rPr>
          <w:rFonts w:hint="eastAsia" w:ascii="仿宋_GB2312" w:eastAsia="仿宋_GB2312"/>
          <w:kern w:val="0"/>
          <w:sz w:val="32"/>
          <w:szCs w:val="32"/>
        </w:rPr>
        <w:t>视觉特征向量化处理</w:t>
      </w:r>
      <w:r>
        <w:rPr>
          <w:rFonts w:hint="eastAsia" w:ascii="MS Mincho" w:hAnsi="MS Mincho" w:eastAsia="MS Mincho" w:cs="MS Mincho"/>
          <w:kern w:val="0"/>
          <w:sz w:val="32"/>
          <w:szCs w:val="32"/>
        </w:rPr>
        <w:t>​</w:t>
      </w:r>
    </w:p>
    <w:p w14:paraId="5515E8F9">
      <w:pPr>
        <w:ind w:firstLine="640" w:firstLineChars="200"/>
        <w:rPr>
          <w:rFonts w:ascii="仿宋_GB2312" w:eastAsia="仿宋_GB2312"/>
          <w:kern w:val="0"/>
          <w:sz w:val="32"/>
          <w:szCs w:val="32"/>
        </w:rPr>
      </w:pPr>
      <w:r>
        <w:rPr>
          <w:rFonts w:ascii="仿宋_GB2312" w:eastAsia="仿宋_GB2312"/>
          <w:kern w:val="0"/>
          <w:sz w:val="32"/>
          <w:szCs w:val="32"/>
        </w:rPr>
        <w:t>采用视觉编码模型（如CNN、ViT）提取图像/视频帧的深层特征，并将其与文本、语音等多模态特征映射至统一向量空间，支持跨模态语义检索。</w:t>
      </w:r>
    </w:p>
    <w:p w14:paraId="476689B8">
      <w:pPr>
        <w:ind w:firstLine="640" w:firstLineChars="200"/>
        <w:rPr>
          <w:rFonts w:ascii="仿宋_GB2312" w:eastAsia="仿宋_GB2312"/>
          <w:kern w:val="0"/>
          <w:sz w:val="32"/>
          <w:szCs w:val="32"/>
        </w:rPr>
      </w:pPr>
      <w:r>
        <w:rPr>
          <w:rFonts w:hint="eastAsia" w:ascii="仿宋_GB2312" w:eastAsia="仿宋_GB2312"/>
          <w:kern w:val="0"/>
          <w:sz w:val="32"/>
          <w:szCs w:val="32"/>
        </w:rPr>
        <w:t>(e)视觉知识处理</w:t>
      </w:r>
      <w:r>
        <w:rPr>
          <w:rFonts w:ascii="仿宋_GB2312" w:eastAsia="仿宋_GB2312"/>
          <w:kern w:val="0"/>
          <w:sz w:val="32"/>
          <w:szCs w:val="32"/>
        </w:rPr>
        <w:t>-</w:t>
      </w:r>
      <w:r>
        <w:rPr>
          <w:rFonts w:hint="eastAsia" w:ascii="仿宋_GB2312" w:eastAsia="仿宋_GB2312"/>
          <w:kern w:val="0"/>
          <w:sz w:val="32"/>
          <w:szCs w:val="32"/>
        </w:rPr>
        <w:t>视觉向量动态量化压缩</w:t>
      </w:r>
      <w:r>
        <w:rPr>
          <w:rFonts w:hint="eastAsia" w:ascii="MS Mincho" w:hAnsi="MS Mincho" w:eastAsia="MS Mincho" w:cs="MS Mincho"/>
          <w:kern w:val="0"/>
          <w:sz w:val="32"/>
          <w:szCs w:val="32"/>
        </w:rPr>
        <w:t>​</w:t>
      </w:r>
    </w:p>
    <w:p w14:paraId="354DD097">
      <w:pPr>
        <w:ind w:firstLine="640" w:firstLineChars="200"/>
        <w:rPr>
          <w:rFonts w:ascii="仿宋_GB2312" w:eastAsia="仿宋_GB2312"/>
          <w:kern w:val="0"/>
          <w:sz w:val="32"/>
          <w:szCs w:val="32"/>
        </w:rPr>
      </w:pPr>
      <w:r>
        <w:rPr>
          <w:rFonts w:ascii="仿宋_GB2312" w:eastAsia="仿宋_GB2312"/>
          <w:kern w:val="0"/>
          <w:sz w:val="32"/>
          <w:szCs w:val="32"/>
        </w:rPr>
        <w:t>对高维视觉特征向量进行量化编码，在保持视觉语义精度的前提下大幅压缩存储体积，适配边缘端与实时检索场景。</w:t>
      </w:r>
    </w:p>
    <w:p w14:paraId="0F5181DC">
      <w:pPr>
        <w:ind w:firstLine="640" w:firstLineChars="200"/>
        <w:rPr>
          <w:rFonts w:ascii="仿宋_GB2312" w:eastAsia="仿宋_GB2312"/>
          <w:kern w:val="0"/>
          <w:sz w:val="32"/>
          <w:szCs w:val="32"/>
        </w:rPr>
      </w:pPr>
      <w:r>
        <w:rPr>
          <w:rFonts w:hint="eastAsia" w:ascii="仿宋_GB2312" w:eastAsia="仿宋_GB2312"/>
          <w:kern w:val="0"/>
          <w:sz w:val="32"/>
          <w:szCs w:val="32"/>
        </w:rPr>
        <w:t>(f)视觉知识处理</w:t>
      </w:r>
      <w:r>
        <w:rPr>
          <w:rFonts w:ascii="仿宋_GB2312" w:eastAsia="仿宋_GB2312"/>
          <w:kern w:val="0"/>
          <w:sz w:val="32"/>
          <w:szCs w:val="32"/>
        </w:rPr>
        <w:t>-</w:t>
      </w:r>
      <w:r>
        <w:rPr>
          <w:rFonts w:hint="eastAsia" w:ascii="仿宋_GB2312" w:eastAsia="仿宋_GB2312"/>
          <w:kern w:val="0"/>
          <w:sz w:val="32"/>
          <w:szCs w:val="32"/>
        </w:rPr>
        <w:t>视觉向量分级存储</w:t>
      </w:r>
      <w:r>
        <w:rPr>
          <w:rFonts w:hint="eastAsia" w:ascii="MS Mincho" w:hAnsi="MS Mincho" w:eastAsia="MS Mincho" w:cs="MS Mincho"/>
          <w:kern w:val="0"/>
          <w:sz w:val="32"/>
          <w:szCs w:val="32"/>
        </w:rPr>
        <w:t>​</w:t>
      </w:r>
    </w:p>
    <w:p w14:paraId="7B49306F">
      <w:pPr>
        <w:ind w:firstLine="640" w:firstLineChars="200"/>
        <w:rPr>
          <w:rFonts w:ascii="仿宋_GB2312" w:eastAsia="仿宋_GB2312"/>
          <w:kern w:val="0"/>
          <w:sz w:val="32"/>
          <w:szCs w:val="32"/>
        </w:rPr>
      </w:pPr>
      <w:r>
        <w:rPr>
          <w:rFonts w:ascii="仿宋_GB2312" w:eastAsia="仿宋_GB2312"/>
          <w:kern w:val="0"/>
          <w:sz w:val="32"/>
          <w:szCs w:val="32"/>
        </w:rPr>
        <w:t>构建热数据（高频检索片段）内存缓存、冷数据（历史视频片段）分布式对象存储的分级体系，显著降低海量视觉数据的存储成本。</w:t>
      </w:r>
    </w:p>
    <w:p w14:paraId="76B123E0">
      <w:pPr>
        <w:ind w:firstLine="640" w:firstLineChars="200"/>
        <w:rPr>
          <w:rFonts w:ascii="仿宋_GB2312" w:eastAsia="仿宋_GB2312"/>
          <w:kern w:val="0"/>
          <w:sz w:val="32"/>
          <w:szCs w:val="32"/>
        </w:rPr>
      </w:pPr>
      <w:r>
        <w:rPr>
          <w:rFonts w:hint="eastAsia" w:ascii="仿宋_GB2312" w:eastAsia="仿宋_GB2312"/>
          <w:kern w:val="0"/>
          <w:sz w:val="32"/>
          <w:szCs w:val="32"/>
        </w:rPr>
        <w:t>(g)视觉知识处理</w:t>
      </w:r>
      <w:r>
        <w:rPr>
          <w:rFonts w:ascii="仿宋_GB2312" w:eastAsia="仿宋_GB2312"/>
          <w:kern w:val="0"/>
          <w:sz w:val="32"/>
          <w:szCs w:val="32"/>
        </w:rPr>
        <w:t>-</w:t>
      </w:r>
      <w:r>
        <w:rPr>
          <w:rFonts w:hint="eastAsia" w:ascii="仿宋_GB2312" w:eastAsia="仿宋_GB2312"/>
          <w:kern w:val="0"/>
          <w:sz w:val="32"/>
          <w:szCs w:val="32"/>
        </w:rPr>
        <w:t>视觉内容多模态检索</w:t>
      </w:r>
      <w:r>
        <w:rPr>
          <w:rFonts w:hint="eastAsia" w:ascii="MS Mincho" w:hAnsi="MS Mincho" w:eastAsia="MS Mincho" w:cs="MS Mincho"/>
          <w:kern w:val="0"/>
          <w:sz w:val="32"/>
          <w:szCs w:val="32"/>
        </w:rPr>
        <w:t>​</w:t>
      </w:r>
    </w:p>
    <w:p w14:paraId="4FE787B3">
      <w:pPr>
        <w:ind w:firstLine="640" w:firstLineChars="200"/>
        <w:rPr>
          <w:rFonts w:ascii="仿宋_GB2312" w:eastAsia="仿宋_GB2312"/>
          <w:kern w:val="0"/>
          <w:sz w:val="32"/>
          <w:szCs w:val="32"/>
        </w:rPr>
      </w:pPr>
      <w:r>
        <w:rPr>
          <w:rFonts w:ascii="仿宋_GB2312" w:eastAsia="仿宋_GB2312"/>
          <w:kern w:val="0"/>
          <w:sz w:val="32"/>
          <w:szCs w:val="32"/>
        </w:rPr>
        <w:t>集成近似最近邻索引，在千万级视觉向量中实现毫秒级相似性检索，支持“以图搜图”“以文搜视频”等多模态查询与过滤。</w:t>
      </w:r>
    </w:p>
    <w:p w14:paraId="399B4703">
      <w:pPr>
        <w:ind w:firstLine="640" w:firstLineChars="200"/>
        <w:rPr>
          <w:rFonts w:ascii="仿宋_GB2312" w:eastAsia="仿宋_GB2312"/>
          <w:kern w:val="0"/>
          <w:sz w:val="32"/>
          <w:szCs w:val="32"/>
        </w:rPr>
      </w:pPr>
      <w:bookmarkStart w:id="5" w:name="OLE_LINK5"/>
      <w:r>
        <w:rPr>
          <w:rFonts w:hint="eastAsia" w:ascii="仿宋_GB2312" w:eastAsia="仿宋_GB2312"/>
          <w:kern w:val="0"/>
          <w:sz w:val="32"/>
          <w:szCs w:val="32"/>
        </w:rPr>
        <w:t>(h)</w:t>
      </w:r>
      <w:bookmarkEnd w:id="5"/>
      <w:r>
        <w:rPr>
          <w:rFonts w:hint="eastAsia" w:ascii="仿宋_GB2312" w:eastAsia="仿宋_GB2312"/>
          <w:kern w:val="0"/>
          <w:sz w:val="32"/>
          <w:szCs w:val="32"/>
        </w:rPr>
        <w:t>视觉知识处理-视觉融合分析-视觉特征增强-基于知识图谱的视觉特征语义关联</w:t>
      </w:r>
    </w:p>
    <w:p w14:paraId="2C067634">
      <w:pPr>
        <w:ind w:firstLine="640" w:firstLineChars="200"/>
        <w:rPr>
          <w:rFonts w:ascii="仿宋_GB2312" w:eastAsia="仿宋_GB2312"/>
          <w:kern w:val="0"/>
          <w:sz w:val="32"/>
          <w:szCs w:val="32"/>
        </w:rPr>
      </w:pPr>
      <w:r>
        <w:rPr>
          <w:rFonts w:hint="eastAsia" w:ascii="仿宋_GB2312" w:eastAsia="仿宋_GB2312"/>
          <w:kern w:val="0"/>
          <w:sz w:val="32"/>
          <w:szCs w:val="32"/>
        </w:rPr>
        <w:t>视觉特征增强知识图谱通过构建公安领域专用的视觉语义知识库，将底层视觉特征与高层语义概念建立多层级关联。</w:t>
      </w:r>
    </w:p>
    <w:p w14:paraId="045F96FA">
      <w:pPr>
        <w:ind w:firstLine="640" w:firstLineChars="200"/>
        <w:rPr>
          <w:rFonts w:ascii="仿宋_GB2312" w:eastAsia="仿宋_GB2312"/>
          <w:kern w:val="0"/>
          <w:sz w:val="32"/>
          <w:szCs w:val="32"/>
        </w:rPr>
      </w:pPr>
      <w:r>
        <w:rPr>
          <w:rFonts w:hint="eastAsia" w:ascii="仿宋_GB2312" w:eastAsia="仿宋_GB2312"/>
          <w:kern w:val="0"/>
          <w:sz w:val="32"/>
          <w:szCs w:val="32"/>
        </w:rPr>
        <w:t>(i)视觉知识处理-视觉融合分析-视觉特征增强-知识引导的特征提取与增强</w:t>
      </w:r>
    </w:p>
    <w:p w14:paraId="652DD7D3">
      <w:pPr>
        <w:ind w:firstLine="640" w:firstLineChars="200"/>
        <w:rPr>
          <w:rFonts w:ascii="仿宋_GB2312" w:eastAsia="仿宋_GB2312"/>
          <w:kern w:val="0"/>
          <w:sz w:val="32"/>
          <w:szCs w:val="32"/>
        </w:rPr>
      </w:pPr>
      <w:r>
        <w:rPr>
          <w:rFonts w:hint="eastAsia" w:ascii="仿宋_GB2312" w:eastAsia="仿宋_GB2312"/>
          <w:kern w:val="0"/>
          <w:sz w:val="32"/>
          <w:szCs w:val="32"/>
        </w:rPr>
        <w:t>通过视觉特征增强知识图谱实现：</w:t>
      </w:r>
    </w:p>
    <w:p w14:paraId="3342851F">
      <w:pPr>
        <w:ind w:firstLine="640" w:firstLineChars="200"/>
        <w:rPr>
          <w:rFonts w:ascii="仿宋_GB2312" w:eastAsia="仿宋_GB2312"/>
          <w:kern w:val="0"/>
          <w:sz w:val="32"/>
          <w:szCs w:val="32"/>
        </w:rPr>
      </w:pPr>
      <w:r>
        <w:rPr>
          <w:rFonts w:hint="eastAsia" w:ascii="仿宋_GB2312" w:eastAsia="仿宋_GB2312"/>
          <w:kern w:val="0"/>
          <w:sz w:val="32"/>
          <w:szCs w:val="32"/>
        </w:rPr>
        <w:t>先验知识注入：将公安领域的先验知识（如重点监测对象特征、典型行为模式）编码为图谱中的约束规则，引导特征提取网络关注关键区域。</w:t>
      </w:r>
    </w:p>
    <w:p w14:paraId="7C70A22C">
      <w:pPr>
        <w:ind w:firstLine="640" w:firstLineChars="200"/>
        <w:rPr>
          <w:rFonts w:ascii="仿宋_GB2312" w:eastAsia="仿宋_GB2312"/>
          <w:kern w:val="0"/>
          <w:sz w:val="32"/>
          <w:szCs w:val="32"/>
        </w:rPr>
      </w:pPr>
      <w:r>
        <w:rPr>
          <w:rFonts w:hint="eastAsia" w:ascii="仿宋_GB2312" w:eastAsia="仿宋_GB2312"/>
          <w:kern w:val="0"/>
          <w:sz w:val="32"/>
          <w:szCs w:val="32"/>
        </w:rPr>
        <w:t>动态特征权重调整：基于知识图谱中的场景上下文信息，动态调整不同视觉特征的提取权重。例如在车站场景中提高对行李特征的关注度。</w:t>
      </w:r>
    </w:p>
    <w:p w14:paraId="1D461809">
      <w:pPr>
        <w:ind w:firstLine="640" w:firstLineChars="200"/>
        <w:rPr>
          <w:rFonts w:ascii="仿宋_GB2312" w:eastAsia="仿宋_GB2312"/>
          <w:kern w:val="0"/>
          <w:sz w:val="32"/>
          <w:szCs w:val="32"/>
        </w:rPr>
      </w:pPr>
      <w:r>
        <w:rPr>
          <w:rFonts w:hint="eastAsia" w:ascii="仿宋_GB2312" w:eastAsia="仿宋_GB2312"/>
          <w:kern w:val="0"/>
          <w:sz w:val="32"/>
          <w:szCs w:val="32"/>
        </w:rPr>
        <w:t>(j)视觉知识处理-视觉融合分析-视觉特征增强-时空特征建模与推理</w:t>
      </w:r>
    </w:p>
    <w:p w14:paraId="52068175">
      <w:pPr>
        <w:ind w:firstLine="640" w:firstLineChars="200"/>
        <w:rPr>
          <w:rFonts w:ascii="仿宋_GB2312" w:eastAsia="仿宋_GB2312"/>
          <w:kern w:val="0"/>
          <w:sz w:val="32"/>
          <w:szCs w:val="32"/>
        </w:rPr>
      </w:pPr>
      <w:r>
        <w:rPr>
          <w:rFonts w:hint="eastAsia" w:ascii="仿宋_GB2312" w:eastAsia="仿宋_GB2312"/>
          <w:kern w:val="0"/>
          <w:sz w:val="32"/>
          <w:szCs w:val="32"/>
        </w:rPr>
        <w:t>视觉特征增强知识图谱为此提供：</w:t>
      </w:r>
    </w:p>
    <w:p w14:paraId="2DE5BC46">
      <w:pPr>
        <w:ind w:firstLine="640" w:firstLineChars="200"/>
        <w:rPr>
          <w:rFonts w:ascii="仿宋_GB2312" w:eastAsia="仿宋_GB2312"/>
          <w:kern w:val="0"/>
          <w:sz w:val="32"/>
          <w:szCs w:val="32"/>
        </w:rPr>
      </w:pPr>
      <w:r>
        <w:rPr>
          <w:rFonts w:hint="eastAsia" w:ascii="仿宋_GB2312" w:eastAsia="仿宋_GB2312"/>
          <w:kern w:val="0"/>
          <w:sz w:val="32"/>
          <w:szCs w:val="32"/>
        </w:rPr>
        <w:t>时空关系建模：在知识图谱中定义时空关系谓词（如“出现在之前”、“相邻区域”等），构建时空关系推理规则。</w:t>
      </w:r>
    </w:p>
    <w:p w14:paraId="5D8AEC1D">
      <w:pPr>
        <w:ind w:firstLine="640" w:firstLineChars="200"/>
        <w:rPr>
          <w:rFonts w:ascii="仿宋_GB2312" w:eastAsia="仿宋_GB2312"/>
          <w:kern w:val="0"/>
          <w:sz w:val="32"/>
          <w:szCs w:val="32"/>
        </w:rPr>
      </w:pPr>
      <w:r>
        <w:rPr>
          <w:rFonts w:hint="eastAsia" w:ascii="仿宋_GB2312" w:eastAsia="仿宋_GB2312"/>
          <w:kern w:val="0"/>
          <w:sz w:val="32"/>
          <w:szCs w:val="32"/>
        </w:rPr>
        <w:t>行为模式知识库：将典型异常行为（如徘徊、尾随）的时空特征模式编码为知识图谱中的模板，用于匹配和识别视频中的类似模式。</w:t>
      </w:r>
    </w:p>
    <w:p w14:paraId="1F1AFA20">
      <w:pPr>
        <w:ind w:firstLine="640" w:firstLineChars="200"/>
        <w:rPr>
          <w:rFonts w:ascii="仿宋_GB2312" w:eastAsia="仿宋_GB2312"/>
          <w:kern w:val="0"/>
          <w:sz w:val="32"/>
          <w:szCs w:val="32"/>
        </w:rPr>
      </w:pPr>
      <w:r>
        <w:rPr>
          <w:rFonts w:hint="eastAsia" w:ascii="仿宋_GB2312" w:eastAsia="仿宋_GB2312"/>
          <w:kern w:val="0"/>
          <w:sz w:val="32"/>
          <w:szCs w:val="32"/>
        </w:rPr>
        <w:t>多摄像头特征关联：通过知识图谱中的空间拓扑关系，实现跨摄像头视野的视觉特征关联与目标重识别。</w:t>
      </w:r>
    </w:p>
    <w:p w14:paraId="590C22F0">
      <w:pPr>
        <w:ind w:firstLine="640" w:firstLineChars="200"/>
        <w:rPr>
          <w:rFonts w:ascii="仿宋_GB2312" w:eastAsia="仿宋_GB2312"/>
          <w:kern w:val="0"/>
          <w:sz w:val="32"/>
          <w:szCs w:val="32"/>
        </w:rPr>
      </w:pPr>
      <w:r>
        <w:rPr>
          <w:rFonts w:hint="eastAsia" w:ascii="仿宋_GB2312" w:eastAsia="仿宋_GB2312"/>
          <w:kern w:val="0"/>
          <w:sz w:val="32"/>
          <w:szCs w:val="32"/>
        </w:rPr>
        <w:t>(k)视觉知识处理-视觉融合分析-视觉特征增强-对抗性特征鲁棒性增强</w:t>
      </w:r>
    </w:p>
    <w:p w14:paraId="3D5A3324">
      <w:pPr>
        <w:ind w:firstLine="640" w:firstLineChars="200"/>
        <w:rPr>
          <w:rFonts w:ascii="仿宋_GB2312" w:eastAsia="仿宋_GB2312"/>
          <w:kern w:val="0"/>
          <w:sz w:val="32"/>
          <w:szCs w:val="32"/>
        </w:rPr>
      </w:pPr>
      <w:r>
        <w:rPr>
          <w:rFonts w:hint="eastAsia" w:ascii="仿宋_GB2312" w:eastAsia="仿宋_GB2312"/>
          <w:kern w:val="0"/>
          <w:sz w:val="32"/>
          <w:szCs w:val="32"/>
        </w:rPr>
        <w:t>利用语义推理与关联分析技术，实现对异常数据、噪声输入及部分信息缺失场景的自适应容错处理，提升系统在复杂条件下的决策准确性与稳定性。</w:t>
      </w:r>
    </w:p>
    <w:p w14:paraId="0A65913A">
      <w:pPr>
        <w:ind w:firstLine="640" w:firstLineChars="200"/>
        <w:rPr>
          <w:rFonts w:ascii="仿宋_GB2312" w:eastAsia="仿宋_GB2312"/>
          <w:kern w:val="0"/>
          <w:sz w:val="32"/>
          <w:szCs w:val="32"/>
        </w:rPr>
      </w:pPr>
      <w:r>
        <w:rPr>
          <w:rFonts w:hint="eastAsia" w:ascii="仿宋_GB2312" w:eastAsia="仿宋_GB2312"/>
          <w:kern w:val="0"/>
          <w:sz w:val="32"/>
          <w:szCs w:val="32"/>
        </w:rPr>
        <w:t>(l)视觉知识处理-视觉融合分析-视觉特征增强-特征可解释性增强</w:t>
      </w:r>
    </w:p>
    <w:p w14:paraId="653330A5">
      <w:pPr>
        <w:ind w:firstLine="640" w:firstLineChars="200"/>
        <w:rPr>
          <w:rFonts w:ascii="仿宋_GB2312" w:eastAsia="仿宋_GB2312"/>
          <w:kern w:val="0"/>
          <w:sz w:val="32"/>
          <w:szCs w:val="32"/>
        </w:rPr>
      </w:pPr>
      <w:r>
        <w:rPr>
          <w:rFonts w:hint="eastAsia" w:ascii="仿宋_GB2312" w:eastAsia="仿宋_GB2312"/>
          <w:kern w:val="0"/>
          <w:sz w:val="32"/>
          <w:szCs w:val="32"/>
        </w:rPr>
        <w:t>基于知识图谱构建视觉大模型的语义化关联层，通过将视觉特征与知识图谱中的实体及关系进行对齐与映射，实现对视觉特征的可视化语义解释。该功能支持用户输入图像后，自动输出关联的实体节点、属性及推理路径，并以可交互方式展示关键区域与语义概念的对应关系，从而增强模型决策过程的透明性和可解释性。</w:t>
      </w:r>
    </w:p>
    <w:p w14:paraId="76A15FC5">
      <w:pPr>
        <w:ind w:firstLine="640" w:firstLineChars="200"/>
        <w:rPr>
          <w:rFonts w:ascii="仿宋_GB2312" w:eastAsia="仿宋_GB2312"/>
          <w:kern w:val="0"/>
          <w:sz w:val="32"/>
          <w:szCs w:val="32"/>
        </w:rPr>
      </w:pPr>
      <w:r>
        <w:rPr>
          <w:rFonts w:hint="eastAsia" w:ascii="仿宋_GB2312" w:eastAsia="仿宋_GB2312"/>
          <w:kern w:val="0"/>
          <w:sz w:val="32"/>
          <w:szCs w:val="32"/>
        </w:rPr>
        <w:t>(m)视觉知识处理-视觉融合分析-场景理解</w:t>
      </w:r>
      <w:r>
        <w:rPr>
          <w:rFonts w:hint="eastAsia" w:ascii="宋体" w:hAnsi="宋体" w:cs="宋体"/>
          <w:kern w:val="0"/>
          <w:sz w:val="32"/>
          <w:szCs w:val="32"/>
        </w:rPr>
        <w:t>増</w:t>
      </w:r>
      <w:r>
        <w:rPr>
          <w:rFonts w:hint="eastAsia" w:ascii="仿宋_GB2312" w:hAnsi="仿宋_GB2312" w:eastAsia="仿宋_GB2312" w:cs="仿宋_GB2312"/>
          <w:kern w:val="0"/>
          <w:sz w:val="32"/>
          <w:szCs w:val="32"/>
        </w:rPr>
        <w:t>强</w:t>
      </w:r>
      <w:r>
        <w:rPr>
          <w:rFonts w:hint="eastAsia" w:ascii="仿宋_GB2312" w:eastAsia="仿宋_GB2312"/>
          <w:kern w:val="0"/>
          <w:sz w:val="32"/>
          <w:szCs w:val="32"/>
        </w:rPr>
        <w:t>-多层次场景语义建模</w:t>
      </w:r>
    </w:p>
    <w:p w14:paraId="350116B9">
      <w:pPr>
        <w:ind w:firstLine="640" w:firstLineChars="200"/>
        <w:rPr>
          <w:rFonts w:ascii="仿宋_GB2312" w:eastAsia="仿宋_GB2312"/>
          <w:kern w:val="0"/>
          <w:sz w:val="32"/>
          <w:szCs w:val="32"/>
        </w:rPr>
      </w:pPr>
      <w:r>
        <w:rPr>
          <w:rFonts w:hint="eastAsia" w:ascii="仿宋_GB2312" w:eastAsia="仿宋_GB2312"/>
          <w:kern w:val="0"/>
          <w:sz w:val="32"/>
          <w:szCs w:val="32"/>
        </w:rPr>
        <w:t>场景理解增强知识图谱为视频场景理解提供结构化的语义框架：</w:t>
      </w:r>
    </w:p>
    <w:p w14:paraId="57052944">
      <w:pPr>
        <w:ind w:firstLine="640" w:firstLineChars="200"/>
        <w:rPr>
          <w:rFonts w:ascii="仿宋_GB2312" w:eastAsia="仿宋_GB2312"/>
          <w:kern w:val="0"/>
          <w:sz w:val="32"/>
          <w:szCs w:val="32"/>
        </w:rPr>
      </w:pPr>
      <w:r>
        <w:rPr>
          <w:rFonts w:hint="eastAsia" w:ascii="仿宋_GB2312" w:eastAsia="仿宋_GB2312"/>
          <w:kern w:val="0"/>
          <w:sz w:val="32"/>
          <w:szCs w:val="32"/>
        </w:rPr>
        <w:t>场景本体构建：定义公安视频场景的核心要素（场所类型、功能区域、典型对象、常规活动等）及其相互关系，形成场景理解的基础语义模型。</w:t>
      </w:r>
    </w:p>
    <w:p w14:paraId="7981063D">
      <w:pPr>
        <w:ind w:firstLine="640" w:firstLineChars="200"/>
        <w:rPr>
          <w:rFonts w:ascii="仿宋_GB2312" w:eastAsia="仿宋_GB2312"/>
          <w:kern w:val="0"/>
          <w:sz w:val="32"/>
          <w:szCs w:val="32"/>
        </w:rPr>
      </w:pPr>
      <w:r>
        <w:rPr>
          <w:rFonts w:hint="eastAsia" w:ascii="仿宋_GB2312" w:eastAsia="仿宋_GB2312"/>
          <w:kern w:val="0"/>
          <w:sz w:val="32"/>
          <w:szCs w:val="32"/>
        </w:rPr>
        <w:t>场景属性知识库：收集整理各类jk场景（如交通枢纽、公共场所、重点单位等）的典型特征和属性，编码为可计算的知识表示。</w:t>
      </w:r>
    </w:p>
    <w:p w14:paraId="6C4F2569">
      <w:pPr>
        <w:ind w:firstLine="640" w:firstLineChars="200"/>
        <w:rPr>
          <w:rFonts w:ascii="仿宋_GB2312" w:eastAsia="仿宋_GB2312"/>
          <w:kern w:val="0"/>
          <w:sz w:val="32"/>
          <w:szCs w:val="32"/>
        </w:rPr>
      </w:pPr>
      <w:r>
        <w:rPr>
          <w:rFonts w:hint="eastAsia" w:ascii="仿宋_GB2312" w:eastAsia="仿宋_GB2312"/>
          <w:kern w:val="0"/>
          <w:sz w:val="32"/>
          <w:szCs w:val="32"/>
        </w:rPr>
        <w:t>场景状态建模：将场景的动态变化因素（人流量、安全等级、异常指标等）作为时变属性纳入知识图谱，支持场景状态推理。</w:t>
      </w:r>
    </w:p>
    <w:p w14:paraId="3D2D5354">
      <w:pPr>
        <w:ind w:firstLine="640" w:firstLineChars="200"/>
        <w:rPr>
          <w:rFonts w:ascii="仿宋_GB2312" w:eastAsia="仿宋_GB2312"/>
          <w:kern w:val="0"/>
          <w:sz w:val="32"/>
          <w:szCs w:val="32"/>
        </w:rPr>
      </w:pPr>
      <w:r>
        <w:rPr>
          <w:rFonts w:hint="eastAsia" w:ascii="仿宋_GB2312" w:eastAsia="仿宋_GB2312"/>
          <w:kern w:val="0"/>
          <w:sz w:val="32"/>
          <w:szCs w:val="32"/>
        </w:rPr>
        <w:t>(n)视觉知识处理-视觉融合分析-场景理解</w:t>
      </w:r>
      <w:r>
        <w:rPr>
          <w:rFonts w:hint="eastAsia" w:ascii="宋体" w:hAnsi="宋体" w:cs="宋体"/>
          <w:kern w:val="0"/>
          <w:sz w:val="32"/>
          <w:szCs w:val="32"/>
        </w:rPr>
        <w:t>増</w:t>
      </w:r>
      <w:r>
        <w:rPr>
          <w:rFonts w:hint="eastAsia" w:ascii="仿宋_GB2312" w:hAnsi="仿宋_GB2312" w:eastAsia="仿宋_GB2312" w:cs="仿宋_GB2312"/>
          <w:kern w:val="0"/>
          <w:sz w:val="32"/>
          <w:szCs w:val="32"/>
        </w:rPr>
        <w:t>强</w:t>
      </w:r>
      <w:r>
        <w:rPr>
          <w:rFonts w:hint="eastAsia" w:ascii="仿宋_GB2312" w:eastAsia="仿宋_GB2312"/>
          <w:kern w:val="0"/>
          <w:sz w:val="32"/>
          <w:szCs w:val="32"/>
        </w:rPr>
        <w:t>-知识引导的场景解析</w:t>
      </w:r>
    </w:p>
    <w:p w14:paraId="769582A4">
      <w:pPr>
        <w:ind w:firstLine="640" w:firstLineChars="200"/>
        <w:rPr>
          <w:rFonts w:ascii="仿宋_GB2312" w:eastAsia="仿宋_GB2312"/>
          <w:kern w:val="0"/>
          <w:sz w:val="32"/>
          <w:szCs w:val="32"/>
        </w:rPr>
      </w:pPr>
      <w:r>
        <w:rPr>
          <w:rFonts w:hint="eastAsia" w:ascii="仿宋_GB2312" w:eastAsia="仿宋_GB2312"/>
          <w:kern w:val="0"/>
          <w:sz w:val="32"/>
          <w:szCs w:val="32"/>
        </w:rPr>
        <w:t>通过场景理解增强知识图谱实现：</w:t>
      </w:r>
    </w:p>
    <w:p w14:paraId="7B91C74D">
      <w:pPr>
        <w:ind w:firstLine="640" w:firstLineChars="200"/>
        <w:rPr>
          <w:rFonts w:ascii="仿宋_GB2312" w:eastAsia="仿宋_GB2312"/>
          <w:kern w:val="0"/>
          <w:sz w:val="32"/>
          <w:szCs w:val="32"/>
        </w:rPr>
      </w:pPr>
      <w:r>
        <w:rPr>
          <w:rFonts w:hint="eastAsia" w:ascii="仿宋_GB2312" w:eastAsia="仿宋_GB2312"/>
          <w:kern w:val="0"/>
          <w:sz w:val="32"/>
          <w:szCs w:val="32"/>
        </w:rPr>
        <w:t>场景类型识别增强：利用知识图谱中的场景特征关联，结合视觉语言大模型的跨模态理解能力，提高复杂场景分类准确率。</w:t>
      </w:r>
    </w:p>
    <w:p w14:paraId="12A6DCE7">
      <w:pPr>
        <w:ind w:firstLine="640" w:firstLineChars="200"/>
        <w:rPr>
          <w:rFonts w:ascii="仿宋_GB2312" w:eastAsia="仿宋_GB2312"/>
          <w:kern w:val="0"/>
          <w:sz w:val="32"/>
          <w:szCs w:val="32"/>
        </w:rPr>
      </w:pPr>
      <w:r>
        <w:rPr>
          <w:rFonts w:hint="eastAsia" w:ascii="仿宋_GB2312" w:eastAsia="仿宋_GB2312"/>
          <w:kern w:val="0"/>
          <w:sz w:val="32"/>
          <w:szCs w:val="32"/>
        </w:rPr>
        <w:t>功能区域分割：基于知识图谱中的空间语义关系（如“售票区-候车区-站台”的拓扑结构），指导视频图像中的语义区域分割。</w:t>
      </w:r>
    </w:p>
    <w:p w14:paraId="73AB1B96">
      <w:pPr>
        <w:ind w:firstLine="640" w:firstLineChars="200"/>
        <w:rPr>
          <w:rFonts w:ascii="仿宋_GB2312" w:eastAsia="仿宋_GB2312"/>
          <w:kern w:val="0"/>
          <w:sz w:val="32"/>
          <w:szCs w:val="32"/>
        </w:rPr>
      </w:pPr>
      <w:r>
        <w:rPr>
          <w:rFonts w:hint="eastAsia" w:ascii="仿宋_GB2312" w:eastAsia="仿宋_GB2312"/>
          <w:kern w:val="0"/>
          <w:sz w:val="32"/>
          <w:szCs w:val="32"/>
        </w:rPr>
        <w:t>场景要素关联分析：通过图谱中的语义关系网络，发现场景中各要素（人、物、行为）之间的潜在关联，揭示深层场景语义。</w:t>
      </w:r>
    </w:p>
    <w:p w14:paraId="3BB874B5">
      <w:pPr>
        <w:ind w:firstLine="640" w:firstLineChars="200"/>
        <w:rPr>
          <w:rFonts w:ascii="仿宋_GB2312" w:eastAsia="仿宋_GB2312"/>
          <w:kern w:val="0"/>
          <w:sz w:val="32"/>
          <w:szCs w:val="32"/>
        </w:rPr>
      </w:pPr>
      <w:r>
        <w:rPr>
          <w:rFonts w:hint="eastAsia" w:ascii="仿宋_GB2312" w:eastAsia="仿宋_GB2312"/>
          <w:kern w:val="0"/>
          <w:sz w:val="32"/>
          <w:szCs w:val="32"/>
        </w:rPr>
        <w:t>(o)视觉知识处理-视觉融合分析-场景理解</w:t>
      </w:r>
      <w:r>
        <w:rPr>
          <w:rFonts w:hint="eastAsia" w:ascii="宋体" w:hAnsi="宋体" w:cs="宋体"/>
          <w:kern w:val="0"/>
          <w:sz w:val="32"/>
          <w:szCs w:val="32"/>
        </w:rPr>
        <w:t>増</w:t>
      </w:r>
      <w:r>
        <w:rPr>
          <w:rFonts w:hint="eastAsia" w:ascii="仿宋_GB2312" w:hAnsi="仿宋_GB2312" w:eastAsia="仿宋_GB2312" w:cs="仿宋_GB2312"/>
          <w:kern w:val="0"/>
          <w:sz w:val="32"/>
          <w:szCs w:val="32"/>
        </w:rPr>
        <w:t>强</w:t>
      </w:r>
      <w:r>
        <w:rPr>
          <w:rFonts w:hint="eastAsia" w:ascii="仿宋_GB2312" w:eastAsia="仿宋_GB2312"/>
          <w:kern w:val="0"/>
          <w:sz w:val="32"/>
          <w:szCs w:val="32"/>
        </w:rPr>
        <w:t>-上下文感知的场景理解</w:t>
      </w:r>
    </w:p>
    <w:p w14:paraId="1BBB7A0E">
      <w:pPr>
        <w:ind w:firstLine="640" w:firstLineChars="200"/>
        <w:rPr>
          <w:rFonts w:ascii="仿宋_GB2312" w:eastAsia="仿宋_GB2312"/>
          <w:kern w:val="0"/>
          <w:sz w:val="32"/>
          <w:szCs w:val="32"/>
        </w:rPr>
      </w:pPr>
      <w:r>
        <w:rPr>
          <w:rFonts w:hint="eastAsia" w:ascii="仿宋_GB2312" w:eastAsia="仿宋_GB2312"/>
          <w:kern w:val="0"/>
          <w:sz w:val="32"/>
          <w:szCs w:val="32"/>
        </w:rPr>
        <w:t>场景理解增强知识图谱提供丰富的上下文推理能力：</w:t>
      </w:r>
    </w:p>
    <w:p w14:paraId="72A30010">
      <w:pPr>
        <w:ind w:firstLine="640" w:firstLineChars="200"/>
        <w:rPr>
          <w:rFonts w:ascii="仿宋_GB2312" w:eastAsia="仿宋_GB2312"/>
          <w:kern w:val="0"/>
          <w:sz w:val="32"/>
          <w:szCs w:val="32"/>
        </w:rPr>
      </w:pPr>
      <w:r>
        <w:rPr>
          <w:rFonts w:hint="eastAsia" w:ascii="仿宋_GB2312" w:eastAsia="仿宋_GB2312"/>
          <w:kern w:val="0"/>
          <w:sz w:val="32"/>
          <w:szCs w:val="32"/>
        </w:rPr>
        <w:t>时空上下文融合：将视频的时间信息（时段、日期类型）和空间信息（地理位置、场所类型）作为上下文知识融入场景理解过程。</w:t>
      </w:r>
    </w:p>
    <w:p w14:paraId="14D2359A">
      <w:pPr>
        <w:ind w:firstLine="640" w:firstLineChars="200"/>
        <w:rPr>
          <w:rFonts w:ascii="仿宋_GB2312" w:eastAsia="仿宋_GB2312"/>
          <w:kern w:val="0"/>
          <w:sz w:val="32"/>
          <w:szCs w:val="32"/>
        </w:rPr>
      </w:pPr>
      <w:r>
        <w:rPr>
          <w:rFonts w:hint="eastAsia" w:ascii="仿宋_GB2312" w:eastAsia="仿宋_GB2312"/>
          <w:kern w:val="0"/>
          <w:sz w:val="32"/>
          <w:szCs w:val="32"/>
        </w:rPr>
        <w:t>场景演变推理：利用知识图谱中的时序关系和事件模式，预测场景的可能演变趋势，实现前瞻性场景理解。</w:t>
      </w:r>
    </w:p>
    <w:p w14:paraId="076A5FBE">
      <w:pPr>
        <w:ind w:firstLine="640" w:firstLineChars="200"/>
        <w:rPr>
          <w:rFonts w:ascii="仿宋_GB2312" w:eastAsia="仿宋_GB2312"/>
          <w:kern w:val="0"/>
          <w:sz w:val="32"/>
          <w:szCs w:val="32"/>
        </w:rPr>
      </w:pPr>
      <w:r>
        <w:rPr>
          <w:rFonts w:hint="eastAsia" w:ascii="仿宋_GB2312" w:eastAsia="仿宋_GB2312"/>
          <w:kern w:val="0"/>
          <w:sz w:val="32"/>
          <w:szCs w:val="32"/>
        </w:rPr>
        <w:t>多场景关联分析：通过知识图谱中的空间和逻辑关联，实现跨摄像头、跨区域的场景协同理解。</w:t>
      </w:r>
    </w:p>
    <w:p w14:paraId="2827A661">
      <w:pPr>
        <w:ind w:firstLine="640" w:firstLineChars="200"/>
        <w:rPr>
          <w:rFonts w:ascii="仿宋_GB2312" w:eastAsia="仿宋_GB2312"/>
          <w:kern w:val="0"/>
          <w:sz w:val="32"/>
          <w:szCs w:val="32"/>
        </w:rPr>
      </w:pPr>
      <w:r>
        <w:rPr>
          <w:rFonts w:hint="eastAsia" w:ascii="仿宋_GB2312" w:eastAsia="仿宋_GB2312"/>
          <w:kern w:val="0"/>
          <w:sz w:val="32"/>
          <w:szCs w:val="32"/>
        </w:rPr>
        <w:t>(p)视觉知识处理-视觉融合分析-场景理解</w:t>
      </w:r>
      <w:r>
        <w:rPr>
          <w:rFonts w:hint="eastAsia" w:ascii="宋体" w:hAnsi="宋体" w:cs="宋体"/>
          <w:kern w:val="0"/>
          <w:sz w:val="32"/>
          <w:szCs w:val="32"/>
        </w:rPr>
        <w:t>増</w:t>
      </w:r>
      <w:r>
        <w:rPr>
          <w:rFonts w:hint="eastAsia" w:ascii="仿宋_GB2312" w:hAnsi="仿宋_GB2312" w:eastAsia="仿宋_GB2312" w:cs="仿宋_GB2312"/>
          <w:kern w:val="0"/>
          <w:sz w:val="32"/>
          <w:szCs w:val="32"/>
        </w:rPr>
        <w:t>强</w:t>
      </w:r>
      <w:r>
        <w:rPr>
          <w:rFonts w:hint="eastAsia" w:ascii="仿宋_GB2312" w:eastAsia="仿宋_GB2312"/>
          <w:kern w:val="0"/>
          <w:sz w:val="32"/>
          <w:szCs w:val="32"/>
        </w:rPr>
        <w:t>-异常场景检测与解释</w:t>
      </w:r>
    </w:p>
    <w:p w14:paraId="48EE6205">
      <w:pPr>
        <w:ind w:firstLine="640" w:firstLineChars="200"/>
        <w:rPr>
          <w:rFonts w:ascii="仿宋_GB2312" w:eastAsia="仿宋_GB2312"/>
          <w:kern w:val="0"/>
          <w:sz w:val="32"/>
          <w:szCs w:val="32"/>
        </w:rPr>
      </w:pPr>
      <w:r>
        <w:rPr>
          <w:rFonts w:hint="eastAsia" w:ascii="仿宋_GB2312" w:eastAsia="仿宋_GB2312"/>
          <w:kern w:val="0"/>
          <w:sz w:val="32"/>
          <w:szCs w:val="32"/>
        </w:rPr>
        <w:t>基于场景理解增强知识图谱的异常场景理解包括：</w:t>
      </w:r>
    </w:p>
    <w:p w14:paraId="399BD51B">
      <w:pPr>
        <w:ind w:firstLine="640" w:firstLineChars="200"/>
        <w:rPr>
          <w:rFonts w:ascii="仿宋_GB2312" w:eastAsia="仿宋_GB2312"/>
          <w:kern w:val="0"/>
          <w:sz w:val="32"/>
          <w:szCs w:val="32"/>
        </w:rPr>
      </w:pPr>
      <w:r>
        <w:rPr>
          <w:rFonts w:hint="eastAsia" w:ascii="仿宋_GB2312" w:eastAsia="仿宋_GB2312"/>
          <w:kern w:val="0"/>
          <w:sz w:val="32"/>
          <w:szCs w:val="32"/>
        </w:rPr>
        <w:t>场景正常模式知识库：将各类场景的正常活动模式、对象分布规律等编码为知识图谱中的规则和约束。</w:t>
      </w:r>
    </w:p>
    <w:p w14:paraId="4C41EE9D">
      <w:pPr>
        <w:ind w:firstLine="640" w:firstLineChars="200"/>
        <w:rPr>
          <w:rFonts w:ascii="仿宋_GB2312" w:eastAsia="仿宋_GB2312"/>
          <w:kern w:val="0"/>
          <w:sz w:val="32"/>
          <w:szCs w:val="32"/>
        </w:rPr>
      </w:pPr>
      <w:r>
        <w:rPr>
          <w:rFonts w:hint="eastAsia" w:ascii="仿宋_GB2312" w:eastAsia="仿宋_GB2312"/>
          <w:kern w:val="0"/>
          <w:sz w:val="32"/>
          <w:szCs w:val="32"/>
        </w:rPr>
        <w:t>多维度异常检测：结合视觉特征、时空模式、对象行为等多维信息，通过知识推理识别偏离正常模式的异常场景。</w:t>
      </w:r>
    </w:p>
    <w:p w14:paraId="1A4F2935">
      <w:pPr>
        <w:ind w:firstLine="640" w:firstLineChars="200"/>
        <w:rPr>
          <w:rFonts w:ascii="仿宋_GB2312" w:eastAsia="仿宋_GB2312"/>
          <w:kern w:val="0"/>
          <w:sz w:val="32"/>
          <w:szCs w:val="32"/>
        </w:rPr>
      </w:pPr>
      <w:r>
        <w:rPr>
          <w:rFonts w:hint="eastAsia" w:ascii="仿宋_GB2312" w:eastAsia="仿宋_GB2312"/>
          <w:kern w:val="0"/>
          <w:sz w:val="32"/>
          <w:szCs w:val="32"/>
        </w:rPr>
        <w:t>异常语义解释：利用知识图谱中的因果关系和相似案例，为检测到的场景异常提供可能的解释和风险评估。</w:t>
      </w:r>
    </w:p>
    <w:p w14:paraId="0B84A9F8">
      <w:pPr>
        <w:ind w:firstLine="640" w:firstLineChars="200"/>
        <w:rPr>
          <w:rFonts w:ascii="仿宋_GB2312" w:eastAsia="仿宋_GB2312"/>
          <w:kern w:val="0"/>
          <w:sz w:val="32"/>
          <w:szCs w:val="32"/>
        </w:rPr>
      </w:pPr>
      <w:r>
        <w:rPr>
          <w:rFonts w:hint="eastAsia" w:ascii="仿宋_GB2312" w:eastAsia="仿宋_GB2312"/>
          <w:kern w:val="0"/>
          <w:sz w:val="32"/>
          <w:szCs w:val="32"/>
        </w:rPr>
        <w:t>(q)视觉知识处理-视觉融合分析-场景理解</w:t>
      </w:r>
      <w:r>
        <w:rPr>
          <w:rFonts w:hint="eastAsia" w:ascii="宋体" w:hAnsi="宋体" w:cs="宋体"/>
          <w:kern w:val="0"/>
          <w:sz w:val="32"/>
          <w:szCs w:val="32"/>
        </w:rPr>
        <w:t>増</w:t>
      </w:r>
      <w:r>
        <w:rPr>
          <w:rFonts w:hint="eastAsia" w:ascii="仿宋_GB2312" w:hAnsi="仿宋_GB2312" w:eastAsia="仿宋_GB2312" w:cs="仿宋_GB2312"/>
          <w:kern w:val="0"/>
          <w:sz w:val="32"/>
          <w:szCs w:val="32"/>
        </w:rPr>
        <w:t>强</w:t>
      </w:r>
      <w:r>
        <w:rPr>
          <w:rFonts w:hint="eastAsia" w:ascii="仿宋_GB2312" w:eastAsia="仿宋_GB2312"/>
          <w:kern w:val="0"/>
          <w:sz w:val="32"/>
          <w:szCs w:val="32"/>
        </w:rPr>
        <w:t>-场景自适应理解</w:t>
      </w:r>
    </w:p>
    <w:p w14:paraId="7D3E89BD">
      <w:pPr>
        <w:ind w:firstLine="640" w:firstLineChars="200"/>
        <w:rPr>
          <w:rFonts w:ascii="仿宋_GB2312" w:eastAsia="仿宋_GB2312"/>
          <w:kern w:val="0"/>
          <w:sz w:val="32"/>
          <w:szCs w:val="32"/>
        </w:rPr>
      </w:pPr>
      <w:r>
        <w:rPr>
          <w:rFonts w:hint="eastAsia" w:ascii="仿宋_GB2312" w:eastAsia="仿宋_GB2312"/>
          <w:kern w:val="0"/>
          <w:sz w:val="32"/>
          <w:szCs w:val="32"/>
        </w:rPr>
        <w:t>针对公安场景的动态变化特性：</w:t>
      </w:r>
    </w:p>
    <w:p w14:paraId="72A53B6E">
      <w:pPr>
        <w:ind w:firstLine="640" w:firstLineChars="200"/>
        <w:rPr>
          <w:rFonts w:ascii="仿宋_GB2312" w:eastAsia="仿宋_GB2312"/>
          <w:kern w:val="0"/>
          <w:sz w:val="32"/>
          <w:szCs w:val="32"/>
        </w:rPr>
      </w:pPr>
      <w:r>
        <w:rPr>
          <w:rFonts w:hint="eastAsia" w:ascii="仿宋_GB2312" w:eastAsia="仿宋_GB2312"/>
          <w:kern w:val="0"/>
          <w:sz w:val="32"/>
          <w:szCs w:val="32"/>
        </w:rPr>
        <w:t>场景知识更新机制：建立场景知识的动态更新流程，将新出现的场景模式和要素及时纳入知识图谱。</w:t>
      </w:r>
    </w:p>
    <w:p w14:paraId="7FA6E24D">
      <w:pPr>
        <w:ind w:firstLine="640" w:firstLineChars="200"/>
        <w:rPr>
          <w:rFonts w:ascii="仿宋_GB2312" w:eastAsia="仿宋_GB2312"/>
          <w:kern w:val="0"/>
          <w:sz w:val="32"/>
          <w:szCs w:val="32"/>
        </w:rPr>
      </w:pPr>
      <w:r>
        <w:rPr>
          <w:rFonts w:hint="eastAsia" w:ascii="仿宋_GB2312" w:eastAsia="仿宋_GB2312"/>
          <w:kern w:val="0"/>
          <w:sz w:val="32"/>
          <w:szCs w:val="32"/>
        </w:rPr>
        <w:t>场景特异性建模：识别不同场景的特有关键要素（如地铁站的安检区域、银行的金库周边等），在知识图谱中建立针对性理解模型。</w:t>
      </w:r>
    </w:p>
    <w:p w14:paraId="0DCF34DC">
      <w:pPr>
        <w:ind w:firstLine="640" w:firstLineChars="200"/>
        <w:rPr>
          <w:rFonts w:ascii="仿宋_GB2312" w:eastAsia="仿宋_GB2312"/>
          <w:kern w:val="0"/>
          <w:sz w:val="32"/>
          <w:szCs w:val="32"/>
        </w:rPr>
      </w:pPr>
      <w:r>
        <w:rPr>
          <w:rFonts w:hint="eastAsia" w:ascii="仿宋_GB2312" w:eastAsia="仿宋_GB2312"/>
          <w:kern w:val="0"/>
          <w:sz w:val="32"/>
          <w:szCs w:val="32"/>
        </w:rPr>
        <w:t>场景理解策略调整：根据场景的重要性和风险等级，动态调整理解深度和关注焦点。</w:t>
      </w:r>
    </w:p>
    <w:p w14:paraId="4F32AB31">
      <w:pPr>
        <w:ind w:firstLine="640" w:firstLineChars="200"/>
        <w:rPr>
          <w:rFonts w:ascii="仿宋_GB2312" w:eastAsia="仿宋_GB2312"/>
          <w:kern w:val="0"/>
          <w:sz w:val="32"/>
          <w:szCs w:val="32"/>
        </w:rPr>
      </w:pPr>
      <w:r>
        <w:rPr>
          <w:rFonts w:hint="eastAsia" w:ascii="仿宋_GB2312" w:eastAsia="仿宋_GB2312"/>
          <w:kern w:val="0"/>
          <w:sz w:val="32"/>
          <w:szCs w:val="32"/>
        </w:rPr>
        <w:t>(r)视觉知识处理-视觉融合分析-场景理解</w:t>
      </w:r>
      <w:r>
        <w:rPr>
          <w:rFonts w:hint="eastAsia" w:ascii="宋体" w:hAnsi="宋体" w:cs="宋体"/>
          <w:kern w:val="0"/>
          <w:sz w:val="32"/>
          <w:szCs w:val="32"/>
        </w:rPr>
        <w:t>増</w:t>
      </w:r>
      <w:r>
        <w:rPr>
          <w:rFonts w:hint="eastAsia" w:ascii="仿宋_GB2312" w:hAnsi="仿宋_GB2312" w:eastAsia="仿宋_GB2312" w:cs="仿宋_GB2312"/>
          <w:kern w:val="0"/>
          <w:sz w:val="32"/>
          <w:szCs w:val="32"/>
        </w:rPr>
        <w:t>强</w:t>
      </w:r>
      <w:r>
        <w:rPr>
          <w:rFonts w:hint="eastAsia" w:ascii="仿宋_GB2312" w:eastAsia="仿宋_GB2312"/>
          <w:kern w:val="0"/>
          <w:sz w:val="32"/>
          <w:szCs w:val="32"/>
        </w:rPr>
        <w:t>-场景理解的可视化与交互</w:t>
      </w:r>
    </w:p>
    <w:p w14:paraId="289A3E67">
      <w:pPr>
        <w:ind w:firstLine="640" w:firstLineChars="200"/>
        <w:rPr>
          <w:rFonts w:ascii="仿宋_GB2312" w:eastAsia="仿宋_GB2312"/>
          <w:kern w:val="0"/>
          <w:sz w:val="32"/>
          <w:szCs w:val="32"/>
        </w:rPr>
      </w:pPr>
      <w:r>
        <w:rPr>
          <w:rFonts w:hint="eastAsia" w:ascii="仿宋_GB2312" w:eastAsia="仿宋_GB2312"/>
          <w:kern w:val="0"/>
          <w:sz w:val="32"/>
          <w:szCs w:val="32"/>
        </w:rPr>
        <w:t>通过直观的图谱结构展示实体、关系及属性，支持用户通过点选、拖拽、搜索等方式交互探索，提供动态筛选、路径分析、关联挖掘等操作，以清晰、可交互的方式呈现复杂场景知识，提升理解效率与决策支持。</w:t>
      </w:r>
    </w:p>
    <w:p w14:paraId="5466DD9A">
      <w:pPr>
        <w:ind w:firstLine="640" w:firstLineChars="200"/>
        <w:rPr>
          <w:rFonts w:ascii="仿宋_GB2312" w:eastAsia="仿宋_GB2312"/>
          <w:kern w:val="0"/>
          <w:sz w:val="32"/>
          <w:szCs w:val="32"/>
        </w:rPr>
      </w:pPr>
      <w:r>
        <w:rPr>
          <w:rFonts w:hint="eastAsia" w:ascii="仿宋_GB2312" w:eastAsia="仿宋_GB2312"/>
          <w:kern w:val="0"/>
          <w:sz w:val="32"/>
          <w:szCs w:val="32"/>
        </w:rPr>
        <w:t>(s)视觉知识处理-视觉融合分析-业务理解增强-公安业务知识体系构建</w:t>
      </w:r>
    </w:p>
    <w:p w14:paraId="0CDA0004">
      <w:pPr>
        <w:ind w:firstLine="640" w:firstLineChars="200"/>
        <w:rPr>
          <w:rFonts w:ascii="仿宋_GB2312" w:eastAsia="仿宋_GB2312"/>
          <w:kern w:val="0"/>
          <w:sz w:val="32"/>
          <w:szCs w:val="32"/>
        </w:rPr>
      </w:pPr>
      <w:r>
        <w:rPr>
          <w:rFonts w:hint="eastAsia" w:ascii="仿宋_GB2312" w:eastAsia="仿宋_GB2312"/>
          <w:kern w:val="0"/>
          <w:sz w:val="32"/>
          <w:szCs w:val="32"/>
        </w:rPr>
        <w:t>知识图谱为业务理解提供专业支撑：</w:t>
      </w:r>
    </w:p>
    <w:p w14:paraId="28AF33FB">
      <w:pPr>
        <w:ind w:firstLine="640" w:firstLineChars="200"/>
        <w:rPr>
          <w:rFonts w:ascii="仿宋_GB2312" w:eastAsia="仿宋_GB2312"/>
          <w:kern w:val="0"/>
          <w:sz w:val="32"/>
          <w:szCs w:val="32"/>
        </w:rPr>
      </w:pPr>
      <w:r>
        <w:rPr>
          <w:rFonts w:hint="eastAsia" w:ascii="仿宋_GB2312" w:eastAsia="仿宋_GB2312"/>
          <w:kern w:val="0"/>
          <w:sz w:val="32"/>
          <w:szCs w:val="32"/>
        </w:rPr>
        <w:t>业务本体建模：构建覆盖公安核心业务（如治安防控、刑事侦查、交通管理等）的概念体系，定义业务实体、属性及相互关系。</w:t>
      </w:r>
    </w:p>
    <w:p w14:paraId="7D99D600">
      <w:pPr>
        <w:ind w:firstLine="640" w:firstLineChars="200"/>
        <w:rPr>
          <w:rFonts w:ascii="仿宋_GB2312" w:eastAsia="仿宋_GB2312"/>
          <w:kern w:val="0"/>
          <w:sz w:val="32"/>
          <w:szCs w:val="32"/>
        </w:rPr>
      </w:pPr>
      <w:r>
        <w:rPr>
          <w:rFonts w:hint="eastAsia" w:ascii="仿宋_GB2312" w:eastAsia="仿宋_GB2312"/>
          <w:kern w:val="0"/>
          <w:sz w:val="32"/>
          <w:szCs w:val="32"/>
        </w:rPr>
        <w:t>业务流程知识库：将各类公安业务的标准化流程、处理规范、法律依据等编码为可计算的知识表示。</w:t>
      </w:r>
    </w:p>
    <w:p w14:paraId="183182F9">
      <w:pPr>
        <w:ind w:firstLine="640" w:firstLineChars="200"/>
        <w:rPr>
          <w:rFonts w:ascii="仿宋_GB2312" w:eastAsia="仿宋_GB2312"/>
          <w:kern w:val="0"/>
          <w:sz w:val="32"/>
          <w:szCs w:val="32"/>
        </w:rPr>
      </w:pPr>
      <w:r>
        <w:rPr>
          <w:rFonts w:hint="eastAsia" w:ascii="仿宋_GB2312" w:eastAsia="仿宋_GB2312"/>
          <w:kern w:val="0"/>
          <w:sz w:val="32"/>
          <w:szCs w:val="32"/>
        </w:rPr>
        <w:t>案件要素模型：定义各类案件（盗窃、抢劫、交通事故等）的关键要素及其关联模式，形成案件分析的知识模板。</w:t>
      </w:r>
    </w:p>
    <w:p w14:paraId="4C0A0A60">
      <w:pPr>
        <w:ind w:firstLine="640" w:firstLineChars="200"/>
        <w:rPr>
          <w:rFonts w:ascii="仿宋_GB2312" w:eastAsia="仿宋_GB2312"/>
          <w:kern w:val="0"/>
          <w:sz w:val="32"/>
          <w:szCs w:val="32"/>
        </w:rPr>
      </w:pPr>
      <w:r>
        <w:rPr>
          <w:rFonts w:hint="eastAsia" w:ascii="仿宋_GB2312" w:eastAsia="仿宋_GB2312"/>
          <w:kern w:val="0"/>
          <w:sz w:val="32"/>
          <w:szCs w:val="32"/>
        </w:rPr>
        <w:t>(t)视觉知识处理-视觉融合分析-业务理解增强-业务导向的视频内容解析</w:t>
      </w:r>
    </w:p>
    <w:p w14:paraId="77F023F6">
      <w:pPr>
        <w:ind w:firstLine="640" w:firstLineChars="200"/>
        <w:rPr>
          <w:rFonts w:ascii="仿宋_GB2312" w:eastAsia="仿宋_GB2312"/>
          <w:kern w:val="0"/>
          <w:sz w:val="32"/>
          <w:szCs w:val="32"/>
        </w:rPr>
      </w:pPr>
      <w:r>
        <w:rPr>
          <w:rFonts w:hint="eastAsia" w:ascii="仿宋_GB2312" w:eastAsia="仿宋_GB2312"/>
          <w:kern w:val="0"/>
          <w:sz w:val="32"/>
          <w:szCs w:val="32"/>
        </w:rPr>
        <w:t>通过知识图谱实现：</w:t>
      </w:r>
    </w:p>
    <w:p w14:paraId="1C849C31">
      <w:pPr>
        <w:ind w:firstLine="640" w:firstLineChars="200"/>
        <w:rPr>
          <w:rFonts w:ascii="仿宋_GB2312" w:eastAsia="仿宋_GB2312"/>
          <w:kern w:val="0"/>
          <w:sz w:val="32"/>
          <w:szCs w:val="32"/>
        </w:rPr>
      </w:pPr>
      <w:r>
        <w:rPr>
          <w:rFonts w:hint="eastAsia" w:ascii="仿宋_GB2312" w:eastAsia="仿宋_GB2312"/>
          <w:kern w:val="0"/>
          <w:sz w:val="32"/>
          <w:szCs w:val="32"/>
        </w:rPr>
        <w:t>业务关键对象识别：根据当前业务需求（如寻人、缉车），利用知识图谱中的业务规则确定视频分析的目标对象和特征。</w:t>
      </w:r>
    </w:p>
    <w:p w14:paraId="6402F146">
      <w:pPr>
        <w:ind w:firstLine="640" w:firstLineChars="200"/>
        <w:rPr>
          <w:rFonts w:ascii="仿宋_GB2312" w:eastAsia="仿宋_GB2312"/>
          <w:kern w:val="0"/>
          <w:sz w:val="32"/>
          <w:szCs w:val="32"/>
        </w:rPr>
      </w:pPr>
      <w:r>
        <w:rPr>
          <w:rFonts w:hint="eastAsia" w:ascii="仿宋_GB2312" w:eastAsia="仿宋_GB2312"/>
          <w:kern w:val="0"/>
          <w:sz w:val="32"/>
          <w:szCs w:val="32"/>
        </w:rPr>
        <w:t>业务场景理解：结合业务上下文（如重大活动安保、案件侦查），调整视频理解的侧重点和解析深度。</w:t>
      </w:r>
    </w:p>
    <w:p w14:paraId="006261E6">
      <w:pPr>
        <w:ind w:firstLine="640" w:firstLineChars="200"/>
        <w:rPr>
          <w:rFonts w:ascii="仿宋_GB2312" w:eastAsia="仿宋_GB2312"/>
          <w:kern w:val="0"/>
          <w:sz w:val="32"/>
          <w:szCs w:val="32"/>
        </w:rPr>
      </w:pPr>
      <w:r>
        <w:rPr>
          <w:rFonts w:hint="eastAsia" w:ascii="仿宋_GB2312" w:eastAsia="仿宋_GB2312"/>
          <w:kern w:val="0"/>
          <w:sz w:val="32"/>
          <w:szCs w:val="32"/>
        </w:rPr>
        <w:t>业务语义标注：将视频内容自动标注为业务相关的语义描述（如“可疑ry徘徊”、“车辆违章停放”等），便于业务系统处理。</w:t>
      </w:r>
    </w:p>
    <w:p w14:paraId="3942F321">
      <w:pPr>
        <w:ind w:firstLine="640" w:firstLineChars="200"/>
        <w:rPr>
          <w:rFonts w:ascii="仿宋_GB2312" w:eastAsia="仿宋_GB2312"/>
          <w:kern w:val="0"/>
          <w:sz w:val="32"/>
          <w:szCs w:val="32"/>
        </w:rPr>
      </w:pPr>
      <w:r>
        <w:rPr>
          <w:rFonts w:hint="eastAsia" w:ascii="仿宋_GB2312" w:eastAsia="仿宋_GB2312"/>
          <w:kern w:val="0"/>
          <w:sz w:val="32"/>
          <w:szCs w:val="32"/>
        </w:rPr>
        <w:t>(u)视觉知识处理-视觉融合分析-业务理解增强-案件xs发现与关联</w:t>
      </w:r>
    </w:p>
    <w:p w14:paraId="6DCC3DD7">
      <w:pPr>
        <w:ind w:firstLine="640" w:firstLineChars="200"/>
        <w:rPr>
          <w:rFonts w:ascii="仿宋_GB2312" w:eastAsia="仿宋_GB2312"/>
          <w:kern w:val="0"/>
          <w:sz w:val="32"/>
          <w:szCs w:val="32"/>
        </w:rPr>
      </w:pPr>
      <w:r>
        <w:rPr>
          <w:rFonts w:hint="eastAsia" w:ascii="仿宋_GB2312" w:eastAsia="仿宋_GB2312"/>
          <w:kern w:val="0"/>
          <w:sz w:val="32"/>
          <w:szCs w:val="32"/>
        </w:rPr>
        <w:t>基于知识图谱的业务理解增强：</w:t>
      </w:r>
    </w:p>
    <w:p w14:paraId="2133508B">
      <w:pPr>
        <w:ind w:firstLine="640" w:firstLineChars="200"/>
        <w:rPr>
          <w:rFonts w:ascii="仿宋_GB2312" w:eastAsia="仿宋_GB2312"/>
          <w:kern w:val="0"/>
          <w:sz w:val="32"/>
          <w:szCs w:val="32"/>
        </w:rPr>
      </w:pPr>
      <w:r>
        <w:rPr>
          <w:rFonts w:hint="eastAsia" w:ascii="仿宋_GB2312" w:eastAsia="仿宋_GB2312"/>
          <w:kern w:val="0"/>
          <w:sz w:val="32"/>
          <w:szCs w:val="32"/>
        </w:rPr>
        <w:t>多源xs关联：将视频中发现的可疑对象、行为与知识图谱中的案件信息、ry档案等进行关联分析，发现潜在xs。</w:t>
      </w:r>
    </w:p>
    <w:p w14:paraId="6FBFC36D">
      <w:pPr>
        <w:ind w:firstLine="640" w:firstLineChars="200"/>
        <w:rPr>
          <w:rFonts w:ascii="仿宋_GB2312" w:eastAsia="仿宋_GB2312"/>
          <w:kern w:val="0"/>
          <w:sz w:val="32"/>
          <w:szCs w:val="32"/>
        </w:rPr>
      </w:pPr>
      <w:r>
        <w:rPr>
          <w:rFonts w:hint="eastAsia" w:ascii="仿宋_GB2312" w:eastAsia="仿宋_GB2312"/>
          <w:kern w:val="0"/>
          <w:sz w:val="32"/>
          <w:szCs w:val="32"/>
        </w:rPr>
        <w:t>案件模式匹配：利用知识图谱中的案件模式库，识别视频中与历史案件相似的行为模式和场景特征。</w:t>
      </w:r>
    </w:p>
    <w:p w14:paraId="59FA7E87">
      <w:pPr>
        <w:ind w:firstLine="640" w:firstLineChars="200"/>
        <w:rPr>
          <w:rFonts w:ascii="仿宋_GB2312" w:eastAsia="仿宋_GB2312"/>
          <w:kern w:val="0"/>
          <w:sz w:val="32"/>
          <w:szCs w:val="32"/>
        </w:rPr>
      </w:pPr>
      <w:r>
        <w:rPr>
          <w:rFonts w:hint="eastAsia" w:ascii="仿宋_GB2312" w:eastAsia="仿宋_GB2312"/>
          <w:kern w:val="0"/>
          <w:sz w:val="32"/>
          <w:szCs w:val="32"/>
        </w:rPr>
        <w:t>(v)视觉知识处理-视觉融合分析-业务理解增强-业务决策支持</w:t>
      </w:r>
    </w:p>
    <w:p w14:paraId="3D9B78F2">
      <w:pPr>
        <w:ind w:firstLine="640" w:firstLineChars="200"/>
        <w:rPr>
          <w:rFonts w:ascii="仿宋_GB2312" w:eastAsia="仿宋_GB2312"/>
          <w:kern w:val="0"/>
          <w:sz w:val="32"/>
          <w:szCs w:val="32"/>
        </w:rPr>
      </w:pPr>
      <w:r>
        <w:rPr>
          <w:rFonts w:hint="eastAsia" w:ascii="仿宋_GB2312" w:eastAsia="仿宋_GB2312"/>
          <w:kern w:val="0"/>
          <w:sz w:val="32"/>
          <w:szCs w:val="32"/>
        </w:rPr>
        <w:t>知识图谱提供：</w:t>
      </w:r>
    </w:p>
    <w:p w14:paraId="64C719C8">
      <w:pPr>
        <w:ind w:firstLine="640" w:firstLineChars="200"/>
        <w:rPr>
          <w:rFonts w:ascii="仿宋_GB2312" w:eastAsia="仿宋_GB2312"/>
          <w:kern w:val="0"/>
          <w:sz w:val="32"/>
          <w:szCs w:val="32"/>
        </w:rPr>
      </w:pPr>
      <w:r>
        <w:rPr>
          <w:rFonts w:hint="eastAsia" w:ascii="仿宋_GB2312" w:eastAsia="仿宋_GB2312"/>
          <w:kern w:val="0"/>
          <w:sz w:val="32"/>
          <w:szCs w:val="32"/>
        </w:rPr>
        <w:t>风险评估：基于视频分析结果和知识图谱中的风险模型，对当前场景或对象进行风险评估和分级。</w:t>
      </w:r>
    </w:p>
    <w:p w14:paraId="2EC7B8B4">
      <w:pPr>
        <w:ind w:firstLine="640" w:firstLineChars="200"/>
        <w:rPr>
          <w:rFonts w:ascii="仿宋_GB2312" w:eastAsia="仿宋_GB2312"/>
          <w:kern w:val="0"/>
          <w:sz w:val="32"/>
          <w:szCs w:val="32"/>
        </w:rPr>
      </w:pPr>
      <w:r>
        <w:rPr>
          <w:rFonts w:hint="eastAsia" w:ascii="仿宋_GB2312" w:eastAsia="仿宋_GB2312"/>
          <w:kern w:val="0"/>
          <w:sz w:val="32"/>
          <w:szCs w:val="32"/>
        </w:rPr>
        <w:t>处置建议：根据业务规则和案例库，为视频中发现的异常情况提供处置建议和流程指引。</w:t>
      </w:r>
    </w:p>
    <w:p w14:paraId="1CAA669B">
      <w:pPr>
        <w:ind w:firstLine="640" w:firstLineChars="200"/>
        <w:rPr>
          <w:rFonts w:ascii="仿宋_GB2312" w:eastAsia="仿宋_GB2312"/>
          <w:kern w:val="0"/>
          <w:sz w:val="32"/>
          <w:szCs w:val="32"/>
        </w:rPr>
      </w:pPr>
      <w:r>
        <w:rPr>
          <w:rFonts w:hint="eastAsia" w:ascii="仿宋_GB2312" w:eastAsia="仿宋_GB2312"/>
          <w:kern w:val="0"/>
          <w:sz w:val="32"/>
          <w:szCs w:val="32"/>
        </w:rPr>
        <w:t>(w)视觉知识处理-视觉融合分析-业务理解增强-业务知识迭代更新</w:t>
      </w:r>
    </w:p>
    <w:p w14:paraId="20C2BAA0">
      <w:pPr>
        <w:ind w:firstLine="640" w:firstLineChars="200"/>
        <w:rPr>
          <w:rFonts w:ascii="仿宋_GB2312" w:eastAsia="仿宋_GB2312"/>
          <w:kern w:val="0"/>
          <w:sz w:val="32"/>
          <w:szCs w:val="32"/>
        </w:rPr>
      </w:pPr>
      <w:r>
        <w:rPr>
          <w:rFonts w:hint="eastAsia" w:ascii="仿宋_GB2312" w:eastAsia="仿宋_GB2312"/>
          <w:kern w:val="0"/>
          <w:sz w:val="32"/>
          <w:szCs w:val="32"/>
        </w:rPr>
        <w:t>实现业务理解的持续优化：</w:t>
      </w:r>
    </w:p>
    <w:p w14:paraId="7052DEAD">
      <w:pPr>
        <w:ind w:firstLine="640" w:firstLineChars="200"/>
        <w:rPr>
          <w:rFonts w:ascii="仿宋_GB2312" w:eastAsia="仿宋_GB2312"/>
          <w:kern w:val="0"/>
          <w:sz w:val="32"/>
          <w:szCs w:val="32"/>
        </w:rPr>
      </w:pPr>
      <w:r>
        <w:rPr>
          <w:rFonts w:hint="eastAsia" w:ascii="仿宋_GB2312" w:eastAsia="仿宋_GB2312"/>
          <w:kern w:val="0"/>
          <w:sz w:val="32"/>
          <w:szCs w:val="32"/>
        </w:rPr>
        <w:t>案例学习机制：将成功案例的处理经验和视频特征反哺到知识图谱中，丰富业务知识库。</w:t>
      </w:r>
    </w:p>
    <w:p w14:paraId="5C02A591">
      <w:pPr>
        <w:ind w:firstLine="640" w:firstLineChars="200"/>
        <w:rPr>
          <w:rFonts w:ascii="仿宋_GB2312" w:eastAsia="仿宋_GB2312"/>
          <w:kern w:val="0"/>
          <w:sz w:val="32"/>
          <w:szCs w:val="32"/>
        </w:rPr>
      </w:pPr>
      <w:r>
        <w:rPr>
          <w:rFonts w:hint="eastAsia" w:ascii="仿宋_GB2312" w:eastAsia="仿宋_GB2312"/>
          <w:kern w:val="0"/>
          <w:sz w:val="32"/>
          <w:szCs w:val="32"/>
        </w:rPr>
        <w:t>业务规则优化：通过分析视频数据与业务结果的关联，发现业务规则中的优化空间。</w:t>
      </w:r>
    </w:p>
    <w:p w14:paraId="76DC4C15">
      <w:pPr>
        <w:ind w:firstLine="640" w:firstLineChars="200"/>
        <w:rPr>
          <w:rFonts w:ascii="仿宋_GB2312" w:eastAsia="仿宋_GB2312"/>
          <w:kern w:val="0"/>
          <w:sz w:val="32"/>
          <w:szCs w:val="32"/>
        </w:rPr>
      </w:pPr>
      <w:r>
        <w:rPr>
          <w:rFonts w:hint="eastAsia" w:ascii="仿宋_GB2312" w:eastAsia="仿宋_GB2312"/>
          <w:kern w:val="0"/>
          <w:sz w:val="32"/>
          <w:szCs w:val="32"/>
        </w:rPr>
        <w:t>利用大模型的分析能力，更新知识图谱。</w:t>
      </w:r>
    </w:p>
    <w:p w14:paraId="043E01C3">
      <w:pPr>
        <w:ind w:firstLine="640" w:firstLineChars="200"/>
        <w:rPr>
          <w:rFonts w:ascii="仿宋_GB2312" w:eastAsia="仿宋_GB2312"/>
          <w:kern w:val="0"/>
          <w:sz w:val="32"/>
          <w:szCs w:val="32"/>
        </w:rPr>
      </w:pPr>
      <w:r>
        <w:rPr>
          <w:rFonts w:hint="eastAsia" w:ascii="仿宋_GB2312" w:eastAsia="仿宋_GB2312"/>
          <w:kern w:val="0"/>
          <w:sz w:val="32"/>
          <w:szCs w:val="32"/>
        </w:rPr>
        <w:t>(x)视觉知识处理-视觉融合分析-业务理解增强-跨业务协同理解</w:t>
      </w:r>
    </w:p>
    <w:p w14:paraId="73661367">
      <w:pPr>
        <w:ind w:firstLine="640" w:firstLineChars="200"/>
        <w:rPr>
          <w:rFonts w:ascii="仿宋_GB2312" w:eastAsia="仿宋_GB2312"/>
          <w:kern w:val="0"/>
          <w:sz w:val="32"/>
          <w:szCs w:val="32"/>
        </w:rPr>
      </w:pPr>
      <w:r>
        <w:rPr>
          <w:rFonts w:hint="eastAsia" w:ascii="仿宋_GB2312" w:eastAsia="仿宋_GB2312"/>
          <w:kern w:val="0"/>
          <w:sz w:val="32"/>
          <w:szCs w:val="32"/>
        </w:rPr>
        <w:t>知识图谱支持：</w:t>
      </w:r>
    </w:p>
    <w:p w14:paraId="33CE5B44">
      <w:pPr>
        <w:ind w:firstLine="640" w:firstLineChars="200"/>
        <w:rPr>
          <w:rFonts w:ascii="仿宋_GB2312" w:eastAsia="仿宋_GB2312"/>
          <w:kern w:val="0"/>
          <w:sz w:val="32"/>
          <w:szCs w:val="32"/>
        </w:rPr>
      </w:pPr>
      <w:r>
        <w:rPr>
          <w:rFonts w:hint="eastAsia" w:ascii="仿宋_GB2312" w:eastAsia="仿宋_GB2312"/>
          <w:kern w:val="0"/>
          <w:sz w:val="32"/>
          <w:szCs w:val="32"/>
        </w:rPr>
        <w:t>- 业务边界识别：明确不同业务部门对视频内容的需求差异，提供针对性的分析结果。</w:t>
      </w:r>
    </w:p>
    <w:p w14:paraId="61B47A0A">
      <w:pPr>
        <w:ind w:firstLine="640" w:firstLineChars="200"/>
        <w:rPr>
          <w:rFonts w:ascii="仿宋_GB2312" w:eastAsia="仿宋_GB2312"/>
          <w:kern w:val="0"/>
          <w:sz w:val="32"/>
          <w:szCs w:val="32"/>
        </w:rPr>
      </w:pPr>
      <w:r>
        <w:rPr>
          <w:rFonts w:hint="eastAsia" w:ascii="仿宋_GB2312" w:eastAsia="仿宋_GB2312"/>
          <w:kern w:val="0"/>
          <w:sz w:val="32"/>
          <w:szCs w:val="32"/>
        </w:rPr>
        <w:t>- 业务信息共享：通过统一的知识表示，实现视频分析结果在不同业务系统间的无缝流转和共享。</w:t>
      </w:r>
    </w:p>
    <w:p w14:paraId="46FCD5C8">
      <w:pPr>
        <w:ind w:firstLine="640" w:firstLineChars="200"/>
        <w:rPr>
          <w:rFonts w:ascii="仿宋_GB2312" w:eastAsia="仿宋_GB2312"/>
          <w:kern w:val="0"/>
          <w:sz w:val="32"/>
          <w:szCs w:val="32"/>
        </w:rPr>
      </w:pPr>
      <w:r>
        <w:rPr>
          <w:rFonts w:hint="eastAsia" w:ascii="仿宋_GB2312" w:eastAsia="仿宋_GB2312"/>
          <w:kern w:val="0"/>
          <w:sz w:val="32"/>
          <w:szCs w:val="32"/>
        </w:rPr>
        <w:t>- 综合业务视图：整合多业务视角的视频理解结果，形成综合性的态势感知。</w:t>
      </w:r>
    </w:p>
    <w:p w14:paraId="3D5298E2">
      <w:pPr>
        <w:ind w:firstLine="640" w:firstLineChars="200"/>
        <w:rPr>
          <w:rFonts w:ascii="仿宋_GB2312" w:eastAsia="仿宋_GB2312"/>
          <w:kern w:val="0"/>
          <w:sz w:val="32"/>
          <w:szCs w:val="32"/>
        </w:rPr>
      </w:pPr>
      <w:r>
        <w:rPr>
          <w:rFonts w:hint="eastAsia" w:ascii="仿宋_GB2312" w:eastAsia="仿宋_GB2312"/>
          <w:kern w:val="0"/>
          <w:sz w:val="32"/>
          <w:szCs w:val="32"/>
        </w:rPr>
        <w:t>(y)视觉知识处理-视觉融合分析-业务理解增强-业务合规与隐私保护</w:t>
      </w:r>
    </w:p>
    <w:p w14:paraId="6A3532F3">
      <w:pPr>
        <w:ind w:firstLine="640" w:firstLineChars="200"/>
        <w:rPr>
          <w:rFonts w:ascii="仿宋_GB2312" w:eastAsia="仿宋_GB2312"/>
          <w:kern w:val="0"/>
          <w:sz w:val="32"/>
          <w:szCs w:val="32"/>
        </w:rPr>
      </w:pPr>
      <w:r>
        <w:rPr>
          <w:rFonts w:hint="eastAsia" w:ascii="仿宋_GB2312" w:eastAsia="仿宋_GB2312"/>
          <w:kern w:val="0"/>
          <w:sz w:val="32"/>
          <w:szCs w:val="32"/>
        </w:rPr>
        <w:t>通过知识图谱结构存储敏感视觉特征拒识的知识体系，以确保增强大模型在认知推断过程中的业务合规和隐私保护。</w:t>
      </w:r>
    </w:p>
    <w:p w14:paraId="4245669A">
      <w:pPr>
        <w:ind w:firstLine="640" w:firstLineChars="200"/>
        <w:rPr>
          <w:rFonts w:ascii="仿宋_GB2312" w:eastAsia="仿宋_GB2312"/>
          <w:kern w:val="0"/>
          <w:sz w:val="32"/>
          <w:szCs w:val="32"/>
        </w:rPr>
      </w:pPr>
      <w:r>
        <w:rPr>
          <w:rFonts w:hint="eastAsia" w:ascii="仿宋_GB2312" w:eastAsia="仿宋_GB2312"/>
          <w:kern w:val="0"/>
          <w:sz w:val="32"/>
          <w:szCs w:val="32"/>
        </w:rPr>
        <w:t>d.视觉知识服务</w:t>
      </w:r>
    </w:p>
    <w:p w14:paraId="531F4AC8">
      <w:pPr>
        <w:ind w:firstLine="640" w:firstLineChars="200"/>
        <w:rPr>
          <w:rFonts w:ascii="仿宋_GB2312" w:eastAsia="仿宋_GB2312"/>
          <w:kern w:val="0"/>
          <w:sz w:val="32"/>
          <w:szCs w:val="32"/>
        </w:rPr>
      </w:pPr>
      <w:r>
        <w:rPr>
          <w:rFonts w:hint="eastAsia" w:ascii="仿宋_GB2312" w:eastAsia="仿宋_GB2312"/>
          <w:kern w:val="0"/>
          <w:sz w:val="32"/>
          <w:szCs w:val="32"/>
        </w:rPr>
        <w:t>(a)视觉知识服务-视觉知识服务开放配置管理</w:t>
      </w:r>
    </w:p>
    <w:p w14:paraId="74B621D9">
      <w:pPr>
        <w:ind w:firstLine="640" w:firstLineChars="200"/>
        <w:rPr>
          <w:rFonts w:ascii="仿宋_GB2312" w:eastAsia="仿宋_GB2312"/>
          <w:kern w:val="0"/>
          <w:sz w:val="32"/>
          <w:szCs w:val="32"/>
        </w:rPr>
      </w:pPr>
      <w:r>
        <w:rPr>
          <w:rFonts w:hint="eastAsia" w:ascii="仿宋_GB2312" w:eastAsia="仿宋_GB2312"/>
          <w:kern w:val="0"/>
          <w:sz w:val="32"/>
          <w:szCs w:val="32"/>
        </w:rPr>
        <w:t>支持创建专注于视觉内容的知识库，可配置面向视频/图像的多模态理解模型（如目标检测、场景分类模型），并支持通过API接入已标注的视频帧、图像序列等视觉数据资产。</w:t>
      </w:r>
    </w:p>
    <w:p w14:paraId="40C9F3BC">
      <w:pPr>
        <w:ind w:firstLine="640" w:firstLineChars="200"/>
        <w:rPr>
          <w:rFonts w:ascii="仿宋_GB2312" w:eastAsia="仿宋_GB2312"/>
          <w:kern w:val="0"/>
          <w:sz w:val="32"/>
          <w:szCs w:val="32"/>
        </w:rPr>
      </w:pPr>
      <w:r>
        <w:rPr>
          <w:rFonts w:hint="eastAsia" w:ascii="仿宋_GB2312" w:eastAsia="仿宋_GB2312"/>
          <w:kern w:val="0"/>
          <w:sz w:val="32"/>
          <w:szCs w:val="32"/>
        </w:rPr>
        <w:t>(b)视觉知识服务</w:t>
      </w:r>
      <w:r>
        <w:rPr>
          <w:rFonts w:ascii="仿宋_GB2312" w:eastAsia="仿宋_GB2312"/>
          <w:kern w:val="0"/>
          <w:sz w:val="32"/>
          <w:szCs w:val="32"/>
        </w:rPr>
        <w:t>-</w:t>
      </w:r>
      <w:r>
        <w:rPr>
          <w:rFonts w:hint="eastAsia" w:ascii="仿宋_GB2312" w:eastAsia="仿宋_GB2312"/>
          <w:kern w:val="0"/>
          <w:sz w:val="32"/>
          <w:szCs w:val="32"/>
        </w:rPr>
        <w:t>视觉知识库管理</w:t>
      </w:r>
      <w:r>
        <w:rPr>
          <w:rFonts w:hint="eastAsia" w:ascii="MS Mincho" w:hAnsi="MS Mincho" w:eastAsia="MS Mincho" w:cs="MS Mincho"/>
          <w:kern w:val="0"/>
          <w:sz w:val="32"/>
          <w:szCs w:val="32"/>
        </w:rPr>
        <w:t>​</w:t>
      </w:r>
    </w:p>
    <w:p w14:paraId="61CB3E2E">
      <w:pPr>
        <w:ind w:firstLine="640" w:firstLineChars="200"/>
        <w:rPr>
          <w:rFonts w:ascii="仿宋_GB2312" w:eastAsia="仿宋_GB2312"/>
          <w:kern w:val="0"/>
          <w:sz w:val="32"/>
          <w:szCs w:val="32"/>
        </w:rPr>
      </w:pPr>
      <w:r>
        <w:rPr>
          <w:rFonts w:ascii="仿宋_GB2312" w:eastAsia="仿宋_GB2312"/>
          <w:kern w:val="0"/>
          <w:sz w:val="32"/>
          <w:szCs w:val="32"/>
        </w:rPr>
        <w:t>支持对视觉知识库（如视频库、图像集）进行元数据管理，包括更新封面、修改视觉bq体系、调整结构化目录，以及导出视觉数据的标注清单。</w:t>
      </w:r>
    </w:p>
    <w:p w14:paraId="39F91C3E">
      <w:pPr>
        <w:ind w:firstLine="640" w:firstLineChars="200"/>
        <w:rPr>
          <w:rFonts w:ascii="仿宋_GB2312" w:eastAsia="仿宋_GB2312"/>
          <w:kern w:val="0"/>
          <w:sz w:val="32"/>
          <w:szCs w:val="32"/>
        </w:rPr>
      </w:pPr>
      <w:r>
        <w:rPr>
          <w:rFonts w:hint="eastAsia" w:ascii="仿宋_GB2312" w:eastAsia="仿宋_GB2312"/>
          <w:kern w:val="0"/>
          <w:sz w:val="32"/>
          <w:szCs w:val="32"/>
        </w:rPr>
        <w:t>(c)视觉知识服务</w:t>
      </w:r>
      <w:r>
        <w:rPr>
          <w:rFonts w:ascii="仿宋_GB2312" w:eastAsia="仿宋_GB2312"/>
          <w:kern w:val="0"/>
          <w:sz w:val="32"/>
          <w:szCs w:val="32"/>
        </w:rPr>
        <w:t>-</w:t>
      </w:r>
      <w:r>
        <w:rPr>
          <w:rFonts w:hint="eastAsia" w:ascii="仿宋_GB2312" w:eastAsia="仿宋_GB2312"/>
          <w:kern w:val="0"/>
          <w:sz w:val="32"/>
          <w:szCs w:val="32"/>
        </w:rPr>
        <w:t>视觉知识库检索</w:t>
      </w:r>
      <w:r>
        <w:rPr>
          <w:rFonts w:hint="eastAsia" w:ascii="MS Mincho" w:hAnsi="MS Mincho" w:eastAsia="MS Mincho" w:cs="MS Mincho"/>
          <w:kern w:val="0"/>
          <w:sz w:val="32"/>
          <w:szCs w:val="32"/>
        </w:rPr>
        <w:t>​</w:t>
      </w:r>
    </w:p>
    <w:p w14:paraId="6B8ACF6C">
      <w:pPr>
        <w:ind w:firstLine="640" w:firstLineChars="200"/>
        <w:rPr>
          <w:rFonts w:ascii="仿宋_GB2312" w:eastAsia="仿宋_GB2312"/>
          <w:kern w:val="0"/>
          <w:sz w:val="32"/>
          <w:szCs w:val="32"/>
        </w:rPr>
      </w:pPr>
      <w:r>
        <w:rPr>
          <w:rFonts w:ascii="仿宋_GB2312" w:eastAsia="仿宋_GB2312"/>
          <w:kern w:val="0"/>
          <w:sz w:val="32"/>
          <w:szCs w:val="32"/>
        </w:rPr>
        <w:t>支持通过模态与粒度感知的路由、深度的多模态内容解析、统一的向量化表示以及混合检索策略的协同作用，实现按视觉知识库的名称、关键视觉bq（如场景、对象）进行快速搜索和筛选，便于从大量视觉资产中定位目标知识库，并将不同检索路径得到的结果进行汇总，根据与查询的整体相关度进行重新排序</w:t>
      </w:r>
      <w:r>
        <w:rPr>
          <w:rFonts w:hint="eastAsia" w:ascii="仿宋_GB2312" w:eastAsia="仿宋_GB2312"/>
          <w:kern w:val="0"/>
          <w:sz w:val="32"/>
          <w:szCs w:val="32"/>
        </w:rPr>
        <w:t>。</w:t>
      </w:r>
    </w:p>
    <w:p w14:paraId="15B517EC">
      <w:pPr>
        <w:ind w:firstLine="640" w:firstLineChars="200"/>
        <w:rPr>
          <w:rFonts w:ascii="仿宋_GB2312" w:eastAsia="仿宋_GB2312"/>
          <w:kern w:val="0"/>
          <w:sz w:val="32"/>
          <w:szCs w:val="32"/>
        </w:rPr>
      </w:pPr>
      <w:r>
        <w:rPr>
          <w:rFonts w:hint="eastAsia" w:ascii="仿宋_GB2312" w:eastAsia="仿宋_GB2312"/>
          <w:kern w:val="0"/>
          <w:sz w:val="32"/>
          <w:szCs w:val="32"/>
        </w:rPr>
        <w:t>(d)视觉知识服务</w:t>
      </w:r>
      <w:r>
        <w:rPr>
          <w:rFonts w:ascii="仿宋_GB2312" w:eastAsia="仿宋_GB2312"/>
          <w:kern w:val="0"/>
          <w:sz w:val="32"/>
          <w:szCs w:val="32"/>
        </w:rPr>
        <w:t>-</w:t>
      </w:r>
      <w:r>
        <w:rPr>
          <w:rFonts w:hint="eastAsia" w:ascii="仿宋_GB2312" w:eastAsia="仿宋_GB2312"/>
          <w:kern w:val="0"/>
          <w:sz w:val="32"/>
          <w:szCs w:val="32"/>
        </w:rPr>
        <w:t>多模态检索精度策略</w:t>
      </w:r>
      <w:r>
        <w:rPr>
          <w:rFonts w:hint="eastAsia" w:ascii="MS Mincho" w:hAnsi="MS Mincho" w:eastAsia="MS Mincho" w:cs="MS Mincho"/>
          <w:kern w:val="0"/>
          <w:sz w:val="32"/>
          <w:szCs w:val="32"/>
        </w:rPr>
        <w:t>​</w:t>
      </w:r>
    </w:p>
    <w:p w14:paraId="0ED91EA2">
      <w:pPr>
        <w:ind w:firstLine="640" w:firstLineChars="200"/>
        <w:rPr>
          <w:rFonts w:ascii="仿宋_GB2312" w:eastAsia="仿宋_GB2312"/>
          <w:kern w:val="0"/>
          <w:sz w:val="32"/>
          <w:szCs w:val="32"/>
        </w:rPr>
      </w:pPr>
      <w:r>
        <w:rPr>
          <w:rFonts w:ascii="仿宋_GB2312" w:eastAsia="仿宋_GB2312"/>
          <w:kern w:val="0"/>
          <w:sz w:val="32"/>
          <w:szCs w:val="32"/>
        </w:rPr>
        <w:t>支持按视觉内容粒度（如关键帧、视频片段、整段视频）配置检索范围，平衡对视频、图像等内容检索的精度与速度，满足不同应用场景需求。</w:t>
      </w:r>
    </w:p>
    <w:p w14:paraId="69865ABA">
      <w:pPr>
        <w:ind w:firstLine="640" w:firstLineChars="200"/>
        <w:rPr>
          <w:rFonts w:ascii="仿宋_GB2312" w:eastAsia="仿宋_GB2312"/>
          <w:kern w:val="0"/>
          <w:sz w:val="32"/>
          <w:szCs w:val="32"/>
        </w:rPr>
      </w:pPr>
      <w:r>
        <w:rPr>
          <w:rFonts w:hint="eastAsia" w:ascii="仿宋_GB2312" w:eastAsia="仿宋_GB2312"/>
          <w:kern w:val="0"/>
          <w:sz w:val="32"/>
          <w:szCs w:val="32"/>
        </w:rPr>
        <w:t>(e)视觉知识服务</w:t>
      </w:r>
      <w:r>
        <w:rPr>
          <w:rFonts w:ascii="仿宋_GB2312" w:eastAsia="仿宋_GB2312"/>
          <w:kern w:val="0"/>
          <w:sz w:val="32"/>
          <w:szCs w:val="32"/>
        </w:rPr>
        <w:t>-</w:t>
      </w:r>
      <w:r>
        <w:rPr>
          <w:rFonts w:hint="eastAsia" w:ascii="仿宋_GB2312" w:eastAsia="仿宋_GB2312"/>
          <w:kern w:val="0"/>
          <w:sz w:val="32"/>
          <w:szCs w:val="32"/>
        </w:rPr>
        <w:t>跨模态语义扩展策略</w:t>
      </w:r>
      <w:r>
        <w:rPr>
          <w:rFonts w:hint="eastAsia" w:ascii="MS Mincho" w:hAnsi="MS Mincho" w:eastAsia="MS Mincho" w:cs="MS Mincho"/>
          <w:kern w:val="0"/>
          <w:sz w:val="32"/>
          <w:szCs w:val="32"/>
        </w:rPr>
        <w:t>​</w:t>
      </w:r>
    </w:p>
    <w:p w14:paraId="0CEB888B">
      <w:pPr>
        <w:ind w:firstLine="640" w:firstLineChars="200"/>
        <w:rPr>
          <w:rFonts w:ascii="仿宋_GB2312" w:eastAsia="仿宋_GB2312"/>
          <w:kern w:val="0"/>
          <w:sz w:val="32"/>
          <w:szCs w:val="32"/>
        </w:rPr>
      </w:pPr>
      <w:r>
        <w:rPr>
          <w:rFonts w:ascii="仿宋_GB2312" w:eastAsia="仿宋_GB2312"/>
          <w:kern w:val="0"/>
          <w:sz w:val="32"/>
          <w:szCs w:val="32"/>
        </w:rPr>
        <w:t>基于视觉-语言模型，自动将查询文本与视觉bq、场景描述进行语义关联与扩展（如查询“庆祝现场”可关联“巡游”、“烟花”等视觉概念），提升视觉内容召回率。</w:t>
      </w:r>
    </w:p>
    <w:p w14:paraId="581AAF96">
      <w:pPr>
        <w:ind w:firstLine="640" w:firstLineChars="200"/>
        <w:rPr>
          <w:rFonts w:ascii="仿宋_GB2312" w:eastAsia="仿宋_GB2312"/>
          <w:kern w:val="0"/>
          <w:sz w:val="32"/>
          <w:szCs w:val="32"/>
        </w:rPr>
      </w:pPr>
      <w:r>
        <w:rPr>
          <w:rFonts w:hint="eastAsia" w:ascii="仿宋_GB2312" w:eastAsia="仿宋_GB2312"/>
          <w:kern w:val="0"/>
          <w:sz w:val="32"/>
          <w:szCs w:val="32"/>
        </w:rPr>
        <w:t>(f)视觉知识服务</w:t>
      </w:r>
      <w:r>
        <w:rPr>
          <w:rFonts w:ascii="仿宋_GB2312" w:eastAsia="仿宋_GB2312"/>
          <w:kern w:val="0"/>
          <w:sz w:val="32"/>
          <w:szCs w:val="32"/>
        </w:rPr>
        <w:t>-</w:t>
      </w:r>
      <w:r>
        <w:rPr>
          <w:rFonts w:hint="eastAsia" w:ascii="仿宋_GB2312" w:eastAsia="仿宋_GB2312"/>
          <w:kern w:val="0"/>
          <w:sz w:val="32"/>
          <w:szCs w:val="32"/>
        </w:rPr>
        <w:t>视觉内容安全分级策略</w:t>
      </w:r>
      <w:r>
        <w:rPr>
          <w:rFonts w:hint="eastAsia" w:ascii="MS Mincho" w:hAnsi="MS Mincho" w:eastAsia="MS Mincho" w:cs="MS Mincho"/>
          <w:kern w:val="0"/>
          <w:sz w:val="32"/>
          <w:szCs w:val="32"/>
        </w:rPr>
        <w:t>​</w:t>
      </w:r>
    </w:p>
    <w:p w14:paraId="2BA4E800">
      <w:pPr>
        <w:ind w:firstLine="640" w:firstLineChars="200"/>
        <w:rPr>
          <w:rFonts w:ascii="仿宋_GB2312" w:eastAsia="仿宋_GB2312"/>
          <w:kern w:val="0"/>
          <w:sz w:val="32"/>
          <w:szCs w:val="32"/>
        </w:rPr>
      </w:pPr>
      <w:r>
        <w:rPr>
          <w:rFonts w:ascii="仿宋_GB2312" w:eastAsia="仿宋_GB2312"/>
          <w:kern w:val="0"/>
          <w:sz w:val="32"/>
          <w:szCs w:val="32"/>
        </w:rPr>
        <w:t>依据视觉内容敏感度（如rl、车牌、涉密场景）进行动态过滤，对不同权限的用户展示差异化的视觉知识内容，确保数据安全。</w:t>
      </w:r>
    </w:p>
    <w:p w14:paraId="2ABB1AD3">
      <w:pPr>
        <w:ind w:firstLine="640" w:firstLineChars="200"/>
        <w:rPr>
          <w:rFonts w:ascii="仿宋_GB2312" w:eastAsia="仿宋_GB2312"/>
          <w:kern w:val="0"/>
          <w:sz w:val="32"/>
          <w:szCs w:val="32"/>
        </w:rPr>
      </w:pPr>
      <w:r>
        <w:rPr>
          <w:rFonts w:hint="eastAsia" w:ascii="仿宋_GB2312" w:eastAsia="仿宋_GB2312"/>
          <w:kern w:val="0"/>
          <w:sz w:val="32"/>
          <w:szCs w:val="32"/>
        </w:rPr>
        <w:t>(g)视觉知识服务</w:t>
      </w:r>
      <w:r>
        <w:rPr>
          <w:rFonts w:ascii="仿宋_GB2312" w:eastAsia="仿宋_GB2312"/>
          <w:kern w:val="0"/>
          <w:sz w:val="32"/>
          <w:szCs w:val="32"/>
        </w:rPr>
        <w:t>-</w:t>
      </w:r>
      <w:r>
        <w:rPr>
          <w:rFonts w:hint="eastAsia" w:ascii="仿宋_GB2312" w:eastAsia="仿宋_GB2312"/>
          <w:kern w:val="0"/>
          <w:sz w:val="32"/>
          <w:szCs w:val="32"/>
        </w:rPr>
        <w:t>视觉知识片段更新</w:t>
      </w:r>
      <w:r>
        <w:rPr>
          <w:rFonts w:hint="eastAsia" w:ascii="MS Mincho" w:hAnsi="MS Mincho" w:eastAsia="MS Mincho" w:cs="MS Mincho"/>
          <w:kern w:val="0"/>
          <w:sz w:val="32"/>
          <w:szCs w:val="32"/>
        </w:rPr>
        <w:t>​</w:t>
      </w:r>
    </w:p>
    <w:p w14:paraId="276DC723">
      <w:pPr>
        <w:ind w:firstLine="640" w:firstLineChars="200"/>
        <w:rPr>
          <w:rFonts w:ascii="仿宋_GB2312" w:eastAsia="仿宋_GB2312"/>
          <w:kern w:val="0"/>
          <w:sz w:val="32"/>
          <w:szCs w:val="32"/>
        </w:rPr>
      </w:pPr>
      <w:r>
        <w:rPr>
          <w:rFonts w:ascii="仿宋_GB2312" w:eastAsia="仿宋_GB2312"/>
          <w:kern w:val="0"/>
          <w:sz w:val="32"/>
          <w:szCs w:val="32"/>
        </w:rPr>
        <w:t>支持对已切分和标注的视频片段、图像区域及其视觉bq进行人工校验与内容更新，确保视觉知识的准确性和时效性。</w:t>
      </w:r>
    </w:p>
    <w:p w14:paraId="1A2408FE">
      <w:pPr>
        <w:ind w:firstLine="640" w:firstLineChars="200"/>
        <w:rPr>
          <w:rFonts w:ascii="仿宋_GB2312" w:eastAsia="仿宋_GB2312"/>
          <w:kern w:val="0"/>
          <w:sz w:val="32"/>
          <w:szCs w:val="32"/>
        </w:rPr>
      </w:pPr>
      <w:r>
        <w:rPr>
          <w:rFonts w:hint="eastAsia" w:ascii="仿宋_GB2312" w:eastAsia="仿宋_GB2312"/>
          <w:kern w:val="0"/>
          <w:sz w:val="32"/>
          <w:szCs w:val="32"/>
        </w:rPr>
        <w:t>(h)视觉知识服务</w:t>
      </w:r>
      <w:r>
        <w:rPr>
          <w:rFonts w:ascii="仿宋_GB2312" w:eastAsia="仿宋_GB2312"/>
          <w:kern w:val="0"/>
          <w:sz w:val="32"/>
          <w:szCs w:val="32"/>
        </w:rPr>
        <w:t>-</w:t>
      </w:r>
      <w:r>
        <w:rPr>
          <w:rFonts w:hint="eastAsia" w:ascii="仿宋_GB2312" w:eastAsia="仿宋_GB2312"/>
          <w:kern w:val="0"/>
          <w:sz w:val="32"/>
          <w:szCs w:val="32"/>
        </w:rPr>
        <w:t>视觉知识更新审核流水线</w:t>
      </w:r>
      <w:r>
        <w:rPr>
          <w:rFonts w:hint="eastAsia" w:ascii="MS Mincho" w:hAnsi="MS Mincho" w:eastAsia="MS Mincho" w:cs="MS Mincho"/>
          <w:kern w:val="0"/>
          <w:sz w:val="32"/>
          <w:szCs w:val="32"/>
        </w:rPr>
        <w:t>​</w:t>
      </w:r>
    </w:p>
    <w:p w14:paraId="7D7F73AE">
      <w:pPr>
        <w:ind w:firstLine="640" w:firstLineChars="200"/>
        <w:rPr>
          <w:rFonts w:ascii="仿宋_GB2312" w:eastAsia="仿宋_GB2312"/>
          <w:kern w:val="0"/>
          <w:sz w:val="32"/>
          <w:szCs w:val="32"/>
        </w:rPr>
      </w:pPr>
      <w:r>
        <w:rPr>
          <w:rFonts w:ascii="仿宋_GB2312" w:eastAsia="仿宋_GB2312"/>
          <w:kern w:val="0"/>
          <w:sz w:val="32"/>
          <w:szCs w:val="32"/>
        </w:rPr>
        <w:t>对视觉知识的更新（如新增视频片段、修改目标检测框）建立多级审核流程，确保关键视觉内容的变更经过专业审核方能生效。</w:t>
      </w:r>
    </w:p>
    <w:p w14:paraId="7C7ABCBF">
      <w:pPr>
        <w:ind w:firstLine="640" w:firstLineChars="200"/>
        <w:rPr>
          <w:rFonts w:ascii="仿宋_GB2312" w:eastAsia="仿宋_GB2312"/>
          <w:kern w:val="0"/>
          <w:sz w:val="32"/>
          <w:szCs w:val="32"/>
        </w:rPr>
      </w:pPr>
      <w:r>
        <w:rPr>
          <w:rFonts w:hint="eastAsia" w:ascii="仿宋_GB2312" w:eastAsia="仿宋_GB2312"/>
          <w:kern w:val="0"/>
          <w:sz w:val="32"/>
          <w:szCs w:val="32"/>
        </w:rPr>
        <w:t>(i)视觉知识服务</w:t>
      </w:r>
      <w:r>
        <w:rPr>
          <w:rFonts w:ascii="仿宋_GB2312" w:eastAsia="仿宋_GB2312"/>
          <w:kern w:val="0"/>
          <w:sz w:val="32"/>
          <w:szCs w:val="32"/>
        </w:rPr>
        <w:t>-</w:t>
      </w:r>
      <w:r>
        <w:rPr>
          <w:rFonts w:hint="eastAsia" w:ascii="仿宋_GB2312" w:eastAsia="仿宋_GB2312"/>
          <w:kern w:val="0"/>
          <w:sz w:val="32"/>
          <w:szCs w:val="32"/>
        </w:rPr>
        <w:t>视觉知识灰度发布</w:t>
      </w:r>
      <w:r>
        <w:rPr>
          <w:rFonts w:hint="eastAsia" w:ascii="MS Mincho" w:hAnsi="MS Mincho" w:eastAsia="MS Mincho" w:cs="MS Mincho"/>
          <w:kern w:val="0"/>
          <w:sz w:val="32"/>
          <w:szCs w:val="32"/>
        </w:rPr>
        <w:t>​</w:t>
      </w:r>
    </w:p>
    <w:p w14:paraId="65A99868">
      <w:pPr>
        <w:ind w:firstLine="640" w:firstLineChars="200"/>
        <w:rPr>
          <w:rFonts w:ascii="仿宋_GB2312" w:eastAsia="仿宋_GB2312"/>
          <w:kern w:val="0"/>
          <w:sz w:val="32"/>
          <w:szCs w:val="32"/>
        </w:rPr>
      </w:pPr>
      <w:r>
        <w:rPr>
          <w:rFonts w:ascii="仿宋_GB2312" w:eastAsia="仿宋_GB2312"/>
          <w:kern w:val="0"/>
          <w:sz w:val="32"/>
          <w:szCs w:val="32"/>
        </w:rPr>
        <w:t>新的视觉知识（如更新的视频分析模型结果）可先发布至测试环境，待验证无误后再同步至正式知识库，保障视觉服务的稳定性。</w:t>
      </w:r>
    </w:p>
    <w:p w14:paraId="5A370843">
      <w:pPr>
        <w:ind w:firstLine="640" w:firstLineChars="200"/>
        <w:rPr>
          <w:rFonts w:ascii="仿宋_GB2312" w:eastAsia="仿宋_GB2312"/>
          <w:kern w:val="0"/>
          <w:sz w:val="32"/>
          <w:szCs w:val="32"/>
        </w:rPr>
      </w:pPr>
      <w:r>
        <w:rPr>
          <w:rFonts w:hint="eastAsia" w:ascii="仿宋_GB2312" w:eastAsia="仿宋_GB2312"/>
          <w:kern w:val="0"/>
          <w:sz w:val="32"/>
          <w:szCs w:val="32"/>
        </w:rPr>
        <w:t>(j)视觉知识服务</w:t>
      </w:r>
      <w:r>
        <w:rPr>
          <w:rFonts w:ascii="仿宋_GB2312" w:eastAsia="仿宋_GB2312"/>
          <w:kern w:val="0"/>
          <w:sz w:val="32"/>
          <w:szCs w:val="32"/>
        </w:rPr>
        <w:t>-</w:t>
      </w:r>
      <w:r>
        <w:rPr>
          <w:rFonts w:hint="eastAsia" w:ascii="仿宋_GB2312" w:eastAsia="仿宋_GB2312"/>
          <w:kern w:val="0"/>
          <w:sz w:val="32"/>
          <w:szCs w:val="32"/>
        </w:rPr>
        <w:t>视觉知识版本溯源</w:t>
      </w:r>
      <w:r>
        <w:rPr>
          <w:rFonts w:hint="eastAsia" w:ascii="MS Mincho" w:hAnsi="MS Mincho" w:eastAsia="MS Mincho" w:cs="MS Mincho"/>
          <w:kern w:val="0"/>
          <w:sz w:val="32"/>
          <w:szCs w:val="32"/>
        </w:rPr>
        <w:t>​</w:t>
      </w:r>
    </w:p>
    <w:p w14:paraId="0E0D48EB">
      <w:pPr>
        <w:ind w:firstLine="640" w:firstLineChars="200"/>
        <w:rPr>
          <w:rFonts w:ascii="仿宋_GB2312" w:eastAsia="仿宋_GB2312"/>
          <w:kern w:val="0"/>
          <w:sz w:val="32"/>
          <w:szCs w:val="32"/>
        </w:rPr>
      </w:pPr>
      <w:r>
        <w:rPr>
          <w:rFonts w:ascii="仿宋_GB2312" w:eastAsia="仿宋_GB2312"/>
          <w:kern w:val="0"/>
          <w:sz w:val="32"/>
          <w:szCs w:val="32"/>
        </w:rPr>
        <w:t>支持视觉知识库的全版本管理，可回溯任一时间的知识状态，避免因模型迭代或标注更新导致的历史视觉数据遗失。</w:t>
      </w:r>
    </w:p>
    <w:p w14:paraId="607656F4">
      <w:pPr>
        <w:ind w:firstLine="640" w:firstLineChars="200"/>
        <w:rPr>
          <w:rFonts w:ascii="仿宋_GB2312" w:eastAsia="仿宋_GB2312"/>
          <w:kern w:val="0"/>
          <w:sz w:val="32"/>
          <w:szCs w:val="32"/>
        </w:rPr>
      </w:pPr>
      <w:r>
        <w:rPr>
          <w:rFonts w:hint="eastAsia" w:ascii="仿宋_GB2312" w:eastAsia="仿宋_GB2312"/>
          <w:kern w:val="0"/>
          <w:sz w:val="32"/>
          <w:szCs w:val="32"/>
        </w:rPr>
        <w:t>e.通用智能体专业知识库</w:t>
      </w:r>
    </w:p>
    <w:p w14:paraId="496AB798">
      <w:pPr>
        <w:ind w:firstLine="640" w:firstLineChars="200"/>
        <w:rPr>
          <w:rFonts w:ascii="仿宋_GB2312" w:eastAsia="仿宋_GB2312"/>
          <w:kern w:val="0"/>
          <w:sz w:val="32"/>
          <w:szCs w:val="32"/>
        </w:rPr>
      </w:pPr>
      <w:r>
        <w:rPr>
          <w:rFonts w:hint="eastAsia" w:ascii="仿宋_GB2312" w:eastAsia="仿宋_GB2312"/>
          <w:kern w:val="0"/>
          <w:sz w:val="32"/>
          <w:szCs w:val="32"/>
        </w:rPr>
        <w:t>(a)通用智能体专业知识库-设备点位知识库-知识建模与组织</w:t>
      </w:r>
    </w:p>
    <w:p w14:paraId="4B4D643E">
      <w:pPr>
        <w:ind w:firstLine="640" w:firstLineChars="200"/>
        <w:rPr>
          <w:rFonts w:ascii="仿宋_GB2312" w:eastAsia="仿宋_GB2312"/>
          <w:kern w:val="0"/>
          <w:sz w:val="32"/>
          <w:szCs w:val="32"/>
        </w:rPr>
      </w:pPr>
      <w:r>
        <w:rPr>
          <w:rFonts w:hint="eastAsia" w:ascii="仿宋_GB2312" w:eastAsia="仿宋_GB2312"/>
          <w:kern w:val="0"/>
          <w:sz w:val="32"/>
          <w:szCs w:val="32"/>
        </w:rPr>
        <w:t>对设备资产信息及其空间、逻辑关联关系进行结构化建模与索引组。</w:t>
      </w:r>
    </w:p>
    <w:p w14:paraId="4FA22BD2">
      <w:pPr>
        <w:ind w:firstLine="640" w:firstLineChars="200"/>
        <w:rPr>
          <w:rFonts w:ascii="仿宋_GB2312" w:eastAsia="仿宋_GB2312"/>
          <w:kern w:val="0"/>
          <w:sz w:val="32"/>
          <w:szCs w:val="32"/>
        </w:rPr>
      </w:pPr>
      <w:r>
        <w:rPr>
          <w:rFonts w:hint="eastAsia" w:ascii="仿宋_GB2312" w:eastAsia="仿宋_GB2312"/>
          <w:kern w:val="0"/>
          <w:sz w:val="32"/>
          <w:szCs w:val="32"/>
        </w:rPr>
        <w:t>(b)通用智能体专业知识库-设备点位知识库-知识服务与推理</w:t>
      </w:r>
    </w:p>
    <w:p w14:paraId="774D61CE">
      <w:pPr>
        <w:ind w:firstLine="640" w:firstLineChars="200"/>
        <w:rPr>
          <w:rFonts w:ascii="仿宋_GB2312" w:eastAsia="仿宋_GB2312"/>
          <w:kern w:val="0"/>
          <w:sz w:val="32"/>
          <w:szCs w:val="32"/>
        </w:rPr>
      </w:pPr>
      <w:r>
        <w:rPr>
          <w:rFonts w:hint="eastAsia" w:ascii="仿宋_GB2312" w:eastAsia="仿宋_GB2312"/>
          <w:kern w:val="0"/>
          <w:sz w:val="32"/>
          <w:szCs w:val="32"/>
        </w:rPr>
        <w:t>为智能体提供设备关联检索、异常传播路径推理等知识服务。</w:t>
      </w:r>
    </w:p>
    <w:p w14:paraId="2D141070">
      <w:pPr>
        <w:ind w:firstLine="640" w:firstLineChars="200"/>
        <w:rPr>
          <w:rFonts w:ascii="仿宋_GB2312" w:eastAsia="仿宋_GB2312"/>
          <w:kern w:val="0"/>
          <w:sz w:val="32"/>
          <w:szCs w:val="32"/>
        </w:rPr>
      </w:pPr>
      <w:r>
        <w:rPr>
          <w:rFonts w:hint="eastAsia" w:ascii="仿宋_GB2312" w:eastAsia="仿宋_GB2312"/>
          <w:kern w:val="0"/>
          <w:sz w:val="32"/>
          <w:szCs w:val="32"/>
        </w:rPr>
        <w:t>(c)通用智能体专业知识库-设备点位知识库-知识更新与进化</w:t>
      </w:r>
    </w:p>
    <w:p w14:paraId="61BFB78A">
      <w:pPr>
        <w:ind w:firstLine="640" w:firstLineChars="200"/>
        <w:rPr>
          <w:rFonts w:ascii="仿宋_GB2312" w:eastAsia="仿宋_GB2312"/>
          <w:kern w:val="0"/>
          <w:sz w:val="32"/>
          <w:szCs w:val="32"/>
        </w:rPr>
      </w:pPr>
      <w:r>
        <w:rPr>
          <w:rFonts w:hint="eastAsia" w:ascii="仿宋_GB2312" w:eastAsia="仿宋_GB2312"/>
          <w:kern w:val="0"/>
          <w:sz w:val="32"/>
          <w:szCs w:val="32"/>
        </w:rPr>
        <w:t>基于运维反馈的关系自学习，实现知识库的更新与进化。</w:t>
      </w:r>
    </w:p>
    <w:p w14:paraId="5065E01D">
      <w:pPr>
        <w:ind w:firstLine="640" w:firstLineChars="200"/>
        <w:rPr>
          <w:rFonts w:ascii="仿宋_GB2312" w:eastAsia="仿宋_GB2312"/>
          <w:kern w:val="0"/>
          <w:sz w:val="32"/>
          <w:szCs w:val="32"/>
        </w:rPr>
      </w:pPr>
      <w:r>
        <w:rPr>
          <w:rFonts w:hint="eastAsia" w:ascii="仿宋_GB2312" w:eastAsia="仿宋_GB2312"/>
          <w:kern w:val="0"/>
          <w:sz w:val="32"/>
          <w:szCs w:val="32"/>
        </w:rPr>
        <w:t>(d)通用智能体专业知识库-车辆知识库-知识建模与组织</w:t>
      </w:r>
    </w:p>
    <w:p w14:paraId="32F6A36A">
      <w:pPr>
        <w:ind w:firstLine="640" w:firstLineChars="200"/>
        <w:rPr>
          <w:rFonts w:ascii="仿宋_GB2312" w:eastAsia="仿宋_GB2312"/>
          <w:kern w:val="0"/>
          <w:sz w:val="32"/>
          <w:szCs w:val="32"/>
        </w:rPr>
      </w:pPr>
      <w:r>
        <w:rPr>
          <w:rFonts w:hint="eastAsia" w:ascii="仿宋_GB2312" w:eastAsia="仿宋_GB2312"/>
          <w:kern w:val="0"/>
          <w:sz w:val="32"/>
          <w:szCs w:val="32"/>
        </w:rPr>
        <w:t>通过整合车辆档案等多源数据，构建以车辆为中心的特征与行为画像模型。</w:t>
      </w:r>
    </w:p>
    <w:p w14:paraId="34FC11D6">
      <w:pPr>
        <w:ind w:firstLine="640" w:firstLineChars="200"/>
        <w:rPr>
          <w:rFonts w:ascii="仿宋_GB2312" w:eastAsia="仿宋_GB2312"/>
          <w:kern w:val="0"/>
          <w:sz w:val="32"/>
          <w:szCs w:val="32"/>
        </w:rPr>
      </w:pPr>
      <w:r>
        <w:rPr>
          <w:rFonts w:hint="eastAsia" w:ascii="仿宋_GB2312" w:eastAsia="仿宋_GB2312"/>
          <w:kern w:val="0"/>
          <w:sz w:val="32"/>
          <w:szCs w:val="32"/>
        </w:rPr>
        <w:t>(e)通用智能体专业知识库-车辆知识库-知识服务与推理</w:t>
      </w:r>
    </w:p>
    <w:p w14:paraId="56B74C20">
      <w:pPr>
        <w:ind w:firstLine="640" w:firstLineChars="200"/>
        <w:rPr>
          <w:rFonts w:ascii="仿宋_GB2312" w:eastAsia="仿宋_GB2312"/>
          <w:kern w:val="0"/>
          <w:sz w:val="32"/>
          <w:szCs w:val="32"/>
        </w:rPr>
      </w:pPr>
      <w:r>
        <w:rPr>
          <w:rFonts w:hint="eastAsia" w:ascii="仿宋_GB2312" w:eastAsia="仿宋_GB2312"/>
          <w:kern w:val="0"/>
          <w:sz w:val="32"/>
          <w:szCs w:val="32"/>
        </w:rPr>
        <w:t>提供车辆驻留区域分析、同行关系挖掘及异常预警等推理服务。</w:t>
      </w:r>
    </w:p>
    <w:p w14:paraId="67E77074">
      <w:pPr>
        <w:ind w:firstLine="640" w:firstLineChars="200"/>
        <w:rPr>
          <w:rFonts w:ascii="仿宋_GB2312" w:eastAsia="仿宋_GB2312"/>
          <w:kern w:val="0"/>
          <w:sz w:val="32"/>
          <w:szCs w:val="32"/>
        </w:rPr>
      </w:pPr>
      <w:r>
        <w:rPr>
          <w:rFonts w:hint="eastAsia" w:ascii="仿宋_GB2312" w:eastAsia="仿宋_GB2312"/>
          <w:kern w:val="0"/>
          <w:sz w:val="32"/>
          <w:szCs w:val="32"/>
        </w:rPr>
        <w:t>(f)通用智能体专业知识库-车辆知识库-知识更新与进化</w:t>
      </w:r>
    </w:p>
    <w:p w14:paraId="544D7819">
      <w:pPr>
        <w:ind w:firstLine="640" w:firstLineChars="200"/>
        <w:rPr>
          <w:rFonts w:ascii="仿宋_GB2312" w:eastAsia="仿宋_GB2312"/>
          <w:kern w:val="0"/>
          <w:sz w:val="32"/>
          <w:szCs w:val="32"/>
        </w:rPr>
      </w:pPr>
      <w:r>
        <w:rPr>
          <w:rFonts w:hint="eastAsia" w:ascii="仿宋_GB2312" w:eastAsia="仿宋_GB2312"/>
          <w:kern w:val="0"/>
          <w:sz w:val="32"/>
          <w:szCs w:val="32"/>
        </w:rPr>
        <w:t>借助卡口数据流更新出现记录，以及根据预警反馈优化行为模型，完成知识的动态进化。</w:t>
      </w:r>
    </w:p>
    <w:p w14:paraId="180A05B4">
      <w:pPr>
        <w:ind w:firstLine="640" w:firstLineChars="200"/>
        <w:rPr>
          <w:rFonts w:ascii="仿宋_GB2312" w:eastAsia="仿宋_GB2312"/>
          <w:kern w:val="0"/>
          <w:sz w:val="32"/>
          <w:szCs w:val="32"/>
        </w:rPr>
      </w:pPr>
      <w:r>
        <w:rPr>
          <w:rFonts w:hint="eastAsia" w:ascii="仿宋_GB2312" w:eastAsia="仿宋_GB2312"/>
          <w:kern w:val="0"/>
          <w:sz w:val="32"/>
          <w:szCs w:val="32"/>
        </w:rPr>
        <w:t>(g)通用智能体专业知识库-ry档案知识库-知识建模与组织</w:t>
      </w:r>
    </w:p>
    <w:p w14:paraId="1D7A1BFC">
      <w:pPr>
        <w:ind w:firstLine="640" w:firstLineChars="200"/>
        <w:rPr>
          <w:rFonts w:ascii="仿宋_GB2312" w:eastAsia="仿宋_GB2312"/>
          <w:kern w:val="0"/>
          <w:sz w:val="32"/>
          <w:szCs w:val="32"/>
        </w:rPr>
      </w:pPr>
      <w:r>
        <w:rPr>
          <w:rFonts w:hint="eastAsia" w:ascii="仿宋_GB2312" w:eastAsia="仿宋_GB2312"/>
          <w:kern w:val="0"/>
          <w:sz w:val="32"/>
          <w:szCs w:val="32"/>
        </w:rPr>
        <w:t>构建融合ry基本信息、居住地、违法信息的知识库。</w:t>
      </w:r>
    </w:p>
    <w:p w14:paraId="55A764CC">
      <w:pPr>
        <w:ind w:firstLine="640" w:firstLineChars="200"/>
        <w:rPr>
          <w:rFonts w:ascii="仿宋_GB2312" w:eastAsia="仿宋_GB2312"/>
          <w:kern w:val="0"/>
          <w:sz w:val="32"/>
          <w:szCs w:val="32"/>
        </w:rPr>
      </w:pPr>
      <w:r>
        <w:rPr>
          <w:rFonts w:hint="eastAsia" w:ascii="仿宋_GB2312" w:eastAsia="仿宋_GB2312"/>
          <w:kern w:val="0"/>
          <w:sz w:val="32"/>
          <w:szCs w:val="32"/>
        </w:rPr>
        <w:t>(h)通用智能体专业知识库-ry档案知识库-知识服务与推理</w:t>
      </w:r>
    </w:p>
    <w:p w14:paraId="4B03D8BC">
      <w:pPr>
        <w:ind w:firstLine="640" w:firstLineChars="200"/>
        <w:rPr>
          <w:rFonts w:ascii="仿宋_GB2312" w:eastAsia="仿宋_GB2312"/>
          <w:kern w:val="0"/>
          <w:sz w:val="32"/>
          <w:szCs w:val="32"/>
        </w:rPr>
      </w:pPr>
      <w:r>
        <w:rPr>
          <w:rFonts w:hint="eastAsia" w:ascii="仿宋_GB2312" w:eastAsia="仿宋_GB2312"/>
          <w:kern w:val="0"/>
          <w:sz w:val="32"/>
          <w:szCs w:val="32"/>
        </w:rPr>
        <w:t>提供多条件档案查询与隐性关系挖掘服务。</w:t>
      </w:r>
    </w:p>
    <w:p w14:paraId="0E5DE41F">
      <w:pPr>
        <w:ind w:firstLine="640" w:firstLineChars="200"/>
        <w:rPr>
          <w:rFonts w:ascii="仿宋_GB2312" w:eastAsia="仿宋_GB2312"/>
          <w:kern w:val="0"/>
          <w:sz w:val="32"/>
          <w:szCs w:val="32"/>
        </w:rPr>
      </w:pPr>
      <w:r>
        <w:rPr>
          <w:rFonts w:hint="eastAsia" w:ascii="仿宋_GB2312" w:eastAsia="仿宋_GB2312"/>
          <w:kern w:val="0"/>
          <w:sz w:val="32"/>
          <w:szCs w:val="32"/>
        </w:rPr>
        <w:t>(i)通用智能体专业知识库-ry档案知识库-知识更新与进化</w:t>
      </w:r>
    </w:p>
    <w:p w14:paraId="6C6F7C0A">
      <w:pPr>
        <w:ind w:firstLine="640" w:firstLineChars="200"/>
        <w:rPr>
          <w:rFonts w:ascii="仿宋_GB2312" w:eastAsia="仿宋_GB2312"/>
          <w:kern w:val="0"/>
          <w:sz w:val="32"/>
          <w:szCs w:val="32"/>
        </w:rPr>
      </w:pPr>
      <w:r>
        <w:rPr>
          <w:rFonts w:hint="eastAsia" w:ascii="仿宋_GB2312" w:eastAsia="仿宋_GB2312"/>
          <w:kern w:val="0"/>
          <w:sz w:val="32"/>
          <w:szCs w:val="32"/>
        </w:rPr>
        <w:t>通过定期与权威信源同步及纠错反馈机制确保信息的准确性与时效性。</w:t>
      </w:r>
    </w:p>
    <w:p w14:paraId="018C402C">
      <w:pPr>
        <w:ind w:firstLine="640" w:firstLineChars="200"/>
        <w:rPr>
          <w:rFonts w:ascii="仿宋_GB2312" w:eastAsia="仿宋_GB2312"/>
          <w:kern w:val="0"/>
          <w:sz w:val="32"/>
          <w:szCs w:val="32"/>
        </w:rPr>
      </w:pPr>
      <w:r>
        <w:rPr>
          <w:rFonts w:hint="eastAsia" w:ascii="仿宋_GB2312" w:eastAsia="仿宋_GB2312"/>
          <w:kern w:val="0"/>
          <w:sz w:val="32"/>
          <w:szCs w:val="32"/>
        </w:rPr>
        <w:t>(j)通用智能体专业知识库-rx聚档知识库-知识建模与组织</w:t>
      </w:r>
    </w:p>
    <w:p w14:paraId="73B0ABDB">
      <w:pPr>
        <w:ind w:firstLine="640" w:firstLineChars="200"/>
        <w:rPr>
          <w:rFonts w:ascii="仿宋_GB2312" w:eastAsia="仿宋_GB2312"/>
          <w:kern w:val="0"/>
          <w:sz w:val="32"/>
          <w:szCs w:val="32"/>
        </w:rPr>
      </w:pPr>
      <w:r>
        <w:rPr>
          <w:rFonts w:hint="eastAsia" w:ascii="仿宋_GB2312" w:eastAsia="仿宋_GB2312"/>
          <w:kern w:val="0"/>
          <w:sz w:val="32"/>
          <w:szCs w:val="32"/>
        </w:rPr>
        <w:t>构建时空驻留区域序列，存储rl特征向量与抓拍点位信息，并通过时间范围索引、空间索引与聚类索引实现有序组织。</w:t>
      </w:r>
    </w:p>
    <w:p w14:paraId="2791BF57">
      <w:pPr>
        <w:ind w:firstLine="640" w:firstLineChars="200"/>
        <w:rPr>
          <w:rFonts w:ascii="仿宋_GB2312" w:eastAsia="仿宋_GB2312"/>
          <w:kern w:val="0"/>
          <w:sz w:val="32"/>
          <w:szCs w:val="32"/>
        </w:rPr>
      </w:pPr>
      <w:r>
        <w:rPr>
          <w:rFonts w:hint="eastAsia" w:ascii="仿宋_GB2312" w:eastAsia="仿宋_GB2312"/>
          <w:kern w:val="0"/>
          <w:sz w:val="32"/>
          <w:szCs w:val="32"/>
        </w:rPr>
        <w:t>(k)通用智能体专业知识库-rx聚档知识库-知识服务与推理</w:t>
      </w:r>
    </w:p>
    <w:p w14:paraId="0AD04252">
      <w:pPr>
        <w:ind w:firstLine="640" w:firstLineChars="200"/>
        <w:rPr>
          <w:rFonts w:ascii="仿宋_GB2312" w:eastAsia="仿宋_GB2312"/>
          <w:kern w:val="0"/>
          <w:sz w:val="32"/>
          <w:szCs w:val="32"/>
        </w:rPr>
      </w:pPr>
      <w:r>
        <w:rPr>
          <w:rFonts w:hint="eastAsia" w:ascii="仿宋_GB2312" w:eastAsia="仿宋_GB2312"/>
          <w:kern w:val="0"/>
          <w:sz w:val="32"/>
          <w:szCs w:val="32"/>
        </w:rPr>
        <w:t>提供ry出现驻留地查询、频繁时空模式分析、多人伴随关系挖掘与异常消失预警等服务，支撑行为模式研判与关联分析。</w:t>
      </w:r>
    </w:p>
    <w:p w14:paraId="1343FF7B">
      <w:pPr>
        <w:ind w:firstLine="640" w:firstLineChars="200"/>
        <w:rPr>
          <w:rFonts w:ascii="仿宋_GB2312" w:eastAsia="仿宋_GB2312"/>
          <w:kern w:val="0"/>
          <w:sz w:val="32"/>
          <w:szCs w:val="32"/>
        </w:rPr>
      </w:pPr>
      <w:r>
        <w:rPr>
          <w:rFonts w:hint="eastAsia" w:ascii="仿宋_GB2312" w:eastAsia="仿宋_GB2312"/>
          <w:kern w:val="0"/>
          <w:sz w:val="32"/>
          <w:szCs w:val="32"/>
        </w:rPr>
        <w:t>(l)通用智能体专业知识库-rx聚档知识库-知识更新与进化</w:t>
      </w:r>
    </w:p>
    <w:p w14:paraId="329716DC">
      <w:pPr>
        <w:ind w:firstLine="640" w:firstLineChars="200"/>
        <w:rPr>
          <w:rFonts w:ascii="仿宋_GB2312" w:eastAsia="仿宋_GB2312"/>
          <w:kern w:val="0"/>
          <w:sz w:val="32"/>
          <w:szCs w:val="32"/>
        </w:rPr>
      </w:pPr>
      <w:r>
        <w:rPr>
          <w:rFonts w:hint="eastAsia" w:ascii="仿宋_GB2312" w:eastAsia="仿宋_GB2312"/>
          <w:kern w:val="0"/>
          <w:sz w:val="32"/>
          <w:szCs w:val="32"/>
        </w:rPr>
        <w:t>通过视频流分析结果写入驻留地数据，触发rl聚类重计算与驻留地纠偏，并实现驻留地集合的动态优化。</w:t>
      </w:r>
    </w:p>
    <w:p w14:paraId="4D33D6E1">
      <w:pPr>
        <w:ind w:firstLine="640" w:firstLineChars="200"/>
        <w:rPr>
          <w:rFonts w:ascii="仿宋_GB2312" w:eastAsia="仿宋_GB2312"/>
          <w:kern w:val="0"/>
          <w:sz w:val="32"/>
          <w:szCs w:val="32"/>
        </w:rPr>
      </w:pPr>
      <w:r>
        <w:rPr>
          <w:rFonts w:hint="eastAsia" w:ascii="仿宋_GB2312" w:eastAsia="仿宋_GB2312"/>
          <w:kern w:val="0"/>
          <w:sz w:val="32"/>
          <w:szCs w:val="32"/>
        </w:rPr>
        <w:t>(m)通用智能体专业知识库-地点知识库-知识建模与组织</w:t>
      </w:r>
    </w:p>
    <w:p w14:paraId="6222014B">
      <w:pPr>
        <w:ind w:firstLine="640" w:firstLineChars="200"/>
        <w:rPr>
          <w:rFonts w:ascii="仿宋_GB2312" w:eastAsia="仿宋_GB2312"/>
          <w:kern w:val="0"/>
          <w:sz w:val="32"/>
          <w:szCs w:val="32"/>
        </w:rPr>
      </w:pPr>
      <w:r>
        <w:rPr>
          <w:rFonts w:hint="eastAsia" w:ascii="仿宋_GB2312" w:eastAsia="仿宋_GB2312"/>
          <w:kern w:val="0"/>
          <w:sz w:val="32"/>
          <w:szCs w:val="32"/>
        </w:rPr>
        <w:t>构建融合行政区划、道路、POI、功能区域的分层地理模型，赋予场景bq与风险等级。</w:t>
      </w:r>
    </w:p>
    <w:p w14:paraId="03B287DF">
      <w:pPr>
        <w:ind w:firstLine="640" w:firstLineChars="200"/>
        <w:rPr>
          <w:rFonts w:ascii="仿宋_GB2312" w:eastAsia="仿宋_GB2312"/>
          <w:kern w:val="0"/>
          <w:sz w:val="32"/>
          <w:szCs w:val="32"/>
        </w:rPr>
      </w:pPr>
      <w:r>
        <w:rPr>
          <w:rFonts w:hint="eastAsia" w:ascii="仿宋_GB2312" w:eastAsia="仿宋_GB2312"/>
          <w:kern w:val="0"/>
          <w:sz w:val="32"/>
          <w:szCs w:val="32"/>
        </w:rPr>
        <w:t>(n)通用智能体专业知识库-地点知识库-知识服务与推理</w:t>
      </w:r>
    </w:p>
    <w:p w14:paraId="31643E92">
      <w:pPr>
        <w:ind w:firstLine="640" w:firstLineChars="200"/>
        <w:rPr>
          <w:rFonts w:ascii="仿宋_GB2312" w:eastAsia="仿宋_GB2312"/>
          <w:kern w:val="0"/>
          <w:sz w:val="32"/>
          <w:szCs w:val="32"/>
        </w:rPr>
      </w:pPr>
      <w:r>
        <w:rPr>
          <w:rFonts w:hint="eastAsia" w:ascii="仿宋_GB2312" w:eastAsia="仿宋_GB2312"/>
          <w:kern w:val="0"/>
          <w:sz w:val="32"/>
          <w:szCs w:val="32"/>
        </w:rPr>
        <w:t>支持场景识别、POI模糊搜索等服务，助力区域风险评估与行动决策。</w:t>
      </w:r>
    </w:p>
    <w:p w14:paraId="3BBFBC5A">
      <w:pPr>
        <w:ind w:firstLine="640" w:firstLineChars="200"/>
        <w:rPr>
          <w:rFonts w:ascii="仿宋_GB2312" w:eastAsia="仿宋_GB2312"/>
          <w:kern w:val="0"/>
          <w:sz w:val="32"/>
          <w:szCs w:val="32"/>
        </w:rPr>
      </w:pPr>
      <w:r>
        <w:rPr>
          <w:rFonts w:hint="eastAsia" w:ascii="仿宋_GB2312" w:eastAsia="仿宋_GB2312"/>
          <w:kern w:val="0"/>
          <w:sz w:val="32"/>
          <w:szCs w:val="32"/>
        </w:rPr>
        <w:t>(o)通用智能体专业知识库-地点知识库-知识更新与进化</w:t>
      </w:r>
    </w:p>
    <w:p w14:paraId="2BBD4BAB">
      <w:pPr>
        <w:ind w:firstLine="640" w:firstLineChars="200"/>
        <w:rPr>
          <w:rFonts w:ascii="仿宋_GB2312" w:eastAsia="仿宋_GB2312"/>
          <w:kern w:val="0"/>
          <w:sz w:val="32"/>
          <w:szCs w:val="32"/>
        </w:rPr>
      </w:pPr>
      <w:r>
        <w:rPr>
          <w:rFonts w:hint="eastAsia" w:ascii="仿宋_GB2312" w:eastAsia="仿宋_GB2312"/>
          <w:kern w:val="0"/>
          <w:sz w:val="32"/>
          <w:szCs w:val="32"/>
        </w:rPr>
        <w:t>整合多源POI数据实现众源更新，基于事件发生频率动态调整区域风险bq。</w:t>
      </w:r>
    </w:p>
    <w:p w14:paraId="5F233C8B">
      <w:pPr>
        <w:ind w:firstLine="640" w:firstLineChars="200"/>
        <w:rPr>
          <w:rFonts w:ascii="仿宋_GB2312" w:eastAsia="仿宋_GB2312"/>
          <w:kern w:val="0"/>
          <w:sz w:val="32"/>
          <w:szCs w:val="32"/>
        </w:rPr>
      </w:pPr>
      <w:r>
        <w:rPr>
          <w:rFonts w:hint="eastAsia" w:ascii="仿宋_GB2312" w:eastAsia="仿宋_GB2312"/>
          <w:kern w:val="0"/>
          <w:sz w:val="32"/>
          <w:szCs w:val="32"/>
        </w:rPr>
        <w:t>(p)通用智能体专业知识库-事件知识库-知识建模与组织</w:t>
      </w:r>
    </w:p>
    <w:p w14:paraId="668FF22B">
      <w:pPr>
        <w:ind w:firstLine="640" w:firstLineChars="200"/>
        <w:rPr>
          <w:rFonts w:ascii="仿宋_GB2312" w:eastAsia="仿宋_GB2312"/>
          <w:kern w:val="0"/>
          <w:sz w:val="32"/>
          <w:szCs w:val="32"/>
        </w:rPr>
      </w:pPr>
      <w:r>
        <w:rPr>
          <w:rFonts w:hint="eastAsia" w:ascii="仿宋_GB2312" w:eastAsia="仿宋_GB2312"/>
          <w:kern w:val="0"/>
          <w:sz w:val="32"/>
          <w:szCs w:val="32"/>
        </w:rPr>
        <w:t>基于标准化事件Schema构建事件案例库与规则库，结构化存储事件时间、地点、类型、处置状态等信息。</w:t>
      </w:r>
    </w:p>
    <w:p w14:paraId="66BAF2F5">
      <w:pPr>
        <w:ind w:firstLine="640" w:firstLineChars="200"/>
        <w:rPr>
          <w:rFonts w:ascii="仿宋_GB2312" w:eastAsia="仿宋_GB2312"/>
          <w:kern w:val="0"/>
          <w:sz w:val="32"/>
          <w:szCs w:val="32"/>
        </w:rPr>
      </w:pPr>
      <w:r>
        <w:rPr>
          <w:rFonts w:hint="eastAsia" w:ascii="仿宋_GB2312" w:eastAsia="仿宋_GB2312"/>
          <w:kern w:val="0"/>
          <w:sz w:val="32"/>
          <w:szCs w:val="32"/>
        </w:rPr>
        <w:t>(q)通用智能体专业知识库-事件知识库-知识服务与推理</w:t>
      </w:r>
    </w:p>
    <w:p w14:paraId="24609727">
      <w:pPr>
        <w:ind w:firstLine="640" w:firstLineChars="200"/>
        <w:rPr>
          <w:rFonts w:ascii="仿宋_GB2312" w:eastAsia="仿宋_GB2312"/>
          <w:kern w:val="0"/>
          <w:sz w:val="32"/>
          <w:szCs w:val="32"/>
        </w:rPr>
      </w:pPr>
      <w:r>
        <w:rPr>
          <w:rFonts w:hint="eastAsia" w:ascii="仿宋_GB2312" w:eastAsia="仿宋_GB2312"/>
          <w:kern w:val="0"/>
          <w:sz w:val="32"/>
          <w:szCs w:val="32"/>
        </w:rPr>
        <w:t>提供事件检测、相似历史案例推荐、影响评估与处置建议生成等服务，提升事件响应智能化水平。</w:t>
      </w:r>
    </w:p>
    <w:p w14:paraId="3033AD67">
      <w:pPr>
        <w:ind w:firstLine="640" w:firstLineChars="200"/>
        <w:rPr>
          <w:rFonts w:ascii="仿宋_GB2312" w:eastAsia="仿宋_GB2312"/>
          <w:kern w:val="0"/>
          <w:sz w:val="32"/>
          <w:szCs w:val="32"/>
        </w:rPr>
      </w:pPr>
      <w:r>
        <w:rPr>
          <w:rFonts w:hint="eastAsia" w:ascii="仿宋_GB2312" w:eastAsia="仿宋_GB2312"/>
          <w:kern w:val="0"/>
          <w:sz w:val="32"/>
          <w:szCs w:val="32"/>
        </w:rPr>
        <w:t>(r)通用智能体专业知识库-事件知识库-知识更新与进化</w:t>
      </w:r>
    </w:p>
    <w:p w14:paraId="23AE245A">
      <w:pPr>
        <w:ind w:firstLine="640" w:firstLineChars="200"/>
        <w:rPr>
          <w:rFonts w:ascii="仿宋_GB2312" w:eastAsia="仿宋_GB2312"/>
          <w:kern w:val="0"/>
          <w:sz w:val="32"/>
          <w:szCs w:val="32"/>
        </w:rPr>
      </w:pPr>
      <w:r>
        <w:rPr>
          <w:rFonts w:hint="eastAsia" w:ascii="仿宋_GB2312" w:eastAsia="仿宋_GB2312"/>
          <w:kern w:val="0"/>
          <w:sz w:val="32"/>
          <w:szCs w:val="32"/>
        </w:rPr>
        <w:t>通过处置完成事件的结构化沉淀、误报漏报反馈的规则优化、周期性模式挖掘，持续丰富事件知识图谱与推理能力。</w:t>
      </w:r>
    </w:p>
    <w:p w14:paraId="35F1798D">
      <w:pPr>
        <w:ind w:firstLine="640" w:firstLineChars="200"/>
        <w:rPr>
          <w:rFonts w:ascii="仿宋_GB2312" w:eastAsia="仿宋_GB2312"/>
          <w:kern w:val="0"/>
          <w:sz w:val="32"/>
          <w:szCs w:val="32"/>
        </w:rPr>
      </w:pPr>
      <w:r>
        <w:rPr>
          <w:rFonts w:hint="eastAsia" w:ascii="仿宋_GB2312" w:eastAsia="仿宋_GB2312"/>
          <w:kern w:val="0"/>
          <w:sz w:val="32"/>
          <w:szCs w:val="32"/>
        </w:rPr>
        <w:t>(s)通用智能体专业知识库-视频预案知识库-知识建模与组织</w:t>
      </w:r>
    </w:p>
    <w:p w14:paraId="301CBB71">
      <w:pPr>
        <w:ind w:firstLine="640" w:firstLineChars="200"/>
        <w:rPr>
          <w:rFonts w:ascii="仿宋_GB2312" w:eastAsia="仿宋_GB2312"/>
          <w:kern w:val="0"/>
          <w:sz w:val="32"/>
          <w:szCs w:val="32"/>
        </w:rPr>
      </w:pPr>
      <w:r>
        <w:rPr>
          <w:rFonts w:hint="eastAsia" w:ascii="仿宋_GB2312" w:eastAsia="仿宋_GB2312"/>
          <w:kern w:val="0"/>
          <w:sz w:val="32"/>
          <w:szCs w:val="32"/>
        </w:rPr>
        <w:t>基于视频预案场景、触发条件、执行步骤、关联资源及播放历史，建立预案版本管理与资源映射关系。</w:t>
      </w:r>
    </w:p>
    <w:p w14:paraId="443E43F1">
      <w:pPr>
        <w:ind w:firstLine="640" w:firstLineChars="200"/>
        <w:rPr>
          <w:rFonts w:ascii="仿宋_GB2312" w:eastAsia="仿宋_GB2312"/>
          <w:kern w:val="0"/>
          <w:sz w:val="32"/>
          <w:szCs w:val="32"/>
        </w:rPr>
      </w:pPr>
      <w:r>
        <w:rPr>
          <w:rFonts w:hint="eastAsia" w:ascii="仿宋_GB2312" w:eastAsia="仿宋_GB2312"/>
          <w:kern w:val="0"/>
          <w:sz w:val="32"/>
          <w:szCs w:val="32"/>
        </w:rPr>
        <w:t>(t)通用智能体专业知识库-视频预案知识库-知识服务与推理</w:t>
      </w:r>
    </w:p>
    <w:p w14:paraId="215F98A0">
      <w:pPr>
        <w:ind w:firstLine="640" w:firstLineChars="200"/>
        <w:rPr>
          <w:rFonts w:ascii="仿宋_GB2312" w:eastAsia="仿宋_GB2312"/>
          <w:kern w:val="0"/>
          <w:sz w:val="32"/>
          <w:szCs w:val="32"/>
        </w:rPr>
      </w:pPr>
      <w:r>
        <w:rPr>
          <w:rFonts w:hint="eastAsia" w:ascii="仿宋_GB2312" w:eastAsia="仿宋_GB2312"/>
          <w:kern w:val="0"/>
          <w:sz w:val="32"/>
          <w:szCs w:val="32"/>
        </w:rPr>
        <w:t>支持预案智能推荐、执行步骤推演与冲突检测、资源可用性校验等，辅助快速制定与优化执行方案。</w:t>
      </w:r>
    </w:p>
    <w:p w14:paraId="7CD71FDF">
      <w:pPr>
        <w:ind w:firstLine="640" w:firstLineChars="200"/>
        <w:rPr>
          <w:rFonts w:ascii="仿宋_GB2312" w:eastAsia="仿宋_GB2312"/>
          <w:kern w:val="0"/>
          <w:sz w:val="32"/>
          <w:szCs w:val="32"/>
        </w:rPr>
      </w:pPr>
      <w:r>
        <w:rPr>
          <w:rFonts w:hint="eastAsia" w:ascii="仿宋_GB2312" w:eastAsia="仿宋_GB2312"/>
          <w:kern w:val="0"/>
          <w:sz w:val="32"/>
          <w:szCs w:val="32"/>
        </w:rPr>
        <w:t>(u)通用智能体专业知识库-视频预案知识库-知识更新与进化</w:t>
      </w:r>
    </w:p>
    <w:p w14:paraId="3F4F3C88">
      <w:pPr>
        <w:ind w:firstLine="640" w:firstLineChars="200"/>
        <w:rPr>
          <w:rFonts w:ascii="仿宋_GB2312" w:eastAsia="仿宋_GB2312"/>
          <w:kern w:val="0"/>
          <w:sz w:val="32"/>
          <w:szCs w:val="32"/>
        </w:rPr>
      </w:pPr>
      <w:r>
        <w:rPr>
          <w:rFonts w:hint="eastAsia" w:ascii="仿宋_GB2312" w:eastAsia="仿宋_GB2312"/>
          <w:kern w:val="0"/>
          <w:sz w:val="32"/>
          <w:szCs w:val="32"/>
        </w:rPr>
        <w:t>通过实战效果反馈调整预案步骤，定期进行版本迭代与A/B测试，并扩展新视频预案模板，实现预案持续优化。</w:t>
      </w:r>
    </w:p>
    <w:p w14:paraId="7A32276B">
      <w:pPr>
        <w:ind w:firstLine="640" w:firstLineChars="200"/>
        <w:rPr>
          <w:rFonts w:ascii="仿宋_GB2312" w:eastAsia="仿宋_GB2312"/>
          <w:kern w:val="0"/>
          <w:sz w:val="32"/>
          <w:szCs w:val="32"/>
        </w:rPr>
      </w:pPr>
      <w:r>
        <w:rPr>
          <w:rFonts w:hint="eastAsia" w:ascii="仿宋_GB2312" w:eastAsia="仿宋_GB2312"/>
          <w:kern w:val="0"/>
          <w:sz w:val="32"/>
          <w:szCs w:val="32"/>
        </w:rPr>
        <w:t>(v)通用智能体专业知识库-视频运维知识库-知识建模与组织</w:t>
      </w:r>
    </w:p>
    <w:p w14:paraId="32C1937A">
      <w:pPr>
        <w:ind w:firstLine="640" w:firstLineChars="200"/>
        <w:rPr>
          <w:rFonts w:ascii="仿宋_GB2312" w:eastAsia="仿宋_GB2312"/>
          <w:kern w:val="0"/>
          <w:sz w:val="32"/>
          <w:szCs w:val="32"/>
        </w:rPr>
      </w:pPr>
      <w:r>
        <w:rPr>
          <w:rFonts w:hint="eastAsia" w:ascii="仿宋_GB2312" w:eastAsia="仿宋_GB2312"/>
          <w:kern w:val="0"/>
          <w:sz w:val="32"/>
          <w:szCs w:val="32"/>
        </w:rPr>
        <w:t>整合设备档案、故障案例、维修记录与性能指标，构建运维知识图谱，索引化组织设备、故障、解决方案等实体关系。</w:t>
      </w:r>
    </w:p>
    <w:p w14:paraId="78AFD49F">
      <w:pPr>
        <w:ind w:firstLine="640" w:firstLineChars="200"/>
        <w:rPr>
          <w:rFonts w:ascii="仿宋_GB2312" w:eastAsia="仿宋_GB2312"/>
          <w:kern w:val="0"/>
          <w:sz w:val="32"/>
          <w:szCs w:val="32"/>
        </w:rPr>
      </w:pPr>
      <w:r>
        <w:rPr>
          <w:rFonts w:hint="eastAsia" w:ascii="仿宋_GB2312" w:eastAsia="仿宋_GB2312"/>
          <w:kern w:val="0"/>
          <w:sz w:val="32"/>
          <w:szCs w:val="32"/>
        </w:rPr>
        <w:t>(w)通用智能体专业知识库-视频运维知识库-知识服务与推理</w:t>
      </w:r>
    </w:p>
    <w:p w14:paraId="5D9C32CB">
      <w:pPr>
        <w:ind w:firstLine="640" w:firstLineChars="200"/>
        <w:rPr>
          <w:rFonts w:ascii="仿宋_GB2312" w:eastAsia="仿宋_GB2312"/>
          <w:kern w:val="0"/>
          <w:sz w:val="32"/>
          <w:szCs w:val="32"/>
        </w:rPr>
      </w:pPr>
      <w:r>
        <w:rPr>
          <w:rFonts w:hint="eastAsia" w:ascii="仿宋_GB2312" w:eastAsia="仿宋_GB2312"/>
          <w:kern w:val="0"/>
          <w:sz w:val="32"/>
          <w:szCs w:val="32"/>
        </w:rPr>
        <w:t>提供故障智能诊断、设备故障预警预测、维修任务调度支持与运维知识问答，提升运维效率与设备可用性。</w:t>
      </w:r>
    </w:p>
    <w:p w14:paraId="757D4FBA">
      <w:pPr>
        <w:ind w:firstLine="640" w:firstLineChars="200"/>
        <w:rPr>
          <w:rFonts w:ascii="仿宋_GB2312" w:eastAsia="仿宋_GB2312"/>
          <w:kern w:val="0"/>
          <w:sz w:val="32"/>
          <w:szCs w:val="32"/>
        </w:rPr>
      </w:pPr>
      <w:r>
        <w:rPr>
          <w:rFonts w:hint="eastAsia" w:ascii="仿宋_GB2312" w:eastAsia="仿宋_GB2312"/>
          <w:kern w:val="0"/>
          <w:sz w:val="32"/>
          <w:szCs w:val="32"/>
        </w:rPr>
        <w:t>(x)通用智能体专业知识库-视频运维知识库-知识更新与进化</w:t>
      </w:r>
    </w:p>
    <w:p w14:paraId="2C1C7C2A">
      <w:pPr>
        <w:ind w:firstLine="640" w:firstLineChars="200"/>
        <w:rPr>
          <w:rFonts w:ascii="仿宋_GB2312" w:eastAsia="仿宋_GB2312"/>
          <w:kern w:val="0"/>
          <w:sz w:val="32"/>
          <w:szCs w:val="32"/>
        </w:rPr>
      </w:pPr>
      <w:r>
        <w:rPr>
          <w:rFonts w:hint="eastAsia" w:ascii="仿宋_GB2312" w:eastAsia="仿宋_GB2312"/>
          <w:kern w:val="0"/>
          <w:sz w:val="32"/>
          <w:szCs w:val="32"/>
        </w:rPr>
        <w:t>通过维修闭环沉淀解决方案，同步厂商技术文档并提炼最佳实践，实现运维知识库的持续丰富。</w:t>
      </w:r>
    </w:p>
    <w:p w14:paraId="6984B561">
      <w:pPr>
        <w:ind w:firstLine="640" w:firstLineChars="200"/>
        <w:rPr>
          <w:rFonts w:ascii="仿宋_GB2312" w:eastAsia="仿宋_GB2312"/>
          <w:kern w:val="0"/>
          <w:sz w:val="32"/>
          <w:szCs w:val="32"/>
        </w:rPr>
      </w:pPr>
      <w:r>
        <w:rPr>
          <w:rFonts w:hint="eastAsia" w:ascii="仿宋_GB2312" w:eastAsia="仿宋_GB2312"/>
          <w:kern w:val="0"/>
          <w:sz w:val="32"/>
          <w:szCs w:val="32"/>
        </w:rPr>
        <w:t>(y)通用智能体专业知识库-风险知识库-知识建模与组织</w:t>
      </w:r>
    </w:p>
    <w:p w14:paraId="32504667">
      <w:pPr>
        <w:ind w:firstLine="640" w:firstLineChars="200"/>
        <w:rPr>
          <w:rFonts w:ascii="仿宋_GB2312" w:eastAsia="仿宋_GB2312"/>
          <w:kern w:val="0"/>
          <w:sz w:val="32"/>
          <w:szCs w:val="32"/>
        </w:rPr>
      </w:pPr>
      <w:r>
        <w:rPr>
          <w:rFonts w:hint="eastAsia" w:ascii="仿宋_GB2312" w:eastAsia="仿宋_GB2312"/>
          <w:kern w:val="0"/>
          <w:sz w:val="32"/>
          <w:szCs w:val="32"/>
        </w:rPr>
        <w:t>围绕ry、车辆、地点等多类风险主体，构建风险描述、关联网络及评估模型，建立风险索引与预警规则库。</w:t>
      </w:r>
    </w:p>
    <w:p w14:paraId="4F352A18">
      <w:pPr>
        <w:ind w:firstLine="640" w:firstLineChars="200"/>
        <w:rPr>
          <w:rFonts w:ascii="仿宋_GB2312" w:eastAsia="仿宋_GB2312"/>
          <w:kern w:val="0"/>
          <w:sz w:val="32"/>
          <w:szCs w:val="32"/>
        </w:rPr>
      </w:pPr>
      <w:r>
        <w:rPr>
          <w:rFonts w:hint="eastAsia" w:ascii="仿宋_GB2312" w:eastAsia="仿宋_GB2312"/>
          <w:kern w:val="0"/>
          <w:sz w:val="32"/>
          <w:szCs w:val="32"/>
        </w:rPr>
        <w:t>(z)通用智能体专业知识库-风险知识库-知识服务与推理</w:t>
      </w:r>
    </w:p>
    <w:p w14:paraId="1A04788D">
      <w:pPr>
        <w:ind w:firstLine="640" w:firstLineChars="200"/>
        <w:rPr>
          <w:rFonts w:ascii="仿宋_GB2312" w:eastAsia="仿宋_GB2312"/>
          <w:kern w:val="0"/>
          <w:sz w:val="32"/>
          <w:szCs w:val="32"/>
        </w:rPr>
      </w:pPr>
      <w:r>
        <w:rPr>
          <w:rFonts w:hint="eastAsia" w:ascii="仿宋_GB2312" w:eastAsia="仿宋_GB2312"/>
          <w:kern w:val="0"/>
          <w:sz w:val="32"/>
          <w:szCs w:val="32"/>
        </w:rPr>
        <w:t>提供风险全景画像、关联风险扩散分析、预警生成与处置优先级排序，助力风险早发现、早研判。</w:t>
      </w:r>
    </w:p>
    <w:p w14:paraId="4DAA0561">
      <w:pPr>
        <w:ind w:firstLine="640" w:firstLineChars="200"/>
        <w:rPr>
          <w:rFonts w:ascii="仿宋_GB2312" w:eastAsia="仿宋_GB2312"/>
          <w:kern w:val="0"/>
          <w:sz w:val="32"/>
          <w:szCs w:val="32"/>
        </w:rPr>
      </w:pPr>
      <w:r>
        <w:rPr>
          <w:rFonts w:hint="eastAsia" w:ascii="仿宋_GB2312" w:eastAsia="仿宋_GB2312"/>
          <w:kern w:val="0"/>
          <w:sz w:val="32"/>
          <w:szCs w:val="32"/>
        </w:rPr>
        <w:t>(aa)通用智能体专业知识库-风险知识库-知识更新与进化</w:t>
      </w:r>
    </w:p>
    <w:p w14:paraId="5B175A1A">
      <w:pPr>
        <w:ind w:firstLine="640" w:firstLineChars="200"/>
        <w:rPr>
          <w:rFonts w:ascii="仿宋_GB2312" w:eastAsia="仿宋_GB2312"/>
          <w:kern w:val="0"/>
          <w:sz w:val="32"/>
          <w:szCs w:val="32"/>
        </w:rPr>
      </w:pPr>
      <w:r>
        <w:rPr>
          <w:rFonts w:hint="eastAsia" w:ascii="仿宋_GB2312" w:eastAsia="仿宋_GB2312"/>
          <w:kern w:val="0"/>
          <w:sz w:val="32"/>
          <w:szCs w:val="32"/>
        </w:rPr>
        <w:t>基于动态行为数据更新风险评分，依据预警准确率反馈优化评估模型，定期同步风险种类库，实现风险认知的精准演进。</w:t>
      </w:r>
    </w:p>
    <w:p w14:paraId="59243D58">
      <w:pPr>
        <w:ind w:firstLine="640" w:firstLineChars="200"/>
        <w:rPr>
          <w:rFonts w:ascii="仿宋_GB2312" w:eastAsia="仿宋_GB2312"/>
          <w:kern w:val="0"/>
          <w:sz w:val="32"/>
          <w:szCs w:val="32"/>
        </w:rPr>
      </w:pPr>
      <w:r>
        <w:rPr>
          <w:rFonts w:hint="eastAsia" w:ascii="仿宋_GB2312" w:eastAsia="仿宋_GB2312"/>
          <w:kern w:val="0"/>
          <w:sz w:val="32"/>
          <w:szCs w:val="32"/>
        </w:rPr>
        <w:t>(ab)通用智能体专业知识库-安保活动知识库-知识建模与组织</w:t>
      </w:r>
    </w:p>
    <w:p w14:paraId="0A6E792C">
      <w:pPr>
        <w:ind w:firstLine="640" w:firstLineChars="200"/>
        <w:rPr>
          <w:rFonts w:ascii="仿宋_GB2312" w:eastAsia="仿宋_GB2312"/>
          <w:kern w:val="0"/>
          <w:sz w:val="32"/>
          <w:szCs w:val="32"/>
        </w:rPr>
      </w:pPr>
      <w:r>
        <w:rPr>
          <w:rFonts w:hint="eastAsia" w:ascii="仿宋_GB2312" w:eastAsia="仿宋_GB2312"/>
          <w:kern w:val="0"/>
          <w:sz w:val="32"/>
          <w:szCs w:val="32"/>
        </w:rPr>
        <w:t>建立活动档案与资源映射模型，关联人、警力、事件、预案、算法等要素，构建标准化流程库与历史案例库。</w:t>
      </w:r>
    </w:p>
    <w:p w14:paraId="60943F37">
      <w:pPr>
        <w:ind w:firstLine="640" w:firstLineChars="200"/>
        <w:rPr>
          <w:rFonts w:ascii="仿宋_GB2312" w:eastAsia="仿宋_GB2312"/>
          <w:kern w:val="0"/>
          <w:sz w:val="32"/>
          <w:szCs w:val="32"/>
        </w:rPr>
      </w:pPr>
      <w:r>
        <w:rPr>
          <w:rFonts w:hint="eastAsia" w:ascii="仿宋_GB2312" w:eastAsia="仿宋_GB2312"/>
          <w:kern w:val="0"/>
          <w:sz w:val="32"/>
          <w:szCs w:val="32"/>
        </w:rPr>
        <w:t>(ac)通用智能体专业知识库-安保活动知识库-知识服务与推理</w:t>
      </w:r>
    </w:p>
    <w:p w14:paraId="1AC3EB5C">
      <w:pPr>
        <w:ind w:firstLine="640" w:firstLineChars="200"/>
        <w:rPr>
          <w:rFonts w:ascii="仿宋_GB2312" w:eastAsia="仿宋_GB2312"/>
          <w:kern w:val="0"/>
          <w:sz w:val="32"/>
          <w:szCs w:val="32"/>
        </w:rPr>
      </w:pPr>
      <w:r>
        <w:rPr>
          <w:rFonts w:hint="eastAsia" w:ascii="仿宋_GB2312" w:eastAsia="仿宋_GB2312"/>
          <w:kern w:val="0"/>
          <w:sz w:val="32"/>
          <w:szCs w:val="32"/>
        </w:rPr>
        <w:t>支持安保方案生成、资源冲突检测、历史经验推荐与警力部署优化，提升活动安保规划的科学性与效率。</w:t>
      </w:r>
    </w:p>
    <w:p w14:paraId="0698BC8B">
      <w:pPr>
        <w:ind w:firstLine="640" w:firstLineChars="200"/>
        <w:rPr>
          <w:rFonts w:ascii="仿宋_GB2312" w:eastAsia="仿宋_GB2312"/>
          <w:kern w:val="0"/>
          <w:sz w:val="32"/>
          <w:szCs w:val="32"/>
        </w:rPr>
      </w:pPr>
      <w:r>
        <w:rPr>
          <w:rFonts w:hint="eastAsia" w:ascii="仿宋_GB2312" w:eastAsia="仿宋_GB2312"/>
          <w:kern w:val="0"/>
          <w:sz w:val="32"/>
          <w:szCs w:val="32"/>
        </w:rPr>
        <w:t>(ad)通用智能体专业知识库-安保活动知识库-知识更新与进化</w:t>
      </w:r>
    </w:p>
    <w:p w14:paraId="2356FDEF">
      <w:pPr>
        <w:ind w:firstLine="640" w:firstLineChars="200"/>
        <w:rPr>
          <w:rFonts w:ascii="仿宋_GB2312" w:eastAsia="仿宋_GB2312"/>
          <w:kern w:val="0"/>
          <w:sz w:val="32"/>
          <w:szCs w:val="32"/>
        </w:rPr>
      </w:pPr>
      <w:r>
        <w:rPr>
          <w:rFonts w:hint="eastAsia" w:ascii="仿宋_GB2312" w:eastAsia="仿宋_GB2312"/>
          <w:kern w:val="0"/>
          <w:sz w:val="32"/>
          <w:szCs w:val="32"/>
        </w:rPr>
        <w:t>通过活动后结构化复盘总结优化流程，基于实际资源使用数据调优预测模型，不断丰富活动类型模板，实现安保知识的体系化积累。</w:t>
      </w:r>
    </w:p>
    <w:p w14:paraId="1335031B">
      <w:pPr>
        <w:ind w:firstLine="640" w:firstLineChars="200"/>
        <w:rPr>
          <w:rFonts w:ascii="仿宋_GB2312" w:eastAsia="仿宋_GB2312"/>
          <w:kern w:val="0"/>
          <w:sz w:val="32"/>
          <w:szCs w:val="32"/>
        </w:rPr>
      </w:pPr>
      <w:bookmarkStart w:id="6" w:name="_Toc205230588"/>
      <w:bookmarkStart w:id="7" w:name="_Toc216961925"/>
      <w:r>
        <w:rPr>
          <w:rFonts w:hint="eastAsia" w:ascii="仿宋_GB2312" w:eastAsia="仿宋_GB2312"/>
          <w:kern w:val="0"/>
          <w:sz w:val="32"/>
          <w:szCs w:val="32"/>
        </w:rPr>
        <w:t>③跨模型统一调度管理</w:t>
      </w:r>
      <w:bookmarkEnd w:id="6"/>
      <w:bookmarkEnd w:id="7"/>
    </w:p>
    <w:p w14:paraId="1366947D">
      <w:pPr>
        <w:ind w:firstLine="640" w:firstLineChars="200"/>
        <w:rPr>
          <w:rFonts w:ascii="仿宋_GB2312" w:eastAsia="仿宋_GB2312"/>
          <w:kern w:val="0"/>
          <w:sz w:val="32"/>
          <w:szCs w:val="32"/>
        </w:rPr>
      </w:pPr>
      <w:r>
        <w:rPr>
          <w:rFonts w:hint="eastAsia" w:ascii="仿宋_GB2312" w:eastAsia="仿宋_GB2312"/>
          <w:kern w:val="0"/>
          <w:sz w:val="32"/>
          <w:szCs w:val="32"/>
        </w:rPr>
        <w:t>a.视频图像模型权重管理</w:t>
      </w:r>
    </w:p>
    <w:p w14:paraId="6751A61A">
      <w:pPr>
        <w:ind w:firstLine="640" w:firstLineChars="200"/>
        <w:rPr>
          <w:rFonts w:ascii="仿宋_GB2312" w:eastAsia="仿宋_GB2312"/>
          <w:kern w:val="0"/>
          <w:sz w:val="32"/>
          <w:szCs w:val="32"/>
        </w:rPr>
      </w:pPr>
      <w:r>
        <w:rPr>
          <w:rFonts w:hint="eastAsia" w:ascii="仿宋_GB2312" w:eastAsia="仿宋_GB2312"/>
          <w:kern w:val="0"/>
          <w:sz w:val="32"/>
          <w:szCs w:val="32"/>
        </w:rPr>
        <w:t>(a)视频图像模型权重管理-视觉模型注册</w:t>
      </w:r>
    </w:p>
    <w:p w14:paraId="7BCB22D1">
      <w:pPr>
        <w:ind w:firstLine="640" w:firstLineChars="200"/>
        <w:rPr>
          <w:rFonts w:ascii="仿宋_GB2312" w:eastAsia="仿宋_GB2312"/>
          <w:kern w:val="0"/>
          <w:sz w:val="32"/>
          <w:szCs w:val="32"/>
        </w:rPr>
      </w:pPr>
      <w:r>
        <w:rPr>
          <w:rFonts w:hint="eastAsia" w:ascii="仿宋_GB2312" w:eastAsia="仿宋_GB2312"/>
          <w:kern w:val="0"/>
          <w:sz w:val="32"/>
          <w:szCs w:val="32"/>
        </w:rPr>
        <w:t>提供统一的模型注册入口和安全的集中存储仓库（模型仓库）。用户可以将训练完成的大模型（包含模型文件、权重、配置文件、版本信息等元数据）上传并注册到平台。支持多种模型格式，并确保存储的高可用性和可扩展性，作为模型全生命周期管理的起点。</w:t>
      </w:r>
    </w:p>
    <w:p w14:paraId="4A5690C3">
      <w:pPr>
        <w:ind w:firstLine="640" w:firstLineChars="200"/>
        <w:rPr>
          <w:rFonts w:ascii="仿宋_GB2312" w:eastAsia="仿宋_GB2312"/>
          <w:kern w:val="0"/>
          <w:sz w:val="32"/>
          <w:szCs w:val="32"/>
        </w:rPr>
      </w:pPr>
      <w:r>
        <w:rPr>
          <w:rFonts w:hint="eastAsia" w:ascii="仿宋_GB2312" w:eastAsia="仿宋_GB2312"/>
          <w:kern w:val="0"/>
          <w:sz w:val="32"/>
          <w:szCs w:val="32"/>
        </w:rPr>
        <w:t>(b)视频图像模型权重管理-视觉模型信息管理</w:t>
      </w:r>
    </w:p>
    <w:p w14:paraId="60BA401C">
      <w:pPr>
        <w:ind w:firstLine="640" w:firstLineChars="200"/>
        <w:rPr>
          <w:rFonts w:ascii="仿宋_GB2312" w:eastAsia="仿宋_GB2312"/>
          <w:kern w:val="0"/>
          <w:sz w:val="32"/>
          <w:szCs w:val="32"/>
        </w:rPr>
      </w:pPr>
      <w:r>
        <w:rPr>
          <w:rFonts w:hint="eastAsia" w:ascii="仿宋_GB2312" w:eastAsia="仿宋_GB2312"/>
          <w:kern w:val="0"/>
          <w:sz w:val="32"/>
          <w:szCs w:val="32"/>
        </w:rPr>
        <w:t>支持定义模型基础信息，包含模型名称、功能描述、创建者、所属业务类别、大模型等基础信息。</w:t>
      </w:r>
    </w:p>
    <w:p w14:paraId="0B907085">
      <w:pPr>
        <w:ind w:firstLine="640" w:firstLineChars="200"/>
        <w:rPr>
          <w:rFonts w:ascii="仿宋_GB2312" w:eastAsia="仿宋_GB2312"/>
          <w:kern w:val="0"/>
          <w:sz w:val="32"/>
          <w:szCs w:val="32"/>
        </w:rPr>
      </w:pPr>
      <w:r>
        <w:rPr>
          <w:rFonts w:hint="eastAsia" w:ascii="仿宋_GB2312" w:eastAsia="仿宋_GB2312"/>
          <w:kern w:val="0"/>
          <w:sz w:val="32"/>
          <w:szCs w:val="32"/>
        </w:rPr>
        <w:t>(c)视频图像模型权重管理-视觉模型格式校验</w:t>
      </w:r>
    </w:p>
    <w:p w14:paraId="2E1095A0">
      <w:pPr>
        <w:ind w:firstLine="640" w:firstLineChars="200"/>
        <w:rPr>
          <w:rFonts w:ascii="仿宋_GB2312" w:eastAsia="仿宋_GB2312"/>
          <w:kern w:val="0"/>
          <w:sz w:val="32"/>
          <w:szCs w:val="32"/>
        </w:rPr>
      </w:pPr>
      <w:r>
        <w:rPr>
          <w:rFonts w:hint="eastAsia" w:ascii="仿宋_GB2312" w:eastAsia="仿宋_GB2312"/>
          <w:kern w:val="0"/>
          <w:sz w:val="32"/>
          <w:szCs w:val="32"/>
        </w:rPr>
        <w:t>在上传时自动校验模型文件格式、结构完整性及与平台兼容性，阻止不符合规范的模型进入系统，减少后续部署错误。</w:t>
      </w:r>
    </w:p>
    <w:p w14:paraId="3DFF90CB">
      <w:pPr>
        <w:ind w:firstLine="640" w:firstLineChars="200"/>
        <w:rPr>
          <w:rFonts w:ascii="仿宋_GB2312" w:eastAsia="仿宋_GB2312"/>
          <w:kern w:val="0"/>
          <w:sz w:val="32"/>
          <w:szCs w:val="32"/>
        </w:rPr>
      </w:pPr>
      <w:r>
        <w:rPr>
          <w:rFonts w:hint="eastAsia" w:ascii="仿宋_GB2312" w:eastAsia="仿宋_GB2312"/>
          <w:kern w:val="0"/>
          <w:sz w:val="32"/>
          <w:szCs w:val="32"/>
        </w:rPr>
        <w:t>(d)视频图像模型权重管理-视觉模型目录管理</w:t>
      </w:r>
    </w:p>
    <w:p w14:paraId="62298335">
      <w:pPr>
        <w:ind w:firstLine="640" w:firstLineChars="200"/>
        <w:rPr>
          <w:rFonts w:ascii="仿宋_GB2312" w:eastAsia="仿宋_GB2312"/>
          <w:kern w:val="0"/>
          <w:sz w:val="32"/>
          <w:szCs w:val="32"/>
        </w:rPr>
      </w:pPr>
      <w:r>
        <w:rPr>
          <w:rFonts w:hint="eastAsia" w:ascii="仿宋_GB2312" w:eastAsia="仿宋_GB2312"/>
          <w:kern w:val="0"/>
          <w:sz w:val="32"/>
          <w:szCs w:val="32"/>
        </w:rPr>
        <w:t>支持模型目录管理，支持自定义目录管理模型列表，支持创建多层级目录管理，对模型目录名称修改和删除。</w:t>
      </w:r>
    </w:p>
    <w:p w14:paraId="23310FDF">
      <w:pPr>
        <w:ind w:firstLine="640" w:firstLineChars="200"/>
        <w:rPr>
          <w:rFonts w:ascii="仿宋_GB2312" w:eastAsia="仿宋_GB2312"/>
          <w:kern w:val="0"/>
          <w:sz w:val="32"/>
          <w:szCs w:val="32"/>
        </w:rPr>
      </w:pPr>
      <w:r>
        <w:rPr>
          <w:rFonts w:hint="eastAsia" w:ascii="仿宋_GB2312" w:eastAsia="仿宋_GB2312"/>
          <w:kern w:val="0"/>
          <w:sz w:val="32"/>
          <w:szCs w:val="32"/>
        </w:rPr>
        <w:t>(e)视频图像模型权重管理-视觉模型版本控制</w:t>
      </w:r>
    </w:p>
    <w:p w14:paraId="223237C7">
      <w:pPr>
        <w:ind w:firstLine="640" w:firstLineChars="200"/>
        <w:rPr>
          <w:rFonts w:ascii="仿宋_GB2312" w:eastAsia="仿宋_GB2312"/>
          <w:kern w:val="0"/>
          <w:sz w:val="32"/>
          <w:szCs w:val="32"/>
        </w:rPr>
      </w:pPr>
      <w:r>
        <w:rPr>
          <w:rFonts w:hint="eastAsia" w:ascii="仿宋_GB2312" w:eastAsia="仿宋_GB2312"/>
          <w:kern w:val="0"/>
          <w:sz w:val="32"/>
          <w:szCs w:val="32"/>
        </w:rPr>
        <w:t>对注册的模型进行严格的版本控制。每次模型更新（新训练、微调、优化）都会生成唯一且可追溯的新版本号。系统详细记录每个版本的元数据（如训练数据集、超参数、评估指标、创建者、时间戳）。支持版本回滚、版本对比（元数据、性能）和历史版本查询，确保模型迭代过程清晰可溯。</w:t>
      </w:r>
    </w:p>
    <w:p w14:paraId="3D68CD4F">
      <w:pPr>
        <w:ind w:firstLine="640" w:firstLineChars="200"/>
        <w:rPr>
          <w:rFonts w:ascii="仿宋_GB2312" w:eastAsia="仿宋_GB2312"/>
          <w:kern w:val="0"/>
          <w:sz w:val="32"/>
          <w:szCs w:val="32"/>
        </w:rPr>
      </w:pPr>
      <w:r>
        <w:rPr>
          <w:rFonts w:hint="eastAsia" w:ascii="仿宋_GB2312" w:eastAsia="仿宋_GB2312"/>
          <w:kern w:val="0"/>
          <w:sz w:val="32"/>
          <w:szCs w:val="32"/>
        </w:rPr>
        <w:t>(f)视频图像模型权重管理-视觉模型元数据管理</w:t>
      </w:r>
    </w:p>
    <w:p w14:paraId="56EE2CDE">
      <w:pPr>
        <w:ind w:firstLine="640" w:firstLineChars="200"/>
        <w:rPr>
          <w:rFonts w:ascii="仿宋_GB2312" w:eastAsia="仿宋_GB2312"/>
          <w:kern w:val="0"/>
          <w:sz w:val="32"/>
          <w:szCs w:val="32"/>
        </w:rPr>
      </w:pPr>
      <w:r>
        <w:rPr>
          <w:rFonts w:hint="eastAsia" w:ascii="仿宋_GB2312" w:eastAsia="仿宋_GB2312"/>
          <w:kern w:val="0"/>
          <w:sz w:val="32"/>
          <w:szCs w:val="32"/>
        </w:rPr>
        <w:t>围绕模型资产构建丰富的描述性信息库。除了基础信息（名称、描述、创建者、创建时间），还管理关键元数据如模型架构类型、训练指标（准确率、Loss）、业务bq、合规性信息（数据来源声明、许可证）、部署状态等。提供灵活的元数据编辑、搜索和过滤能力，便于用户快速理解和定位所需模型。</w:t>
      </w:r>
    </w:p>
    <w:p w14:paraId="3E751260">
      <w:pPr>
        <w:ind w:firstLine="640" w:firstLineChars="200"/>
        <w:rPr>
          <w:rFonts w:ascii="仿宋_GB2312" w:eastAsia="仿宋_GB2312"/>
          <w:kern w:val="0"/>
          <w:sz w:val="32"/>
          <w:szCs w:val="32"/>
        </w:rPr>
      </w:pPr>
      <w:r>
        <w:rPr>
          <w:rFonts w:hint="eastAsia" w:ascii="仿宋_GB2312" w:eastAsia="仿宋_GB2312"/>
          <w:kern w:val="0"/>
          <w:sz w:val="32"/>
          <w:szCs w:val="32"/>
        </w:rPr>
        <w:t>(g)视频图像模型权重管理-视觉模型部署管理</w:t>
      </w:r>
    </w:p>
    <w:p w14:paraId="1D292C41">
      <w:pPr>
        <w:ind w:firstLine="640" w:firstLineChars="200"/>
        <w:rPr>
          <w:rFonts w:ascii="仿宋_GB2312" w:eastAsia="仿宋_GB2312"/>
          <w:kern w:val="0"/>
          <w:sz w:val="32"/>
          <w:szCs w:val="32"/>
        </w:rPr>
      </w:pPr>
      <w:r>
        <w:rPr>
          <w:rFonts w:hint="eastAsia" w:ascii="仿宋_GB2312" w:eastAsia="仿宋_GB2312"/>
          <w:kern w:val="0"/>
          <w:sz w:val="32"/>
          <w:szCs w:val="32"/>
        </w:rPr>
        <w:t>提供将仓库中的模型版本实例化部署为持久化的在线推理服务的能力。支持选择目标计算资源（GPU类型、数量）、部署策略（单实例、高可用）。管理部署的生命周期（启动、停止、重启、更新、回滚），并监测部署状态和资源消耗。</w:t>
      </w:r>
    </w:p>
    <w:p w14:paraId="23998629">
      <w:pPr>
        <w:ind w:firstLine="640" w:firstLineChars="200"/>
        <w:rPr>
          <w:rFonts w:ascii="仿宋_GB2312" w:eastAsia="仿宋_GB2312"/>
          <w:kern w:val="0"/>
          <w:sz w:val="32"/>
          <w:szCs w:val="32"/>
        </w:rPr>
      </w:pPr>
      <w:r>
        <w:rPr>
          <w:rFonts w:hint="eastAsia" w:ascii="仿宋_GB2312" w:eastAsia="仿宋_GB2312"/>
          <w:kern w:val="0"/>
          <w:sz w:val="32"/>
          <w:szCs w:val="32"/>
        </w:rPr>
        <w:t>(h)视频图像模型权重管理-视觉模型生命周期管理</w:t>
      </w:r>
    </w:p>
    <w:p w14:paraId="1C47338D">
      <w:pPr>
        <w:ind w:firstLine="640" w:firstLineChars="200"/>
        <w:rPr>
          <w:rFonts w:ascii="仿宋_GB2312" w:eastAsia="仿宋_GB2312"/>
          <w:kern w:val="0"/>
          <w:sz w:val="32"/>
          <w:szCs w:val="32"/>
        </w:rPr>
      </w:pPr>
      <w:r>
        <w:rPr>
          <w:rFonts w:hint="eastAsia" w:ascii="仿宋_GB2312" w:eastAsia="仿宋_GB2312"/>
          <w:kern w:val="0"/>
          <w:sz w:val="32"/>
          <w:szCs w:val="32"/>
        </w:rPr>
        <w:t>定义和执行模型从注册、测试、部署、监测到最终归档或下线的完整生命周期策略。支持手动或基于规则（如版本过期、长期未使用、性能低于阈值）自动触发状态转换（如标记为“生产”、“测试”、“弃用”、“归档”）。提供归档存储（低成本）和最终清理机制，优化存储成本并管理技术债务。</w:t>
      </w:r>
    </w:p>
    <w:p w14:paraId="15118D1B">
      <w:pPr>
        <w:ind w:firstLine="640" w:firstLineChars="200"/>
        <w:rPr>
          <w:rFonts w:ascii="仿宋_GB2312" w:eastAsia="仿宋_GB2312"/>
          <w:kern w:val="0"/>
          <w:sz w:val="32"/>
          <w:szCs w:val="32"/>
        </w:rPr>
      </w:pPr>
      <w:r>
        <w:rPr>
          <w:rFonts w:hint="eastAsia" w:ascii="仿宋_GB2312" w:eastAsia="仿宋_GB2312"/>
          <w:kern w:val="0"/>
          <w:sz w:val="32"/>
          <w:szCs w:val="32"/>
        </w:rPr>
        <w:t>(i)视频图像模型权重管理-视觉模型查询</w:t>
      </w:r>
    </w:p>
    <w:p w14:paraId="136064A8">
      <w:pPr>
        <w:ind w:firstLine="640" w:firstLineChars="200"/>
        <w:rPr>
          <w:rFonts w:ascii="仿宋_GB2312" w:eastAsia="仿宋_GB2312"/>
          <w:kern w:val="0"/>
          <w:sz w:val="32"/>
          <w:szCs w:val="32"/>
        </w:rPr>
      </w:pPr>
      <w:r>
        <w:rPr>
          <w:rFonts w:hint="eastAsia" w:ascii="仿宋_GB2312" w:eastAsia="仿宋_GB2312"/>
          <w:kern w:val="0"/>
          <w:sz w:val="32"/>
          <w:szCs w:val="32"/>
        </w:rPr>
        <w:t>支持按模型名称、功能描述、创建者等关键词搜索符合要求的模型。</w:t>
      </w:r>
    </w:p>
    <w:p w14:paraId="551F9C8D">
      <w:pPr>
        <w:ind w:firstLine="640" w:firstLineChars="200"/>
        <w:rPr>
          <w:rFonts w:ascii="仿宋_GB2312" w:eastAsia="仿宋_GB2312"/>
          <w:kern w:val="0"/>
          <w:sz w:val="32"/>
          <w:szCs w:val="32"/>
        </w:rPr>
      </w:pPr>
      <w:r>
        <w:rPr>
          <w:rFonts w:hint="eastAsia" w:ascii="仿宋_GB2312" w:eastAsia="仿宋_GB2312"/>
          <w:kern w:val="0"/>
          <w:sz w:val="32"/>
          <w:szCs w:val="32"/>
        </w:rPr>
        <w:t>(j)视频图像模型权重管理-视觉模型统计分析</w:t>
      </w:r>
    </w:p>
    <w:p w14:paraId="4732287D">
      <w:pPr>
        <w:ind w:firstLine="640" w:firstLineChars="200"/>
        <w:rPr>
          <w:rFonts w:ascii="仿宋_GB2312" w:eastAsia="仿宋_GB2312"/>
          <w:kern w:val="0"/>
          <w:sz w:val="32"/>
          <w:szCs w:val="32"/>
        </w:rPr>
      </w:pPr>
      <w:r>
        <w:rPr>
          <w:rFonts w:hint="eastAsia" w:ascii="仿宋_GB2312" w:eastAsia="仿宋_GB2312"/>
          <w:kern w:val="0"/>
          <w:sz w:val="32"/>
          <w:szCs w:val="32"/>
        </w:rPr>
        <w:t>支持对所有注册在平台上的模型进行统计，支持按照模型的注册时间，种类，创建者等不同维度进行分类筛选查询。</w:t>
      </w:r>
    </w:p>
    <w:p w14:paraId="1B67F7F6">
      <w:pPr>
        <w:ind w:firstLine="640" w:firstLineChars="200"/>
        <w:rPr>
          <w:rFonts w:ascii="仿宋_GB2312" w:eastAsia="仿宋_GB2312"/>
          <w:kern w:val="0"/>
          <w:sz w:val="32"/>
          <w:szCs w:val="32"/>
        </w:rPr>
      </w:pPr>
      <w:r>
        <w:rPr>
          <w:rFonts w:hint="eastAsia" w:ascii="仿宋_GB2312" w:eastAsia="仿宋_GB2312"/>
          <w:kern w:val="0"/>
          <w:sz w:val="32"/>
          <w:szCs w:val="32"/>
        </w:rPr>
        <w:t>(k)视频图像模型权重管理-视觉模型接入</w:t>
      </w:r>
    </w:p>
    <w:p w14:paraId="7B943825">
      <w:pPr>
        <w:ind w:firstLine="640" w:firstLineChars="200"/>
        <w:rPr>
          <w:rFonts w:ascii="仿宋_GB2312" w:eastAsia="仿宋_GB2312"/>
          <w:kern w:val="0"/>
          <w:sz w:val="32"/>
          <w:szCs w:val="32"/>
        </w:rPr>
      </w:pPr>
      <w:r>
        <w:rPr>
          <w:rFonts w:hint="eastAsia" w:ascii="仿宋_GB2312" w:eastAsia="仿宋_GB2312"/>
          <w:kern w:val="0"/>
          <w:sz w:val="32"/>
          <w:szCs w:val="32"/>
        </w:rPr>
        <w:t>接入视觉模型（不区分开源 / 闭源），含模型格式校验、基础调用 API 开发。</w:t>
      </w:r>
    </w:p>
    <w:p w14:paraId="16F408F2">
      <w:pPr>
        <w:ind w:firstLine="640" w:firstLineChars="200"/>
        <w:rPr>
          <w:rFonts w:ascii="仿宋_GB2312" w:eastAsia="仿宋_GB2312"/>
          <w:kern w:val="0"/>
          <w:sz w:val="32"/>
          <w:szCs w:val="32"/>
        </w:rPr>
      </w:pPr>
      <w:r>
        <w:rPr>
          <w:rFonts w:hint="eastAsia" w:ascii="仿宋_GB2312" w:eastAsia="仿宋_GB2312"/>
          <w:kern w:val="0"/>
          <w:sz w:val="32"/>
          <w:szCs w:val="32"/>
        </w:rPr>
        <w:t>(l)视频图像模型权重管理-模型微调工具接入</w:t>
      </w:r>
    </w:p>
    <w:p w14:paraId="7C2EB232">
      <w:pPr>
        <w:ind w:firstLine="640" w:firstLineChars="200"/>
        <w:rPr>
          <w:rFonts w:ascii="仿宋_GB2312" w:eastAsia="仿宋_GB2312"/>
          <w:kern w:val="0"/>
          <w:sz w:val="32"/>
          <w:szCs w:val="32"/>
        </w:rPr>
      </w:pPr>
      <w:r>
        <w:rPr>
          <w:rFonts w:hint="eastAsia" w:ascii="仿宋_GB2312" w:eastAsia="仿宋_GB2312"/>
          <w:kern w:val="0"/>
          <w:sz w:val="32"/>
          <w:szCs w:val="32"/>
        </w:rPr>
        <w:t>模型微调后与 MaaS 平台的联动接口（训练完成→模型自动注册）。</w:t>
      </w:r>
    </w:p>
    <w:p w14:paraId="6227C5DA">
      <w:pPr>
        <w:ind w:firstLine="640" w:firstLineChars="200"/>
        <w:rPr>
          <w:rFonts w:ascii="仿宋_GB2312" w:eastAsia="仿宋_GB2312"/>
          <w:kern w:val="0"/>
          <w:sz w:val="32"/>
          <w:szCs w:val="32"/>
        </w:rPr>
      </w:pPr>
      <w:r>
        <w:rPr>
          <w:rFonts w:hint="eastAsia" w:ascii="仿宋_GB2312" w:eastAsia="仿宋_GB2312"/>
          <w:kern w:val="0"/>
          <w:sz w:val="32"/>
          <w:szCs w:val="32"/>
        </w:rPr>
        <w:t>b.视频图像模型仓库</w:t>
      </w:r>
    </w:p>
    <w:p w14:paraId="29C9CA17">
      <w:pPr>
        <w:ind w:firstLine="640" w:firstLineChars="200"/>
        <w:rPr>
          <w:rFonts w:ascii="仿宋_GB2312" w:eastAsia="仿宋_GB2312"/>
          <w:kern w:val="0"/>
          <w:sz w:val="32"/>
          <w:szCs w:val="32"/>
        </w:rPr>
      </w:pPr>
      <w:r>
        <w:rPr>
          <w:rFonts w:hint="eastAsia" w:ascii="仿宋_GB2312" w:eastAsia="仿宋_GB2312"/>
          <w:kern w:val="0"/>
          <w:sz w:val="32"/>
          <w:szCs w:val="32"/>
        </w:rPr>
        <w:t>(a)视频图像模型仓库-视觉大模型（开源）-引入注册</w:t>
      </w:r>
    </w:p>
    <w:p w14:paraId="0B813BEF">
      <w:pPr>
        <w:ind w:firstLine="640" w:firstLineChars="200"/>
        <w:rPr>
          <w:rFonts w:ascii="仿宋_GB2312" w:eastAsia="仿宋_GB2312"/>
          <w:kern w:val="0"/>
          <w:sz w:val="32"/>
          <w:szCs w:val="32"/>
        </w:rPr>
      </w:pPr>
      <w:r>
        <w:rPr>
          <w:rFonts w:hint="eastAsia" w:ascii="仿宋_GB2312" w:eastAsia="仿宋_GB2312"/>
          <w:kern w:val="0"/>
          <w:sz w:val="32"/>
          <w:szCs w:val="32"/>
        </w:rPr>
        <w:t>支持市面主流开源视觉VL大模型的引入和注册，定时同步模型仓库目录。</w:t>
      </w:r>
    </w:p>
    <w:p w14:paraId="0A520EF5">
      <w:pPr>
        <w:ind w:firstLine="640" w:firstLineChars="200"/>
        <w:rPr>
          <w:rFonts w:ascii="仿宋_GB2312" w:eastAsia="仿宋_GB2312"/>
          <w:kern w:val="0"/>
          <w:sz w:val="32"/>
          <w:szCs w:val="32"/>
        </w:rPr>
      </w:pPr>
      <w:r>
        <w:rPr>
          <w:rFonts w:hint="eastAsia" w:ascii="仿宋_GB2312" w:eastAsia="仿宋_GB2312"/>
          <w:kern w:val="0"/>
          <w:sz w:val="32"/>
          <w:szCs w:val="32"/>
        </w:rPr>
        <w:t>(b)视频图像模型仓库-视觉大模型（开源）-版本对齐</w:t>
      </w:r>
    </w:p>
    <w:p w14:paraId="02A08309">
      <w:pPr>
        <w:ind w:firstLine="640" w:firstLineChars="200"/>
        <w:rPr>
          <w:rFonts w:ascii="仿宋_GB2312" w:eastAsia="仿宋_GB2312"/>
          <w:kern w:val="0"/>
          <w:sz w:val="32"/>
          <w:szCs w:val="32"/>
        </w:rPr>
      </w:pPr>
      <w:r>
        <w:rPr>
          <w:rFonts w:hint="eastAsia" w:ascii="仿宋_GB2312" w:eastAsia="仿宋_GB2312"/>
          <w:kern w:val="0"/>
          <w:sz w:val="32"/>
          <w:szCs w:val="32"/>
        </w:rPr>
        <w:t>基于模型指纹识别重复版本，支持智能版本比对。</w:t>
      </w:r>
    </w:p>
    <w:p w14:paraId="032AA876">
      <w:pPr>
        <w:ind w:firstLine="640" w:firstLineChars="200"/>
        <w:rPr>
          <w:rFonts w:ascii="仿宋_GB2312" w:eastAsia="仿宋_GB2312"/>
          <w:kern w:val="0"/>
          <w:sz w:val="32"/>
          <w:szCs w:val="32"/>
        </w:rPr>
      </w:pPr>
      <w:r>
        <w:rPr>
          <w:rFonts w:hint="eastAsia" w:ascii="仿宋_GB2312" w:eastAsia="仿宋_GB2312"/>
          <w:kern w:val="0"/>
          <w:sz w:val="32"/>
          <w:szCs w:val="32"/>
        </w:rPr>
        <w:t>(c)视频图像模型仓库-视觉大模型（开源）-格式匹配与转换</w:t>
      </w:r>
    </w:p>
    <w:p w14:paraId="6129C428">
      <w:pPr>
        <w:ind w:firstLine="640" w:firstLineChars="200"/>
        <w:rPr>
          <w:rFonts w:ascii="仿宋_GB2312" w:eastAsia="仿宋_GB2312"/>
          <w:kern w:val="0"/>
          <w:sz w:val="32"/>
          <w:szCs w:val="32"/>
        </w:rPr>
      </w:pPr>
      <w:r>
        <w:rPr>
          <w:rFonts w:hint="eastAsia" w:ascii="仿宋_GB2312" w:eastAsia="仿宋_GB2312"/>
          <w:kern w:val="0"/>
          <w:sz w:val="32"/>
          <w:szCs w:val="32"/>
        </w:rPr>
        <w:t>自动转换模型格式，支持跨框架部署，如vllm、sglang。</w:t>
      </w:r>
    </w:p>
    <w:p w14:paraId="0FBEA99D">
      <w:pPr>
        <w:ind w:firstLine="640" w:firstLineChars="200"/>
        <w:rPr>
          <w:rFonts w:ascii="仿宋_GB2312" w:eastAsia="仿宋_GB2312"/>
          <w:kern w:val="0"/>
          <w:sz w:val="32"/>
          <w:szCs w:val="32"/>
        </w:rPr>
      </w:pPr>
      <w:r>
        <w:rPr>
          <w:rFonts w:hint="eastAsia" w:ascii="仿宋_GB2312" w:eastAsia="仿宋_GB2312"/>
          <w:kern w:val="0"/>
          <w:sz w:val="32"/>
          <w:szCs w:val="32"/>
        </w:rPr>
        <w:t>(d)视频图像模型仓库-视觉大模型（开源）-效能jk</w:t>
      </w:r>
    </w:p>
    <w:p w14:paraId="2A7820C8">
      <w:pPr>
        <w:ind w:firstLine="640" w:firstLineChars="200"/>
        <w:rPr>
          <w:rFonts w:ascii="仿宋_GB2312" w:eastAsia="仿宋_GB2312"/>
          <w:kern w:val="0"/>
          <w:sz w:val="32"/>
          <w:szCs w:val="32"/>
        </w:rPr>
      </w:pPr>
      <w:r>
        <w:rPr>
          <w:rFonts w:hint="eastAsia" w:ascii="仿宋_GB2312" w:eastAsia="仿宋_GB2312"/>
          <w:kern w:val="0"/>
          <w:sz w:val="32"/>
          <w:szCs w:val="32"/>
        </w:rPr>
        <w:t>构建多维度效能评估体系，自动评估各类视觉大模型精度、速度、内存占用，并生成对比报告。</w:t>
      </w:r>
    </w:p>
    <w:p w14:paraId="5FAE1842">
      <w:pPr>
        <w:ind w:firstLine="640" w:firstLineChars="200"/>
        <w:rPr>
          <w:rFonts w:ascii="仿宋_GB2312" w:eastAsia="仿宋_GB2312"/>
          <w:kern w:val="0"/>
          <w:sz w:val="32"/>
          <w:szCs w:val="32"/>
        </w:rPr>
      </w:pPr>
      <w:r>
        <w:rPr>
          <w:rFonts w:hint="eastAsia" w:ascii="仿宋_GB2312" w:eastAsia="仿宋_GB2312"/>
          <w:kern w:val="0"/>
          <w:sz w:val="32"/>
          <w:szCs w:val="32"/>
        </w:rPr>
        <w:t>(e)视频图像模型仓库-视觉大模型（开源）-异常告警</w:t>
      </w:r>
    </w:p>
    <w:p w14:paraId="518B5A82">
      <w:pPr>
        <w:ind w:firstLine="640" w:firstLineChars="200"/>
        <w:rPr>
          <w:rFonts w:ascii="仿宋_GB2312" w:eastAsia="仿宋_GB2312"/>
          <w:kern w:val="0"/>
          <w:sz w:val="32"/>
          <w:szCs w:val="32"/>
        </w:rPr>
      </w:pPr>
      <w:r>
        <w:rPr>
          <w:rFonts w:hint="eastAsia" w:ascii="仿宋_GB2312" w:eastAsia="仿宋_GB2312"/>
          <w:kern w:val="0"/>
          <w:sz w:val="32"/>
          <w:szCs w:val="32"/>
        </w:rPr>
        <w:t>记录视觉大模型调用次数、错误日志（如CUDA内存不足）、资源消耗（GPU利用率）等，设置阈值告警（如错误率&gt;5%时通知用户）。</w:t>
      </w:r>
    </w:p>
    <w:p w14:paraId="7BE96B70">
      <w:pPr>
        <w:ind w:firstLine="640" w:firstLineChars="200"/>
        <w:rPr>
          <w:rFonts w:ascii="仿宋_GB2312" w:eastAsia="仿宋_GB2312"/>
          <w:kern w:val="0"/>
          <w:sz w:val="32"/>
          <w:szCs w:val="32"/>
        </w:rPr>
      </w:pPr>
      <w:r>
        <w:rPr>
          <w:rFonts w:hint="eastAsia" w:ascii="仿宋_GB2312" w:eastAsia="仿宋_GB2312"/>
          <w:kern w:val="0"/>
          <w:sz w:val="32"/>
          <w:szCs w:val="32"/>
        </w:rPr>
        <w:t>(f)视频图像模型仓库-视觉大模型（开源）-生命周期管理</w:t>
      </w:r>
    </w:p>
    <w:p w14:paraId="1873129E">
      <w:pPr>
        <w:ind w:firstLine="640" w:firstLineChars="200"/>
        <w:rPr>
          <w:rFonts w:ascii="仿宋_GB2312" w:eastAsia="仿宋_GB2312"/>
          <w:kern w:val="0"/>
          <w:sz w:val="32"/>
          <w:szCs w:val="32"/>
        </w:rPr>
      </w:pPr>
      <w:r>
        <w:rPr>
          <w:rFonts w:hint="eastAsia" w:ascii="仿宋_GB2312" w:eastAsia="仿宋_GB2312"/>
          <w:kern w:val="0"/>
          <w:sz w:val="32"/>
          <w:szCs w:val="32"/>
        </w:rPr>
        <w:t>对接入的开源视觉大模型进行生命周期管理，通过预设策略（合规许可证到期）自动触发模型版本下线。</w:t>
      </w:r>
    </w:p>
    <w:p w14:paraId="1EA0BE10">
      <w:pPr>
        <w:ind w:firstLine="640" w:firstLineChars="200"/>
        <w:rPr>
          <w:rFonts w:ascii="仿宋_GB2312" w:eastAsia="仿宋_GB2312"/>
          <w:kern w:val="0"/>
          <w:sz w:val="32"/>
          <w:szCs w:val="32"/>
        </w:rPr>
      </w:pPr>
      <w:r>
        <w:rPr>
          <w:rFonts w:hint="eastAsia" w:ascii="仿宋_GB2312" w:eastAsia="仿宋_GB2312"/>
          <w:kern w:val="0"/>
          <w:sz w:val="32"/>
          <w:szCs w:val="32"/>
        </w:rPr>
        <w:t>(g)视频图像模型仓库-专项场景算法模型-场景算法封装注册</w:t>
      </w:r>
    </w:p>
    <w:p w14:paraId="4DEEC2C5">
      <w:pPr>
        <w:ind w:firstLine="640" w:firstLineChars="200"/>
        <w:rPr>
          <w:rFonts w:ascii="仿宋_GB2312" w:eastAsia="仿宋_GB2312"/>
          <w:kern w:val="0"/>
          <w:sz w:val="32"/>
          <w:szCs w:val="32"/>
        </w:rPr>
      </w:pPr>
      <w:r>
        <w:rPr>
          <w:rFonts w:hint="eastAsia" w:ascii="仿宋_GB2312" w:eastAsia="仿宋_GB2312"/>
          <w:kern w:val="0"/>
          <w:sz w:val="32"/>
          <w:szCs w:val="32"/>
        </w:rPr>
        <w:t>将各类专项场景算法进行封装，通过统一接口接入注册到视觉模型仓库。</w:t>
      </w:r>
    </w:p>
    <w:p w14:paraId="5CF32F01">
      <w:pPr>
        <w:ind w:firstLine="640" w:firstLineChars="200"/>
        <w:rPr>
          <w:rFonts w:ascii="仿宋_GB2312" w:eastAsia="仿宋_GB2312"/>
          <w:kern w:val="0"/>
          <w:sz w:val="32"/>
          <w:szCs w:val="32"/>
        </w:rPr>
      </w:pPr>
      <w:r>
        <w:rPr>
          <w:rFonts w:hint="eastAsia" w:ascii="仿宋_GB2312" w:eastAsia="仿宋_GB2312"/>
          <w:kern w:val="0"/>
          <w:sz w:val="32"/>
          <w:szCs w:val="32"/>
        </w:rPr>
        <w:t>(h)视频图像模型仓库-专项场景算法模型-场景算法编辑</w:t>
      </w:r>
    </w:p>
    <w:p w14:paraId="799D5252">
      <w:pPr>
        <w:ind w:firstLine="640" w:firstLineChars="200"/>
        <w:rPr>
          <w:rFonts w:ascii="仿宋_GB2312" w:eastAsia="仿宋_GB2312"/>
          <w:kern w:val="0"/>
          <w:sz w:val="32"/>
          <w:szCs w:val="32"/>
        </w:rPr>
      </w:pPr>
      <w:r>
        <w:rPr>
          <w:rFonts w:hint="eastAsia" w:ascii="仿宋_GB2312" w:eastAsia="仿宋_GB2312"/>
          <w:kern w:val="0"/>
          <w:sz w:val="32"/>
          <w:szCs w:val="32"/>
        </w:rPr>
        <w:t>针对已完成注册的场景算法进行编辑，修改算法名称，算法描述等信息。</w:t>
      </w:r>
    </w:p>
    <w:p w14:paraId="7877D13A">
      <w:pPr>
        <w:ind w:firstLine="640" w:firstLineChars="200"/>
        <w:rPr>
          <w:rFonts w:ascii="仿宋_GB2312" w:eastAsia="仿宋_GB2312"/>
          <w:kern w:val="0"/>
          <w:sz w:val="32"/>
          <w:szCs w:val="32"/>
        </w:rPr>
      </w:pPr>
      <w:r>
        <w:rPr>
          <w:rFonts w:hint="eastAsia" w:ascii="仿宋_GB2312" w:eastAsia="仿宋_GB2312"/>
          <w:kern w:val="0"/>
          <w:sz w:val="32"/>
          <w:szCs w:val="32"/>
        </w:rPr>
        <w:t>(i)视频图像模型仓库-专项场景算法模型-场景算法下线</w:t>
      </w:r>
    </w:p>
    <w:p w14:paraId="278CCAD1">
      <w:pPr>
        <w:ind w:firstLine="640" w:firstLineChars="200"/>
        <w:rPr>
          <w:rFonts w:ascii="仿宋_GB2312" w:eastAsia="仿宋_GB2312"/>
          <w:kern w:val="0"/>
          <w:sz w:val="32"/>
          <w:szCs w:val="32"/>
        </w:rPr>
      </w:pPr>
      <w:r>
        <w:rPr>
          <w:rFonts w:hint="eastAsia" w:ascii="仿宋_GB2312" w:eastAsia="仿宋_GB2312"/>
          <w:kern w:val="0"/>
          <w:sz w:val="32"/>
          <w:szCs w:val="32"/>
        </w:rPr>
        <w:t>根据实际业务情况，针对部分不再使用的场景算法进行下线处理，同时进行计算、存储资源释放，节约成本。</w:t>
      </w:r>
    </w:p>
    <w:p w14:paraId="2856106A">
      <w:pPr>
        <w:ind w:firstLine="640" w:firstLineChars="200"/>
        <w:rPr>
          <w:rFonts w:ascii="仿宋_GB2312" w:eastAsia="仿宋_GB2312"/>
          <w:kern w:val="0"/>
          <w:sz w:val="32"/>
          <w:szCs w:val="32"/>
        </w:rPr>
      </w:pPr>
      <w:r>
        <w:rPr>
          <w:rFonts w:hint="eastAsia" w:ascii="仿宋_GB2312" w:eastAsia="仿宋_GB2312"/>
          <w:kern w:val="0"/>
          <w:sz w:val="32"/>
          <w:szCs w:val="32"/>
        </w:rPr>
        <w:t>(j)视频图像模型仓库-专项场景算法模型-场景算法版本控制</w:t>
      </w:r>
    </w:p>
    <w:p w14:paraId="6B30E82B">
      <w:pPr>
        <w:ind w:firstLine="640" w:firstLineChars="200"/>
        <w:rPr>
          <w:rFonts w:ascii="仿宋_GB2312" w:eastAsia="仿宋_GB2312"/>
          <w:kern w:val="0"/>
          <w:sz w:val="32"/>
          <w:szCs w:val="32"/>
        </w:rPr>
      </w:pPr>
      <w:r>
        <w:rPr>
          <w:rFonts w:hint="eastAsia" w:ascii="仿宋_GB2312" w:eastAsia="仿宋_GB2312"/>
          <w:kern w:val="0"/>
          <w:sz w:val="32"/>
          <w:szCs w:val="32"/>
        </w:rPr>
        <w:t>记录场景算法每次更新的版本号、变更日志及操作者信息，支持历史版本对比。</w:t>
      </w:r>
    </w:p>
    <w:p w14:paraId="06FA6B47">
      <w:pPr>
        <w:ind w:firstLine="640" w:firstLineChars="200"/>
        <w:rPr>
          <w:rFonts w:ascii="仿宋_GB2312" w:eastAsia="仿宋_GB2312"/>
          <w:kern w:val="0"/>
          <w:sz w:val="32"/>
          <w:szCs w:val="32"/>
        </w:rPr>
      </w:pPr>
      <w:r>
        <w:rPr>
          <w:rFonts w:hint="eastAsia" w:ascii="仿宋_GB2312" w:eastAsia="仿宋_GB2312"/>
          <w:kern w:val="0"/>
          <w:sz w:val="32"/>
          <w:szCs w:val="32"/>
        </w:rPr>
        <w:t>(k)视频图像模型仓库-专项场景算法模型-效能jk</w:t>
      </w:r>
    </w:p>
    <w:p w14:paraId="695AE507">
      <w:pPr>
        <w:ind w:firstLine="640" w:firstLineChars="200"/>
        <w:rPr>
          <w:rFonts w:ascii="仿宋_GB2312" w:eastAsia="仿宋_GB2312"/>
          <w:kern w:val="0"/>
          <w:sz w:val="32"/>
          <w:szCs w:val="32"/>
        </w:rPr>
      </w:pPr>
      <w:r>
        <w:rPr>
          <w:rFonts w:hint="eastAsia" w:ascii="仿宋_GB2312" w:eastAsia="仿宋_GB2312"/>
          <w:kern w:val="0"/>
          <w:sz w:val="32"/>
          <w:szCs w:val="32"/>
        </w:rPr>
        <w:t>构建多维度效能评估体系，评估各类场景算法执行效果，如产生的事件数量，事件检测结果准确情况等。</w:t>
      </w:r>
    </w:p>
    <w:p w14:paraId="7AD5D3DC">
      <w:pPr>
        <w:ind w:firstLine="640" w:firstLineChars="200"/>
        <w:rPr>
          <w:rFonts w:ascii="仿宋_GB2312" w:eastAsia="仿宋_GB2312"/>
          <w:kern w:val="0"/>
          <w:sz w:val="32"/>
          <w:szCs w:val="32"/>
        </w:rPr>
      </w:pPr>
      <w:r>
        <w:rPr>
          <w:rFonts w:hint="eastAsia" w:ascii="仿宋_GB2312" w:eastAsia="仿宋_GB2312"/>
          <w:kern w:val="0"/>
          <w:sz w:val="32"/>
          <w:szCs w:val="32"/>
        </w:rPr>
        <w:t>c.视频图像模型微调</w:t>
      </w:r>
    </w:p>
    <w:p w14:paraId="037682C5">
      <w:pPr>
        <w:ind w:firstLine="640" w:firstLineChars="200"/>
        <w:rPr>
          <w:rFonts w:ascii="仿宋_GB2312" w:eastAsia="仿宋_GB2312"/>
          <w:kern w:val="0"/>
          <w:sz w:val="32"/>
          <w:szCs w:val="32"/>
        </w:rPr>
      </w:pPr>
      <w:r>
        <w:rPr>
          <w:rFonts w:hint="eastAsia" w:ascii="仿宋_GB2312" w:eastAsia="仿宋_GB2312"/>
          <w:kern w:val="0"/>
          <w:sz w:val="32"/>
          <w:szCs w:val="32"/>
        </w:rPr>
        <w:t>(a)视频图像模型微调-分布式计算-分布式资源调度与管理</w:t>
      </w:r>
    </w:p>
    <w:p w14:paraId="5E9A937A">
      <w:pPr>
        <w:ind w:firstLine="640" w:firstLineChars="200"/>
        <w:rPr>
          <w:rFonts w:ascii="仿宋_GB2312" w:eastAsia="仿宋_GB2312"/>
          <w:kern w:val="0"/>
          <w:sz w:val="32"/>
          <w:szCs w:val="32"/>
        </w:rPr>
      </w:pPr>
      <w:r>
        <w:rPr>
          <w:rFonts w:hint="eastAsia" w:ascii="仿宋_GB2312" w:eastAsia="仿宋_GB2312"/>
          <w:kern w:val="0"/>
          <w:sz w:val="32"/>
          <w:szCs w:val="32"/>
        </w:rPr>
        <w:t>统一管理集群中的异构计算资源（GPU/CPU/NPU），根据任务需求动态分配设备（如单机多卡、多机多卡）。支持资源隔离、优先级训练任务调度，并监测硬件状态（显存、算力利用率），确保任务高效运行且避免资源冲突。</w:t>
      </w:r>
    </w:p>
    <w:p w14:paraId="1D80D7B3">
      <w:pPr>
        <w:ind w:firstLine="640" w:firstLineChars="200"/>
        <w:rPr>
          <w:rFonts w:ascii="仿宋_GB2312" w:eastAsia="仿宋_GB2312"/>
          <w:kern w:val="0"/>
          <w:sz w:val="32"/>
          <w:szCs w:val="32"/>
        </w:rPr>
      </w:pPr>
      <w:r>
        <w:rPr>
          <w:rFonts w:hint="eastAsia" w:ascii="仿宋_GB2312" w:eastAsia="仿宋_GB2312"/>
          <w:kern w:val="0"/>
          <w:sz w:val="32"/>
          <w:szCs w:val="32"/>
        </w:rPr>
        <w:t>(b)视频图像模型微调-分布式计算-并行计算策略支持</w:t>
      </w:r>
    </w:p>
    <w:p w14:paraId="72D72880">
      <w:pPr>
        <w:ind w:firstLine="640" w:firstLineChars="200"/>
        <w:rPr>
          <w:rFonts w:ascii="仿宋_GB2312" w:eastAsia="仿宋_GB2312"/>
          <w:kern w:val="0"/>
          <w:sz w:val="32"/>
          <w:szCs w:val="32"/>
        </w:rPr>
      </w:pPr>
      <w:r>
        <w:rPr>
          <w:rFonts w:hint="eastAsia" w:ascii="仿宋_GB2312" w:eastAsia="仿宋_GB2312"/>
          <w:kern w:val="0"/>
          <w:sz w:val="32"/>
          <w:szCs w:val="32"/>
        </w:rPr>
        <w:t>为不同参数量级的模型训练提供灵活、高效的并行计算方案，以支持从十亿级到百亿级参数的大模型训练，显著提升训练效率与资源利用率。</w:t>
      </w:r>
    </w:p>
    <w:p w14:paraId="1D43E579">
      <w:pPr>
        <w:ind w:firstLine="640" w:firstLineChars="200"/>
        <w:rPr>
          <w:rFonts w:ascii="仿宋_GB2312" w:eastAsia="仿宋_GB2312"/>
          <w:kern w:val="0"/>
          <w:sz w:val="32"/>
          <w:szCs w:val="32"/>
        </w:rPr>
      </w:pPr>
      <w:r>
        <w:rPr>
          <w:rFonts w:hint="eastAsia" w:ascii="仿宋_GB2312" w:eastAsia="仿宋_GB2312"/>
          <w:kern w:val="0"/>
          <w:sz w:val="32"/>
          <w:szCs w:val="32"/>
        </w:rPr>
        <w:t>(c)视频图像模型微调-分布式计算-分布式通信优化</w:t>
      </w:r>
    </w:p>
    <w:p w14:paraId="084B0D7E">
      <w:pPr>
        <w:ind w:firstLine="640" w:firstLineChars="200"/>
        <w:rPr>
          <w:rFonts w:ascii="仿宋_GB2312" w:eastAsia="仿宋_GB2312"/>
          <w:kern w:val="0"/>
          <w:sz w:val="32"/>
          <w:szCs w:val="32"/>
        </w:rPr>
      </w:pPr>
      <w:r>
        <w:rPr>
          <w:rFonts w:hint="eastAsia" w:ascii="仿宋_GB2312" w:eastAsia="仿宋_GB2312"/>
          <w:kern w:val="0"/>
          <w:sz w:val="32"/>
          <w:szCs w:val="32"/>
        </w:rPr>
        <w:t>集成分布式计算架构，优化跨节点通信效率，通过拓扑路由降低延迟，提升带宽利用率。</w:t>
      </w:r>
    </w:p>
    <w:p w14:paraId="46F38EE6">
      <w:pPr>
        <w:ind w:firstLine="640" w:firstLineChars="200"/>
        <w:rPr>
          <w:rFonts w:ascii="仿宋_GB2312" w:eastAsia="仿宋_GB2312"/>
          <w:kern w:val="0"/>
          <w:sz w:val="32"/>
          <w:szCs w:val="32"/>
        </w:rPr>
      </w:pPr>
      <w:r>
        <w:rPr>
          <w:rFonts w:hint="eastAsia" w:ascii="仿宋_GB2312" w:eastAsia="仿宋_GB2312"/>
          <w:kern w:val="0"/>
          <w:sz w:val="32"/>
          <w:szCs w:val="32"/>
        </w:rPr>
        <w:t>(d)视频图像模型微调-分布式计算-容错与恢复机制</w:t>
      </w:r>
    </w:p>
    <w:p w14:paraId="1B61F503">
      <w:pPr>
        <w:ind w:firstLine="640" w:firstLineChars="200"/>
        <w:rPr>
          <w:rFonts w:ascii="仿宋_GB2312" w:eastAsia="仿宋_GB2312"/>
          <w:kern w:val="0"/>
          <w:sz w:val="32"/>
          <w:szCs w:val="32"/>
        </w:rPr>
      </w:pPr>
      <w:r>
        <w:rPr>
          <w:rFonts w:hint="eastAsia" w:ascii="仿宋_GB2312" w:eastAsia="仿宋_GB2312"/>
          <w:kern w:val="0"/>
          <w:sz w:val="32"/>
          <w:szCs w:val="32"/>
        </w:rPr>
        <w:t>保障长周期任务（数周训练）的可靠性，包括：</w:t>
      </w:r>
    </w:p>
    <w:p w14:paraId="6C24BD99">
      <w:pPr>
        <w:ind w:firstLine="640" w:firstLineChars="200"/>
        <w:rPr>
          <w:rFonts w:ascii="仿宋_GB2312" w:eastAsia="仿宋_GB2312"/>
          <w:kern w:val="0"/>
          <w:sz w:val="32"/>
          <w:szCs w:val="32"/>
        </w:rPr>
      </w:pPr>
      <w:r>
        <w:rPr>
          <w:rFonts w:hint="eastAsia" w:ascii="仿宋_GB2312" w:eastAsia="仿宋_GB2312"/>
          <w:kern w:val="0"/>
          <w:sz w:val="32"/>
          <w:szCs w:val="32"/>
        </w:rPr>
        <w:t>检查点（Checkpoint）：定期保存模型状态至存储；</w:t>
      </w:r>
    </w:p>
    <w:p w14:paraId="383BEE3A">
      <w:pPr>
        <w:ind w:firstLine="640" w:firstLineChars="200"/>
        <w:rPr>
          <w:rFonts w:ascii="仿宋_GB2312" w:eastAsia="仿宋_GB2312"/>
          <w:kern w:val="0"/>
          <w:sz w:val="32"/>
          <w:szCs w:val="32"/>
        </w:rPr>
      </w:pPr>
      <w:r>
        <w:rPr>
          <w:rFonts w:hint="eastAsia" w:ascii="仿宋_GB2312" w:eastAsia="仿宋_GB2312"/>
          <w:kern w:val="0"/>
          <w:sz w:val="32"/>
          <w:szCs w:val="32"/>
        </w:rPr>
        <w:t>任务恢复：从最近检查点重启任务，避免全量重算。</w:t>
      </w:r>
    </w:p>
    <w:p w14:paraId="6B8C0EB0">
      <w:pPr>
        <w:ind w:firstLine="640" w:firstLineChars="200"/>
        <w:rPr>
          <w:rFonts w:ascii="仿宋_GB2312" w:eastAsia="仿宋_GB2312"/>
          <w:kern w:val="0"/>
          <w:sz w:val="32"/>
          <w:szCs w:val="32"/>
        </w:rPr>
      </w:pPr>
      <w:r>
        <w:rPr>
          <w:rFonts w:hint="eastAsia" w:ascii="仿宋_GB2312" w:eastAsia="仿宋_GB2312"/>
          <w:kern w:val="0"/>
          <w:sz w:val="32"/>
          <w:szCs w:val="32"/>
        </w:rPr>
        <w:t>(e)视频图像模型微调-分布式计算-计算图编译与优化</w:t>
      </w:r>
    </w:p>
    <w:p w14:paraId="726F3EC7">
      <w:pPr>
        <w:ind w:firstLine="640" w:firstLineChars="200"/>
        <w:rPr>
          <w:rFonts w:ascii="仿宋_GB2312" w:eastAsia="仿宋_GB2312"/>
          <w:kern w:val="0"/>
          <w:sz w:val="32"/>
          <w:szCs w:val="32"/>
        </w:rPr>
      </w:pPr>
      <w:r>
        <w:rPr>
          <w:rFonts w:hint="eastAsia" w:ascii="仿宋_GB2312" w:eastAsia="仿宋_GB2312"/>
          <w:kern w:val="0"/>
          <w:sz w:val="32"/>
          <w:szCs w:val="32"/>
        </w:rPr>
        <w:t>将模型计算图编译为高效分布式执行计划，包括：</w:t>
      </w:r>
    </w:p>
    <w:p w14:paraId="701696BE">
      <w:pPr>
        <w:ind w:firstLine="640" w:firstLineChars="200"/>
        <w:rPr>
          <w:rFonts w:ascii="仿宋_GB2312" w:eastAsia="仿宋_GB2312"/>
          <w:kern w:val="0"/>
          <w:sz w:val="32"/>
          <w:szCs w:val="32"/>
        </w:rPr>
      </w:pPr>
      <w:r>
        <w:rPr>
          <w:rFonts w:hint="eastAsia" w:ascii="仿宋_GB2312" w:eastAsia="仿宋_GB2312"/>
          <w:kern w:val="0"/>
          <w:sz w:val="32"/>
          <w:szCs w:val="32"/>
        </w:rPr>
        <w:t>算子融合：合并多个小算子，减少内存读写；</w:t>
      </w:r>
    </w:p>
    <w:p w14:paraId="386A2409">
      <w:pPr>
        <w:ind w:firstLine="640" w:firstLineChars="200"/>
        <w:rPr>
          <w:rFonts w:ascii="仿宋_GB2312" w:eastAsia="仿宋_GB2312"/>
          <w:kern w:val="0"/>
          <w:sz w:val="32"/>
          <w:szCs w:val="32"/>
        </w:rPr>
      </w:pPr>
      <w:r>
        <w:rPr>
          <w:rFonts w:hint="eastAsia" w:ascii="仿宋_GB2312" w:eastAsia="仿宋_GB2312"/>
          <w:kern w:val="0"/>
          <w:sz w:val="32"/>
          <w:szCs w:val="32"/>
        </w:rPr>
        <w:t>内存优化：显存复用、交换（Offload）技术降低峰值占用。</w:t>
      </w:r>
    </w:p>
    <w:p w14:paraId="1CE03CFC">
      <w:pPr>
        <w:ind w:firstLine="640" w:firstLineChars="200"/>
        <w:rPr>
          <w:rFonts w:ascii="仿宋_GB2312" w:eastAsia="仿宋_GB2312"/>
          <w:kern w:val="0"/>
          <w:sz w:val="32"/>
          <w:szCs w:val="32"/>
        </w:rPr>
      </w:pPr>
      <w:r>
        <w:rPr>
          <w:rFonts w:hint="eastAsia" w:ascii="仿宋_GB2312" w:eastAsia="仿宋_GB2312"/>
          <w:kern w:val="0"/>
          <w:sz w:val="32"/>
          <w:szCs w:val="32"/>
        </w:rPr>
        <w:t>(f)视频图像模型微调-分布式计算-性能jk与调优</w:t>
      </w:r>
    </w:p>
    <w:p w14:paraId="10008DD7">
      <w:pPr>
        <w:ind w:firstLine="640" w:firstLineChars="200"/>
        <w:rPr>
          <w:rFonts w:ascii="仿宋_GB2312" w:eastAsia="仿宋_GB2312"/>
          <w:kern w:val="0"/>
          <w:sz w:val="32"/>
          <w:szCs w:val="32"/>
        </w:rPr>
      </w:pPr>
      <w:r>
        <w:rPr>
          <w:rFonts w:hint="eastAsia" w:ascii="仿宋_GB2312" w:eastAsia="仿宋_GB2312"/>
          <w:kern w:val="0"/>
          <w:sz w:val="32"/>
          <w:szCs w:val="32"/>
        </w:rPr>
        <w:t>它通过自动化采集分布式训练任务中的关键性能指标（如GPU利用率、计算速率等），并以直观的日志数据形式呈现，帮助用户快速识别资源利用不足或通信瓶颈等问题，为其提供调优方向和数据依据。</w:t>
      </w:r>
    </w:p>
    <w:p w14:paraId="1DE23F9A">
      <w:pPr>
        <w:ind w:firstLine="640" w:firstLineChars="200"/>
        <w:rPr>
          <w:rFonts w:ascii="仿宋_GB2312" w:eastAsia="仿宋_GB2312"/>
          <w:kern w:val="0"/>
          <w:sz w:val="32"/>
          <w:szCs w:val="32"/>
        </w:rPr>
      </w:pPr>
      <w:r>
        <w:rPr>
          <w:rFonts w:hint="eastAsia" w:ascii="仿宋_GB2312" w:eastAsia="仿宋_GB2312"/>
          <w:kern w:val="0"/>
          <w:sz w:val="32"/>
          <w:szCs w:val="32"/>
        </w:rPr>
        <w:t>(g)视频图像模型微调-分布式计算-异构计算支持</w:t>
      </w:r>
    </w:p>
    <w:p w14:paraId="7F27597A">
      <w:pPr>
        <w:ind w:firstLine="640" w:firstLineChars="200"/>
        <w:rPr>
          <w:rFonts w:ascii="仿宋_GB2312" w:eastAsia="仿宋_GB2312"/>
          <w:kern w:val="0"/>
          <w:sz w:val="32"/>
          <w:szCs w:val="32"/>
        </w:rPr>
      </w:pPr>
      <w:r>
        <w:rPr>
          <w:rFonts w:hint="eastAsia" w:ascii="仿宋_GB2312" w:eastAsia="仿宋_GB2312"/>
          <w:kern w:val="0"/>
          <w:sz w:val="32"/>
          <w:szCs w:val="32"/>
        </w:rPr>
        <w:t>平台可整合集群中的异构计算资源（如 NVIDIA GPU、国产AI芯片等）。</w:t>
      </w:r>
    </w:p>
    <w:p w14:paraId="6B809CB1">
      <w:pPr>
        <w:ind w:firstLine="640" w:firstLineChars="200"/>
        <w:rPr>
          <w:rFonts w:ascii="仿宋_GB2312" w:eastAsia="仿宋_GB2312"/>
          <w:kern w:val="0"/>
          <w:sz w:val="32"/>
          <w:szCs w:val="32"/>
        </w:rPr>
      </w:pPr>
      <w:r>
        <w:rPr>
          <w:rFonts w:hint="eastAsia" w:ascii="仿宋_GB2312" w:eastAsia="仿宋_GB2312"/>
          <w:kern w:val="0"/>
          <w:sz w:val="32"/>
          <w:szCs w:val="32"/>
        </w:rPr>
        <w:t>(h)视频图像模型微调-分布式计算-弹性训练与推理</w:t>
      </w:r>
    </w:p>
    <w:p w14:paraId="4EA7A1D8">
      <w:pPr>
        <w:ind w:firstLine="640" w:firstLineChars="200"/>
        <w:rPr>
          <w:rFonts w:ascii="仿宋_GB2312" w:eastAsia="仿宋_GB2312"/>
          <w:kern w:val="0"/>
          <w:sz w:val="32"/>
          <w:szCs w:val="32"/>
        </w:rPr>
      </w:pPr>
      <w:r>
        <w:rPr>
          <w:rFonts w:hint="eastAsia" w:ascii="仿宋_GB2312" w:eastAsia="仿宋_GB2312"/>
          <w:kern w:val="0"/>
          <w:sz w:val="32"/>
          <w:szCs w:val="32"/>
        </w:rPr>
        <w:t>根据模型权重负载，自动推荐训练任务计算资源，在保障性能的同时显著优化计算成本。</w:t>
      </w:r>
    </w:p>
    <w:p w14:paraId="23308698">
      <w:pPr>
        <w:ind w:firstLine="640" w:firstLineChars="200"/>
        <w:rPr>
          <w:rFonts w:ascii="仿宋_GB2312" w:eastAsia="仿宋_GB2312"/>
          <w:kern w:val="0"/>
          <w:sz w:val="32"/>
          <w:szCs w:val="32"/>
        </w:rPr>
      </w:pPr>
      <w:r>
        <w:rPr>
          <w:rFonts w:hint="eastAsia" w:ascii="仿宋_GB2312" w:eastAsia="仿宋_GB2312"/>
          <w:kern w:val="0"/>
          <w:sz w:val="32"/>
          <w:szCs w:val="32"/>
        </w:rPr>
        <w:t>(i)视频图像模型微调-有监督微调</w:t>
      </w:r>
    </w:p>
    <w:p w14:paraId="7FEFD207">
      <w:pPr>
        <w:ind w:firstLine="640" w:firstLineChars="200"/>
        <w:rPr>
          <w:rFonts w:ascii="仿宋_GB2312" w:eastAsia="仿宋_GB2312"/>
          <w:kern w:val="0"/>
          <w:sz w:val="32"/>
          <w:szCs w:val="32"/>
        </w:rPr>
      </w:pPr>
      <w:r>
        <w:rPr>
          <w:rFonts w:hint="eastAsia" w:ascii="仿宋_GB2312" w:eastAsia="仿宋_GB2312"/>
          <w:kern w:val="0"/>
          <w:sz w:val="32"/>
          <w:szCs w:val="32"/>
        </w:rPr>
        <w:t>通过提供标注数据集，对预训练模型进行有监督微调，以提高模型在特定任务上的性能。使用标注数据（如分类bq、翻译对）微调模型，直接优化任务指标（如准确率、BLEU值）。适用于文本分类、机器翻译等有明确监督信号的任务。</w:t>
      </w:r>
    </w:p>
    <w:p w14:paraId="2A7FA8E1">
      <w:pPr>
        <w:ind w:firstLine="640" w:firstLineChars="200"/>
        <w:rPr>
          <w:rFonts w:ascii="仿宋_GB2312" w:eastAsia="仿宋_GB2312"/>
          <w:kern w:val="0"/>
          <w:sz w:val="32"/>
          <w:szCs w:val="32"/>
        </w:rPr>
      </w:pPr>
      <w:r>
        <w:rPr>
          <w:rFonts w:hint="eastAsia" w:ascii="仿宋_GB2312" w:eastAsia="仿宋_GB2312"/>
          <w:kern w:val="0"/>
          <w:sz w:val="32"/>
          <w:szCs w:val="32"/>
        </w:rPr>
        <w:t>(j)视频图像模型微调-无监督微调</w:t>
      </w:r>
    </w:p>
    <w:p w14:paraId="043C7A5D">
      <w:pPr>
        <w:ind w:firstLine="640" w:firstLineChars="200"/>
        <w:rPr>
          <w:rFonts w:ascii="仿宋_GB2312" w:eastAsia="仿宋_GB2312"/>
          <w:kern w:val="0"/>
          <w:sz w:val="32"/>
          <w:szCs w:val="32"/>
        </w:rPr>
      </w:pPr>
      <w:r>
        <w:rPr>
          <w:rFonts w:hint="eastAsia" w:ascii="仿宋_GB2312" w:eastAsia="仿宋_GB2312"/>
          <w:kern w:val="0"/>
          <w:sz w:val="32"/>
          <w:szCs w:val="32"/>
        </w:rPr>
        <w:t>利用无标注数据集，对预训练模型进行无监督微调，以增强模型的泛化能力和鲁棒性。利用无标注数据继续预训练（如掩码语言建模），提升模型泛化能力。适用于领域特定但标注成本高的场景。</w:t>
      </w:r>
    </w:p>
    <w:p w14:paraId="551D8E98">
      <w:pPr>
        <w:ind w:firstLine="640" w:firstLineChars="200"/>
        <w:rPr>
          <w:rFonts w:ascii="仿宋_GB2312" w:eastAsia="仿宋_GB2312"/>
          <w:kern w:val="0"/>
          <w:sz w:val="32"/>
          <w:szCs w:val="32"/>
        </w:rPr>
      </w:pPr>
      <w:r>
        <w:rPr>
          <w:rFonts w:hint="eastAsia" w:ascii="仿宋_GB2312" w:eastAsia="仿宋_GB2312"/>
          <w:kern w:val="0"/>
          <w:sz w:val="32"/>
          <w:szCs w:val="32"/>
        </w:rPr>
        <w:t>(k)视频图像模型微调-强化学习微调</w:t>
      </w:r>
    </w:p>
    <w:p w14:paraId="5BED8004">
      <w:pPr>
        <w:ind w:firstLine="640" w:firstLineChars="200"/>
        <w:rPr>
          <w:rFonts w:ascii="仿宋_GB2312" w:eastAsia="仿宋_GB2312"/>
          <w:kern w:val="0"/>
          <w:sz w:val="32"/>
          <w:szCs w:val="32"/>
        </w:rPr>
      </w:pPr>
      <w:r>
        <w:rPr>
          <w:rFonts w:hint="eastAsia" w:ascii="仿宋_GB2312" w:eastAsia="仿宋_GB2312"/>
          <w:kern w:val="0"/>
          <w:sz w:val="32"/>
          <w:szCs w:val="32"/>
        </w:rPr>
        <w:t>结合强化学习算法，对模型进行微调，以优化模型在动态环境中的决策能力。结合人类反馈优化模型输出（如对话系统的流畅度），通过PPO算法微调生成策略。适用于需要符合人类偏好的生成任务（如ChatGPT的对话优化）。</w:t>
      </w:r>
    </w:p>
    <w:p w14:paraId="4CDAF50B">
      <w:pPr>
        <w:ind w:firstLine="640" w:firstLineChars="200"/>
        <w:rPr>
          <w:rFonts w:ascii="仿宋_GB2312" w:eastAsia="仿宋_GB2312"/>
          <w:kern w:val="0"/>
          <w:sz w:val="32"/>
          <w:szCs w:val="32"/>
        </w:rPr>
      </w:pPr>
      <w:r>
        <w:rPr>
          <w:rFonts w:hint="eastAsia" w:ascii="仿宋_GB2312" w:eastAsia="仿宋_GB2312"/>
          <w:kern w:val="0"/>
          <w:sz w:val="32"/>
          <w:szCs w:val="32"/>
        </w:rPr>
        <w:t>(l)视频图像模型微调-增量微调</w:t>
      </w:r>
    </w:p>
    <w:p w14:paraId="214DEEDE">
      <w:pPr>
        <w:ind w:firstLine="640" w:firstLineChars="200"/>
        <w:rPr>
          <w:rFonts w:ascii="仿宋_GB2312" w:eastAsia="仿宋_GB2312"/>
          <w:kern w:val="0"/>
          <w:sz w:val="32"/>
          <w:szCs w:val="32"/>
        </w:rPr>
      </w:pPr>
      <w:r>
        <w:rPr>
          <w:rFonts w:hint="eastAsia" w:ascii="仿宋_GB2312" w:eastAsia="仿宋_GB2312"/>
          <w:kern w:val="0"/>
          <w:sz w:val="32"/>
          <w:szCs w:val="32"/>
        </w:rPr>
        <w:t>支持在已有微调模型的基础上，进行增量微调，以适应新的数据或任务变化。逐步增加微调参数数量，稳定训练过程。适用于大规模模型微调（如GPT-3逐步解锁更多层进行训练），减少训练不稳定风险。</w:t>
      </w:r>
    </w:p>
    <w:p w14:paraId="4E185518">
      <w:pPr>
        <w:ind w:firstLine="640" w:firstLineChars="200"/>
        <w:rPr>
          <w:rFonts w:ascii="仿宋_GB2312" w:eastAsia="仿宋_GB2312"/>
          <w:kern w:val="0"/>
          <w:sz w:val="32"/>
          <w:szCs w:val="32"/>
        </w:rPr>
      </w:pPr>
      <w:r>
        <w:rPr>
          <w:rFonts w:hint="eastAsia" w:ascii="仿宋_GB2312" w:eastAsia="仿宋_GB2312"/>
          <w:kern w:val="0"/>
          <w:sz w:val="32"/>
          <w:szCs w:val="32"/>
        </w:rPr>
        <w:t>(m)视频图像模型微调-混合微调</w:t>
      </w:r>
    </w:p>
    <w:p w14:paraId="44F6731B">
      <w:pPr>
        <w:ind w:firstLine="640" w:firstLineChars="200"/>
        <w:rPr>
          <w:rFonts w:ascii="仿宋_GB2312" w:eastAsia="仿宋_GB2312"/>
          <w:kern w:val="0"/>
          <w:sz w:val="32"/>
          <w:szCs w:val="32"/>
        </w:rPr>
      </w:pPr>
      <w:r>
        <w:rPr>
          <w:rFonts w:hint="eastAsia" w:ascii="仿宋_GB2312" w:eastAsia="仿宋_GB2312"/>
          <w:kern w:val="0"/>
          <w:sz w:val="32"/>
          <w:szCs w:val="32"/>
        </w:rPr>
        <w:t>结合多种微调模式，提供混合微调方案，以实现更全面的模型优化。</w:t>
      </w:r>
    </w:p>
    <w:p w14:paraId="4374F2DC">
      <w:pPr>
        <w:ind w:firstLine="640" w:firstLineChars="200"/>
        <w:rPr>
          <w:rFonts w:ascii="仿宋_GB2312" w:eastAsia="仿宋_GB2312"/>
          <w:kern w:val="0"/>
          <w:sz w:val="32"/>
          <w:szCs w:val="32"/>
        </w:rPr>
      </w:pPr>
      <w:r>
        <w:rPr>
          <w:rFonts w:hint="eastAsia" w:ascii="仿宋_GB2312" w:eastAsia="仿宋_GB2312"/>
          <w:kern w:val="0"/>
          <w:sz w:val="32"/>
          <w:szCs w:val="32"/>
        </w:rPr>
        <w:t>(n)视频图像模型微调-结构适配微调</w:t>
      </w:r>
    </w:p>
    <w:p w14:paraId="6BE4CE44">
      <w:pPr>
        <w:ind w:firstLine="640" w:firstLineChars="200"/>
        <w:rPr>
          <w:rFonts w:ascii="仿宋_GB2312" w:eastAsia="仿宋_GB2312"/>
          <w:kern w:val="0"/>
          <w:sz w:val="32"/>
          <w:szCs w:val="32"/>
        </w:rPr>
      </w:pPr>
      <w:r>
        <w:rPr>
          <w:rFonts w:hint="eastAsia" w:ascii="仿宋_GB2312" w:eastAsia="仿宋_GB2312"/>
          <w:kern w:val="0"/>
          <w:sz w:val="32"/>
          <w:szCs w:val="32"/>
        </w:rPr>
        <w:t>针对特定硬件和计算资源，对模型结构进行适配和优化，以提高运行效率。</w:t>
      </w:r>
    </w:p>
    <w:p w14:paraId="7A880758">
      <w:pPr>
        <w:ind w:firstLine="640" w:firstLineChars="200"/>
        <w:rPr>
          <w:rFonts w:ascii="仿宋_GB2312" w:eastAsia="仿宋_GB2312"/>
          <w:kern w:val="0"/>
          <w:sz w:val="32"/>
          <w:szCs w:val="32"/>
        </w:rPr>
      </w:pPr>
      <w:r>
        <w:rPr>
          <w:rFonts w:hint="eastAsia" w:ascii="仿宋_GB2312" w:eastAsia="仿宋_GB2312"/>
          <w:kern w:val="0"/>
          <w:sz w:val="32"/>
          <w:szCs w:val="32"/>
        </w:rPr>
        <w:t>(o)视频图像模型微调-全参数微调</w:t>
      </w:r>
    </w:p>
    <w:p w14:paraId="10CDA006">
      <w:pPr>
        <w:ind w:firstLine="640" w:firstLineChars="200"/>
        <w:rPr>
          <w:rFonts w:ascii="仿宋_GB2312" w:eastAsia="仿宋_GB2312"/>
          <w:kern w:val="0"/>
          <w:sz w:val="32"/>
          <w:szCs w:val="32"/>
        </w:rPr>
      </w:pPr>
      <w:r>
        <w:rPr>
          <w:rFonts w:hint="eastAsia" w:ascii="仿宋_GB2312" w:eastAsia="仿宋_GB2312"/>
          <w:kern w:val="0"/>
          <w:sz w:val="32"/>
          <w:szCs w:val="32"/>
        </w:rPr>
        <w:t>对模型的所有参数进行微调，以获得最佳性能，全面适配新任务需求。该方法适用于任务与预训练目标差异显著的场景。</w:t>
      </w:r>
    </w:p>
    <w:p w14:paraId="75D8574C">
      <w:pPr>
        <w:ind w:firstLine="640" w:firstLineChars="200"/>
        <w:rPr>
          <w:rFonts w:ascii="仿宋_GB2312" w:eastAsia="仿宋_GB2312"/>
          <w:kern w:val="0"/>
          <w:sz w:val="32"/>
          <w:szCs w:val="32"/>
        </w:rPr>
      </w:pPr>
      <w:r>
        <w:rPr>
          <w:rFonts w:hint="eastAsia" w:ascii="仿宋_GB2312" w:eastAsia="仿宋_GB2312"/>
          <w:kern w:val="0"/>
          <w:sz w:val="32"/>
          <w:szCs w:val="32"/>
        </w:rPr>
        <w:t>(p)视频图像模型微调-部分参数微调</w:t>
      </w:r>
    </w:p>
    <w:p w14:paraId="28D41AF8">
      <w:pPr>
        <w:ind w:firstLine="640" w:firstLineChars="200"/>
        <w:rPr>
          <w:rFonts w:ascii="仿宋_GB2312" w:eastAsia="仿宋_GB2312"/>
          <w:kern w:val="0"/>
          <w:sz w:val="32"/>
          <w:szCs w:val="32"/>
        </w:rPr>
      </w:pPr>
      <w:r>
        <w:rPr>
          <w:rFonts w:hint="eastAsia" w:ascii="仿宋_GB2312" w:eastAsia="仿宋_GB2312"/>
          <w:kern w:val="0"/>
          <w:sz w:val="32"/>
          <w:szCs w:val="32"/>
        </w:rPr>
        <w:t>冻结模型底层参数，仅微调最后几层（如分类头），以减少计算资源的消耗和时间成本。</w:t>
      </w:r>
    </w:p>
    <w:p w14:paraId="6EBDE6C5">
      <w:pPr>
        <w:ind w:firstLine="640" w:firstLineChars="200"/>
        <w:rPr>
          <w:rFonts w:ascii="仿宋_GB2312" w:eastAsia="仿宋_GB2312"/>
          <w:kern w:val="0"/>
          <w:sz w:val="32"/>
          <w:szCs w:val="32"/>
        </w:rPr>
      </w:pPr>
      <w:r>
        <w:rPr>
          <w:rFonts w:hint="eastAsia" w:ascii="仿宋_GB2312" w:eastAsia="仿宋_GB2312"/>
          <w:kern w:val="0"/>
          <w:sz w:val="32"/>
          <w:szCs w:val="32"/>
        </w:rPr>
        <w:t>(q)视频图像模型微调-参数高效微调</w:t>
      </w:r>
    </w:p>
    <w:p w14:paraId="6DE66A1F">
      <w:pPr>
        <w:ind w:firstLine="640" w:firstLineChars="200"/>
        <w:rPr>
          <w:rFonts w:ascii="仿宋_GB2312" w:eastAsia="仿宋_GB2312"/>
          <w:kern w:val="0"/>
          <w:sz w:val="32"/>
          <w:szCs w:val="32"/>
        </w:rPr>
      </w:pPr>
      <w:r>
        <w:rPr>
          <w:rFonts w:hint="eastAsia" w:ascii="仿宋_GB2312" w:eastAsia="仿宋_GB2312"/>
          <w:kern w:val="0"/>
          <w:sz w:val="32"/>
          <w:szCs w:val="32"/>
        </w:rPr>
        <w:t>LoRA（Low-Rank Adaptation）：在关键层插入低秩矩阵，仅训练这些矩阵的参数，大幅降低计算资源需求，适用于算力受限但需高性能的场景。</w:t>
      </w:r>
    </w:p>
    <w:p w14:paraId="04F29639">
      <w:pPr>
        <w:ind w:firstLine="640" w:firstLineChars="200"/>
        <w:rPr>
          <w:rFonts w:ascii="仿宋_GB2312" w:eastAsia="仿宋_GB2312"/>
          <w:kern w:val="0"/>
          <w:sz w:val="32"/>
          <w:szCs w:val="32"/>
        </w:rPr>
      </w:pPr>
      <w:r>
        <w:rPr>
          <w:rFonts w:hint="eastAsia" w:ascii="仿宋_GB2312" w:eastAsia="仿宋_GB2312"/>
          <w:kern w:val="0"/>
          <w:sz w:val="32"/>
          <w:szCs w:val="32"/>
        </w:rPr>
        <w:t>适配器调整（Adapter Tuning）：在模型层间插入小型神经网络模块（适配器），仅训练适配器参数，支持多任务并行训练，适用于需要同时适配多个任务的场景（如跨语言翻译）。</w:t>
      </w:r>
    </w:p>
    <w:p w14:paraId="7367AB12">
      <w:pPr>
        <w:ind w:firstLine="640" w:firstLineChars="200"/>
        <w:rPr>
          <w:rFonts w:ascii="仿宋_GB2312" w:eastAsia="仿宋_GB2312"/>
          <w:kern w:val="0"/>
          <w:sz w:val="32"/>
          <w:szCs w:val="32"/>
        </w:rPr>
      </w:pPr>
      <w:r>
        <w:rPr>
          <w:rFonts w:hint="eastAsia" w:ascii="仿宋_GB2312" w:eastAsia="仿宋_GB2312"/>
          <w:kern w:val="0"/>
          <w:sz w:val="32"/>
          <w:szCs w:val="32"/>
        </w:rPr>
        <w:t>提示调整（Prompt Tuning）：在输入中添加可学习向量（软提示），引导模型输出，参数量极低（如T5-XXL仅需20K参数），适用于轻量级任务（如快速适配问答系统）。</w:t>
      </w:r>
    </w:p>
    <w:p w14:paraId="73E4B189">
      <w:pPr>
        <w:ind w:firstLine="640" w:firstLineChars="200"/>
        <w:rPr>
          <w:rFonts w:ascii="仿宋_GB2312" w:eastAsia="仿宋_GB2312"/>
          <w:kern w:val="0"/>
          <w:sz w:val="32"/>
          <w:szCs w:val="32"/>
        </w:rPr>
      </w:pPr>
      <w:r>
        <w:rPr>
          <w:rFonts w:hint="eastAsia" w:ascii="仿宋_GB2312" w:eastAsia="仿宋_GB2312"/>
          <w:kern w:val="0"/>
          <w:sz w:val="32"/>
          <w:szCs w:val="32"/>
        </w:rPr>
        <w:t>前缀调整（Prefix Tuning）：在输入前添加可训练前缀向量，优化前缀以调整模型行为，适用于生成任务（如对话系统优化回复风格）。</w:t>
      </w:r>
    </w:p>
    <w:p w14:paraId="0D4BF9F8">
      <w:pPr>
        <w:ind w:firstLine="640" w:firstLineChars="200"/>
        <w:rPr>
          <w:rFonts w:ascii="仿宋_GB2312" w:eastAsia="仿宋_GB2312"/>
          <w:kern w:val="0"/>
          <w:sz w:val="32"/>
          <w:szCs w:val="32"/>
        </w:rPr>
      </w:pPr>
      <w:r>
        <w:rPr>
          <w:rFonts w:hint="eastAsia" w:ascii="仿宋_GB2312" w:eastAsia="仿宋_GB2312"/>
          <w:kern w:val="0"/>
          <w:sz w:val="32"/>
          <w:szCs w:val="32"/>
        </w:rPr>
        <w:t>(r)视频图像模型微调-主流计算资源适配</w:t>
      </w:r>
    </w:p>
    <w:p w14:paraId="430B8C2E">
      <w:pPr>
        <w:ind w:firstLine="640" w:firstLineChars="200"/>
        <w:rPr>
          <w:rFonts w:ascii="仿宋_GB2312" w:eastAsia="仿宋_GB2312"/>
          <w:kern w:val="0"/>
          <w:sz w:val="32"/>
          <w:szCs w:val="32"/>
        </w:rPr>
      </w:pPr>
      <w:r>
        <w:rPr>
          <w:rFonts w:hint="eastAsia" w:ascii="仿宋_GB2312" w:eastAsia="仿宋_GB2312"/>
          <w:kern w:val="0"/>
          <w:sz w:val="32"/>
          <w:szCs w:val="32"/>
        </w:rPr>
        <w:t>支持用户选择多种模型训练引擎，可以适配多种主流计算资源规格，如昇腾系列、英伟达系列等。支持多种主流计算资源，包括 GPU 、NPU，确保系统在不同硬件环境下的高效运行。</w:t>
      </w:r>
    </w:p>
    <w:p w14:paraId="306C1862">
      <w:pPr>
        <w:ind w:firstLine="640" w:firstLineChars="200"/>
        <w:rPr>
          <w:rFonts w:ascii="仿宋_GB2312" w:eastAsia="仿宋_GB2312"/>
          <w:kern w:val="0"/>
          <w:sz w:val="32"/>
          <w:szCs w:val="32"/>
        </w:rPr>
      </w:pPr>
      <w:r>
        <w:rPr>
          <w:rFonts w:hint="eastAsia" w:ascii="仿宋_GB2312" w:eastAsia="仿宋_GB2312"/>
          <w:kern w:val="0"/>
          <w:sz w:val="32"/>
          <w:szCs w:val="32"/>
        </w:rPr>
        <w:t>(s)视频图像模型微调-微调任务查询</w:t>
      </w:r>
    </w:p>
    <w:p w14:paraId="78110E1A">
      <w:pPr>
        <w:ind w:firstLine="640" w:firstLineChars="200"/>
        <w:rPr>
          <w:rFonts w:ascii="仿宋_GB2312" w:eastAsia="仿宋_GB2312"/>
          <w:kern w:val="0"/>
          <w:sz w:val="32"/>
          <w:szCs w:val="32"/>
        </w:rPr>
      </w:pPr>
      <w:r>
        <w:rPr>
          <w:rFonts w:hint="eastAsia" w:ascii="仿宋_GB2312" w:eastAsia="仿宋_GB2312"/>
          <w:kern w:val="0"/>
          <w:sz w:val="32"/>
          <w:szCs w:val="32"/>
        </w:rPr>
        <w:t>支持通过微调训练方式、任务名称、基础大模型、训练状态、执行结果等字段对训练任务进行组合条件筛选，支持用户通过训练方式tab快速筛选训练任务。</w:t>
      </w:r>
    </w:p>
    <w:p w14:paraId="48179DF5">
      <w:pPr>
        <w:ind w:firstLine="640" w:firstLineChars="200"/>
        <w:rPr>
          <w:rFonts w:ascii="仿宋_GB2312" w:eastAsia="仿宋_GB2312"/>
          <w:kern w:val="0"/>
          <w:sz w:val="32"/>
          <w:szCs w:val="32"/>
        </w:rPr>
      </w:pPr>
      <w:r>
        <w:rPr>
          <w:rFonts w:hint="eastAsia" w:ascii="仿宋_GB2312" w:eastAsia="仿宋_GB2312"/>
          <w:kern w:val="0"/>
          <w:sz w:val="32"/>
          <w:szCs w:val="32"/>
        </w:rPr>
        <w:t>(t)视频图像模型微调-创建微调任务</w:t>
      </w:r>
    </w:p>
    <w:p w14:paraId="4569E21C">
      <w:pPr>
        <w:ind w:firstLine="640" w:firstLineChars="200"/>
        <w:rPr>
          <w:rFonts w:ascii="仿宋_GB2312" w:eastAsia="仿宋_GB2312"/>
          <w:kern w:val="0"/>
          <w:sz w:val="32"/>
          <w:szCs w:val="32"/>
        </w:rPr>
      </w:pPr>
      <w:r>
        <w:rPr>
          <w:rFonts w:hint="eastAsia" w:ascii="仿宋_GB2312" w:eastAsia="仿宋_GB2312"/>
          <w:kern w:val="0"/>
          <w:sz w:val="32"/>
          <w:szCs w:val="32"/>
        </w:rPr>
        <w:t>支持用户创建微调训练任务并配置训练任务的基本信息，包括任务名称、训练方式、基础模型类型、基础模型参数量和任务描述等；支持用户通过点击不同的训练方法配置不同的训练参数；支持用户选择训练语料来源、选择训练语料、调整验证集拆分比例、选择是否开启测评对训练任务的语料进行配置等；支持用户配置测评方法、填写测评任务描述；支持用户配置执行显卡。</w:t>
      </w:r>
    </w:p>
    <w:p w14:paraId="5EA217B6">
      <w:pPr>
        <w:ind w:firstLine="640" w:firstLineChars="200"/>
        <w:rPr>
          <w:rFonts w:ascii="仿宋_GB2312" w:eastAsia="仿宋_GB2312"/>
          <w:kern w:val="0"/>
          <w:sz w:val="32"/>
          <w:szCs w:val="32"/>
        </w:rPr>
      </w:pPr>
      <w:r>
        <w:rPr>
          <w:rFonts w:hint="eastAsia" w:ascii="仿宋_GB2312" w:eastAsia="仿宋_GB2312"/>
          <w:kern w:val="0"/>
          <w:sz w:val="32"/>
          <w:szCs w:val="32"/>
        </w:rPr>
        <w:t>(u)视频图像模型微调-模型微调任务调度</w:t>
      </w:r>
    </w:p>
    <w:p w14:paraId="5E26F5F1">
      <w:pPr>
        <w:ind w:firstLine="640" w:firstLineChars="200"/>
        <w:rPr>
          <w:rFonts w:ascii="仿宋_GB2312" w:eastAsia="仿宋_GB2312"/>
          <w:kern w:val="0"/>
          <w:sz w:val="32"/>
          <w:szCs w:val="32"/>
        </w:rPr>
      </w:pPr>
      <w:r>
        <w:rPr>
          <w:rFonts w:hint="eastAsia" w:ascii="仿宋_GB2312" w:eastAsia="仿宋_GB2312"/>
          <w:kern w:val="0"/>
          <w:sz w:val="32"/>
          <w:szCs w:val="32"/>
        </w:rPr>
        <w:t>支持在微调训练任务创建时，设置是否为紧急任务，并在执行单元添加任务优先级字段展示常规or紧急，并实现按照任务优先级自动调度。</w:t>
      </w:r>
    </w:p>
    <w:p w14:paraId="1E7166BD">
      <w:pPr>
        <w:ind w:firstLine="640" w:firstLineChars="200"/>
        <w:rPr>
          <w:rFonts w:ascii="仿宋_GB2312" w:eastAsia="仿宋_GB2312"/>
          <w:kern w:val="0"/>
          <w:sz w:val="32"/>
          <w:szCs w:val="32"/>
        </w:rPr>
      </w:pPr>
      <w:r>
        <w:rPr>
          <w:rFonts w:hint="eastAsia" w:ascii="仿宋_GB2312" w:eastAsia="仿宋_GB2312"/>
          <w:kern w:val="0"/>
          <w:sz w:val="32"/>
          <w:szCs w:val="32"/>
        </w:rPr>
        <w:t>(v)视频图像模型微调-微调任务管理</w:t>
      </w:r>
    </w:p>
    <w:p w14:paraId="46704AF8">
      <w:pPr>
        <w:ind w:firstLine="640" w:firstLineChars="200"/>
        <w:rPr>
          <w:rFonts w:ascii="仿宋_GB2312" w:eastAsia="仿宋_GB2312"/>
          <w:kern w:val="0"/>
          <w:sz w:val="32"/>
          <w:szCs w:val="32"/>
        </w:rPr>
      </w:pPr>
      <w:r>
        <w:rPr>
          <w:rFonts w:hint="eastAsia" w:ascii="仿宋_GB2312" w:eastAsia="仿宋_GB2312"/>
          <w:kern w:val="0"/>
          <w:sz w:val="32"/>
          <w:szCs w:val="32"/>
        </w:rPr>
        <w:t>支持用户重新配置训练任务的基本信息、执行配置等；支持用户删除训练任务，启动或停止训练任务。</w:t>
      </w:r>
    </w:p>
    <w:p w14:paraId="6203C288">
      <w:pPr>
        <w:ind w:firstLine="640" w:firstLineChars="200"/>
        <w:rPr>
          <w:rFonts w:ascii="仿宋_GB2312" w:eastAsia="仿宋_GB2312"/>
          <w:kern w:val="0"/>
          <w:sz w:val="32"/>
          <w:szCs w:val="32"/>
        </w:rPr>
      </w:pPr>
      <w:r>
        <w:rPr>
          <w:rFonts w:hint="eastAsia" w:ascii="仿宋_GB2312" w:eastAsia="仿宋_GB2312"/>
          <w:kern w:val="0"/>
          <w:sz w:val="32"/>
          <w:szCs w:val="32"/>
        </w:rPr>
        <w:t>(w)视频图像模型微调-微调任务详情查看</w:t>
      </w:r>
    </w:p>
    <w:p w14:paraId="44C71D00">
      <w:pPr>
        <w:ind w:firstLine="640" w:firstLineChars="200"/>
        <w:rPr>
          <w:rFonts w:ascii="仿宋_GB2312" w:eastAsia="仿宋_GB2312"/>
          <w:kern w:val="0"/>
          <w:sz w:val="32"/>
          <w:szCs w:val="32"/>
        </w:rPr>
      </w:pPr>
      <w:r>
        <w:rPr>
          <w:rFonts w:hint="eastAsia" w:ascii="仿宋_GB2312" w:eastAsia="仿宋_GB2312"/>
          <w:kern w:val="0"/>
          <w:sz w:val="32"/>
          <w:szCs w:val="32"/>
        </w:rPr>
        <w:t>支持用户查看微调训练任务详情，包括训练任务的执行配置、运行日志和测评结果。</w:t>
      </w:r>
    </w:p>
    <w:p w14:paraId="7CC8DC5D">
      <w:pPr>
        <w:ind w:firstLine="640" w:firstLineChars="200"/>
        <w:rPr>
          <w:rFonts w:ascii="仿宋_GB2312" w:eastAsia="仿宋_GB2312"/>
          <w:kern w:val="0"/>
          <w:sz w:val="32"/>
          <w:szCs w:val="32"/>
        </w:rPr>
      </w:pPr>
      <w:r>
        <w:rPr>
          <w:rFonts w:hint="eastAsia" w:ascii="仿宋_GB2312" w:eastAsia="仿宋_GB2312"/>
          <w:kern w:val="0"/>
          <w:sz w:val="32"/>
          <w:szCs w:val="32"/>
        </w:rPr>
        <w:t>(x)视频图像模型微调-断点续调</w:t>
      </w:r>
    </w:p>
    <w:p w14:paraId="60AF6C54">
      <w:pPr>
        <w:ind w:firstLine="640" w:firstLineChars="200"/>
        <w:rPr>
          <w:rFonts w:ascii="仿宋_GB2312" w:eastAsia="仿宋_GB2312"/>
          <w:kern w:val="0"/>
          <w:sz w:val="32"/>
          <w:szCs w:val="32"/>
        </w:rPr>
      </w:pPr>
      <w:r>
        <w:rPr>
          <w:rFonts w:hint="eastAsia" w:ascii="仿宋_GB2312" w:eastAsia="仿宋_GB2312"/>
          <w:kern w:val="0"/>
          <w:sz w:val="32"/>
          <w:szCs w:val="32"/>
        </w:rPr>
        <w:t>支持用户对运行中的任务选择暂停，暂停时checkpoint的训练参数等信息会被保留，并可以通过点击继续按钮继续模型的训练。</w:t>
      </w:r>
    </w:p>
    <w:p w14:paraId="764A3AFC">
      <w:pPr>
        <w:ind w:firstLine="640" w:firstLineChars="200"/>
        <w:rPr>
          <w:rFonts w:ascii="仿宋_GB2312" w:eastAsia="仿宋_GB2312"/>
          <w:kern w:val="0"/>
          <w:sz w:val="32"/>
          <w:szCs w:val="32"/>
        </w:rPr>
      </w:pPr>
      <w:r>
        <w:rPr>
          <w:rFonts w:hint="eastAsia" w:ascii="仿宋_GB2312" w:eastAsia="仿宋_GB2312"/>
          <w:kern w:val="0"/>
          <w:sz w:val="32"/>
          <w:szCs w:val="32"/>
        </w:rPr>
        <w:t>(y)视频图像模型微调-模型压缩量化</w:t>
      </w:r>
    </w:p>
    <w:p w14:paraId="34F2472C">
      <w:pPr>
        <w:ind w:firstLine="640" w:firstLineChars="200"/>
        <w:rPr>
          <w:rFonts w:ascii="仿宋_GB2312" w:eastAsia="仿宋_GB2312"/>
          <w:kern w:val="0"/>
          <w:sz w:val="32"/>
          <w:szCs w:val="32"/>
        </w:rPr>
      </w:pPr>
      <w:r>
        <w:rPr>
          <w:rFonts w:hint="eastAsia" w:ascii="仿宋_GB2312" w:eastAsia="仿宋_GB2312"/>
          <w:kern w:val="0"/>
          <w:sz w:val="32"/>
          <w:szCs w:val="32"/>
        </w:rPr>
        <w:t>支持用户通过配置量化精度以及校准数据集进行模型的量化压缩。对微调后的模型进行压缩和量化，以减少模型的存储和计算成本。</w:t>
      </w:r>
    </w:p>
    <w:p w14:paraId="4C0702A3">
      <w:pPr>
        <w:ind w:firstLine="640" w:firstLineChars="200"/>
        <w:rPr>
          <w:rFonts w:ascii="仿宋_GB2312" w:eastAsia="仿宋_GB2312"/>
          <w:kern w:val="0"/>
          <w:sz w:val="32"/>
          <w:szCs w:val="32"/>
        </w:rPr>
      </w:pPr>
      <w:r>
        <w:rPr>
          <w:rFonts w:hint="eastAsia" w:ascii="仿宋_GB2312" w:eastAsia="仿宋_GB2312"/>
          <w:kern w:val="0"/>
          <w:sz w:val="32"/>
          <w:szCs w:val="32"/>
        </w:rPr>
        <w:t>(z)视频图像模型微调-模型微调日志管理</w:t>
      </w:r>
    </w:p>
    <w:p w14:paraId="709E2BA7">
      <w:pPr>
        <w:ind w:firstLine="640" w:firstLineChars="200"/>
        <w:rPr>
          <w:rFonts w:ascii="仿宋_GB2312" w:eastAsia="仿宋_GB2312"/>
          <w:kern w:val="0"/>
          <w:sz w:val="32"/>
          <w:szCs w:val="32"/>
        </w:rPr>
      </w:pPr>
      <w:r>
        <w:rPr>
          <w:rFonts w:hint="eastAsia" w:ascii="仿宋_GB2312" w:eastAsia="仿宋_GB2312"/>
          <w:kern w:val="0"/>
          <w:sz w:val="32"/>
          <w:szCs w:val="32"/>
        </w:rPr>
        <w:t>系统将记录微调过程中的日志，以便用户进行问题排查和性能分析，并支持对异常、失败作业进行执行状态监测与日志信息管理。</w:t>
      </w:r>
    </w:p>
    <w:p w14:paraId="405475A9">
      <w:pPr>
        <w:ind w:firstLine="640" w:firstLineChars="200"/>
        <w:rPr>
          <w:rFonts w:ascii="仿宋_GB2312" w:eastAsia="仿宋_GB2312"/>
          <w:kern w:val="0"/>
          <w:sz w:val="32"/>
          <w:szCs w:val="32"/>
        </w:rPr>
      </w:pPr>
      <w:r>
        <w:rPr>
          <w:rFonts w:hint="eastAsia" w:ascii="仿宋_GB2312" w:eastAsia="仿宋_GB2312"/>
          <w:kern w:val="0"/>
          <w:sz w:val="32"/>
          <w:szCs w:val="32"/>
        </w:rPr>
        <w:t>d.视频图像模型优化</w:t>
      </w:r>
    </w:p>
    <w:p w14:paraId="7E536514">
      <w:pPr>
        <w:ind w:firstLine="640" w:firstLineChars="200"/>
        <w:rPr>
          <w:rFonts w:ascii="仿宋_GB2312" w:eastAsia="仿宋_GB2312"/>
          <w:kern w:val="0"/>
          <w:sz w:val="32"/>
          <w:szCs w:val="32"/>
        </w:rPr>
      </w:pPr>
      <w:r>
        <w:rPr>
          <w:rFonts w:hint="eastAsia" w:ascii="仿宋_GB2312" w:eastAsia="仿宋_GB2312"/>
          <w:kern w:val="0"/>
          <w:sz w:val="32"/>
          <w:szCs w:val="32"/>
        </w:rPr>
        <w:t>通过适配优化、编排与动态计算等方式，提升模型在多平台下的运行效率，降低资源消耗，支持实时/批量等多种推理模式，集成预处理引擎与加速优化，保障推理服务的高效稳定输出。</w:t>
      </w:r>
    </w:p>
    <w:p w14:paraId="251D598E">
      <w:pPr>
        <w:ind w:firstLine="640" w:firstLineChars="200"/>
        <w:rPr>
          <w:rFonts w:ascii="仿宋_GB2312" w:eastAsia="仿宋_GB2312"/>
          <w:kern w:val="0"/>
          <w:sz w:val="32"/>
          <w:szCs w:val="32"/>
        </w:rPr>
      </w:pPr>
      <w:r>
        <w:rPr>
          <w:rFonts w:hint="eastAsia" w:ascii="仿宋_GB2312" w:eastAsia="仿宋_GB2312"/>
          <w:kern w:val="0"/>
          <w:sz w:val="32"/>
          <w:szCs w:val="32"/>
        </w:rPr>
        <w:t>(a)视频图像模型优化-量化优化</w:t>
      </w:r>
    </w:p>
    <w:p w14:paraId="049CE04D">
      <w:pPr>
        <w:ind w:firstLine="640" w:firstLineChars="200"/>
        <w:rPr>
          <w:rFonts w:ascii="仿宋_GB2312" w:eastAsia="仿宋_GB2312"/>
          <w:kern w:val="0"/>
          <w:sz w:val="32"/>
          <w:szCs w:val="32"/>
        </w:rPr>
      </w:pPr>
      <w:r>
        <w:rPr>
          <w:rFonts w:hint="eastAsia" w:ascii="仿宋_GB2312" w:eastAsia="仿宋_GB2312"/>
          <w:kern w:val="0"/>
          <w:sz w:val="32"/>
          <w:szCs w:val="32"/>
        </w:rPr>
        <w:t>通过将模型参数从高精度浮点数（如FP32）转换为低精度整数（如INT8/FP16），显著减少内存占用和推理延迟。包括：降低GPU显存需求（如FP32→INT8可减少75%内存）。</w:t>
      </w:r>
    </w:p>
    <w:p w14:paraId="02102736">
      <w:pPr>
        <w:ind w:firstLine="640" w:firstLineChars="200"/>
        <w:rPr>
          <w:rFonts w:ascii="仿宋_GB2312" w:eastAsia="仿宋_GB2312"/>
          <w:kern w:val="0"/>
          <w:sz w:val="32"/>
          <w:szCs w:val="32"/>
        </w:rPr>
      </w:pPr>
      <w:r>
        <w:rPr>
          <w:rFonts w:hint="eastAsia" w:ascii="仿宋_GB2312" w:eastAsia="仿宋_GB2312"/>
          <w:kern w:val="0"/>
          <w:sz w:val="32"/>
          <w:szCs w:val="32"/>
        </w:rPr>
        <w:t>(b)视频图像模型优化-剪枝优化</w:t>
      </w:r>
    </w:p>
    <w:p w14:paraId="12E223A4">
      <w:pPr>
        <w:ind w:firstLine="640" w:firstLineChars="200"/>
        <w:rPr>
          <w:rFonts w:ascii="仿宋_GB2312" w:eastAsia="仿宋_GB2312"/>
          <w:kern w:val="0"/>
          <w:sz w:val="32"/>
          <w:szCs w:val="32"/>
        </w:rPr>
      </w:pPr>
      <w:r>
        <w:rPr>
          <w:rFonts w:hint="eastAsia" w:ascii="仿宋_GB2312" w:eastAsia="仿宋_GB2312"/>
          <w:kern w:val="0"/>
          <w:sz w:val="32"/>
          <w:szCs w:val="32"/>
        </w:rPr>
        <w:t>一键精简模型结构，移除冗余的神经元或连接层。在几乎不损失精度的前提下，显著减小模型体积、降低计算资源消耗，从而实现更快的推理速度。</w:t>
      </w:r>
    </w:p>
    <w:p w14:paraId="57DA8008">
      <w:pPr>
        <w:ind w:firstLine="640" w:firstLineChars="200"/>
        <w:rPr>
          <w:rFonts w:ascii="仿宋_GB2312" w:eastAsia="仿宋_GB2312"/>
          <w:kern w:val="0"/>
          <w:sz w:val="32"/>
          <w:szCs w:val="32"/>
        </w:rPr>
      </w:pPr>
      <w:r>
        <w:rPr>
          <w:rFonts w:hint="eastAsia" w:ascii="仿宋_GB2312" w:eastAsia="仿宋_GB2312"/>
          <w:kern w:val="0"/>
          <w:sz w:val="32"/>
          <w:szCs w:val="32"/>
        </w:rPr>
        <w:t>(c)视频图像模型优化-混合精度与分布式优化</w:t>
      </w:r>
    </w:p>
    <w:p w14:paraId="6787D47D">
      <w:pPr>
        <w:ind w:firstLine="640" w:firstLineChars="200"/>
        <w:rPr>
          <w:rFonts w:ascii="仿宋_GB2312" w:eastAsia="仿宋_GB2312"/>
          <w:kern w:val="0"/>
          <w:sz w:val="32"/>
          <w:szCs w:val="32"/>
        </w:rPr>
      </w:pPr>
      <w:r>
        <w:rPr>
          <w:rFonts w:hint="eastAsia" w:ascii="仿宋_GB2312" w:eastAsia="仿宋_GB2312"/>
          <w:kern w:val="0"/>
          <w:sz w:val="32"/>
          <w:szCs w:val="32"/>
        </w:rPr>
        <w:t>支持用同一型号大模型不同精度的模型权重拉起多个大模型推理服务，在上层设置负载均衡服务网关，实现闲时调用高精度模型，忙时，低精度可负担一部分请求。</w:t>
      </w:r>
    </w:p>
    <w:p w14:paraId="4912CB7D">
      <w:pPr>
        <w:ind w:firstLine="640" w:firstLineChars="200"/>
        <w:rPr>
          <w:rFonts w:ascii="仿宋_GB2312" w:eastAsia="仿宋_GB2312"/>
          <w:kern w:val="0"/>
          <w:sz w:val="32"/>
          <w:szCs w:val="32"/>
        </w:rPr>
      </w:pPr>
      <w:bookmarkStart w:id="8" w:name="_Toc216961926"/>
      <w:bookmarkStart w:id="9" w:name="_Toc205230590"/>
      <w:r>
        <w:rPr>
          <w:rFonts w:hint="eastAsia" w:ascii="仿宋_GB2312" w:eastAsia="仿宋_GB2312"/>
          <w:kern w:val="0"/>
          <w:sz w:val="32"/>
          <w:szCs w:val="32"/>
        </w:rPr>
        <w:t>④基础系统支撑</w:t>
      </w:r>
      <w:bookmarkEnd w:id="8"/>
      <w:bookmarkEnd w:id="9"/>
    </w:p>
    <w:p w14:paraId="1E10648B">
      <w:pPr>
        <w:ind w:firstLine="640" w:firstLineChars="200"/>
        <w:rPr>
          <w:rFonts w:ascii="仿宋_GB2312" w:eastAsia="仿宋_GB2312"/>
          <w:kern w:val="0"/>
          <w:sz w:val="32"/>
          <w:szCs w:val="32"/>
        </w:rPr>
      </w:pPr>
      <w:r>
        <w:rPr>
          <w:rFonts w:hint="eastAsia" w:ascii="仿宋_GB2312" w:eastAsia="仿宋_GB2312"/>
          <w:kern w:val="0"/>
          <w:sz w:val="32"/>
          <w:szCs w:val="32"/>
        </w:rPr>
        <w:t>a.视觉大模型模型评测</w:t>
      </w:r>
    </w:p>
    <w:p w14:paraId="2AC77EEA">
      <w:pPr>
        <w:ind w:firstLine="640" w:firstLineChars="200"/>
        <w:rPr>
          <w:rFonts w:ascii="仿宋_GB2312" w:eastAsia="仿宋_GB2312"/>
          <w:kern w:val="0"/>
          <w:sz w:val="32"/>
          <w:szCs w:val="32"/>
        </w:rPr>
      </w:pPr>
      <w:r>
        <w:rPr>
          <w:rFonts w:hint="eastAsia" w:ascii="仿宋_GB2312" w:eastAsia="仿宋_GB2312"/>
          <w:kern w:val="0"/>
          <w:sz w:val="32"/>
          <w:szCs w:val="32"/>
        </w:rPr>
        <w:t>(a)视觉大模型评测-模型评测报告</w:t>
      </w:r>
    </w:p>
    <w:p w14:paraId="6F72F94F">
      <w:pPr>
        <w:ind w:firstLine="640" w:firstLineChars="200"/>
        <w:rPr>
          <w:rFonts w:ascii="仿宋_GB2312" w:eastAsia="仿宋_GB2312"/>
          <w:kern w:val="0"/>
          <w:sz w:val="32"/>
          <w:szCs w:val="32"/>
        </w:rPr>
      </w:pPr>
      <w:r>
        <w:rPr>
          <w:rFonts w:hint="eastAsia" w:ascii="仿宋_GB2312" w:eastAsia="仿宋_GB2312"/>
          <w:kern w:val="0"/>
          <w:sz w:val="32"/>
          <w:szCs w:val="32"/>
        </w:rPr>
        <w:t>支持在评测任务执行完成后，查看模型各个维度的推理效果评估报告，通过客观的指标驱动模型迭代改进。</w:t>
      </w:r>
    </w:p>
    <w:p w14:paraId="07444450">
      <w:pPr>
        <w:ind w:firstLine="640" w:firstLineChars="200"/>
        <w:rPr>
          <w:rFonts w:ascii="仿宋_GB2312" w:eastAsia="仿宋_GB2312"/>
          <w:kern w:val="0"/>
          <w:sz w:val="32"/>
          <w:szCs w:val="32"/>
        </w:rPr>
      </w:pPr>
      <w:r>
        <w:rPr>
          <w:rFonts w:hint="eastAsia" w:ascii="仿宋_GB2312" w:eastAsia="仿宋_GB2312"/>
          <w:kern w:val="0"/>
          <w:sz w:val="32"/>
          <w:szCs w:val="32"/>
        </w:rPr>
        <w:t>(b)视觉大模型评测-模型评测配置</w:t>
      </w:r>
    </w:p>
    <w:p w14:paraId="69668693">
      <w:pPr>
        <w:ind w:firstLine="640" w:firstLineChars="200"/>
        <w:rPr>
          <w:rFonts w:ascii="仿宋_GB2312" w:eastAsia="仿宋_GB2312"/>
          <w:kern w:val="0"/>
          <w:sz w:val="32"/>
          <w:szCs w:val="32"/>
        </w:rPr>
      </w:pPr>
      <w:r>
        <w:rPr>
          <w:rFonts w:hint="eastAsia" w:ascii="仿宋_GB2312" w:eastAsia="仿宋_GB2312"/>
          <w:kern w:val="0"/>
          <w:sz w:val="32"/>
          <w:szCs w:val="32"/>
        </w:rPr>
        <w:t>在评测任务配置方面，系统将支持用户自定义评测指标，用户可以根据模型的特性和应用场景，选择或定义合适的评测指标，如准确率、召回率、 F1 分数等。系统将提供多种评测规则模板，涵盖常见的评测场景，用户可以根据需要选择合适的模板，快速配置评测任务。同时，系统允许用户自定义评测流程，包括数据预处理、模型运行、结果分析等步骤，确保评测过程的透明性和可追溯性。通过这些功能，用户可以更加灵活地管理和配置评测任务，提高评测的准确性和效率。</w:t>
      </w:r>
    </w:p>
    <w:p w14:paraId="0DFE255E">
      <w:pPr>
        <w:ind w:firstLine="640" w:firstLineChars="200"/>
        <w:rPr>
          <w:rFonts w:ascii="仿宋_GB2312" w:eastAsia="仿宋_GB2312"/>
          <w:kern w:val="0"/>
          <w:sz w:val="32"/>
          <w:szCs w:val="32"/>
        </w:rPr>
      </w:pPr>
      <w:r>
        <w:rPr>
          <w:rFonts w:hint="eastAsia" w:ascii="仿宋_GB2312" w:eastAsia="仿宋_GB2312"/>
          <w:kern w:val="0"/>
          <w:sz w:val="32"/>
          <w:szCs w:val="32"/>
        </w:rPr>
        <w:t>(c)视觉大模型评测-独立评测</w:t>
      </w:r>
    </w:p>
    <w:p w14:paraId="2F72D70F">
      <w:pPr>
        <w:ind w:firstLine="640" w:firstLineChars="200"/>
        <w:rPr>
          <w:rFonts w:ascii="仿宋_GB2312" w:eastAsia="仿宋_GB2312"/>
          <w:kern w:val="0"/>
          <w:sz w:val="32"/>
          <w:szCs w:val="32"/>
        </w:rPr>
      </w:pPr>
      <w:r>
        <w:rPr>
          <w:rFonts w:hint="eastAsia" w:ascii="仿宋_GB2312" w:eastAsia="仿宋_GB2312"/>
          <w:kern w:val="0"/>
          <w:sz w:val="32"/>
          <w:szCs w:val="32"/>
        </w:rPr>
        <w:t>为了满足用户对单模型的评测需求，大模型平台的评测系统将支持独立评测功能。用户可以通过评测任务创建模块，选择单个模型进行评测。系统将提供标准化的评测报告，包括模型的基本信息、评测指标、评测结果等。此外，系统还将自动生成评测对比分析，帮助用户了解模型在不同评测指标下的表现，以及与其他模型的相对优势和劣势。独立评测功能的实现将确保每个模型的评测过程独立、透明，评测结果客观、准确。</w:t>
      </w:r>
    </w:p>
    <w:p w14:paraId="26FED7AB">
      <w:pPr>
        <w:ind w:firstLine="640" w:firstLineChars="200"/>
        <w:rPr>
          <w:rFonts w:ascii="仿宋_GB2312" w:eastAsia="仿宋_GB2312"/>
          <w:kern w:val="0"/>
          <w:sz w:val="32"/>
          <w:szCs w:val="32"/>
        </w:rPr>
      </w:pPr>
      <w:r>
        <w:rPr>
          <w:rFonts w:hint="eastAsia" w:ascii="仿宋_GB2312" w:eastAsia="仿宋_GB2312"/>
          <w:kern w:val="0"/>
          <w:sz w:val="32"/>
          <w:szCs w:val="32"/>
        </w:rPr>
        <w:t>(d)视觉大模型评测-对比评测</w:t>
      </w:r>
    </w:p>
    <w:p w14:paraId="76498BBC">
      <w:pPr>
        <w:ind w:firstLine="640" w:firstLineChars="200"/>
        <w:rPr>
          <w:rFonts w:ascii="仿宋_GB2312" w:eastAsia="仿宋_GB2312"/>
          <w:kern w:val="0"/>
          <w:sz w:val="32"/>
          <w:szCs w:val="32"/>
        </w:rPr>
      </w:pPr>
      <w:r>
        <w:rPr>
          <w:rFonts w:hint="eastAsia" w:ascii="仿宋_GB2312" w:eastAsia="仿宋_GB2312"/>
          <w:kern w:val="0"/>
          <w:sz w:val="32"/>
          <w:szCs w:val="32"/>
        </w:rPr>
        <w:t>对比评测功能旨在支持用户对多个模型进行对比评测，以便更全面地了解各模型的性能差异。用户可以通过评测任务管理模块，选择多个模型进行对比评测。系统将生成差异化的分析报告，详细展示各模型在相同评测指标下的表现，以及在特定任务上的优劣。为了更直观地呈现对比结果，系统还将自动生成对比评测图表，包括折线图、柱状图和散点图等，帮助用户快速识别模型之间的性能差异。对比评测功能的实现将确保评测过程高效、结果清晰，为用户选择最佳模型提供有力支持。</w:t>
      </w:r>
    </w:p>
    <w:p w14:paraId="05A22387">
      <w:pPr>
        <w:ind w:firstLine="640" w:firstLineChars="200"/>
        <w:rPr>
          <w:rFonts w:ascii="仿宋_GB2312" w:eastAsia="仿宋_GB2312"/>
          <w:kern w:val="0"/>
          <w:sz w:val="32"/>
          <w:szCs w:val="32"/>
        </w:rPr>
      </w:pPr>
      <w:r>
        <w:rPr>
          <w:rFonts w:hint="eastAsia" w:ascii="仿宋_GB2312" w:eastAsia="仿宋_GB2312"/>
          <w:kern w:val="0"/>
          <w:sz w:val="32"/>
          <w:szCs w:val="32"/>
        </w:rPr>
        <w:t>(e)视觉大模型评测-裁判模型智能评测</w:t>
      </w:r>
    </w:p>
    <w:p w14:paraId="0576318E">
      <w:pPr>
        <w:ind w:firstLine="640" w:firstLineChars="200"/>
        <w:rPr>
          <w:rFonts w:ascii="仿宋_GB2312" w:eastAsia="仿宋_GB2312"/>
          <w:kern w:val="0"/>
          <w:sz w:val="32"/>
          <w:szCs w:val="32"/>
        </w:rPr>
      </w:pPr>
      <w:r>
        <w:rPr>
          <w:rFonts w:hint="eastAsia" w:ascii="仿宋_GB2312" w:eastAsia="仿宋_GB2312"/>
          <w:kern w:val="0"/>
          <w:sz w:val="32"/>
          <w:szCs w:val="32"/>
        </w:rPr>
        <w:t>裁判模型智能评测功能将支持用户通过自动化配置，选择裁判模型对目标模型进行智能评测。用户可以在模型评测配置模块中，选择合适的裁判模型，并设置评测参数。系统将自动生成智能评测结果分析，包括裁判模型的评估标准、目标模型的表现、潜在问题和改进建议。此外，系统还将提供评测洞察报告，帮助用户深入了解模型的性能瓶颈和优化方向。裁判模型智能评测功能的实现将确保评测过程自动化、智能化，评测结果具有高度的参考价值。同时，对于裁判员模型的选择，支持用户自主配置，并支持用户自主配置测评提示词。</w:t>
      </w:r>
    </w:p>
    <w:p w14:paraId="69F00D81">
      <w:pPr>
        <w:ind w:firstLine="640" w:firstLineChars="200"/>
        <w:rPr>
          <w:rFonts w:ascii="仿宋_GB2312" w:eastAsia="仿宋_GB2312"/>
          <w:kern w:val="0"/>
          <w:sz w:val="32"/>
          <w:szCs w:val="32"/>
        </w:rPr>
      </w:pPr>
      <w:r>
        <w:rPr>
          <w:rFonts w:hint="eastAsia" w:ascii="仿宋_GB2312" w:eastAsia="仿宋_GB2312"/>
          <w:kern w:val="0"/>
          <w:sz w:val="32"/>
          <w:szCs w:val="32"/>
        </w:rPr>
        <w:t>(f)视觉大模型评测-基线测评</w:t>
      </w:r>
    </w:p>
    <w:p w14:paraId="60DF7F2B">
      <w:pPr>
        <w:ind w:firstLine="640" w:firstLineChars="200"/>
        <w:rPr>
          <w:rFonts w:ascii="仿宋_GB2312" w:eastAsia="仿宋_GB2312"/>
          <w:kern w:val="0"/>
          <w:sz w:val="32"/>
          <w:szCs w:val="32"/>
        </w:rPr>
      </w:pPr>
      <w:r>
        <w:rPr>
          <w:rFonts w:hint="eastAsia" w:ascii="仿宋_GB2312" w:eastAsia="仿宋_GB2312"/>
          <w:kern w:val="0"/>
          <w:sz w:val="32"/>
          <w:szCs w:val="32"/>
        </w:rPr>
        <w:t>基线测评功能旨在支持用户将目标模型与基线模型进行对比评测，以便评估模型的改进效果。用户可以通过评测任务管理模块，选择目标模型和基线模型进行对比评测。系统将生成基线评测报告，详细展示目标模型与基线模型在相同评测指标下的表现，以及改进的幅度和效果。为了方便用户管理基线数据，系统还将提供基线数据管理功能，支持用户上传、更新和删除基线模型数据。基线测评功能的实现将确保评测过程科学、严谨，评测结果具有可比性和可衡量性。</w:t>
      </w:r>
    </w:p>
    <w:p w14:paraId="661D35CD">
      <w:pPr>
        <w:ind w:firstLine="640" w:firstLineChars="200"/>
        <w:rPr>
          <w:rFonts w:ascii="仿宋_GB2312" w:eastAsia="仿宋_GB2312"/>
          <w:kern w:val="0"/>
          <w:sz w:val="32"/>
          <w:szCs w:val="32"/>
        </w:rPr>
      </w:pPr>
      <w:r>
        <w:rPr>
          <w:rFonts w:hint="eastAsia" w:ascii="仿宋_GB2312" w:eastAsia="仿宋_GB2312"/>
          <w:kern w:val="0"/>
          <w:sz w:val="32"/>
          <w:szCs w:val="32"/>
        </w:rPr>
        <w:t>(g)视觉大模型评测-规则测评</w:t>
      </w:r>
    </w:p>
    <w:p w14:paraId="6B2AC675">
      <w:pPr>
        <w:ind w:firstLine="640" w:firstLineChars="200"/>
        <w:rPr>
          <w:rFonts w:ascii="仿宋_GB2312" w:eastAsia="仿宋_GB2312"/>
          <w:kern w:val="0"/>
          <w:sz w:val="32"/>
          <w:szCs w:val="32"/>
        </w:rPr>
      </w:pPr>
      <w:r>
        <w:rPr>
          <w:rFonts w:hint="eastAsia" w:ascii="仿宋_GB2312" w:eastAsia="仿宋_GB2312"/>
          <w:kern w:val="0"/>
          <w:sz w:val="32"/>
          <w:szCs w:val="32"/>
        </w:rPr>
        <w:t>系统将支持规则化评测流程，用户可以定义和配置不同的评测规则，以确保评测过程的标准化和规范化。规则化评测流程将包括模型输入的验证、评测指标的选择、评测步骤的执行以及评测结果的生成。系统将提供规则评测结果的详细分析，包括每个规则的评测结果、规则的覆盖率、规则的准确率等。这些分析结果将帮助用户更好地理解模型在不同规则下的表现，从而优化模型的性能。此外，系统还将自动生成规则评测报告，报告内容将包括评测规则的描述、评测结果的汇总以及改进建议，确保用户能够全面了解规则测评的全过程和结果。</w:t>
      </w:r>
    </w:p>
    <w:p w14:paraId="5A173F52">
      <w:pPr>
        <w:ind w:firstLine="640" w:firstLineChars="200"/>
        <w:rPr>
          <w:rFonts w:ascii="仿宋_GB2312" w:eastAsia="仿宋_GB2312"/>
          <w:kern w:val="0"/>
          <w:sz w:val="32"/>
          <w:szCs w:val="32"/>
        </w:rPr>
      </w:pPr>
      <w:r>
        <w:rPr>
          <w:rFonts w:hint="eastAsia" w:ascii="仿宋_GB2312" w:eastAsia="仿宋_GB2312"/>
          <w:kern w:val="0"/>
          <w:sz w:val="32"/>
          <w:szCs w:val="32"/>
        </w:rPr>
        <w:t>b.安全管理</w:t>
      </w:r>
    </w:p>
    <w:p w14:paraId="28BF56EA">
      <w:pPr>
        <w:ind w:firstLine="640" w:firstLineChars="200"/>
        <w:rPr>
          <w:rFonts w:ascii="仿宋_GB2312" w:eastAsia="仿宋_GB2312"/>
          <w:kern w:val="0"/>
          <w:sz w:val="32"/>
          <w:szCs w:val="32"/>
        </w:rPr>
      </w:pPr>
      <w:r>
        <w:rPr>
          <w:rFonts w:hint="eastAsia" w:ascii="仿宋_GB2312" w:eastAsia="仿宋_GB2312"/>
          <w:kern w:val="0"/>
          <w:sz w:val="32"/>
          <w:szCs w:val="32"/>
        </w:rPr>
        <w:t>(a)视觉大模型安全管理-样本图片隐形水印叠加</w:t>
      </w:r>
    </w:p>
    <w:p w14:paraId="7E82D6C5">
      <w:pPr>
        <w:ind w:firstLine="640" w:firstLineChars="200"/>
        <w:rPr>
          <w:rFonts w:ascii="仿宋_GB2312" w:eastAsia="仿宋_GB2312"/>
          <w:kern w:val="0"/>
          <w:sz w:val="32"/>
          <w:szCs w:val="32"/>
        </w:rPr>
      </w:pPr>
      <w:r>
        <w:rPr>
          <w:rFonts w:hint="eastAsia" w:ascii="仿宋_GB2312" w:eastAsia="仿宋_GB2312"/>
          <w:kern w:val="0"/>
          <w:sz w:val="32"/>
          <w:szCs w:val="32"/>
        </w:rPr>
        <w:t>支持对视图知识库（数据集）中的样本图片叠加隐形水印，便于泄露追溯。</w:t>
      </w:r>
    </w:p>
    <w:p w14:paraId="107055AB">
      <w:pPr>
        <w:ind w:firstLine="640" w:firstLineChars="200"/>
        <w:rPr>
          <w:rFonts w:ascii="仿宋_GB2312" w:eastAsia="仿宋_GB2312"/>
          <w:kern w:val="0"/>
          <w:sz w:val="32"/>
          <w:szCs w:val="32"/>
        </w:rPr>
      </w:pPr>
      <w:r>
        <w:rPr>
          <w:rFonts w:hint="eastAsia" w:ascii="仿宋_GB2312" w:eastAsia="仿宋_GB2312"/>
          <w:kern w:val="0"/>
          <w:sz w:val="32"/>
          <w:szCs w:val="32"/>
        </w:rPr>
        <w:t>(b)视觉大模型安全管理-样本图片隐形水印解密</w:t>
      </w:r>
    </w:p>
    <w:p w14:paraId="7BFD2257">
      <w:pPr>
        <w:ind w:firstLine="640" w:firstLineChars="200"/>
        <w:rPr>
          <w:rFonts w:ascii="仿宋_GB2312" w:eastAsia="仿宋_GB2312"/>
          <w:kern w:val="0"/>
          <w:sz w:val="32"/>
          <w:szCs w:val="32"/>
        </w:rPr>
      </w:pPr>
      <w:r>
        <w:rPr>
          <w:rFonts w:hint="eastAsia" w:ascii="仿宋_GB2312" w:eastAsia="仿宋_GB2312"/>
          <w:kern w:val="0"/>
          <w:sz w:val="32"/>
          <w:szCs w:val="32"/>
        </w:rPr>
        <w:t>支持对视图知识库（数据集）中的样本图片叠加的隐形水印进行解密。</w:t>
      </w:r>
    </w:p>
    <w:p w14:paraId="19E40C49">
      <w:pPr>
        <w:ind w:firstLine="640" w:firstLineChars="200"/>
        <w:rPr>
          <w:rFonts w:ascii="仿宋_GB2312" w:eastAsia="仿宋_GB2312"/>
          <w:kern w:val="0"/>
          <w:sz w:val="32"/>
          <w:szCs w:val="32"/>
        </w:rPr>
      </w:pPr>
      <w:bookmarkStart w:id="10" w:name="_Toc216961927"/>
      <w:r>
        <w:rPr>
          <w:rFonts w:hint="eastAsia" w:ascii="仿宋_GB2312" w:eastAsia="仿宋_GB2312"/>
          <w:kern w:val="0"/>
          <w:sz w:val="32"/>
          <w:szCs w:val="32"/>
        </w:rPr>
        <w:t>⑤商密改造</w:t>
      </w:r>
      <w:bookmarkEnd w:id="10"/>
    </w:p>
    <w:p w14:paraId="35ECF8A0">
      <w:pPr>
        <w:ind w:firstLine="640" w:firstLineChars="200"/>
        <w:rPr>
          <w:rFonts w:ascii="仿宋_GB2312" w:eastAsia="仿宋_GB2312"/>
          <w:kern w:val="0"/>
          <w:sz w:val="32"/>
          <w:szCs w:val="32"/>
        </w:rPr>
      </w:pPr>
      <w:r>
        <w:rPr>
          <w:rFonts w:hint="eastAsia" w:ascii="仿宋_GB2312" w:eastAsia="仿宋_GB2312"/>
          <w:kern w:val="0"/>
          <w:sz w:val="32"/>
          <w:szCs w:val="32"/>
        </w:rPr>
        <w:t>a.用户认证与日志访问控制</w:t>
      </w:r>
    </w:p>
    <w:p w14:paraId="4C8EEE2C">
      <w:pPr>
        <w:ind w:firstLine="640" w:firstLineChars="200"/>
        <w:rPr>
          <w:rFonts w:ascii="仿宋_GB2312" w:eastAsia="仿宋_GB2312"/>
          <w:kern w:val="0"/>
          <w:sz w:val="32"/>
          <w:szCs w:val="32"/>
        </w:rPr>
      </w:pPr>
      <w:r>
        <w:rPr>
          <w:rFonts w:hint="eastAsia" w:ascii="仿宋_GB2312" w:eastAsia="仿宋_GB2312"/>
          <w:kern w:val="0"/>
          <w:sz w:val="32"/>
          <w:szCs w:val="32"/>
        </w:rPr>
        <w:t>涉及用户身份认证机制、服务器虚拟机设备日志/访问控制信息完整性等进行商密改造。</w:t>
      </w:r>
    </w:p>
    <w:p w14:paraId="3CE8D814">
      <w:pPr>
        <w:ind w:firstLine="640" w:firstLineChars="200"/>
        <w:rPr>
          <w:rFonts w:ascii="仿宋_GB2312" w:eastAsia="仿宋_GB2312"/>
          <w:kern w:val="0"/>
          <w:sz w:val="32"/>
          <w:szCs w:val="32"/>
        </w:rPr>
      </w:pPr>
      <w:r>
        <w:rPr>
          <w:rFonts w:hint="eastAsia" w:ascii="仿宋_GB2312" w:eastAsia="仿宋_GB2312"/>
          <w:kern w:val="0"/>
          <w:sz w:val="32"/>
          <w:szCs w:val="32"/>
        </w:rPr>
        <w:t>b.业务重要数据安全传输</w:t>
      </w:r>
    </w:p>
    <w:p w14:paraId="0ADE9733">
      <w:pPr>
        <w:ind w:firstLine="640" w:firstLineChars="200"/>
        <w:rPr>
          <w:rFonts w:ascii="仿宋_GB2312" w:eastAsia="仿宋_GB2312"/>
          <w:kern w:val="0"/>
          <w:sz w:val="32"/>
          <w:szCs w:val="32"/>
        </w:rPr>
      </w:pPr>
      <w:r>
        <w:rPr>
          <w:rFonts w:ascii="仿宋_GB2312" w:eastAsia="仿宋_GB2312"/>
          <w:kern w:val="0"/>
          <w:sz w:val="32"/>
          <w:szCs w:val="32"/>
        </w:rPr>
        <w:t>开发业务重要数据安全传输模块，调用云平台提供的安全认证网关服务接口，实现应用系统通信数据的机密性和完整性保护。</w:t>
      </w:r>
    </w:p>
    <w:p w14:paraId="6297F421">
      <w:pPr>
        <w:ind w:firstLine="640" w:firstLineChars="200"/>
        <w:rPr>
          <w:rFonts w:ascii="仿宋_GB2312" w:eastAsia="仿宋_GB2312"/>
          <w:kern w:val="0"/>
          <w:sz w:val="32"/>
          <w:szCs w:val="32"/>
        </w:rPr>
      </w:pPr>
      <w:r>
        <w:rPr>
          <w:rFonts w:hint="eastAsia" w:ascii="仿宋_GB2312" w:eastAsia="仿宋_GB2312"/>
          <w:kern w:val="0"/>
          <w:sz w:val="32"/>
          <w:szCs w:val="32"/>
        </w:rPr>
        <w:t>⑥硬件购置</w:t>
      </w:r>
    </w:p>
    <w:p w14:paraId="69AE0456">
      <w:pPr>
        <w:ind w:firstLine="640" w:firstLineChars="200"/>
        <w:rPr>
          <w:rFonts w:ascii="仿宋_GB2312" w:eastAsia="仿宋_GB2312"/>
          <w:kern w:val="0"/>
          <w:sz w:val="32"/>
          <w:szCs w:val="32"/>
        </w:rPr>
      </w:pPr>
      <w:r>
        <w:rPr>
          <w:rFonts w:hint="eastAsia" w:ascii="仿宋_GB2312" w:eastAsia="仿宋_GB2312"/>
          <w:kern w:val="0"/>
          <w:sz w:val="32"/>
          <w:szCs w:val="32"/>
        </w:rPr>
        <w:t>a.智能图像联网媒体设备</w:t>
      </w:r>
    </w:p>
    <w:p w14:paraId="6E24C244">
      <w:pPr>
        <w:ind w:firstLine="640" w:firstLineChars="200"/>
        <w:rPr>
          <w:rFonts w:ascii="仿宋_GB2312" w:eastAsia="仿宋_GB2312"/>
          <w:kern w:val="0"/>
          <w:sz w:val="32"/>
          <w:szCs w:val="32"/>
        </w:rPr>
      </w:pPr>
      <w:r>
        <w:rPr>
          <w:rFonts w:hint="eastAsia" w:ascii="仿宋_GB2312" w:eastAsia="仿宋_GB2312"/>
          <w:kern w:val="0"/>
          <w:sz w:val="32"/>
          <w:szCs w:val="32"/>
        </w:rPr>
        <w:t>为满足视频流媒体转发需求，</w:t>
      </w:r>
      <w:r>
        <w:rPr>
          <w:rFonts w:hint="eastAsia" w:ascii="仿宋_GB2312" w:eastAsia="仿宋_GB2312"/>
          <w:b/>
          <w:kern w:val="0"/>
          <w:sz w:val="32"/>
          <w:szCs w:val="32"/>
        </w:rPr>
        <w:t>本项目需在公安视频传输网上配备7台智能图像联网媒体设备，均为国产化设备，并于现有视频联网平台兼容，</w:t>
      </w:r>
      <w:r>
        <w:rPr>
          <w:rFonts w:hint="eastAsia" w:ascii="仿宋_GB2312" w:eastAsia="仿宋_GB2312"/>
          <w:kern w:val="0"/>
          <w:sz w:val="32"/>
          <w:szCs w:val="32"/>
        </w:rPr>
        <w:t>详细功能描述及配置需求如下：</w:t>
      </w:r>
    </w:p>
    <w:p w14:paraId="1B3C764E">
      <w:pPr>
        <w:ind w:firstLine="640" w:firstLineChars="200"/>
        <w:rPr>
          <w:rFonts w:ascii="仿宋_GB2312" w:eastAsia="仿宋_GB2312"/>
          <w:kern w:val="0"/>
          <w:sz w:val="32"/>
          <w:szCs w:val="32"/>
        </w:rPr>
      </w:pPr>
      <w:r>
        <w:rPr>
          <w:rFonts w:hint="eastAsia" w:ascii="仿宋_GB2312" w:eastAsia="仿宋_GB2312"/>
          <w:kern w:val="0"/>
          <w:sz w:val="32"/>
          <w:szCs w:val="32"/>
        </w:rPr>
        <w:t>功能描述：</w:t>
      </w:r>
    </w:p>
    <w:p w14:paraId="0BFD2BE8">
      <w:pPr>
        <w:ind w:firstLine="640" w:firstLineChars="200"/>
        <w:rPr>
          <w:rFonts w:ascii="仿宋_GB2312" w:eastAsia="仿宋_GB2312"/>
          <w:kern w:val="0"/>
          <w:sz w:val="32"/>
          <w:szCs w:val="32"/>
        </w:rPr>
      </w:pPr>
      <w:r>
        <w:rPr>
          <w:rFonts w:hint="eastAsia" w:ascii="仿宋_GB2312" w:eastAsia="仿宋_GB2312"/>
          <w:kern w:val="0"/>
          <w:sz w:val="32"/>
          <w:szCs w:val="32"/>
        </w:rPr>
        <w:t>智能图像联网媒体设备通过连接视频图像设备或对接视频联网平台，汇聚前端视频，共享至客户端、解码设备、上下级联网平台等多类目标，进行稳定高效的高标清实时/历史视频流汇聚转发，可以输出国标流、FLV流等多种码流格式，支持负载均衡和集群管理。</w:t>
      </w:r>
    </w:p>
    <w:p w14:paraId="4D335A4F">
      <w:pPr>
        <w:ind w:firstLine="640" w:firstLineChars="200"/>
        <w:rPr>
          <w:rFonts w:ascii="仿宋_GB2312" w:eastAsia="仿宋_GB2312"/>
          <w:kern w:val="0"/>
          <w:sz w:val="32"/>
          <w:szCs w:val="32"/>
        </w:rPr>
      </w:pPr>
      <w:r>
        <w:rPr>
          <w:rFonts w:hint="eastAsia" w:ascii="东文宋体" w:hAnsi="东文宋体" w:eastAsia="东文宋体" w:cs="东文宋体"/>
          <w:kern w:val="0"/>
          <w:sz w:val="32"/>
          <w:szCs w:val="32"/>
        </w:rPr>
        <w:t>▲</w:t>
      </w:r>
      <w:r>
        <w:rPr>
          <w:rFonts w:hint="eastAsia" w:ascii="仿宋_GB2312" w:eastAsia="仿宋_GB2312"/>
          <w:kern w:val="0"/>
          <w:sz w:val="32"/>
          <w:szCs w:val="32"/>
        </w:rPr>
        <w:t>单台设备支持500路1080P高清视频码流。</w:t>
      </w:r>
    </w:p>
    <w:p w14:paraId="192EEC51">
      <w:pPr>
        <w:ind w:firstLine="640" w:firstLineChars="200"/>
        <w:rPr>
          <w:rFonts w:ascii="仿宋_GB2312" w:eastAsia="仿宋_GB2312"/>
          <w:kern w:val="0"/>
          <w:sz w:val="32"/>
          <w:szCs w:val="32"/>
        </w:rPr>
      </w:pPr>
      <w:r>
        <w:rPr>
          <w:rFonts w:hint="eastAsia" w:ascii="仿宋_GB2312" w:eastAsia="仿宋_GB2312"/>
          <w:kern w:val="0"/>
          <w:sz w:val="32"/>
          <w:szCs w:val="32"/>
        </w:rPr>
        <w:t>注：</w:t>
      </w:r>
      <w:r>
        <w:rPr>
          <w:rFonts w:hint="eastAsia" w:ascii="东文宋体" w:hAnsi="东文宋体" w:eastAsia="东文宋体" w:cs="东文宋体"/>
          <w:kern w:val="0"/>
          <w:sz w:val="32"/>
          <w:szCs w:val="32"/>
        </w:rPr>
        <w:t>▲</w:t>
      </w:r>
      <w:r>
        <w:rPr>
          <w:rFonts w:hint="eastAsia" w:ascii="仿宋_GB2312" w:eastAsia="仿宋_GB2312"/>
          <w:kern w:val="0"/>
          <w:sz w:val="32"/>
          <w:szCs w:val="32"/>
        </w:rPr>
        <w:t>指标需提供技术支持资料，以制造商公开发布的印刷资料（产品彩页、产品说明书、产品白皮书）、第三方检测机构出具的检测报告等为准，投标人可以只提供上述材料关键页的复印件，关键页需体现投标产品的品牌、规格型号、相关性能指标，相关性能指标需以醒目的方式标明</w:t>
      </w:r>
    </w:p>
    <w:p w14:paraId="57432AC8">
      <w:pPr>
        <w:ind w:firstLine="640" w:firstLineChars="200"/>
        <w:rPr>
          <w:rFonts w:ascii="仿宋_GB2312" w:eastAsia="仿宋_GB2312"/>
          <w:kern w:val="0"/>
          <w:sz w:val="32"/>
          <w:szCs w:val="32"/>
        </w:rPr>
      </w:pPr>
      <w:r>
        <w:rPr>
          <w:rFonts w:hint="eastAsia" w:ascii="仿宋_GB2312" w:eastAsia="仿宋_GB2312"/>
          <w:kern w:val="0"/>
          <w:sz w:val="32"/>
          <w:szCs w:val="32"/>
        </w:rPr>
        <w:t>峰值支持4000Mbps并发码流。</w:t>
      </w:r>
    </w:p>
    <w:p w14:paraId="1323061B">
      <w:pPr>
        <w:ind w:firstLine="640" w:firstLineChars="200"/>
        <w:rPr>
          <w:rFonts w:ascii="仿宋_GB2312" w:eastAsia="仿宋_GB2312"/>
          <w:kern w:val="0"/>
          <w:sz w:val="32"/>
          <w:szCs w:val="32"/>
        </w:rPr>
      </w:pPr>
      <w:r>
        <w:rPr>
          <w:rFonts w:hint="eastAsia" w:ascii="仿宋_GB2312" w:eastAsia="仿宋_GB2312"/>
          <w:kern w:val="0"/>
          <w:sz w:val="32"/>
          <w:szCs w:val="32"/>
        </w:rPr>
        <w:t>兼容性要求：</w:t>
      </w:r>
    </w:p>
    <w:p w14:paraId="02793CAA">
      <w:pPr>
        <w:ind w:firstLine="640" w:firstLineChars="200"/>
        <w:rPr>
          <w:rFonts w:ascii="仿宋_GB2312" w:eastAsia="仿宋_GB2312"/>
          <w:kern w:val="0"/>
          <w:sz w:val="32"/>
          <w:szCs w:val="32"/>
        </w:rPr>
      </w:pPr>
      <w:r>
        <w:rPr>
          <w:rFonts w:hint="eastAsia" w:ascii="仿宋_GB2312" w:eastAsia="仿宋_GB2312"/>
          <w:kern w:val="0"/>
          <w:sz w:val="32"/>
          <w:szCs w:val="32"/>
        </w:rPr>
        <w:t>智能图像联网媒体设备通过标准化接口与现有视频联网平台智能图像联网媒体设备进行无缝对接，支持rtsp/httpflv/websocket/rtmp/hls等协议实现信令交互与媒体流转发，确保兼容性与可扩展性。</w:t>
      </w:r>
    </w:p>
    <w:p w14:paraId="35A84E25">
      <w:pPr>
        <w:ind w:firstLine="640" w:firstLineChars="200"/>
        <w:rPr>
          <w:rFonts w:ascii="仿宋_GB2312" w:eastAsia="仿宋_GB2312"/>
          <w:kern w:val="0"/>
          <w:sz w:val="32"/>
          <w:szCs w:val="32"/>
        </w:rPr>
      </w:pPr>
      <w:r>
        <w:rPr>
          <w:rFonts w:hint="eastAsia" w:ascii="仿宋_GB2312" w:eastAsia="仿宋_GB2312"/>
          <w:kern w:val="0"/>
          <w:sz w:val="32"/>
          <w:szCs w:val="32"/>
        </w:rPr>
        <w:t>对接过程中将优先验证设备间负载均衡、动态路由及故障切换能力，并通过联调测试（包括并发拉流、码率适配、异常断流重连等场景）验证端到端稳定性，保障本次建设的流媒体节点能平滑融入现有新一代视频联网架构，实现统一调度与管理。</w:t>
      </w:r>
    </w:p>
    <w:p w14:paraId="625F4EE6">
      <w:pPr>
        <w:ind w:firstLine="640" w:firstLineChars="200"/>
        <w:rPr>
          <w:rFonts w:ascii="仿宋_GB2312" w:eastAsia="仿宋_GB2312"/>
          <w:kern w:val="0"/>
          <w:sz w:val="32"/>
          <w:szCs w:val="32"/>
        </w:rPr>
      </w:pPr>
      <w:r>
        <w:rPr>
          <w:rFonts w:hint="eastAsia" w:ascii="仿宋_GB2312" w:eastAsia="仿宋_GB2312"/>
          <w:kern w:val="0"/>
          <w:sz w:val="32"/>
          <w:szCs w:val="32"/>
        </w:rPr>
        <w:t>设备参数：</w:t>
      </w:r>
    </w:p>
    <w:p w14:paraId="66C738F1">
      <w:pPr>
        <w:ind w:firstLine="640" w:firstLineChars="200"/>
        <w:rPr>
          <w:rFonts w:ascii="仿宋_GB2312" w:eastAsia="仿宋_GB2312"/>
          <w:kern w:val="0"/>
          <w:sz w:val="32"/>
          <w:szCs w:val="32"/>
        </w:rPr>
      </w:pPr>
      <w:r>
        <w:rPr>
          <w:rFonts w:hint="eastAsia" w:ascii="仿宋_GB2312" w:eastAsia="仿宋_GB2312"/>
          <w:kern w:val="0"/>
          <w:sz w:val="32"/>
          <w:szCs w:val="32"/>
        </w:rPr>
        <w:t>(a)处理器：两颗高性能处理器，单处理器核数≥16核，频率≥2.5GHz；</w:t>
      </w:r>
    </w:p>
    <w:p w14:paraId="566DD21D">
      <w:pPr>
        <w:ind w:firstLine="640" w:firstLineChars="200"/>
        <w:rPr>
          <w:rFonts w:ascii="仿宋_GB2312" w:eastAsia="仿宋_GB2312"/>
          <w:kern w:val="0"/>
          <w:sz w:val="32"/>
          <w:szCs w:val="32"/>
        </w:rPr>
      </w:pPr>
      <w:r>
        <w:rPr>
          <w:rFonts w:hint="eastAsia" w:ascii="仿宋_GB2312" w:eastAsia="仿宋_GB2312"/>
          <w:kern w:val="0"/>
          <w:sz w:val="32"/>
          <w:szCs w:val="32"/>
        </w:rPr>
        <w:t>(b)内存：DDR4 32G*4；</w:t>
      </w:r>
    </w:p>
    <w:p w14:paraId="1ADC7F38">
      <w:pPr>
        <w:ind w:firstLine="640" w:firstLineChars="200"/>
        <w:rPr>
          <w:rFonts w:ascii="仿宋_GB2312" w:eastAsia="仿宋_GB2312"/>
          <w:kern w:val="0"/>
          <w:sz w:val="32"/>
          <w:szCs w:val="32"/>
        </w:rPr>
      </w:pPr>
      <w:r>
        <w:rPr>
          <w:rFonts w:hint="eastAsia" w:ascii="仿宋_GB2312" w:eastAsia="仿宋_GB2312"/>
          <w:kern w:val="0"/>
          <w:sz w:val="32"/>
          <w:szCs w:val="32"/>
        </w:rPr>
        <w:t>(c)硬盘：SSD 1.92T*2；</w:t>
      </w:r>
    </w:p>
    <w:p w14:paraId="5A710F9F">
      <w:pPr>
        <w:ind w:firstLine="640" w:firstLineChars="200"/>
        <w:rPr>
          <w:rFonts w:ascii="仿宋_GB2312" w:eastAsia="仿宋_GB2312"/>
          <w:kern w:val="0"/>
          <w:sz w:val="32"/>
          <w:szCs w:val="32"/>
        </w:rPr>
      </w:pPr>
      <w:r>
        <w:rPr>
          <w:rFonts w:hint="eastAsia" w:ascii="仿宋_GB2312" w:eastAsia="仿宋_GB2312"/>
          <w:kern w:val="0"/>
          <w:sz w:val="32"/>
          <w:szCs w:val="32"/>
        </w:rPr>
        <w:t>(d)配置RAID卡，支持RAID 0/1/5/10/50/60;</w:t>
      </w:r>
    </w:p>
    <w:p w14:paraId="01A97765">
      <w:pPr>
        <w:ind w:firstLine="640" w:firstLineChars="200"/>
        <w:rPr>
          <w:rFonts w:ascii="仿宋_GB2312" w:eastAsia="仿宋_GB2312"/>
          <w:kern w:val="0"/>
          <w:sz w:val="32"/>
          <w:szCs w:val="32"/>
        </w:rPr>
      </w:pPr>
      <w:r>
        <w:rPr>
          <w:rFonts w:hint="eastAsia" w:ascii="仿宋_GB2312" w:eastAsia="仿宋_GB2312"/>
          <w:kern w:val="0"/>
          <w:sz w:val="32"/>
          <w:szCs w:val="32"/>
        </w:rPr>
        <w:t>(e)网络I/O：集成2个10/100/1000M自适应以太网口+2个10Gb光口；</w:t>
      </w:r>
    </w:p>
    <w:p w14:paraId="12822CB4">
      <w:pPr>
        <w:ind w:firstLine="640" w:firstLineChars="200"/>
        <w:rPr>
          <w:rFonts w:ascii="仿宋_GB2312" w:eastAsia="仿宋_GB2312"/>
          <w:kern w:val="0"/>
          <w:sz w:val="32"/>
          <w:szCs w:val="32"/>
        </w:rPr>
      </w:pPr>
      <w:r>
        <w:rPr>
          <w:rFonts w:hint="eastAsia" w:ascii="仿宋_GB2312" w:eastAsia="仿宋_GB2312"/>
          <w:kern w:val="0"/>
          <w:sz w:val="32"/>
          <w:szCs w:val="32"/>
        </w:rPr>
        <w:t>(f)电源：1+1冗余电源。</w:t>
      </w:r>
    </w:p>
    <w:p w14:paraId="3DFC1FE3">
      <w:pPr>
        <w:ind w:firstLine="640" w:firstLineChars="200"/>
        <w:rPr>
          <w:rFonts w:ascii="仿宋_GB2312" w:eastAsia="仿宋_GB2312"/>
          <w:kern w:val="0"/>
          <w:sz w:val="32"/>
          <w:szCs w:val="32"/>
        </w:rPr>
      </w:pPr>
      <w:r>
        <w:rPr>
          <w:rFonts w:hint="eastAsia" w:ascii="仿宋_GB2312" w:eastAsia="仿宋_GB2312"/>
          <w:kern w:val="0"/>
          <w:sz w:val="32"/>
          <w:szCs w:val="32"/>
        </w:rPr>
        <w:t>（2）网络架构设计</w:t>
      </w:r>
    </w:p>
    <w:p w14:paraId="5DEA8B77">
      <w:pPr>
        <w:ind w:firstLine="640" w:firstLineChars="200"/>
        <w:rPr>
          <w:rFonts w:ascii="仿宋_GB2312" w:eastAsia="仿宋_GB2312"/>
          <w:kern w:val="0"/>
          <w:sz w:val="32"/>
          <w:szCs w:val="32"/>
        </w:rPr>
      </w:pPr>
      <w:r>
        <w:rPr>
          <w:rFonts w:ascii="仿宋_GB2312" w:eastAsia="仿宋_GB2312"/>
          <w:kern w:val="0"/>
          <w:sz w:val="32"/>
          <w:szCs w:val="32"/>
        </w:rPr>
        <w:drawing>
          <wp:inline distT="0" distB="0" distL="0" distR="0">
            <wp:extent cx="5267325" cy="2631440"/>
            <wp:effectExtent l="0" t="0" r="0" b="0"/>
            <wp:docPr id="1930484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4847" name="图片 3"/>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4651" cy="2635511"/>
                    </a:xfrm>
                    <a:prstGeom prst="rect">
                      <a:avLst/>
                    </a:prstGeom>
                    <a:noFill/>
                    <a:ln>
                      <a:noFill/>
                    </a:ln>
                  </pic:spPr>
                </pic:pic>
              </a:graphicData>
            </a:graphic>
          </wp:inline>
        </w:drawing>
      </w:r>
    </w:p>
    <w:p w14:paraId="37B22ECD">
      <w:pPr>
        <w:ind w:firstLine="640" w:firstLineChars="200"/>
        <w:rPr>
          <w:rFonts w:ascii="仿宋_GB2312" w:eastAsia="仿宋_GB2312"/>
          <w:kern w:val="0"/>
          <w:sz w:val="32"/>
          <w:szCs w:val="32"/>
        </w:rPr>
      </w:pPr>
      <w:r>
        <w:rPr>
          <w:rFonts w:hint="eastAsia" w:ascii="仿宋_GB2312" w:eastAsia="仿宋_GB2312"/>
          <w:kern w:val="0"/>
          <w:sz w:val="32"/>
          <w:szCs w:val="32"/>
        </w:rPr>
        <w:t>上海市公安局视觉大模型能力支撑子系统建设项目网络架构建设分布建设在公安视频传输网和公安信息网，并使用现有的安全边界设备进行跨网传输。</w:t>
      </w:r>
    </w:p>
    <w:p w14:paraId="17FA559E">
      <w:pPr>
        <w:widowControl/>
        <w:adjustRightInd w:val="0"/>
        <w:snapToGrid w:val="0"/>
        <w:spacing w:line="560" w:lineRule="exact"/>
        <w:ind w:firstLine="646"/>
        <w:outlineLvl w:val="2"/>
        <w:rPr>
          <w:rFonts w:eastAsia="仿宋_GB2312"/>
          <w:kern w:val="0"/>
          <w:sz w:val="32"/>
          <w:szCs w:val="32"/>
        </w:rPr>
      </w:pPr>
      <w:r>
        <w:rPr>
          <w:rFonts w:eastAsia="仿宋_GB2312"/>
          <w:kern w:val="0"/>
          <w:sz w:val="32"/>
          <w:szCs w:val="32"/>
        </w:rPr>
        <w:t>4、信息安全保障需求</w:t>
      </w:r>
    </w:p>
    <w:p w14:paraId="0F73CE40">
      <w:pPr>
        <w:widowControl/>
        <w:adjustRightInd w:val="0"/>
        <w:snapToGrid w:val="0"/>
        <w:spacing w:line="560" w:lineRule="exact"/>
        <w:ind w:firstLine="646"/>
        <w:rPr>
          <w:rFonts w:eastAsia="仿宋_GB2312"/>
          <w:kern w:val="0"/>
          <w:sz w:val="32"/>
          <w:szCs w:val="32"/>
        </w:rPr>
      </w:pPr>
      <w:r>
        <w:rPr>
          <w:rFonts w:eastAsia="仿宋_GB2312"/>
          <w:kern w:val="0"/>
          <w:sz w:val="32"/>
          <w:szCs w:val="32"/>
        </w:rPr>
        <w:t>本项目属于</w:t>
      </w:r>
      <w:r>
        <w:rPr>
          <w:rFonts w:hint="eastAsia" w:eastAsia="仿宋_GB2312"/>
          <w:kern w:val="0"/>
          <w:sz w:val="32"/>
          <w:szCs w:val="32"/>
        </w:rPr>
        <w:t>公安图像信息</w:t>
      </w:r>
      <w:r>
        <w:rPr>
          <w:rFonts w:eastAsia="仿宋_GB2312"/>
          <w:kern w:val="0"/>
          <w:sz w:val="32"/>
          <w:szCs w:val="32"/>
        </w:rPr>
        <w:t>系统</w:t>
      </w:r>
      <w:r>
        <w:rPr>
          <w:rFonts w:hint="eastAsia" w:eastAsia="仿宋_GB2312"/>
          <w:kern w:val="0"/>
          <w:sz w:val="32"/>
          <w:szCs w:val="32"/>
        </w:rPr>
        <w:t>建设</w:t>
      </w:r>
      <w:r>
        <w:rPr>
          <w:rFonts w:eastAsia="仿宋_GB2312"/>
          <w:kern w:val="0"/>
          <w:sz w:val="32"/>
          <w:szCs w:val="32"/>
        </w:rPr>
        <w:t>，综合考虑本项目建设后系统受到破坏时对社会秩序、公共利益及公民和法人的合法权益造成侵害的程度，暂定网络安全等级为第</w:t>
      </w:r>
      <w:r>
        <w:rPr>
          <w:rFonts w:hint="eastAsia" w:eastAsia="仿宋_GB2312"/>
          <w:kern w:val="0"/>
          <w:sz w:val="32"/>
          <w:szCs w:val="32"/>
        </w:rPr>
        <w:t>三</w:t>
      </w:r>
      <w:r>
        <w:rPr>
          <w:rFonts w:eastAsia="仿宋_GB2312"/>
          <w:kern w:val="0"/>
          <w:sz w:val="32"/>
          <w:szCs w:val="32"/>
        </w:rPr>
        <w:t>级</w:t>
      </w:r>
      <w:r>
        <w:rPr>
          <w:rFonts w:hint="eastAsia" w:eastAsia="仿宋_GB2312"/>
          <w:kern w:val="0"/>
          <w:sz w:val="32"/>
          <w:szCs w:val="32"/>
        </w:rPr>
        <w:t>（系统服务安全等级第二级、业务信息安全等级第三级）</w:t>
      </w:r>
      <w:r>
        <w:rPr>
          <w:rFonts w:eastAsia="仿宋_GB2312"/>
          <w:kern w:val="0"/>
          <w:sz w:val="32"/>
          <w:szCs w:val="32"/>
        </w:rPr>
        <w:t>。</w:t>
      </w:r>
    </w:p>
    <w:p w14:paraId="2201D2F9">
      <w:pPr>
        <w:widowControl/>
        <w:adjustRightInd w:val="0"/>
        <w:snapToGrid w:val="0"/>
        <w:spacing w:line="560" w:lineRule="exact"/>
        <w:ind w:firstLine="646"/>
        <w:rPr>
          <w:rFonts w:eastAsia="仿宋_GB2312"/>
          <w:kern w:val="0"/>
          <w:sz w:val="32"/>
          <w:szCs w:val="32"/>
        </w:rPr>
      </w:pPr>
      <w:r>
        <w:rPr>
          <w:rFonts w:eastAsia="仿宋_GB2312"/>
          <w:kern w:val="0"/>
          <w:sz w:val="32"/>
          <w:szCs w:val="32"/>
        </w:rPr>
        <w:t>为了保证信息系统的整体安全保护能力，依据</w:t>
      </w:r>
      <w:r>
        <w:rPr>
          <w:rFonts w:hint="eastAsia" w:eastAsia="仿宋_GB2312"/>
          <w:kern w:val="0"/>
          <w:sz w:val="32"/>
          <w:szCs w:val="32"/>
        </w:rPr>
        <w:t>网络</w:t>
      </w:r>
      <w:r>
        <w:rPr>
          <w:rFonts w:eastAsia="仿宋_GB2312"/>
          <w:kern w:val="0"/>
          <w:sz w:val="32"/>
          <w:szCs w:val="32"/>
        </w:rPr>
        <w:t>安全等级保护标准采取各种安全措施时，应遵循以下建设要求：</w:t>
      </w:r>
    </w:p>
    <w:p w14:paraId="545DC644">
      <w:pPr>
        <w:widowControl/>
        <w:adjustRightInd w:val="0"/>
        <w:snapToGrid w:val="0"/>
        <w:spacing w:line="560" w:lineRule="exact"/>
        <w:ind w:firstLine="646"/>
        <w:rPr>
          <w:rFonts w:eastAsia="仿宋_GB2312"/>
          <w:kern w:val="0"/>
          <w:sz w:val="32"/>
          <w:szCs w:val="32"/>
        </w:rPr>
      </w:pPr>
      <w:r>
        <w:rPr>
          <w:rFonts w:eastAsia="仿宋_GB2312"/>
          <w:kern w:val="0"/>
          <w:sz w:val="32"/>
          <w:szCs w:val="32"/>
        </w:rPr>
        <w:t>（1）安全系统的建设，包括以下几个层面：安全物理环境、</w:t>
      </w:r>
      <w:r>
        <w:rPr>
          <w:rFonts w:hint="eastAsia" w:eastAsia="仿宋_GB2312"/>
          <w:kern w:val="0"/>
          <w:sz w:val="32"/>
          <w:szCs w:val="32"/>
        </w:rPr>
        <w:t>安全通信</w:t>
      </w:r>
      <w:r>
        <w:rPr>
          <w:rFonts w:eastAsia="仿宋_GB2312"/>
          <w:kern w:val="0"/>
          <w:sz w:val="32"/>
          <w:szCs w:val="32"/>
        </w:rPr>
        <w:t>网络、</w:t>
      </w:r>
      <w:r>
        <w:rPr>
          <w:rFonts w:hint="eastAsia" w:eastAsia="仿宋_GB2312"/>
          <w:kern w:val="0"/>
          <w:sz w:val="32"/>
          <w:szCs w:val="32"/>
        </w:rPr>
        <w:t>安全区域边界、安全计算环境、安全管理中心</w:t>
      </w:r>
      <w:r>
        <w:rPr>
          <w:rFonts w:eastAsia="仿宋_GB2312"/>
          <w:kern w:val="0"/>
          <w:sz w:val="32"/>
          <w:szCs w:val="32"/>
        </w:rPr>
        <w:t>。本项目应用系统部署在</w:t>
      </w:r>
      <w:r>
        <w:rPr>
          <w:rFonts w:hint="eastAsia" w:eastAsia="仿宋_GB2312"/>
          <w:kern w:val="0"/>
          <w:sz w:val="32"/>
          <w:szCs w:val="32"/>
        </w:rPr>
        <w:t>公安信息网</w:t>
      </w:r>
      <w:r>
        <w:rPr>
          <w:rFonts w:eastAsia="仿宋_GB2312"/>
          <w:kern w:val="0"/>
          <w:sz w:val="32"/>
          <w:szCs w:val="32"/>
        </w:rPr>
        <w:t>，各项安全措施</w:t>
      </w:r>
      <w:r>
        <w:rPr>
          <w:rFonts w:hint="eastAsia" w:eastAsia="仿宋_GB2312"/>
          <w:kern w:val="0"/>
          <w:sz w:val="32"/>
          <w:szCs w:val="32"/>
        </w:rPr>
        <w:t>复用公安信息网</w:t>
      </w:r>
      <w:r>
        <w:rPr>
          <w:rFonts w:eastAsia="仿宋_GB2312"/>
          <w:kern w:val="0"/>
          <w:sz w:val="32"/>
          <w:szCs w:val="32"/>
        </w:rPr>
        <w:t>现有</w:t>
      </w:r>
      <w:r>
        <w:rPr>
          <w:rFonts w:hint="eastAsia" w:eastAsia="仿宋_GB2312"/>
          <w:kern w:val="0"/>
          <w:sz w:val="32"/>
          <w:szCs w:val="32"/>
        </w:rPr>
        <w:t>安全设施与能力</w:t>
      </w:r>
      <w:r>
        <w:rPr>
          <w:rFonts w:eastAsia="仿宋_GB2312"/>
          <w:kern w:val="0"/>
          <w:sz w:val="32"/>
          <w:szCs w:val="32"/>
        </w:rPr>
        <w:t>进行</w:t>
      </w:r>
      <w:r>
        <w:rPr>
          <w:rFonts w:hint="eastAsia" w:eastAsia="仿宋_GB2312"/>
          <w:kern w:val="0"/>
          <w:sz w:val="32"/>
          <w:szCs w:val="32"/>
        </w:rPr>
        <w:t>，并开展</w:t>
      </w:r>
      <w:r>
        <w:rPr>
          <w:rFonts w:eastAsia="仿宋_GB2312"/>
          <w:kern w:val="0"/>
          <w:sz w:val="32"/>
          <w:szCs w:val="32"/>
        </w:rPr>
        <w:t>必要的补充完善。</w:t>
      </w:r>
    </w:p>
    <w:p w14:paraId="28283FC9">
      <w:pPr>
        <w:widowControl/>
        <w:adjustRightInd w:val="0"/>
        <w:snapToGrid w:val="0"/>
        <w:spacing w:line="560" w:lineRule="exact"/>
        <w:ind w:firstLine="646"/>
        <w:rPr>
          <w:rFonts w:eastAsia="仿宋_GB2312"/>
          <w:kern w:val="0"/>
          <w:sz w:val="32"/>
          <w:szCs w:val="32"/>
        </w:rPr>
      </w:pPr>
      <w:r>
        <w:rPr>
          <w:rFonts w:eastAsia="仿宋_GB2312"/>
          <w:kern w:val="0"/>
          <w:sz w:val="32"/>
          <w:szCs w:val="32"/>
        </w:rPr>
        <w:t>（2）应考虑构建纵深的防御体系。应采取技术和管理两个方面的安全措施，在系统整体上保证各种安全措施的组合从外到内构成一个纵深的安全防御体系，保证信息系统整体的安全保护能力。</w:t>
      </w:r>
    </w:p>
    <w:p w14:paraId="65F4505B">
      <w:pPr>
        <w:widowControl/>
        <w:adjustRightInd w:val="0"/>
        <w:snapToGrid w:val="0"/>
        <w:spacing w:line="560" w:lineRule="exact"/>
        <w:ind w:firstLine="646"/>
        <w:rPr>
          <w:rFonts w:eastAsia="仿宋_GB2312"/>
          <w:kern w:val="0"/>
          <w:sz w:val="32"/>
          <w:szCs w:val="32"/>
        </w:rPr>
      </w:pPr>
      <w:r>
        <w:rPr>
          <w:rFonts w:eastAsia="仿宋_GB2312"/>
          <w:kern w:val="0"/>
          <w:sz w:val="32"/>
          <w:szCs w:val="32"/>
        </w:rPr>
        <w:t>（3）应采取互补的安全措施。方案提出的各项安全防护措施及安全控制组件，相互之间应具有互补性，在将之集成到信息系统中时，重点关注各个安全控制组件在层面内、层面间和功能间产生的连接、交互、依赖、协调、协同等相互关联关系，保证各个安全控制组件共同综合作用于信息系统的安全功能上，使得信息系统的整体安全保护能力得以保证。</w:t>
      </w:r>
    </w:p>
    <w:p w14:paraId="11846477">
      <w:pPr>
        <w:widowControl/>
        <w:adjustRightInd w:val="0"/>
        <w:snapToGrid w:val="0"/>
        <w:spacing w:line="560" w:lineRule="exact"/>
        <w:ind w:firstLine="646"/>
        <w:rPr>
          <w:rFonts w:eastAsia="仿宋_GB2312"/>
          <w:kern w:val="0"/>
          <w:sz w:val="32"/>
          <w:szCs w:val="32"/>
        </w:rPr>
      </w:pPr>
      <w:r>
        <w:rPr>
          <w:rFonts w:eastAsia="仿宋_GB2312"/>
          <w:kern w:val="0"/>
          <w:sz w:val="32"/>
          <w:szCs w:val="32"/>
        </w:rPr>
        <w:t>（4）在统一规划安全体系的基础上，</w:t>
      </w:r>
      <w:r>
        <w:rPr>
          <w:rFonts w:hint="eastAsia" w:eastAsia="仿宋_GB2312"/>
          <w:kern w:val="0"/>
          <w:sz w:val="32"/>
          <w:szCs w:val="32"/>
        </w:rPr>
        <w:t>应尽量</w:t>
      </w:r>
      <w:r>
        <w:rPr>
          <w:rFonts w:eastAsia="仿宋_GB2312"/>
          <w:kern w:val="0"/>
          <w:sz w:val="32"/>
          <w:szCs w:val="32"/>
        </w:rPr>
        <w:t>保证一致的安全强度。各项基本安全防护措施，如身份鉴别、访问控制、安全审计、入侵防范、安全标记等内容，分解到信息系统中的各个层面，在实现各个层面安全功能时，应保证各个层面安全功能实现强度的一致性，防止某个层面安全功能的减弱导致系统整体安全保护能力在这个安全功能上消弱。</w:t>
      </w:r>
    </w:p>
    <w:p w14:paraId="63A05EBC">
      <w:pPr>
        <w:widowControl/>
        <w:adjustRightInd w:val="0"/>
        <w:snapToGrid w:val="0"/>
        <w:spacing w:line="560" w:lineRule="exact"/>
        <w:ind w:firstLine="646"/>
        <w:rPr>
          <w:rFonts w:eastAsia="仿宋_GB2312"/>
          <w:kern w:val="0"/>
          <w:sz w:val="32"/>
          <w:szCs w:val="32"/>
        </w:rPr>
      </w:pPr>
      <w:r>
        <w:rPr>
          <w:rFonts w:eastAsia="仿宋_GB2312"/>
          <w:kern w:val="0"/>
          <w:sz w:val="32"/>
          <w:szCs w:val="32"/>
        </w:rPr>
        <w:t>（5）应便于进行集中的安全管理。本项目在信息系统的安全功能管理方面，应实现统一安全策略、统一安全管理等要求，为了保证分散于各个层面的安全功能在统一策略的指导下实现，各个安全控制组件在可控情况下发挥各自的作用，应建立安全管理中心，集中管理信息系统中的各个安全控制组件，支持统一安全管理。</w:t>
      </w:r>
    </w:p>
    <w:p w14:paraId="0A342362">
      <w:pPr>
        <w:widowControl/>
        <w:adjustRightInd w:val="0"/>
        <w:snapToGrid w:val="0"/>
        <w:spacing w:line="560" w:lineRule="exact"/>
        <w:ind w:firstLine="646"/>
        <w:rPr>
          <w:rFonts w:eastAsia="仿宋_GB2312"/>
          <w:kern w:val="0"/>
          <w:sz w:val="32"/>
          <w:szCs w:val="32"/>
        </w:rPr>
      </w:pPr>
      <w:r>
        <w:rPr>
          <w:rFonts w:hint="eastAsia" w:eastAsia="仿宋_GB2312"/>
          <w:kern w:val="0"/>
          <w:sz w:val="32"/>
          <w:szCs w:val="32"/>
        </w:rPr>
        <w:t>整体上，按照《公安视频图像智能化建设应用指南》要求，信息安全</w:t>
      </w:r>
      <w:r>
        <w:rPr>
          <w:rFonts w:eastAsia="仿宋_GB2312"/>
          <w:kern w:val="0"/>
          <w:sz w:val="32"/>
          <w:szCs w:val="32"/>
        </w:rPr>
        <w:t>包括实体安全和安全基础资源。公安视频传输网内安全保障应参考新一代公安信息网相关安全要求，符合《网络安全等级保护基本要求》(GB/T22239-2019)(简称等保2.0)和《公共安全视频jk联网信息安全技术要求》(GB35114-2017)等相关标准规范，全面提升视频图像信息安全防护能力，打造攻击可防御、行为可检测、攻击可回溯、危险可预警、事件可处置的视频图像智防安全体系。</w:t>
      </w:r>
    </w:p>
    <w:p w14:paraId="7D9049E1">
      <w:pPr>
        <w:widowControl/>
        <w:adjustRightInd w:val="0"/>
        <w:snapToGrid w:val="0"/>
        <w:spacing w:line="560" w:lineRule="exact"/>
        <w:ind w:firstLine="646"/>
        <w:rPr>
          <w:rFonts w:eastAsia="仿宋_GB2312"/>
          <w:kern w:val="0"/>
          <w:sz w:val="32"/>
          <w:szCs w:val="32"/>
        </w:rPr>
      </w:pPr>
      <w:r>
        <w:rPr>
          <w:rFonts w:hint="eastAsia" w:eastAsia="仿宋_GB2312"/>
          <w:kern w:val="0"/>
          <w:sz w:val="32"/>
          <w:szCs w:val="32"/>
        </w:rPr>
        <w:t>对应本系统的建设架构，需要考虑数据加密、访问控制、合规性检查、审计日志、敏感信息处理、视频脱敏等。</w:t>
      </w:r>
    </w:p>
    <w:p w14:paraId="1FA52C1C">
      <w:pPr>
        <w:widowControl/>
        <w:adjustRightInd w:val="0"/>
        <w:snapToGrid w:val="0"/>
        <w:spacing w:line="560" w:lineRule="exact"/>
        <w:ind w:firstLine="646"/>
        <w:outlineLvl w:val="1"/>
        <w:rPr>
          <w:rFonts w:eastAsia="楷体_GB2312"/>
          <w:bCs/>
          <w:kern w:val="0"/>
          <w:sz w:val="32"/>
          <w:szCs w:val="32"/>
        </w:rPr>
      </w:pPr>
      <w:r>
        <w:rPr>
          <w:rFonts w:eastAsia="楷体_GB2312"/>
          <w:bCs/>
          <w:kern w:val="0"/>
          <w:sz w:val="32"/>
          <w:szCs w:val="32"/>
        </w:rPr>
        <w:t>（四）技术性能指标及配置要求</w:t>
      </w:r>
    </w:p>
    <w:p w14:paraId="7B6FCC71">
      <w:pPr>
        <w:widowControl/>
        <w:adjustRightInd w:val="0"/>
        <w:snapToGrid w:val="0"/>
        <w:spacing w:line="560" w:lineRule="exact"/>
        <w:ind w:firstLine="646"/>
        <w:outlineLvl w:val="2"/>
        <w:rPr>
          <w:rFonts w:eastAsia="仿宋_GB2312"/>
          <w:kern w:val="0"/>
          <w:sz w:val="32"/>
          <w:szCs w:val="32"/>
        </w:rPr>
      </w:pPr>
      <w:bookmarkStart w:id="11" w:name="_Toc205230569"/>
      <w:bookmarkStart w:id="12" w:name="_Toc216961906"/>
      <w:r>
        <w:rPr>
          <w:rFonts w:hint="eastAsia" w:eastAsia="仿宋_GB2312"/>
          <w:kern w:val="0"/>
          <w:sz w:val="32"/>
          <w:szCs w:val="32"/>
        </w:rPr>
        <w:t>1、系统功能需求分析</w:t>
      </w:r>
      <w:bookmarkEnd w:id="11"/>
      <w:bookmarkEnd w:id="12"/>
    </w:p>
    <w:p w14:paraId="0C2B4D0C">
      <w:pPr>
        <w:widowControl/>
        <w:adjustRightInd w:val="0"/>
        <w:snapToGrid w:val="0"/>
        <w:spacing w:line="560" w:lineRule="exact"/>
        <w:ind w:firstLine="646"/>
        <w:rPr>
          <w:rFonts w:eastAsia="仿宋_GB2312"/>
          <w:kern w:val="0"/>
          <w:sz w:val="32"/>
          <w:szCs w:val="32"/>
        </w:rPr>
      </w:pPr>
      <w:bookmarkStart w:id="13" w:name="_Toc205230570"/>
      <w:r>
        <w:rPr>
          <w:rFonts w:hint="eastAsia" w:eastAsia="仿宋_GB2312"/>
          <w:kern w:val="0"/>
          <w:sz w:val="32"/>
          <w:szCs w:val="32"/>
        </w:rPr>
        <w:t>依托市局原有建设基础和上海公安视频图像建设整体规划，本项目拟建设一个开放协同、高效集约、敏捷赋能的基于两网两级建设的面向全警种的视觉大模型能力支撑子系统。建设内容主要分为AI视觉能力服务管理、视图知识库（数据集）构建、视觉大模型算力一体化调度管理、基础系统支撑、商密改造、硬件购置等六部分。</w:t>
      </w:r>
    </w:p>
    <w:p w14:paraId="28DF0E0D">
      <w:pPr>
        <w:widowControl/>
        <w:adjustRightInd w:val="0"/>
        <w:snapToGrid w:val="0"/>
        <w:spacing w:line="560" w:lineRule="exact"/>
        <w:ind w:firstLine="646"/>
        <w:rPr>
          <w:rFonts w:eastAsia="仿宋_GB2312"/>
          <w:kern w:val="0"/>
          <w:sz w:val="32"/>
          <w:szCs w:val="32"/>
        </w:rPr>
      </w:pPr>
      <w:r>
        <w:rPr>
          <w:rFonts w:hint="eastAsia" w:eastAsia="仿宋_GB2312"/>
          <w:kern w:val="0"/>
          <w:sz w:val="32"/>
          <w:szCs w:val="32"/>
        </w:rPr>
        <w:t>具体内容如下：</w:t>
      </w:r>
    </w:p>
    <w:tbl>
      <w:tblPr>
        <w:tblStyle w:val="34"/>
        <w:tblW w:w="8240" w:type="dxa"/>
        <w:tblInd w:w="113" w:type="dxa"/>
        <w:tblLayout w:type="autofit"/>
        <w:tblCellMar>
          <w:top w:w="0" w:type="dxa"/>
          <w:left w:w="108" w:type="dxa"/>
          <w:bottom w:w="0" w:type="dxa"/>
          <w:right w:w="108" w:type="dxa"/>
        </w:tblCellMar>
      </w:tblPr>
      <w:tblGrid>
        <w:gridCol w:w="780"/>
        <w:gridCol w:w="3880"/>
        <w:gridCol w:w="3580"/>
      </w:tblGrid>
      <w:tr w14:paraId="5986EEFB">
        <w:tblPrEx>
          <w:tblCellMar>
            <w:top w:w="0" w:type="dxa"/>
            <w:left w:w="108" w:type="dxa"/>
            <w:bottom w:w="0" w:type="dxa"/>
            <w:right w:w="108" w:type="dxa"/>
          </w:tblCellMar>
        </w:tblPrEx>
        <w:trPr>
          <w:trHeight w:val="375" w:hRule="atLeast"/>
        </w:trPr>
        <w:tc>
          <w:tcPr>
            <w:tcW w:w="780" w:type="dxa"/>
            <w:tcBorders>
              <w:top w:val="single" w:color="auto" w:sz="4" w:space="0"/>
              <w:left w:val="single" w:color="auto" w:sz="4" w:space="0"/>
              <w:bottom w:val="single" w:color="auto" w:sz="4" w:space="0"/>
              <w:right w:val="single" w:color="auto" w:sz="4" w:space="0"/>
            </w:tcBorders>
            <w:noWrap/>
            <w:vAlign w:val="center"/>
          </w:tcPr>
          <w:p w14:paraId="657274CE">
            <w:pPr>
              <w:rPr>
                <w:rFonts w:ascii="黑体" w:hAnsi="黑体" w:eastAsia="黑体"/>
                <w:color w:val="000000"/>
                <w:sz w:val="28"/>
                <w:szCs w:val="28"/>
              </w:rPr>
            </w:pPr>
            <w:r>
              <w:rPr>
                <w:rFonts w:hint="eastAsia" w:ascii="黑体" w:hAnsi="黑体" w:eastAsia="黑体"/>
                <w:color w:val="000000"/>
                <w:sz w:val="28"/>
                <w:szCs w:val="28"/>
              </w:rPr>
              <w:t>序号</w:t>
            </w:r>
          </w:p>
        </w:tc>
        <w:tc>
          <w:tcPr>
            <w:tcW w:w="3880" w:type="dxa"/>
            <w:tcBorders>
              <w:top w:val="single" w:color="auto" w:sz="4" w:space="0"/>
              <w:left w:val="nil"/>
              <w:bottom w:val="single" w:color="auto" w:sz="4" w:space="0"/>
              <w:right w:val="single" w:color="auto" w:sz="4" w:space="0"/>
            </w:tcBorders>
            <w:noWrap/>
            <w:vAlign w:val="center"/>
          </w:tcPr>
          <w:p w14:paraId="700BC3D0">
            <w:pPr>
              <w:rPr>
                <w:rFonts w:ascii="黑体" w:hAnsi="黑体" w:eastAsia="黑体"/>
                <w:color w:val="000000"/>
                <w:sz w:val="28"/>
                <w:szCs w:val="28"/>
              </w:rPr>
            </w:pPr>
            <w:r>
              <w:rPr>
                <w:rFonts w:hint="eastAsia" w:ascii="黑体" w:hAnsi="黑体" w:eastAsia="黑体"/>
                <w:color w:val="000000"/>
                <w:sz w:val="28"/>
                <w:szCs w:val="28"/>
              </w:rPr>
              <w:t>主要模块</w:t>
            </w:r>
          </w:p>
        </w:tc>
        <w:tc>
          <w:tcPr>
            <w:tcW w:w="3580" w:type="dxa"/>
            <w:tcBorders>
              <w:top w:val="single" w:color="auto" w:sz="4" w:space="0"/>
              <w:left w:val="nil"/>
              <w:bottom w:val="single" w:color="auto" w:sz="4" w:space="0"/>
              <w:right w:val="single" w:color="auto" w:sz="4" w:space="0"/>
            </w:tcBorders>
            <w:noWrap/>
            <w:vAlign w:val="center"/>
          </w:tcPr>
          <w:p w14:paraId="6C9A313B">
            <w:pPr>
              <w:rPr>
                <w:rFonts w:ascii="黑体" w:hAnsi="黑体" w:eastAsia="黑体"/>
                <w:color w:val="000000"/>
                <w:sz w:val="28"/>
                <w:szCs w:val="28"/>
              </w:rPr>
            </w:pPr>
            <w:r>
              <w:rPr>
                <w:rFonts w:hint="eastAsia" w:ascii="黑体" w:hAnsi="黑体" w:eastAsia="黑体"/>
                <w:color w:val="000000"/>
                <w:sz w:val="28"/>
                <w:szCs w:val="28"/>
              </w:rPr>
              <w:t>主要功能</w:t>
            </w:r>
          </w:p>
        </w:tc>
      </w:tr>
      <w:tr w14:paraId="528FF21B">
        <w:tblPrEx>
          <w:tblCellMar>
            <w:top w:w="0" w:type="dxa"/>
            <w:left w:w="108" w:type="dxa"/>
            <w:bottom w:w="0" w:type="dxa"/>
            <w:right w:w="108" w:type="dxa"/>
          </w:tblCellMar>
        </w:tblPrEx>
        <w:trPr>
          <w:trHeight w:val="375" w:hRule="atLeast"/>
        </w:trPr>
        <w:tc>
          <w:tcPr>
            <w:tcW w:w="780" w:type="dxa"/>
            <w:tcBorders>
              <w:top w:val="nil"/>
              <w:left w:val="single" w:color="auto" w:sz="4" w:space="0"/>
              <w:bottom w:val="single" w:color="auto" w:sz="4" w:space="0"/>
              <w:right w:val="single" w:color="auto" w:sz="4" w:space="0"/>
            </w:tcBorders>
            <w:noWrap/>
            <w:vAlign w:val="center"/>
          </w:tcPr>
          <w:p w14:paraId="5836640E">
            <w:pPr>
              <w:jc w:val="center"/>
              <w:rPr>
                <w:rFonts w:ascii="仿宋_GB2312" w:eastAsia="仿宋_GB2312"/>
                <w:color w:val="000000"/>
                <w:sz w:val="28"/>
                <w:szCs w:val="28"/>
              </w:rPr>
            </w:pPr>
            <w:r>
              <w:rPr>
                <w:rFonts w:hint="eastAsia" w:ascii="仿宋_GB2312" w:eastAsia="仿宋_GB2312"/>
                <w:color w:val="000000"/>
                <w:sz w:val="28"/>
                <w:szCs w:val="28"/>
              </w:rPr>
              <w:t>1</w:t>
            </w:r>
          </w:p>
        </w:tc>
        <w:tc>
          <w:tcPr>
            <w:tcW w:w="3880" w:type="dxa"/>
            <w:vMerge w:val="restart"/>
            <w:tcBorders>
              <w:top w:val="nil"/>
              <w:left w:val="single" w:color="auto" w:sz="4" w:space="0"/>
              <w:bottom w:val="single" w:color="auto" w:sz="4" w:space="0"/>
              <w:right w:val="single" w:color="auto" w:sz="4" w:space="0"/>
            </w:tcBorders>
            <w:noWrap/>
            <w:vAlign w:val="center"/>
          </w:tcPr>
          <w:p w14:paraId="38FFE3FF">
            <w:pPr>
              <w:rPr>
                <w:rFonts w:ascii="仿宋_GB2312" w:eastAsia="仿宋_GB2312"/>
                <w:color w:val="000000"/>
                <w:sz w:val="28"/>
                <w:szCs w:val="28"/>
              </w:rPr>
            </w:pPr>
            <w:r>
              <w:rPr>
                <w:rFonts w:hint="eastAsia" w:ascii="仿宋_GB2312" w:eastAsia="仿宋_GB2312"/>
                <w:color w:val="000000"/>
                <w:sz w:val="28"/>
                <w:szCs w:val="28"/>
              </w:rPr>
              <w:t>AI视觉能力服务管理</w:t>
            </w:r>
          </w:p>
        </w:tc>
        <w:tc>
          <w:tcPr>
            <w:tcW w:w="3580" w:type="dxa"/>
            <w:tcBorders>
              <w:top w:val="nil"/>
              <w:left w:val="nil"/>
              <w:bottom w:val="single" w:color="auto" w:sz="4" w:space="0"/>
              <w:right w:val="single" w:color="auto" w:sz="4" w:space="0"/>
            </w:tcBorders>
            <w:noWrap/>
            <w:vAlign w:val="center"/>
          </w:tcPr>
          <w:p w14:paraId="6468598E">
            <w:pPr>
              <w:rPr>
                <w:rFonts w:ascii="仿宋_GB2312" w:eastAsia="仿宋_GB2312"/>
                <w:color w:val="000000"/>
                <w:sz w:val="28"/>
                <w:szCs w:val="28"/>
              </w:rPr>
            </w:pPr>
            <w:r>
              <w:rPr>
                <w:rFonts w:hint="eastAsia" w:ascii="仿宋_GB2312" w:eastAsia="仿宋_GB2312"/>
                <w:color w:val="000000"/>
                <w:sz w:val="28"/>
                <w:szCs w:val="28"/>
              </w:rPr>
              <w:t>视觉算法MCP服务</w:t>
            </w:r>
          </w:p>
        </w:tc>
      </w:tr>
      <w:tr w14:paraId="0007D2F2">
        <w:tblPrEx>
          <w:tblCellMar>
            <w:top w:w="0" w:type="dxa"/>
            <w:left w:w="108" w:type="dxa"/>
            <w:bottom w:w="0" w:type="dxa"/>
            <w:right w:w="108" w:type="dxa"/>
          </w:tblCellMar>
        </w:tblPrEx>
        <w:trPr>
          <w:trHeight w:val="375" w:hRule="atLeast"/>
        </w:trPr>
        <w:tc>
          <w:tcPr>
            <w:tcW w:w="780" w:type="dxa"/>
            <w:tcBorders>
              <w:top w:val="nil"/>
              <w:left w:val="single" w:color="auto" w:sz="4" w:space="0"/>
              <w:bottom w:val="single" w:color="auto" w:sz="4" w:space="0"/>
              <w:right w:val="single" w:color="auto" w:sz="4" w:space="0"/>
            </w:tcBorders>
            <w:noWrap/>
            <w:vAlign w:val="center"/>
          </w:tcPr>
          <w:p w14:paraId="0C5ABA82">
            <w:pPr>
              <w:jc w:val="center"/>
              <w:rPr>
                <w:rFonts w:ascii="仿宋_GB2312" w:eastAsia="仿宋_GB2312"/>
                <w:color w:val="000000"/>
                <w:sz w:val="28"/>
                <w:szCs w:val="28"/>
              </w:rPr>
            </w:pPr>
            <w:r>
              <w:rPr>
                <w:rFonts w:hint="eastAsia" w:ascii="仿宋_GB2312" w:eastAsia="仿宋_GB2312"/>
                <w:color w:val="000000"/>
                <w:sz w:val="28"/>
                <w:szCs w:val="28"/>
              </w:rPr>
              <w:t>2</w:t>
            </w:r>
          </w:p>
        </w:tc>
        <w:tc>
          <w:tcPr>
            <w:tcW w:w="3880" w:type="dxa"/>
            <w:vMerge w:val="continue"/>
            <w:tcBorders>
              <w:top w:val="nil"/>
              <w:left w:val="single" w:color="auto" w:sz="4" w:space="0"/>
              <w:bottom w:val="single" w:color="auto" w:sz="4" w:space="0"/>
              <w:right w:val="single" w:color="auto" w:sz="4" w:space="0"/>
            </w:tcBorders>
            <w:vAlign w:val="center"/>
          </w:tcPr>
          <w:p w14:paraId="104470D7">
            <w:pPr>
              <w:rPr>
                <w:rFonts w:ascii="仿宋_GB2312" w:eastAsia="仿宋_GB2312"/>
                <w:color w:val="000000"/>
                <w:sz w:val="28"/>
                <w:szCs w:val="28"/>
              </w:rPr>
            </w:pPr>
          </w:p>
        </w:tc>
        <w:tc>
          <w:tcPr>
            <w:tcW w:w="3580" w:type="dxa"/>
            <w:tcBorders>
              <w:top w:val="nil"/>
              <w:left w:val="nil"/>
              <w:bottom w:val="single" w:color="auto" w:sz="4" w:space="0"/>
              <w:right w:val="single" w:color="auto" w:sz="4" w:space="0"/>
            </w:tcBorders>
            <w:vAlign w:val="center"/>
          </w:tcPr>
          <w:p w14:paraId="40889027">
            <w:pPr>
              <w:rPr>
                <w:rFonts w:ascii="仿宋_GB2312" w:eastAsia="仿宋_GB2312"/>
                <w:color w:val="000000"/>
                <w:sz w:val="28"/>
                <w:szCs w:val="28"/>
              </w:rPr>
            </w:pPr>
            <w:r>
              <w:rPr>
                <w:rFonts w:hint="eastAsia" w:ascii="仿宋_GB2312" w:eastAsia="仿宋_GB2312"/>
                <w:color w:val="000000"/>
                <w:sz w:val="28"/>
                <w:szCs w:val="28"/>
              </w:rPr>
              <w:t>视觉能力增强</w:t>
            </w:r>
          </w:p>
        </w:tc>
      </w:tr>
      <w:tr w14:paraId="32C87AE9">
        <w:tblPrEx>
          <w:tblCellMar>
            <w:top w:w="0" w:type="dxa"/>
            <w:left w:w="108" w:type="dxa"/>
            <w:bottom w:w="0" w:type="dxa"/>
            <w:right w:w="108" w:type="dxa"/>
          </w:tblCellMar>
        </w:tblPrEx>
        <w:trPr>
          <w:trHeight w:val="375" w:hRule="atLeast"/>
        </w:trPr>
        <w:tc>
          <w:tcPr>
            <w:tcW w:w="780" w:type="dxa"/>
            <w:tcBorders>
              <w:top w:val="nil"/>
              <w:left w:val="single" w:color="auto" w:sz="4" w:space="0"/>
              <w:bottom w:val="single" w:color="auto" w:sz="4" w:space="0"/>
              <w:right w:val="single" w:color="auto" w:sz="4" w:space="0"/>
            </w:tcBorders>
            <w:noWrap/>
            <w:vAlign w:val="center"/>
          </w:tcPr>
          <w:p w14:paraId="7DE5AB44">
            <w:pPr>
              <w:jc w:val="center"/>
              <w:rPr>
                <w:rFonts w:ascii="仿宋_GB2312" w:eastAsia="仿宋_GB2312"/>
                <w:color w:val="000000"/>
                <w:sz w:val="28"/>
                <w:szCs w:val="28"/>
              </w:rPr>
            </w:pPr>
            <w:r>
              <w:rPr>
                <w:rFonts w:hint="eastAsia" w:ascii="仿宋_GB2312" w:eastAsia="仿宋_GB2312"/>
                <w:color w:val="000000"/>
                <w:sz w:val="28"/>
                <w:szCs w:val="28"/>
              </w:rPr>
              <w:t>3</w:t>
            </w:r>
          </w:p>
        </w:tc>
        <w:tc>
          <w:tcPr>
            <w:tcW w:w="3880" w:type="dxa"/>
            <w:vMerge w:val="restart"/>
            <w:tcBorders>
              <w:top w:val="nil"/>
              <w:left w:val="single" w:color="auto" w:sz="4" w:space="0"/>
              <w:bottom w:val="single" w:color="auto" w:sz="4" w:space="0"/>
              <w:right w:val="single" w:color="auto" w:sz="4" w:space="0"/>
            </w:tcBorders>
            <w:noWrap/>
            <w:vAlign w:val="center"/>
          </w:tcPr>
          <w:p w14:paraId="5AC35829">
            <w:pPr>
              <w:rPr>
                <w:rFonts w:ascii="仿宋_GB2312" w:eastAsia="仿宋_GB2312"/>
                <w:color w:val="000000"/>
                <w:sz w:val="28"/>
                <w:szCs w:val="28"/>
              </w:rPr>
            </w:pPr>
            <w:r>
              <w:rPr>
                <w:rFonts w:hint="eastAsia" w:ascii="仿宋_GB2312" w:eastAsia="仿宋_GB2312"/>
                <w:color w:val="000000"/>
                <w:sz w:val="28"/>
                <w:szCs w:val="28"/>
              </w:rPr>
              <w:t>视图知识库（数据集）构建</w:t>
            </w:r>
          </w:p>
        </w:tc>
        <w:tc>
          <w:tcPr>
            <w:tcW w:w="3580" w:type="dxa"/>
            <w:tcBorders>
              <w:top w:val="nil"/>
              <w:left w:val="nil"/>
              <w:bottom w:val="single" w:color="auto" w:sz="4" w:space="0"/>
              <w:right w:val="single" w:color="auto" w:sz="4" w:space="0"/>
            </w:tcBorders>
            <w:vAlign w:val="center"/>
          </w:tcPr>
          <w:p w14:paraId="3853EA28">
            <w:pPr>
              <w:rPr>
                <w:rFonts w:ascii="仿宋_GB2312" w:eastAsia="仿宋_GB2312"/>
                <w:color w:val="000000"/>
                <w:sz w:val="28"/>
                <w:szCs w:val="28"/>
              </w:rPr>
            </w:pPr>
            <w:r>
              <w:rPr>
                <w:rFonts w:hint="eastAsia" w:ascii="仿宋_GB2312" w:eastAsia="仿宋_GB2312"/>
                <w:color w:val="000000"/>
                <w:sz w:val="28"/>
                <w:szCs w:val="28"/>
              </w:rPr>
              <w:t>视频图像样本采集</w:t>
            </w:r>
          </w:p>
        </w:tc>
      </w:tr>
      <w:tr w14:paraId="5712B5AD">
        <w:tblPrEx>
          <w:tblCellMar>
            <w:top w:w="0" w:type="dxa"/>
            <w:left w:w="108" w:type="dxa"/>
            <w:bottom w:w="0" w:type="dxa"/>
            <w:right w:w="108" w:type="dxa"/>
          </w:tblCellMar>
        </w:tblPrEx>
        <w:trPr>
          <w:trHeight w:val="375" w:hRule="atLeast"/>
        </w:trPr>
        <w:tc>
          <w:tcPr>
            <w:tcW w:w="780" w:type="dxa"/>
            <w:tcBorders>
              <w:top w:val="nil"/>
              <w:left w:val="single" w:color="auto" w:sz="4" w:space="0"/>
              <w:bottom w:val="single" w:color="auto" w:sz="4" w:space="0"/>
              <w:right w:val="single" w:color="auto" w:sz="4" w:space="0"/>
            </w:tcBorders>
            <w:noWrap/>
            <w:vAlign w:val="center"/>
          </w:tcPr>
          <w:p w14:paraId="072F1CB0">
            <w:pPr>
              <w:jc w:val="center"/>
              <w:rPr>
                <w:rFonts w:ascii="仿宋_GB2312" w:eastAsia="仿宋_GB2312"/>
                <w:color w:val="000000"/>
                <w:sz w:val="28"/>
                <w:szCs w:val="28"/>
              </w:rPr>
            </w:pPr>
            <w:r>
              <w:rPr>
                <w:rFonts w:hint="eastAsia" w:ascii="仿宋_GB2312" w:eastAsia="仿宋_GB2312"/>
                <w:color w:val="000000"/>
                <w:sz w:val="28"/>
                <w:szCs w:val="28"/>
              </w:rPr>
              <w:t>4</w:t>
            </w:r>
          </w:p>
        </w:tc>
        <w:tc>
          <w:tcPr>
            <w:tcW w:w="3880" w:type="dxa"/>
            <w:vMerge w:val="continue"/>
            <w:tcBorders>
              <w:top w:val="nil"/>
              <w:left w:val="single" w:color="auto" w:sz="4" w:space="0"/>
              <w:bottom w:val="single" w:color="auto" w:sz="4" w:space="0"/>
              <w:right w:val="single" w:color="auto" w:sz="4" w:space="0"/>
            </w:tcBorders>
            <w:vAlign w:val="center"/>
          </w:tcPr>
          <w:p w14:paraId="763E7869">
            <w:pPr>
              <w:rPr>
                <w:rFonts w:ascii="仿宋_GB2312" w:eastAsia="仿宋_GB2312"/>
                <w:color w:val="000000"/>
                <w:sz w:val="28"/>
                <w:szCs w:val="28"/>
              </w:rPr>
            </w:pPr>
          </w:p>
        </w:tc>
        <w:tc>
          <w:tcPr>
            <w:tcW w:w="3580" w:type="dxa"/>
            <w:tcBorders>
              <w:top w:val="nil"/>
              <w:left w:val="nil"/>
              <w:bottom w:val="single" w:color="auto" w:sz="4" w:space="0"/>
              <w:right w:val="single" w:color="auto" w:sz="4" w:space="0"/>
            </w:tcBorders>
            <w:vAlign w:val="center"/>
          </w:tcPr>
          <w:p w14:paraId="1803BF13">
            <w:pPr>
              <w:rPr>
                <w:rFonts w:ascii="仿宋_GB2312" w:eastAsia="仿宋_GB2312"/>
                <w:color w:val="000000"/>
                <w:sz w:val="28"/>
                <w:szCs w:val="28"/>
              </w:rPr>
            </w:pPr>
            <w:r>
              <w:rPr>
                <w:rFonts w:hint="eastAsia" w:ascii="仿宋_GB2312" w:eastAsia="仿宋_GB2312"/>
                <w:color w:val="000000"/>
                <w:sz w:val="28"/>
                <w:szCs w:val="28"/>
              </w:rPr>
              <w:t>视频图像样本处理</w:t>
            </w:r>
          </w:p>
        </w:tc>
      </w:tr>
      <w:tr w14:paraId="403FF7DD">
        <w:tblPrEx>
          <w:tblCellMar>
            <w:top w:w="0" w:type="dxa"/>
            <w:left w:w="108" w:type="dxa"/>
            <w:bottom w:w="0" w:type="dxa"/>
            <w:right w:w="108" w:type="dxa"/>
          </w:tblCellMar>
        </w:tblPrEx>
        <w:trPr>
          <w:trHeight w:val="375" w:hRule="atLeast"/>
        </w:trPr>
        <w:tc>
          <w:tcPr>
            <w:tcW w:w="780" w:type="dxa"/>
            <w:tcBorders>
              <w:top w:val="nil"/>
              <w:left w:val="single" w:color="auto" w:sz="4" w:space="0"/>
              <w:bottom w:val="single" w:color="auto" w:sz="4" w:space="0"/>
              <w:right w:val="single" w:color="auto" w:sz="4" w:space="0"/>
            </w:tcBorders>
            <w:noWrap/>
            <w:vAlign w:val="center"/>
          </w:tcPr>
          <w:p w14:paraId="6E05423E">
            <w:pPr>
              <w:jc w:val="center"/>
              <w:rPr>
                <w:rFonts w:ascii="仿宋_GB2312" w:eastAsia="仿宋_GB2312"/>
                <w:color w:val="000000"/>
                <w:sz w:val="28"/>
                <w:szCs w:val="28"/>
              </w:rPr>
            </w:pPr>
            <w:r>
              <w:rPr>
                <w:rFonts w:hint="eastAsia" w:ascii="仿宋_GB2312" w:eastAsia="仿宋_GB2312"/>
                <w:color w:val="000000"/>
                <w:sz w:val="28"/>
                <w:szCs w:val="28"/>
              </w:rPr>
              <w:t>5</w:t>
            </w:r>
          </w:p>
        </w:tc>
        <w:tc>
          <w:tcPr>
            <w:tcW w:w="3880" w:type="dxa"/>
            <w:vMerge w:val="continue"/>
            <w:tcBorders>
              <w:top w:val="nil"/>
              <w:left w:val="single" w:color="auto" w:sz="4" w:space="0"/>
              <w:bottom w:val="single" w:color="auto" w:sz="4" w:space="0"/>
              <w:right w:val="single" w:color="auto" w:sz="4" w:space="0"/>
            </w:tcBorders>
            <w:vAlign w:val="center"/>
          </w:tcPr>
          <w:p w14:paraId="521629EB">
            <w:pPr>
              <w:rPr>
                <w:rFonts w:ascii="仿宋_GB2312" w:eastAsia="仿宋_GB2312"/>
                <w:color w:val="000000"/>
                <w:sz w:val="28"/>
                <w:szCs w:val="28"/>
              </w:rPr>
            </w:pPr>
          </w:p>
        </w:tc>
        <w:tc>
          <w:tcPr>
            <w:tcW w:w="3580" w:type="dxa"/>
            <w:tcBorders>
              <w:top w:val="nil"/>
              <w:left w:val="nil"/>
              <w:bottom w:val="single" w:color="auto" w:sz="4" w:space="0"/>
              <w:right w:val="single" w:color="auto" w:sz="4" w:space="0"/>
            </w:tcBorders>
            <w:vAlign w:val="center"/>
          </w:tcPr>
          <w:p w14:paraId="4DE7B2F0">
            <w:pPr>
              <w:rPr>
                <w:rFonts w:ascii="仿宋_GB2312" w:eastAsia="仿宋_GB2312"/>
                <w:color w:val="000000"/>
                <w:sz w:val="28"/>
                <w:szCs w:val="28"/>
              </w:rPr>
            </w:pPr>
            <w:r>
              <w:rPr>
                <w:rFonts w:hint="eastAsia" w:ascii="仿宋_GB2312" w:eastAsia="仿宋_GB2312"/>
                <w:color w:val="000000"/>
                <w:sz w:val="28"/>
                <w:szCs w:val="28"/>
              </w:rPr>
              <w:t>视频图像数据集管理</w:t>
            </w:r>
          </w:p>
        </w:tc>
      </w:tr>
      <w:tr w14:paraId="7571DC97">
        <w:tblPrEx>
          <w:tblCellMar>
            <w:top w:w="0" w:type="dxa"/>
            <w:left w:w="108" w:type="dxa"/>
            <w:bottom w:w="0" w:type="dxa"/>
            <w:right w:w="108" w:type="dxa"/>
          </w:tblCellMar>
        </w:tblPrEx>
        <w:trPr>
          <w:trHeight w:val="375" w:hRule="atLeast"/>
        </w:trPr>
        <w:tc>
          <w:tcPr>
            <w:tcW w:w="780" w:type="dxa"/>
            <w:tcBorders>
              <w:top w:val="nil"/>
              <w:left w:val="single" w:color="auto" w:sz="4" w:space="0"/>
              <w:bottom w:val="single" w:color="auto" w:sz="4" w:space="0"/>
              <w:right w:val="single" w:color="auto" w:sz="4" w:space="0"/>
            </w:tcBorders>
            <w:noWrap/>
            <w:vAlign w:val="center"/>
          </w:tcPr>
          <w:p w14:paraId="0517831E">
            <w:pPr>
              <w:jc w:val="center"/>
              <w:rPr>
                <w:rFonts w:ascii="仿宋_GB2312" w:eastAsia="仿宋_GB2312"/>
                <w:color w:val="000000"/>
                <w:sz w:val="28"/>
                <w:szCs w:val="28"/>
              </w:rPr>
            </w:pPr>
            <w:r>
              <w:rPr>
                <w:rFonts w:hint="eastAsia" w:ascii="仿宋_GB2312" w:eastAsia="仿宋_GB2312"/>
                <w:color w:val="000000"/>
                <w:sz w:val="28"/>
                <w:szCs w:val="28"/>
              </w:rPr>
              <w:t>6</w:t>
            </w:r>
          </w:p>
        </w:tc>
        <w:tc>
          <w:tcPr>
            <w:tcW w:w="3880" w:type="dxa"/>
            <w:vMerge w:val="continue"/>
            <w:tcBorders>
              <w:top w:val="nil"/>
              <w:left w:val="single" w:color="auto" w:sz="4" w:space="0"/>
              <w:bottom w:val="single" w:color="auto" w:sz="4" w:space="0"/>
              <w:right w:val="single" w:color="auto" w:sz="4" w:space="0"/>
            </w:tcBorders>
            <w:vAlign w:val="center"/>
          </w:tcPr>
          <w:p w14:paraId="3141BD8B">
            <w:pPr>
              <w:rPr>
                <w:rFonts w:ascii="仿宋_GB2312" w:eastAsia="仿宋_GB2312"/>
                <w:color w:val="000000"/>
                <w:sz w:val="28"/>
                <w:szCs w:val="28"/>
              </w:rPr>
            </w:pPr>
          </w:p>
        </w:tc>
        <w:tc>
          <w:tcPr>
            <w:tcW w:w="3580" w:type="dxa"/>
            <w:tcBorders>
              <w:top w:val="nil"/>
              <w:left w:val="nil"/>
              <w:bottom w:val="single" w:color="auto" w:sz="4" w:space="0"/>
              <w:right w:val="single" w:color="auto" w:sz="4" w:space="0"/>
            </w:tcBorders>
            <w:vAlign w:val="center"/>
          </w:tcPr>
          <w:p w14:paraId="6EC7A554">
            <w:pPr>
              <w:rPr>
                <w:rFonts w:ascii="仿宋_GB2312" w:eastAsia="仿宋_GB2312"/>
                <w:color w:val="000000"/>
                <w:sz w:val="28"/>
                <w:szCs w:val="28"/>
              </w:rPr>
            </w:pPr>
            <w:r>
              <w:rPr>
                <w:rFonts w:hint="eastAsia" w:ascii="仿宋_GB2312" w:eastAsia="仿宋_GB2312"/>
                <w:color w:val="000000"/>
                <w:sz w:val="28"/>
                <w:szCs w:val="28"/>
              </w:rPr>
              <w:t>视频图像数据集服务</w:t>
            </w:r>
          </w:p>
        </w:tc>
      </w:tr>
      <w:tr w14:paraId="668DB65B">
        <w:tblPrEx>
          <w:tblCellMar>
            <w:top w:w="0" w:type="dxa"/>
            <w:left w:w="108" w:type="dxa"/>
            <w:bottom w:w="0" w:type="dxa"/>
            <w:right w:w="108" w:type="dxa"/>
          </w:tblCellMar>
        </w:tblPrEx>
        <w:trPr>
          <w:trHeight w:val="375" w:hRule="atLeast"/>
        </w:trPr>
        <w:tc>
          <w:tcPr>
            <w:tcW w:w="780" w:type="dxa"/>
            <w:tcBorders>
              <w:top w:val="nil"/>
              <w:left w:val="single" w:color="auto" w:sz="4" w:space="0"/>
              <w:bottom w:val="single" w:color="auto" w:sz="4" w:space="0"/>
              <w:right w:val="single" w:color="auto" w:sz="4" w:space="0"/>
            </w:tcBorders>
            <w:noWrap/>
            <w:vAlign w:val="center"/>
          </w:tcPr>
          <w:p w14:paraId="18FB8C6E">
            <w:pPr>
              <w:jc w:val="center"/>
              <w:rPr>
                <w:rFonts w:ascii="仿宋_GB2312" w:eastAsia="仿宋_GB2312"/>
                <w:color w:val="000000"/>
                <w:sz w:val="28"/>
                <w:szCs w:val="28"/>
              </w:rPr>
            </w:pPr>
            <w:r>
              <w:rPr>
                <w:rFonts w:hint="eastAsia" w:ascii="仿宋_GB2312" w:eastAsia="仿宋_GB2312"/>
                <w:color w:val="000000"/>
                <w:sz w:val="28"/>
                <w:szCs w:val="28"/>
              </w:rPr>
              <w:t>7</w:t>
            </w:r>
          </w:p>
        </w:tc>
        <w:tc>
          <w:tcPr>
            <w:tcW w:w="3880" w:type="dxa"/>
            <w:vMerge w:val="continue"/>
            <w:tcBorders>
              <w:top w:val="nil"/>
              <w:left w:val="single" w:color="auto" w:sz="4" w:space="0"/>
              <w:bottom w:val="single" w:color="auto" w:sz="4" w:space="0"/>
              <w:right w:val="single" w:color="auto" w:sz="4" w:space="0"/>
            </w:tcBorders>
            <w:vAlign w:val="center"/>
          </w:tcPr>
          <w:p w14:paraId="6A48B792">
            <w:pPr>
              <w:rPr>
                <w:rFonts w:ascii="仿宋_GB2312" w:eastAsia="仿宋_GB2312"/>
                <w:color w:val="000000"/>
                <w:sz w:val="28"/>
                <w:szCs w:val="28"/>
              </w:rPr>
            </w:pPr>
          </w:p>
        </w:tc>
        <w:tc>
          <w:tcPr>
            <w:tcW w:w="3580" w:type="dxa"/>
            <w:tcBorders>
              <w:top w:val="nil"/>
              <w:left w:val="nil"/>
              <w:bottom w:val="single" w:color="auto" w:sz="4" w:space="0"/>
              <w:right w:val="single" w:color="auto" w:sz="4" w:space="0"/>
            </w:tcBorders>
            <w:vAlign w:val="center"/>
          </w:tcPr>
          <w:p w14:paraId="1E1FFDF3">
            <w:pPr>
              <w:rPr>
                <w:rFonts w:ascii="仿宋_GB2312" w:eastAsia="仿宋_GB2312"/>
                <w:color w:val="000000"/>
                <w:sz w:val="28"/>
                <w:szCs w:val="28"/>
              </w:rPr>
            </w:pPr>
            <w:r>
              <w:rPr>
                <w:rFonts w:hint="eastAsia" w:ascii="仿宋_GB2312" w:eastAsia="仿宋_GB2312"/>
                <w:color w:val="000000"/>
                <w:sz w:val="28"/>
                <w:szCs w:val="28"/>
              </w:rPr>
              <w:t>视觉知识处理</w:t>
            </w:r>
          </w:p>
        </w:tc>
      </w:tr>
      <w:tr w14:paraId="5FEE84BF">
        <w:tblPrEx>
          <w:tblCellMar>
            <w:top w:w="0" w:type="dxa"/>
            <w:left w:w="108" w:type="dxa"/>
            <w:bottom w:w="0" w:type="dxa"/>
            <w:right w:w="108" w:type="dxa"/>
          </w:tblCellMar>
        </w:tblPrEx>
        <w:trPr>
          <w:trHeight w:val="375" w:hRule="atLeast"/>
        </w:trPr>
        <w:tc>
          <w:tcPr>
            <w:tcW w:w="780" w:type="dxa"/>
            <w:tcBorders>
              <w:top w:val="nil"/>
              <w:left w:val="single" w:color="auto" w:sz="4" w:space="0"/>
              <w:bottom w:val="single" w:color="auto" w:sz="4" w:space="0"/>
              <w:right w:val="single" w:color="auto" w:sz="4" w:space="0"/>
            </w:tcBorders>
            <w:noWrap/>
            <w:vAlign w:val="center"/>
          </w:tcPr>
          <w:p w14:paraId="40581B6B">
            <w:pPr>
              <w:jc w:val="center"/>
              <w:rPr>
                <w:rFonts w:ascii="仿宋_GB2312" w:eastAsia="仿宋_GB2312"/>
                <w:color w:val="000000"/>
                <w:sz w:val="28"/>
                <w:szCs w:val="28"/>
              </w:rPr>
            </w:pPr>
            <w:r>
              <w:rPr>
                <w:rFonts w:hint="eastAsia" w:ascii="仿宋_GB2312" w:eastAsia="仿宋_GB2312"/>
                <w:color w:val="000000"/>
                <w:sz w:val="28"/>
                <w:szCs w:val="28"/>
              </w:rPr>
              <w:t>8</w:t>
            </w:r>
          </w:p>
        </w:tc>
        <w:tc>
          <w:tcPr>
            <w:tcW w:w="3880" w:type="dxa"/>
            <w:vMerge w:val="continue"/>
            <w:tcBorders>
              <w:top w:val="nil"/>
              <w:left w:val="single" w:color="auto" w:sz="4" w:space="0"/>
              <w:bottom w:val="single" w:color="auto" w:sz="4" w:space="0"/>
              <w:right w:val="single" w:color="auto" w:sz="4" w:space="0"/>
            </w:tcBorders>
            <w:vAlign w:val="center"/>
          </w:tcPr>
          <w:p w14:paraId="679901BA">
            <w:pPr>
              <w:rPr>
                <w:rFonts w:ascii="仿宋_GB2312" w:eastAsia="仿宋_GB2312"/>
                <w:color w:val="000000"/>
                <w:sz w:val="28"/>
                <w:szCs w:val="28"/>
              </w:rPr>
            </w:pPr>
          </w:p>
        </w:tc>
        <w:tc>
          <w:tcPr>
            <w:tcW w:w="3580" w:type="dxa"/>
            <w:tcBorders>
              <w:top w:val="nil"/>
              <w:left w:val="nil"/>
              <w:bottom w:val="single" w:color="auto" w:sz="4" w:space="0"/>
              <w:right w:val="single" w:color="auto" w:sz="4" w:space="0"/>
            </w:tcBorders>
            <w:vAlign w:val="center"/>
          </w:tcPr>
          <w:p w14:paraId="027539F1">
            <w:pPr>
              <w:rPr>
                <w:rFonts w:ascii="仿宋_GB2312" w:eastAsia="仿宋_GB2312"/>
                <w:color w:val="000000"/>
                <w:sz w:val="28"/>
                <w:szCs w:val="28"/>
              </w:rPr>
            </w:pPr>
            <w:r>
              <w:rPr>
                <w:rFonts w:hint="eastAsia" w:ascii="仿宋_GB2312" w:eastAsia="仿宋_GB2312"/>
                <w:color w:val="000000"/>
                <w:sz w:val="28"/>
                <w:szCs w:val="28"/>
              </w:rPr>
              <w:t>视觉知识服务</w:t>
            </w:r>
          </w:p>
        </w:tc>
      </w:tr>
      <w:tr w14:paraId="0D8D058A">
        <w:tblPrEx>
          <w:tblCellMar>
            <w:top w:w="0" w:type="dxa"/>
            <w:left w:w="108" w:type="dxa"/>
            <w:bottom w:w="0" w:type="dxa"/>
            <w:right w:w="108" w:type="dxa"/>
          </w:tblCellMar>
        </w:tblPrEx>
        <w:trPr>
          <w:trHeight w:val="375" w:hRule="atLeast"/>
        </w:trPr>
        <w:tc>
          <w:tcPr>
            <w:tcW w:w="780" w:type="dxa"/>
            <w:tcBorders>
              <w:top w:val="nil"/>
              <w:left w:val="single" w:color="auto" w:sz="4" w:space="0"/>
              <w:bottom w:val="single" w:color="auto" w:sz="4" w:space="0"/>
              <w:right w:val="single" w:color="auto" w:sz="4" w:space="0"/>
            </w:tcBorders>
            <w:noWrap/>
            <w:vAlign w:val="center"/>
          </w:tcPr>
          <w:p w14:paraId="4ADFE731">
            <w:pPr>
              <w:jc w:val="center"/>
              <w:rPr>
                <w:rFonts w:ascii="仿宋_GB2312" w:eastAsia="仿宋_GB2312"/>
                <w:color w:val="000000"/>
                <w:sz w:val="28"/>
                <w:szCs w:val="28"/>
              </w:rPr>
            </w:pPr>
            <w:r>
              <w:rPr>
                <w:rFonts w:hint="eastAsia" w:ascii="仿宋_GB2312" w:eastAsia="仿宋_GB2312"/>
                <w:color w:val="000000"/>
                <w:sz w:val="28"/>
                <w:szCs w:val="28"/>
              </w:rPr>
              <w:t>9</w:t>
            </w:r>
          </w:p>
        </w:tc>
        <w:tc>
          <w:tcPr>
            <w:tcW w:w="3880" w:type="dxa"/>
            <w:vMerge w:val="continue"/>
            <w:tcBorders>
              <w:top w:val="nil"/>
              <w:left w:val="single" w:color="auto" w:sz="4" w:space="0"/>
              <w:bottom w:val="single" w:color="auto" w:sz="4" w:space="0"/>
              <w:right w:val="single" w:color="auto" w:sz="4" w:space="0"/>
            </w:tcBorders>
            <w:vAlign w:val="center"/>
          </w:tcPr>
          <w:p w14:paraId="4EB38138">
            <w:pPr>
              <w:rPr>
                <w:rFonts w:ascii="仿宋_GB2312" w:eastAsia="仿宋_GB2312"/>
                <w:color w:val="000000"/>
                <w:sz w:val="28"/>
                <w:szCs w:val="28"/>
              </w:rPr>
            </w:pPr>
          </w:p>
        </w:tc>
        <w:tc>
          <w:tcPr>
            <w:tcW w:w="3580" w:type="dxa"/>
            <w:tcBorders>
              <w:top w:val="nil"/>
              <w:left w:val="nil"/>
              <w:bottom w:val="single" w:color="auto" w:sz="4" w:space="0"/>
              <w:right w:val="single" w:color="auto" w:sz="4" w:space="0"/>
            </w:tcBorders>
            <w:vAlign w:val="center"/>
          </w:tcPr>
          <w:p w14:paraId="462A64B8">
            <w:pPr>
              <w:rPr>
                <w:rFonts w:ascii="仿宋_GB2312" w:eastAsia="仿宋_GB2312"/>
                <w:color w:val="000000"/>
                <w:sz w:val="28"/>
                <w:szCs w:val="28"/>
              </w:rPr>
            </w:pPr>
            <w:r>
              <w:rPr>
                <w:rFonts w:hint="eastAsia" w:ascii="仿宋_GB2312" w:eastAsia="仿宋_GB2312"/>
                <w:color w:val="000000"/>
                <w:sz w:val="28"/>
                <w:szCs w:val="28"/>
              </w:rPr>
              <w:t>通用智能体专业知识库</w:t>
            </w:r>
          </w:p>
        </w:tc>
      </w:tr>
      <w:tr w14:paraId="6D668D8B">
        <w:tblPrEx>
          <w:tblCellMar>
            <w:top w:w="0" w:type="dxa"/>
            <w:left w:w="108" w:type="dxa"/>
            <w:bottom w:w="0" w:type="dxa"/>
            <w:right w:w="108" w:type="dxa"/>
          </w:tblCellMar>
        </w:tblPrEx>
        <w:trPr>
          <w:trHeight w:val="375" w:hRule="atLeast"/>
        </w:trPr>
        <w:tc>
          <w:tcPr>
            <w:tcW w:w="780" w:type="dxa"/>
            <w:tcBorders>
              <w:top w:val="nil"/>
              <w:left w:val="single" w:color="auto" w:sz="4" w:space="0"/>
              <w:bottom w:val="single" w:color="auto" w:sz="4" w:space="0"/>
              <w:right w:val="single" w:color="auto" w:sz="4" w:space="0"/>
            </w:tcBorders>
            <w:noWrap/>
            <w:vAlign w:val="center"/>
          </w:tcPr>
          <w:p w14:paraId="6DF16332">
            <w:pPr>
              <w:jc w:val="center"/>
              <w:rPr>
                <w:rFonts w:ascii="仿宋_GB2312" w:eastAsia="仿宋_GB2312"/>
                <w:color w:val="000000"/>
                <w:sz w:val="28"/>
                <w:szCs w:val="28"/>
              </w:rPr>
            </w:pPr>
            <w:r>
              <w:rPr>
                <w:rFonts w:hint="eastAsia" w:ascii="仿宋_GB2312" w:eastAsia="仿宋_GB2312"/>
                <w:color w:val="000000"/>
                <w:sz w:val="28"/>
                <w:szCs w:val="28"/>
              </w:rPr>
              <w:t>10</w:t>
            </w:r>
          </w:p>
        </w:tc>
        <w:tc>
          <w:tcPr>
            <w:tcW w:w="3880" w:type="dxa"/>
            <w:vMerge w:val="restart"/>
            <w:tcBorders>
              <w:top w:val="nil"/>
              <w:left w:val="single" w:color="auto" w:sz="4" w:space="0"/>
              <w:bottom w:val="single" w:color="auto" w:sz="4" w:space="0"/>
              <w:right w:val="single" w:color="auto" w:sz="4" w:space="0"/>
            </w:tcBorders>
            <w:vAlign w:val="center"/>
          </w:tcPr>
          <w:p w14:paraId="4B822638">
            <w:pPr>
              <w:rPr>
                <w:rFonts w:ascii="仿宋_GB2312" w:eastAsia="仿宋_GB2312"/>
                <w:color w:val="000000"/>
                <w:sz w:val="28"/>
                <w:szCs w:val="28"/>
              </w:rPr>
            </w:pPr>
            <w:r>
              <w:rPr>
                <w:rFonts w:hint="eastAsia" w:ascii="仿宋_GB2312" w:eastAsia="仿宋_GB2312"/>
                <w:color w:val="000000"/>
                <w:sz w:val="28"/>
                <w:szCs w:val="28"/>
              </w:rPr>
              <w:t>跨模型统一调度管理</w:t>
            </w:r>
          </w:p>
        </w:tc>
        <w:tc>
          <w:tcPr>
            <w:tcW w:w="3580" w:type="dxa"/>
            <w:tcBorders>
              <w:top w:val="nil"/>
              <w:left w:val="nil"/>
              <w:bottom w:val="single" w:color="auto" w:sz="4" w:space="0"/>
              <w:right w:val="single" w:color="auto" w:sz="4" w:space="0"/>
            </w:tcBorders>
            <w:noWrap/>
            <w:vAlign w:val="center"/>
          </w:tcPr>
          <w:p w14:paraId="44F05AB1">
            <w:pPr>
              <w:rPr>
                <w:rFonts w:ascii="仿宋_GB2312" w:eastAsia="仿宋_GB2312"/>
                <w:color w:val="000000"/>
                <w:sz w:val="28"/>
                <w:szCs w:val="28"/>
              </w:rPr>
            </w:pPr>
            <w:r>
              <w:rPr>
                <w:rFonts w:hint="eastAsia" w:ascii="仿宋_GB2312" w:eastAsia="仿宋_GB2312"/>
                <w:color w:val="000000"/>
                <w:sz w:val="28"/>
                <w:szCs w:val="28"/>
              </w:rPr>
              <w:t>视频图像模型权重管理</w:t>
            </w:r>
          </w:p>
        </w:tc>
      </w:tr>
      <w:tr w14:paraId="7A2457F2">
        <w:tblPrEx>
          <w:tblCellMar>
            <w:top w:w="0" w:type="dxa"/>
            <w:left w:w="108" w:type="dxa"/>
            <w:bottom w:w="0" w:type="dxa"/>
            <w:right w:w="108" w:type="dxa"/>
          </w:tblCellMar>
        </w:tblPrEx>
        <w:trPr>
          <w:trHeight w:val="375" w:hRule="atLeast"/>
        </w:trPr>
        <w:tc>
          <w:tcPr>
            <w:tcW w:w="780" w:type="dxa"/>
            <w:tcBorders>
              <w:top w:val="nil"/>
              <w:left w:val="single" w:color="auto" w:sz="4" w:space="0"/>
              <w:bottom w:val="single" w:color="auto" w:sz="4" w:space="0"/>
              <w:right w:val="single" w:color="auto" w:sz="4" w:space="0"/>
            </w:tcBorders>
            <w:noWrap/>
            <w:vAlign w:val="center"/>
          </w:tcPr>
          <w:p w14:paraId="2408B380">
            <w:pPr>
              <w:jc w:val="center"/>
              <w:rPr>
                <w:rFonts w:ascii="仿宋_GB2312" w:eastAsia="仿宋_GB2312"/>
                <w:color w:val="000000"/>
                <w:sz w:val="28"/>
                <w:szCs w:val="28"/>
              </w:rPr>
            </w:pPr>
            <w:r>
              <w:rPr>
                <w:rFonts w:hint="eastAsia" w:ascii="仿宋_GB2312" w:eastAsia="仿宋_GB2312"/>
                <w:color w:val="000000"/>
                <w:sz w:val="28"/>
                <w:szCs w:val="28"/>
              </w:rPr>
              <w:t>11</w:t>
            </w:r>
          </w:p>
        </w:tc>
        <w:tc>
          <w:tcPr>
            <w:tcW w:w="3880" w:type="dxa"/>
            <w:vMerge w:val="continue"/>
            <w:tcBorders>
              <w:top w:val="nil"/>
              <w:left w:val="single" w:color="auto" w:sz="4" w:space="0"/>
              <w:bottom w:val="single" w:color="auto" w:sz="4" w:space="0"/>
              <w:right w:val="single" w:color="auto" w:sz="4" w:space="0"/>
            </w:tcBorders>
            <w:vAlign w:val="center"/>
          </w:tcPr>
          <w:p w14:paraId="692BFE7B">
            <w:pPr>
              <w:rPr>
                <w:rFonts w:ascii="仿宋_GB2312" w:eastAsia="仿宋_GB2312"/>
                <w:color w:val="000000"/>
                <w:sz w:val="28"/>
                <w:szCs w:val="28"/>
              </w:rPr>
            </w:pPr>
          </w:p>
        </w:tc>
        <w:tc>
          <w:tcPr>
            <w:tcW w:w="3580" w:type="dxa"/>
            <w:tcBorders>
              <w:top w:val="nil"/>
              <w:left w:val="nil"/>
              <w:bottom w:val="single" w:color="auto" w:sz="4" w:space="0"/>
              <w:right w:val="single" w:color="auto" w:sz="4" w:space="0"/>
            </w:tcBorders>
            <w:noWrap/>
            <w:vAlign w:val="center"/>
          </w:tcPr>
          <w:p w14:paraId="7A147FB7">
            <w:pPr>
              <w:rPr>
                <w:rFonts w:ascii="仿宋_GB2312" w:eastAsia="仿宋_GB2312"/>
                <w:color w:val="000000"/>
                <w:sz w:val="28"/>
                <w:szCs w:val="28"/>
              </w:rPr>
            </w:pPr>
            <w:r>
              <w:rPr>
                <w:rFonts w:hint="eastAsia" w:ascii="仿宋_GB2312" w:eastAsia="仿宋_GB2312"/>
                <w:color w:val="000000"/>
                <w:sz w:val="28"/>
                <w:szCs w:val="28"/>
              </w:rPr>
              <w:t>视频图像模型仓库</w:t>
            </w:r>
          </w:p>
        </w:tc>
      </w:tr>
      <w:tr w14:paraId="1A284F6E">
        <w:tblPrEx>
          <w:tblCellMar>
            <w:top w:w="0" w:type="dxa"/>
            <w:left w:w="108" w:type="dxa"/>
            <w:bottom w:w="0" w:type="dxa"/>
            <w:right w:w="108" w:type="dxa"/>
          </w:tblCellMar>
        </w:tblPrEx>
        <w:trPr>
          <w:trHeight w:val="375" w:hRule="atLeast"/>
        </w:trPr>
        <w:tc>
          <w:tcPr>
            <w:tcW w:w="780" w:type="dxa"/>
            <w:tcBorders>
              <w:top w:val="nil"/>
              <w:left w:val="single" w:color="auto" w:sz="4" w:space="0"/>
              <w:bottom w:val="single" w:color="auto" w:sz="4" w:space="0"/>
              <w:right w:val="single" w:color="auto" w:sz="4" w:space="0"/>
            </w:tcBorders>
            <w:noWrap/>
            <w:vAlign w:val="center"/>
          </w:tcPr>
          <w:p w14:paraId="48848343">
            <w:pPr>
              <w:jc w:val="center"/>
              <w:rPr>
                <w:rFonts w:ascii="仿宋_GB2312" w:eastAsia="仿宋_GB2312"/>
                <w:color w:val="000000"/>
                <w:sz w:val="28"/>
                <w:szCs w:val="28"/>
              </w:rPr>
            </w:pPr>
            <w:r>
              <w:rPr>
                <w:rFonts w:hint="eastAsia" w:ascii="仿宋_GB2312" w:eastAsia="仿宋_GB2312"/>
                <w:color w:val="000000"/>
                <w:sz w:val="28"/>
                <w:szCs w:val="28"/>
              </w:rPr>
              <w:t>12</w:t>
            </w:r>
          </w:p>
        </w:tc>
        <w:tc>
          <w:tcPr>
            <w:tcW w:w="3880" w:type="dxa"/>
            <w:vMerge w:val="continue"/>
            <w:tcBorders>
              <w:top w:val="nil"/>
              <w:left w:val="single" w:color="auto" w:sz="4" w:space="0"/>
              <w:bottom w:val="single" w:color="auto" w:sz="4" w:space="0"/>
              <w:right w:val="single" w:color="auto" w:sz="4" w:space="0"/>
            </w:tcBorders>
            <w:vAlign w:val="center"/>
          </w:tcPr>
          <w:p w14:paraId="0E69F4B2">
            <w:pPr>
              <w:rPr>
                <w:rFonts w:ascii="仿宋_GB2312" w:eastAsia="仿宋_GB2312"/>
                <w:color w:val="000000"/>
                <w:sz w:val="28"/>
                <w:szCs w:val="28"/>
              </w:rPr>
            </w:pPr>
          </w:p>
        </w:tc>
        <w:tc>
          <w:tcPr>
            <w:tcW w:w="3580" w:type="dxa"/>
            <w:tcBorders>
              <w:top w:val="nil"/>
              <w:left w:val="nil"/>
              <w:bottom w:val="single" w:color="auto" w:sz="4" w:space="0"/>
              <w:right w:val="single" w:color="auto" w:sz="4" w:space="0"/>
            </w:tcBorders>
            <w:noWrap/>
            <w:vAlign w:val="center"/>
          </w:tcPr>
          <w:p w14:paraId="6A1098BC">
            <w:pPr>
              <w:rPr>
                <w:rFonts w:ascii="仿宋_GB2312" w:eastAsia="仿宋_GB2312"/>
                <w:color w:val="000000"/>
                <w:sz w:val="28"/>
                <w:szCs w:val="28"/>
              </w:rPr>
            </w:pPr>
            <w:r>
              <w:rPr>
                <w:rFonts w:hint="eastAsia" w:ascii="仿宋_GB2312" w:eastAsia="仿宋_GB2312"/>
                <w:color w:val="000000"/>
                <w:sz w:val="28"/>
                <w:szCs w:val="28"/>
              </w:rPr>
              <w:t>视频图像模型微调</w:t>
            </w:r>
          </w:p>
        </w:tc>
      </w:tr>
      <w:tr w14:paraId="50B92C4F">
        <w:tblPrEx>
          <w:tblCellMar>
            <w:top w:w="0" w:type="dxa"/>
            <w:left w:w="108" w:type="dxa"/>
            <w:bottom w:w="0" w:type="dxa"/>
            <w:right w:w="108" w:type="dxa"/>
          </w:tblCellMar>
        </w:tblPrEx>
        <w:trPr>
          <w:trHeight w:val="375" w:hRule="atLeast"/>
        </w:trPr>
        <w:tc>
          <w:tcPr>
            <w:tcW w:w="780" w:type="dxa"/>
            <w:tcBorders>
              <w:top w:val="nil"/>
              <w:left w:val="single" w:color="auto" w:sz="4" w:space="0"/>
              <w:bottom w:val="single" w:color="auto" w:sz="4" w:space="0"/>
              <w:right w:val="single" w:color="auto" w:sz="4" w:space="0"/>
            </w:tcBorders>
            <w:noWrap/>
            <w:vAlign w:val="center"/>
          </w:tcPr>
          <w:p w14:paraId="07E3182F">
            <w:pPr>
              <w:jc w:val="center"/>
              <w:rPr>
                <w:rFonts w:ascii="仿宋_GB2312" w:eastAsia="仿宋_GB2312"/>
                <w:color w:val="000000"/>
                <w:sz w:val="28"/>
                <w:szCs w:val="28"/>
              </w:rPr>
            </w:pPr>
            <w:r>
              <w:rPr>
                <w:rFonts w:hint="eastAsia" w:ascii="仿宋_GB2312" w:eastAsia="仿宋_GB2312"/>
                <w:color w:val="000000"/>
                <w:sz w:val="28"/>
                <w:szCs w:val="28"/>
              </w:rPr>
              <w:t>13</w:t>
            </w:r>
          </w:p>
        </w:tc>
        <w:tc>
          <w:tcPr>
            <w:tcW w:w="3880" w:type="dxa"/>
            <w:vMerge w:val="continue"/>
            <w:tcBorders>
              <w:top w:val="nil"/>
              <w:left w:val="single" w:color="auto" w:sz="4" w:space="0"/>
              <w:bottom w:val="single" w:color="auto" w:sz="4" w:space="0"/>
              <w:right w:val="single" w:color="auto" w:sz="4" w:space="0"/>
            </w:tcBorders>
            <w:vAlign w:val="center"/>
          </w:tcPr>
          <w:p w14:paraId="2F71ED48">
            <w:pPr>
              <w:rPr>
                <w:rFonts w:ascii="仿宋_GB2312" w:eastAsia="仿宋_GB2312"/>
                <w:color w:val="000000"/>
                <w:sz w:val="28"/>
                <w:szCs w:val="28"/>
              </w:rPr>
            </w:pPr>
          </w:p>
        </w:tc>
        <w:tc>
          <w:tcPr>
            <w:tcW w:w="3580" w:type="dxa"/>
            <w:tcBorders>
              <w:top w:val="nil"/>
              <w:left w:val="nil"/>
              <w:bottom w:val="single" w:color="auto" w:sz="4" w:space="0"/>
              <w:right w:val="single" w:color="auto" w:sz="4" w:space="0"/>
            </w:tcBorders>
            <w:noWrap/>
            <w:vAlign w:val="center"/>
          </w:tcPr>
          <w:p w14:paraId="1A02162C">
            <w:pPr>
              <w:rPr>
                <w:rFonts w:ascii="仿宋_GB2312" w:eastAsia="仿宋_GB2312"/>
                <w:color w:val="000000"/>
                <w:sz w:val="28"/>
                <w:szCs w:val="28"/>
              </w:rPr>
            </w:pPr>
            <w:r>
              <w:rPr>
                <w:rFonts w:hint="eastAsia" w:ascii="仿宋_GB2312" w:eastAsia="仿宋_GB2312"/>
                <w:color w:val="000000"/>
                <w:sz w:val="28"/>
                <w:szCs w:val="28"/>
              </w:rPr>
              <w:t>视频图像模型优化</w:t>
            </w:r>
          </w:p>
        </w:tc>
      </w:tr>
      <w:tr w14:paraId="36721710">
        <w:tblPrEx>
          <w:tblCellMar>
            <w:top w:w="0" w:type="dxa"/>
            <w:left w:w="108" w:type="dxa"/>
            <w:bottom w:w="0" w:type="dxa"/>
            <w:right w:w="108" w:type="dxa"/>
          </w:tblCellMar>
        </w:tblPrEx>
        <w:trPr>
          <w:trHeight w:val="375" w:hRule="atLeast"/>
        </w:trPr>
        <w:tc>
          <w:tcPr>
            <w:tcW w:w="780" w:type="dxa"/>
            <w:tcBorders>
              <w:top w:val="nil"/>
              <w:left w:val="single" w:color="auto" w:sz="4" w:space="0"/>
              <w:bottom w:val="single" w:color="auto" w:sz="4" w:space="0"/>
              <w:right w:val="single" w:color="auto" w:sz="4" w:space="0"/>
            </w:tcBorders>
            <w:noWrap/>
            <w:vAlign w:val="center"/>
          </w:tcPr>
          <w:p w14:paraId="0148EEB9">
            <w:pPr>
              <w:jc w:val="center"/>
              <w:rPr>
                <w:rFonts w:ascii="仿宋_GB2312" w:eastAsia="仿宋_GB2312"/>
                <w:color w:val="000000"/>
                <w:sz w:val="28"/>
                <w:szCs w:val="28"/>
              </w:rPr>
            </w:pPr>
            <w:r>
              <w:rPr>
                <w:rFonts w:hint="eastAsia" w:ascii="仿宋_GB2312" w:eastAsia="仿宋_GB2312"/>
                <w:color w:val="000000"/>
                <w:sz w:val="28"/>
                <w:szCs w:val="28"/>
              </w:rPr>
              <w:t>14</w:t>
            </w:r>
          </w:p>
        </w:tc>
        <w:tc>
          <w:tcPr>
            <w:tcW w:w="3880" w:type="dxa"/>
            <w:vMerge w:val="restart"/>
            <w:tcBorders>
              <w:top w:val="nil"/>
              <w:left w:val="single" w:color="auto" w:sz="4" w:space="0"/>
              <w:bottom w:val="single" w:color="000000" w:sz="4" w:space="0"/>
              <w:right w:val="single" w:color="auto" w:sz="4" w:space="0"/>
            </w:tcBorders>
            <w:vAlign w:val="center"/>
          </w:tcPr>
          <w:p w14:paraId="170E9886">
            <w:pPr>
              <w:rPr>
                <w:rFonts w:ascii="仿宋_GB2312" w:eastAsia="仿宋_GB2312"/>
                <w:color w:val="000000"/>
                <w:sz w:val="28"/>
                <w:szCs w:val="28"/>
              </w:rPr>
            </w:pPr>
            <w:r>
              <w:rPr>
                <w:rFonts w:hint="eastAsia" w:ascii="仿宋_GB2312" w:eastAsia="仿宋_GB2312"/>
                <w:color w:val="000000"/>
                <w:sz w:val="28"/>
                <w:szCs w:val="28"/>
              </w:rPr>
              <w:t>基础系统支撑</w:t>
            </w:r>
          </w:p>
        </w:tc>
        <w:tc>
          <w:tcPr>
            <w:tcW w:w="3580" w:type="dxa"/>
            <w:tcBorders>
              <w:top w:val="nil"/>
              <w:left w:val="nil"/>
              <w:bottom w:val="single" w:color="auto" w:sz="4" w:space="0"/>
              <w:right w:val="single" w:color="auto" w:sz="4" w:space="0"/>
            </w:tcBorders>
            <w:noWrap/>
            <w:vAlign w:val="center"/>
          </w:tcPr>
          <w:p w14:paraId="04168571">
            <w:pPr>
              <w:rPr>
                <w:rFonts w:ascii="仿宋_GB2312" w:eastAsia="仿宋_GB2312"/>
                <w:color w:val="000000"/>
                <w:sz w:val="28"/>
                <w:szCs w:val="28"/>
              </w:rPr>
            </w:pPr>
            <w:r>
              <w:rPr>
                <w:rFonts w:hint="eastAsia" w:ascii="仿宋_GB2312" w:eastAsia="仿宋_GB2312"/>
                <w:color w:val="000000"/>
                <w:sz w:val="28"/>
                <w:szCs w:val="28"/>
              </w:rPr>
              <w:t>视觉大模型评测</w:t>
            </w:r>
          </w:p>
        </w:tc>
      </w:tr>
      <w:tr w14:paraId="4BDDC0A2">
        <w:tblPrEx>
          <w:tblCellMar>
            <w:top w:w="0" w:type="dxa"/>
            <w:left w:w="108" w:type="dxa"/>
            <w:bottom w:w="0" w:type="dxa"/>
            <w:right w:w="108" w:type="dxa"/>
          </w:tblCellMar>
        </w:tblPrEx>
        <w:trPr>
          <w:trHeight w:val="375" w:hRule="atLeast"/>
        </w:trPr>
        <w:tc>
          <w:tcPr>
            <w:tcW w:w="780" w:type="dxa"/>
            <w:tcBorders>
              <w:top w:val="nil"/>
              <w:left w:val="single" w:color="auto" w:sz="4" w:space="0"/>
              <w:bottom w:val="single" w:color="auto" w:sz="4" w:space="0"/>
              <w:right w:val="single" w:color="auto" w:sz="4" w:space="0"/>
            </w:tcBorders>
            <w:noWrap/>
            <w:vAlign w:val="center"/>
          </w:tcPr>
          <w:p w14:paraId="618CAE89">
            <w:pPr>
              <w:jc w:val="center"/>
              <w:rPr>
                <w:rFonts w:ascii="仿宋_GB2312" w:eastAsia="仿宋_GB2312"/>
                <w:color w:val="000000"/>
                <w:sz w:val="28"/>
                <w:szCs w:val="28"/>
              </w:rPr>
            </w:pPr>
            <w:r>
              <w:rPr>
                <w:rFonts w:hint="eastAsia" w:ascii="仿宋_GB2312" w:eastAsia="仿宋_GB2312"/>
                <w:color w:val="000000"/>
                <w:sz w:val="28"/>
                <w:szCs w:val="28"/>
              </w:rPr>
              <w:t>15</w:t>
            </w:r>
          </w:p>
        </w:tc>
        <w:tc>
          <w:tcPr>
            <w:tcW w:w="3880" w:type="dxa"/>
            <w:vMerge w:val="continue"/>
            <w:tcBorders>
              <w:top w:val="nil"/>
              <w:left w:val="single" w:color="auto" w:sz="4" w:space="0"/>
              <w:bottom w:val="single" w:color="000000" w:sz="4" w:space="0"/>
              <w:right w:val="single" w:color="auto" w:sz="4" w:space="0"/>
            </w:tcBorders>
            <w:vAlign w:val="center"/>
          </w:tcPr>
          <w:p w14:paraId="1599CFED">
            <w:pPr>
              <w:rPr>
                <w:rFonts w:ascii="仿宋_GB2312" w:eastAsia="仿宋_GB2312"/>
                <w:color w:val="000000"/>
                <w:sz w:val="28"/>
                <w:szCs w:val="28"/>
              </w:rPr>
            </w:pPr>
          </w:p>
        </w:tc>
        <w:tc>
          <w:tcPr>
            <w:tcW w:w="3580" w:type="dxa"/>
            <w:tcBorders>
              <w:top w:val="nil"/>
              <w:left w:val="nil"/>
              <w:bottom w:val="single" w:color="auto" w:sz="4" w:space="0"/>
              <w:right w:val="single" w:color="auto" w:sz="4" w:space="0"/>
            </w:tcBorders>
            <w:noWrap/>
            <w:vAlign w:val="center"/>
          </w:tcPr>
          <w:p w14:paraId="51C6F51C">
            <w:pPr>
              <w:rPr>
                <w:rFonts w:ascii="仿宋_GB2312" w:eastAsia="仿宋_GB2312"/>
                <w:color w:val="000000"/>
                <w:sz w:val="28"/>
                <w:szCs w:val="28"/>
              </w:rPr>
            </w:pPr>
            <w:r>
              <w:rPr>
                <w:rFonts w:hint="eastAsia" w:ascii="仿宋_GB2312" w:eastAsia="仿宋_GB2312"/>
                <w:color w:val="000000"/>
                <w:sz w:val="28"/>
                <w:szCs w:val="28"/>
              </w:rPr>
              <w:t>视觉大模型安全管理</w:t>
            </w:r>
          </w:p>
        </w:tc>
      </w:tr>
      <w:tr w14:paraId="270F659D">
        <w:tblPrEx>
          <w:tblCellMar>
            <w:top w:w="0" w:type="dxa"/>
            <w:left w:w="108" w:type="dxa"/>
            <w:bottom w:w="0" w:type="dxa"/>
            <w:right w:w="108" w:type="dxa"/>
          </w:tblCellMar>
        </w:tblPrEx>
        <w:trPr>
          <w:trHeight w:val="375" w:hRule="atLeast"/>
        </w:trPr>
        <w:tc>
          <w:tcPr>
            <w:tcW w:w="780" w:type="dxa"/>
            <w:tcBorders>
              <w:top w:val="nil"/>
              <w:left w:val="single" w:color="auto" w:sz="4" w:space="0"/>
              <w:bottom w:val="single" w:color="auto" w:sz="4" w:space="0"/>
              <w:right w:val="single" w:color="auto" w:sz="4" w:space="0"/>
            </w:tcBorders>
            <w:noWrap/>
            <w:vAlign w:val="center"/>
          </w:tcPr>
          <w:p w14:paraId="311EF867">
            <w:pPr>
              <w:jc w:val="center"/>
              <w:rPr>
                <w:rFonts w:ascii="仿宋_GB2312" w:eastAsia="仿宋_GB2312"/>
                <w:color w:val="000000"/>
                <w:sz w:val="28"/>
                <w:szCs w:val="28"/>
              </w:rPr>
            </w:pPr>
            <w:r>
              <w:rPr>
                <w:rFonts w:hint="eastAsia" w:ascii="仿宋_GB2312" w:eastAsia="仿宋_GB2312"/>
                <w:color w:val="000000"/>
                <w:sz w:val="28"/>
                <w:szCs w:val="28"/>
              </w:rPr>
              <w:t>16</w:t>
            </w:r>
          </w:p>
        </w:tc>
        <w:tc>
          <w:tcPr>
            <w:tcW w:w="3880" w:type="dxa"/>
            <w:tcBorders>
              <w:top w:val="nil"/>
              <w:left w:val="nil"/>
              <w:bottom w:val="single" w:color="auto" w:sz="4" w:space="0"/>
              <w:right w:val="single" w:color="auto" w:sz="4" w:space="0"/>
            </w:tcBorders>
            <w:noWrap/>
            <w:vAlign w:val="center"/>
          </w:tcPr>
          <w:p w14:paraId="2663F4F4">
            <w:pPr>
              <w:rPr>
                <w:rFonts w:ascii="仿宋_GB2312" w:eastAsia="仿宋_GB2312"/>
                <w:color w:val="000000"/>
                <w:sz w:val="28"/>
                <w:szCs w:val="28"/>
              </w:rPr>
            </w:pPr>
            <w:r>
              <w:rPr>
                <w:rFonts w:hint="eastAsia" w:ascii="仿宋_GB2312" w:eastAsia="仿宋_GB2312"/>
                <w:color w:val="000000"/>
                <w:sz w:val="28"/>
                <w:szCs w:val="28"/>
              </w:rPr>
              <w:t>商密改造</w:t>
            </w:r>
          </w:p>
        </w:tc>
        <w:tc>
          <w:tcPr>
            <w:tcW w:w="3580" w:type="dxa"/>
            <w:tcBorders>
              <w:top w:val="nil"/>
              <w:left w:val="nil"/>
              <w:bottom w:val="single" w:color="auto" w:sz="4" w:space="0"/>
              <w:right w:val="single" w:color="auto" w:sz="4" w:space="0"/>
            </w:tcBorders>
            <w:noWrap/>
            <w:vAlign w:val="center"/>
          </w:tcPr>
          <w:p w14:paraId="3C8AC25E">
            <w:pPr>
              <w:rPr>
                <w:rFonts w:ascii="仿宋_GB2312" w:eastAsia="仿宋_GB2312"/>
                <w:color w:val="000000"/>
                <w:sz w:val="28"/>
                <w:szCs w:val="28"/>
              </w:rPr>
            </w:pPr>
            <w:r>
              <w:rPr>
                <w:rFonts w:hint="eastAsia" w:ascii="仿宋_GB2312" w:eastAsia="仿宋_GB2312"/>
                <w:color w:val="000000"/>
                <w:sz w:val="28"/>
                <w:szCs w:val="28"/>
              </w:rPr>
              <w:t>商密改造软件开发</w:t>
            </w:r>
          </w:p>
        </w:tc>
      </w:tr>
      <w:tr w14:paraId="09BE621F">
        <w:tblPrEx>
          <w:tblCellMar>
            <w:top w:w="0" w:type="dxa"/>
            <w:left w:w="108" w:type="dxa"/>
            <w:bottom w:w="0" w:type="dxa"/>
            <w:right w:w="108" w:type="dxa"/>
          </w:tblCellMar>
        </w:tblPrEx>
        <w:trPr>
          <w:trHeight w:val="375" w:hRule="atLeast"/>
        </w:trPr>
        <w:tc>
          <w:tcPr>
            <w:tcW w:w="780" w:type="dxa"/>
            <w:tcBorders>
              <w:top w:val="nil"/>
              <w:left w:val="single" w:color="auto" w:sz="4" w:space="0"/>
              <w:bottom w:val="single" w:color="auto" w:sz="4" w:space="0"/>
              <w:right w:val="single" w:color="auto" w:sz="4" w:space="0"/>
            </w:tcBorders>
            <w:noWrap/>
            <w:vAlign w:val="center"/>
          </w:tcPr>
          <w:p w14:paraId="321EDDE0">
            <w:pPr>
              <w:jc w:val="center"/>
              <w:rPr>
                <w:rFonts w:ascii="仿宋_GB2312" w:eastAsia="仿宋_GB2312"/>
                <w:color w:val="000000"/>
                <w:sz w:val="28"/>
                <w:szCs w:val="28"/>
              </w:rPr>
            </w:pPr>
            <w:r>
              <w:rPr>
                <w:rFonts w:hint="eastAsia" w:ascii="仿宋_GB2312" w:eastAsia="仿宋_GB2312"/>
                <w:color w:val="000000"/>
                <w:sz w:val="28"/>
                <w:szCs w:val="28"/>
              </w:rPr>
              <w:t>17</w:t>
            </w:r>
          </w:p>
        </w:tc>
        <w:tc>
          <w:tcPr>
            <w:tcW w:w="3880" w:type="dxa"/>
            <w:tcBorders>
              <w:top w:val="nil"/>
              <w:left w:val="single" w:color="auto" w:sz="4" w:space="0"/>
              <w:bottom w:val="single" w:color="000000" w:sz="4" w:space="0"/>
              <w:right w:val="single" w:color="auto" w:sz="4" w:space="0"/>
            </w:tcBorders>
            <w:vAlign w:val="center"/>
          </w:tcPr>
          <w:p w14:paraId="108FEDC6">
            <w:pPr>
              <w:rPr>
                <w:rFonts w:ascii="仿宋_GB2312" w:eastAsia="仿宋_GB2312"/>
                <w:color w:val="000000"/>
                <w:sz w:val="28"/>
                <w:szCs w:val="28"/>
              </w:rPr>
            </w:pPr>
            <w:r>
              <w:rPr>
                <w:rFonts w:hint="eastAsia" w:ascii="仿宋_GB2312" w:eastAsia="仿宋_GB2312"/>
                <w:color w:val="000000"/>
                <w:sz w:val="28"/>
                <w:szCs w:val="28"/>
              </w:rPr>
              <w:t>硬件购置</w:t>
            </w:r>
          </w:p>
        </w:tc>
        <w:tc>
          <w:tcPr>
            <w:tcW w:w="3580" w:type="dxa"/>
            <w:tcBorders>
              <w:top w:val="nil"/>
              <w:left w:val="nil"/>
              <w:bottom w:val="single" w:color="auto" w:sz="4" w:space="0"/>
              <w:right w:val="single" w:color="auto" w:sz="4" w:space="0"/>
            </w:tcBorders>
            <w:noWrap/>
            <w:vAlign w:val="center"/>
          </w:tcPr>
          <w:p w14:paraId="03F47E48">
            <w:pPr>
              <w:rPr>
                <w:rFonts w:ascii="仿宋_GB2312" w:eastAsia="仿宋_GB2312"/>
                <w:color w:val="000000"/>
                <w:sz w:val="28"/>
                <w:szCs w:val="28"/>
              </w:rPr>
            </w:pPr>
            <w:r>
              <w:rPr>
                <w:rFonts w:hint="eastAsia" w:ascii="仿宋_GB2312" w:eastAsia="仿宋_GB2312"/>
                <w:color w:val="000000"/>
                <w:sz w:val="28"/>
                <w:szCs w:val="28"/>
              </w:rPr>
              <w:t>智能图像联网媒体设备</w:t>
            </w:r>
          </w:p>
        </w:tc>
      </w:tr>
    </w:tbl>
    <w:p w14:paraId="0078E439">
      <w:pPr>
        <w:widowControl/>
        <w:adjustRightInd w:val="0"/>
        <w:snapToGrid w:val="0"/>
        <w:spacing w:line="560" w:lineRule="exact"/>
        <w:ind w:firstLine="646"/>
        <w:outlineLvl w:val="2"/>
        <w:rPr>
          <w:rFonts w:eastAsia="仿宋_GB2312"/>
          <w:kern w:val="0"/>
          <w:sz w:val="32"/>
          <w:szCs w:val="32"/>
        </w:rPr>
      </w:pPr>
      <w:bookmarkStart w:id="14" w:name="_Toc216961907"/>
      <w:r>
        <w:rPr>
          <w:rFonts w:hint="eastAsia" w:eastAsia="仿宋_GB2312"/>
          <w:kern w:val="0"/>
          <w:sz w:val="32"/>
          <w:szCs w:val="32"/>
        </w:rPr>
        <w:t>2、性能需求分析</w:t>
      </w:r>
      <w:bookmarkEnd w:id="13"/>
      <w:bookmarkEnd w:id="14"/>
    </w:p>
    <w:p w14:paraId="64C9429D">
      <w:pPr>
        <w:widowControl/>
        <w:adjustRightInd w:val="0"/>
        <w:snapToGrid w:val="0"/>
        <w:spacing w:line="560" w:lineRule="exact"/>
        <w:ind w:firstLine="646"/>
        <w:rPr>
          <w:rFonts w:eastAsia="仿宋_GB2312"/>
          <w:kern w:val="0"/>
          <w:sz w:val="32"/>
          <w:szCs w:val="32"/>
        </w:rPr>
      </w:pPr>
      <w:r>
        <w:rPr>
          <w:rFonts w:hint="eastAsia" w:eastAsia="仿宋_GB2312"/>
          <w:kern w:val="0"/>
          <w:sz w:val="32"/>
          <w:szCs w:val="32"/>
        </w:rPr>
        <w:t>最大同时在线用户数不少于 500个；</w:t>
      </w:r>
    </w:p>
    <w:p w14:paraId="7BD5E577">
      <w:pPr>
        <w:widowControl/>
        <w:adjustRightInd w:val="0"/>
        <w:snapToGrid w:val="0"/>
        <w:spacing w:line="560" w:lineRule="exact"/>
        <w:ind w:firstLine="646"/>
        <w:rPr>
          <w:rFonts w:eastAsia="仿宋_GB2312"/>
          <w:kern w:val="0"/>
          <w:sz w:val="32"/>
          <w:szCs w:val="32"/>
        </w:rPr>
      </w:pPr>
      <w:r>
        <w:rPr>
          <w:rFonts w:hint="eastAsia" w:eastAsia="仿宋_GB2312"/>
          <w:kern w:val="0"/>
          <w:sz w:val="32"/>
          <w:szCs w:val="32"/>
        </w:rPr>
        <w:t>最大并发用户数不少于50个；</w:t>
      </w:r>
    </w:p>
    <w:p w14:paraId="13BB9CCB">
      <w:pPr>
        <w:widowControl/>
        <w:adjustRightInd w:val="0"/>
        <w:snapToGrid w:val="0"/>
        <w:spacing w:line="560" w:lineRule="exact"/>
        <w:ind w:firstLine="646"/>
        <w:rPr>
          <w:rFonts w:eastAsia="仿宋_GB2312"/>
          <w:kern w:val="0"/>
          <w:sz w:val="32"/>
          <w:szCs w:val="32"/>
        </w:rPr>
      </w:pPr>
      <w:r>
        <w:rPr>
          <w:rFonts w:hint="eastAsia" w:eastAsia="仿宋_GB2312"/>
          <w:kern w:val="0"/>
          <w:sz w:val="32"/>
          <w:szCs w:val="32"/>
        </w:rPr>
        <w:t>系统登陆时间≤5秒；</w:t>
      </w:r>
    </w:p>
    <w:p w14:paraId="51078471">
      <w:pPr>
        <w:widowControl/>
        <w:adjustRightInd w:val="0"/>
        <w:snapToGrid w:val="0"/>
        <w:spacing w:line="560" w:lineRule="exact"/>
        <w:ind w:firstLine="646"/>
        <w:rPr>
          <w:rFonts w:eastAsia="仿宋_GB2312"/>
          <w:kern w:val="0"/>
          <w:sz w:val="32"/>
          <w:szCs w:val="32"/>
        </w:rPr>
      </w:pPr>
      <w:r>
        <w:rPr>
          <w:rFonts w:hint="eastAsia" w:eastAsia="仿宋_GB2312"/>
          <w:kern w:val="0"/>
          <w:sz w:val="32"/>
          <w:szCs w:val="32"/>
        </w:rPr>
        <w:t>指令操作响应时间≤15 秒</w:t>
      </w:r>
    </w:p>
    <w:p w14:paraId="219621B7">
      <w:pPr>
        <w:widowControl/>
        <w:adjustRightInd w:val="0"/>
        <w:snapToGrid w:val="0"/>
        <w:spacing w:line="560" w:lineRule="exact"/>
        <w:ind w:firstLine="646"/>
        <w:rPr>
          <w:rFonts w:eastAsia="仿宋_GB2312"/>
          <w:kern w:val="0"/>
          <w:sz w:val="32"/>
          <w:szCs w:val="32"/>
        </w:rPr>
      </w:pPr>
    </w:p>
    <w:p w14:paraId="39CB8E4C">
      <w:pPr>
        <w:widowControl/>
        <w:adjustRightInd w:val="0"/>
        <w:snapToGrid w:val="0"/>
        <w:spacing w:line="560" w:lineRule="exact"/>
        <w:ind w:firstLine="646"/>
        <w:outlineLvl w:val="1"/>
        <w:rPr>
          <w:rFonts w:eastAsia="楷体_GB2312"/>
          <w:bCs/>
          <w:kern w:val="0"/>
          <w:sz w:val="32"/>
          <w:szCs w:val="32"/>
        </w:rPr>
      </w:pPr>
      <w:r>
        <w:rPr>
          <w:rFonts w:eastAsia="楷体_GB2312"/>
          <w:bCs/>
          <w:kern w:val="0"/>
          <w:sz w:val="32"/>
          <w:szCs w:val="32"/>
        </w:rPr>
        <w:t>（五）进度安排</w:t>
      </w:r>
    </w:p>
    <w:p w14:paraId="7F26512F">
      <w:pPr>
        <w:widowControl/>
        <w:adjustRightInd w:val="0"/>
        <w:snapToGrid w:val="0"/>
        <w:spacing w:line="560" w:lineRule="exact"/>
        <w:ind w:firstLine="646"/>
        <w:rPr>
          <w:rFonts w:eastAsia="仿宋_GB2312"/>
          <w:kern w:val="0"/>
          <w:sz w:val="32"/>
          <w:szCs w:val="32"/>
        </w:rPr>
      </w:pPr>
      <w:r>
        <w:rPr>
          <w:rFonts w:eastAsia="仿宋_GB2312"/>
          <w:kern w:val="0"/>
          <w:sz w:val="32"/>
          <w:szCs w:val="32"/>
        </w:rPr>
        <w:t>合同生效后1</w:t>
      </w:r>
      <w:r>
        <w:rPr>
          <w:rFonts w:hint="eastAsia" w:eastAsia="仿宋_GB2312"/>
          <w:kern w:val="0"/>
          <w:sz w:val="32"/>
          <w:szCs w:val="32"/>
        </w:rPr>
        <w:t>5</w:t>
      </w:r>
      <w:r>
        <w:rPr>
          <w:rFonts w:eastAsia="仿宋_GB2312"/>
          <w:kern w:val="0"/>
          <w:sz w:val="32"/>
          <w:szCs w:val="32"/>
        </w:rPr>
        <w:t>0天内</w:t>
      </w:r>
      <w:r>
        <w:rPr>
          <w:rFonts w:hint="eastAsia" w:eastAsia="仿宋_GB2312"/>
          <w:kern w:val="0"/>
          <w:sz w:val="32"/>
          <w:szCs w:val="32"/>
        </w:rPr>
        <w:t>，完成本项目的设备采购、安装、调试等实施工作</w:t>
      </w:r>
      <w:r>
        <w:rPr>
          <w:rFonts w:eastAsia="仿宋_GB2312"/>
          <w:kern w:val="0"/>
          <w:sz w:val="32"/>
          <w:szCs w:val="32"/>
        </w:rPr>
        <w:t>；</w:t>
      </w:r>
    </w:p>
    <w:p w14:paraId="3AA3BDC8">
      <w:pPr>
        <w:widowControl/>
        <w:adjustRightInd w:val="0"/>
        <w:snapToGrid w:val="0"/>
        <w:spacing w:line="560" w:lineRule="exact"/>
        <w:ind w:firstLine="646"/>
        <w:rPr>
          <w:rFonts w:eastAsia="仿宋_GB2312"/>
          <w:kern w:val="0"/>
          <w:sz w:val="32"/>
          <w:szCs w:val="32"/>
        </w:rPr>
      </w:pPr>
      <w:r>
        <w:rPr>
          <w:rFonts w:eastAsia="仿宋_GB2312"/>
          <w:kern w:val="0"/>
          <w:sz w:val="32"/>
          <w:szCs w:val="32"/>
        </w:rPr>
        <w:t>合同签订后</w:t>
      </w:r>
      <w:r>
        <w:rPr>
          <w:rFonts w:hint="eastAsia" w:eastAsia="仿宋_GB2312"/>
          <w:kern w:val="0"/>
          <w:sz w:val="32"/>
          <w:szCs w:val="32"/>
        </w:rPr>
        <w:t>30</w:t>
      </w:r>
      <w:r>
        <w:rPr>
          <w:rFonts w:eastAsia="仿宋_GB2312"/>
          <w:kern w:val="0"/>
          <w:sz w:val="32"/>
          <w:szCs w:val="32"/>
        </w:rPr>
        <w:t>0天内</w:t>
      </w:r>
      <w:r>
        <w:rPr>
          <w:rFonts w:hint="eastAsia" w:eastAsia="仿宋_GB2312"/>
          <w:kern w:val="0"/>
          <w:sz w:val="32"/>
          <w:szCs w:val="32"/>
        </w:rPr>
        <w:t>，完成项目集成调试工作。</w:t>
      </w:r>
    </w:p>
    <w:p w14:paraId="5034F4BB">
      <w:pPr>
        <w:widowControl/>
        <w:adjustRightInd w:val="0"/>
        <w:snapToGrid w:val="0"/>
        <w:spacing w:line="560" w:lineRule="exact"/>
        <w:ind w:firstLine="646"/>
        <w:rPr>
          <w:rFonts w:eastAsia="仿宋_GB2312"/>
          <w:kern w:val="0"/>
          <w:sz w:val="32"/>
          <w:szCs w:val="32"/>
        </w:rPr>
      </w:pPr>
      <w:r>
        <w:rPr>
          <w:rFonts w:hint="eastAsia" w:eastAsia="仿宋_GB2312"/>
          <w:kern w:val="0"/>
          <w:sz w:val="32"/>
          <w:szCs w:val="32"/>
        </w:rPr>
        <w:t>合同生效之日起12</w:t>
      </w:r>
      <w:r>
        <w:rPr>
          <w:rFonts w:eastAsia="仿宋_GB2312"/>
          <w:kern w:val="0"/>
          <w:sz w:val="32"/>
          <w:szCs w:val="32"/>
        </w:rPr>
        <w:t>个月内，</w:t>
      </w:r>
      <w:r>
        <w:rPr>
          <w:rFonts w:hint="eastAsia" w:eastAsia="仿宋_GB2312"/>
          <w:kern w:val="0"/>
          <w:sz w:val="32"/>
          <w:szCs w:val="32"/>
        </w:rPr>
        <w:t>中标方应</w:t>
      </w:r>
      <w:r>
        <w:rPr>
          <w:rFonts w:eastAsia="仿宋_GB2312"/>
          <w:kern w:val="0"/>
          <w:sz w:val="32"/>
          <w:szCs w:val="32"/>
        </w:rPr>
        <w:t>完成信息系统全部</w:t>
      </w:r>
      <w:r>
        <w:rPr>
          <w:rFonts w:hint="eastAsia" w:eastAsia="仿宋_GB2312"/>
          <w:kern w:val="0"/>
          <w:sz w:val="32"/>
          <w:szCs w:val="32"/>
        </w:rPr>
        <w:t>开发部署调试和不少于1个月试运行</w:t>
      </w:r>
      <w:r>
        <w:rPr>
          <w:rFonts w:eastAsia="仿宋_GB2312"/>
          <w:kern w:val="0"/>
          <w:sz w:val="32"/>
          <w:szCs w:val="32"/>
        </w:rPr>
        <w:t>工作</w:t>
      </w:r>
      <w:r>
        <w:rPr>
          <w:rFonts w:hint="eastAsia" w:eastAsia="仿宋_GB2312"/>
          <w:kern w:val="0"/>
          <w:sz w:val="32"/>
          <w:szCs w:val="32"/>
        </w:rPr>
        <w:t>。</w:t>
      </w:r>
    </w:p>
    <w:p w14:paraId="102E1493">
      <w:pPr>
        <w:widowControl/>
        <w:adjustRightInd w:val="0"/>
        <w:snapToGrid w:val="0"/>
        <w:spacing w:line="560" w:lineRule="exact"/>
        <w:ind w:firstLine="646"/>
        <w:outlineLvl w:val="1"/>
        <w:rPr>
          <w:rFonts w:eastAsia="楷体_GB2312"/>
          <w:bCs/>
          <w:kern w:val="0"/>
          <w:sz w:val="32"/>
          <w:szCs w:val="32"/>
        </w:rPr>
      </w:pPr>
      <w:r>
        <w:rPr>
          <w:rFonts w:eastAsia="楷体_GB2312"/>
          <w:bCs/>
          <w:kern w:val="0"/>
          <w:sz w:val="32"/>
          <w:szCs w:val="32"/>
        </w:rPr>
        <w:t>（六）实施要求和技术服务要求</w:t>
      </w:r>
    </w:p>
    <w:p w14:paraId="5757AD7D">
      <w:pPr>
        <w:widowControl/>
        <w:adjustRightInd w:val="0"/>
        <w:snapToGrid w:val="0"/>
        <w:spacing w:line="560" w:lineRule="exact"/>
        <w:ind w:firstLine="646"/>
        <w:rPr>
          <w:rFonts w:eastAsia="仿宋_GB2312"/>
          <w:kern w:val="0"/>
          <w:sz w:val="32"/>
          <w:szCs w:val="32"/>
        </w:rPr>
      </w:pPr>
      <w:r>
        <w:rPr>
          <w:rFonts w:hint="eastAsia" w:eastAsia="仿宋_GB2312"/>
          <w:kern w:val="0"/>
          <w:sz w:val="32"/>
          <w:szCs w:val="32"/>
        </w:rPr>
        <w:t>供应商需对采购需求中智能图像联网媒体设备提供制造商原厂授权证明。</w:t>
      </w:r>
    </w:p>
    <w:p w14:paraId="0B346713">
      <w:pPr>
        <w:widowControl/>
        <w:adjustRightInd w:val="0"/>
        <w:snapToGrid w:val="0"/>
        <w:spacing w:line="560" w:lineRule="exact"/>
        <w:ind w:firstLine="646"/>
        <w:rPr>
          <w:rFonts w:eastAsia="仿宋_GB2312"/>
          <w:kern w:val="0"/>
          <w:sz w:val="32"/>
          <w:szCs w:val="32"/>
        </w:rPr>
      </w:pPr>
      <w:r>
        <w:rPr>
          <w:rFonts w:hint="eastAsia" w:eastAsia="仿宋_GB2312"/>
          <w:kern w:val="0"/>
          <w:sz w:val="32"/>
          <w:szCs w:val="32"/>
        </w:rPr>
        <w:t>中标方应</w:t>
      </w:r>
      <w:r>
        <w:rPr>
          <w:rFonts w:eastAsia="仿宋_GB2312"/>
          <w:kern w:val="0"/>
          <w:sz w:val="32"/>
          <w:szCs w:val="32"/>
        </w:rPr>
        <w:t>提供成功实施其技术方案所必须的技术支持和工程服务，包括系统设计、工程设计、项目管理、工程实施、验收、培训等，并须提交详细的工程服务方案。本项目系统集成质量控制和文档需满足国家标准要求</w:t>
      </w:r>
      <w:r>
        <w:rPr>
          <w:rFonts w:hint="eastAsia" w:eastAsia="仿宋_GB2312"/>
          <w:kern w:val="0"/>
          <w:sz w:val="32"/>
          <w:szCs w:val="32"/>
        </w:rPr>
        <w:t>。中标方应具备售后服务机构且能够提供及时可靠的服务。</w:t>
      </w:r>
    </w:p>
    <w:p w14:paraId="6A4485E5">
      <w:pPr>
        <w:widowControl/>
        <w:adjustRightInd w:val="0"/>
        <w:snapToGrid w:val="0"/>
        <w:spacing w:line="560" w:lineRule="exact"/>
        <w:ind w:firstLine="646"/>
        <w:rPr>
          <w:rFonts w:eastAsia="仿宋_GB2312"/>
          <w:kern w:val="0"/>
          <w:sz w:val="32"/>
          <w:szCs w:val="32"/>
        </w:rPr>
      </w:pPr>
      <w:r>
        <w:rPr>
          <w:rFonts w:hint="eastAsia" w:eastAsia="仿宋_GB2312"/>
          <w:kern w:val="0"/>
          <w:sz w:val="32"/>
          <w:szCs w:val="32"/>
        </w:rPr>
        <w:t>中标方应保证所提供的所有产品皆不侵犯任何第三方的版权、知识产权和其他合法权利，针对上海市公安局所制定的需求和本项目中所有知识产权为上海市公安局所有。</w:t>
      </w:r>
    </w:p>
    <w:p w14:paraId="5EFB5EC4">
      <w:pPr>
        <w:widowControl/>
        <w:adjustRightInd w:val="0"/>
        <w:snapToGrid w:val="0"/>
        <w:spacing w:line="560" w:lineRule="exact"/>
        <w:ind w:firstLine="646"/>
        <w:rPr>
          <w:rFonts w:eastAsia="仿宋_GB2312"/>
          <w:kern w:val="0"/>
          <w:sz w:val="32"/>
          <w:szCs w:val="32"/>
        </w:rPr>
      </w:pPr>
      <w:r>
        <w:rPr>
          <w:rFonts w:eastAsia="仿宋_GB2312"/>
          <w:kern w:val="0"/>
          <w:sz w:val="32"/>
          <w:szCs w:val="32"/>
        </w:rPr>
        <w:t>系统维护期应从本项目验收通过之日起计算。</w:t>
      </w:r>
      <w:r>
        <w:rPr>
          <w:rFonts w:hint="eastAsia" w:eastAsia="仿宋_GB2312"/>
          <w:kern w:val="0"/>
          <w:sz w:val="32"/>
          <w:szCs w:val="32"/>
        </w:rPr>
        <w:t>中标方应免费提供系统整体</w:t>
      </w:r>
      <w:r>
        <w:rPr>
          <w:rFonts w:eastAsia="仿宋_GB2312"/>
          <w:kern w:val="0"/>
          <w:sz w:val="32"/>
          <w:szCs w:val="32"/>
        </w:rPr>
        <w:t>3年或以上</w:t>
      </w:r>
      <w:r>
        <w:rPr>
          <w:rFonts w:hint="eastAsia" w:eastAsia="仿宋_GB2312"/>
          <w:kern w:val="0"/>
          <w:sz w:val="32"/>
          <w:szCs w:val="32"/>
        </w:rPr>
        <w:t>免费质保</w:t>
      </w:r>
      <w:r>
        <w:rPr>
          <w:rFonts w:eastAsia="仿宋_GB2312"/>
          <w:kern w:val="0"/>
          <w:sz w:val="32"/>
          <w:szCs w:val="32"/>
        </w:rPr>
        <w:t>。同时提供</w:t>
      </w:r>
      <w:r>
        <w:rPr>
          <w:rFonts w:hint="eastAsia" w:eastAsia="仿宋_GB2312"/>
          <w:kern w:val="0"/>
          <w:sz w:val="32"/>
          <w:szCs w:val="32"/>
        </w:rPr>
        <w:t>供应商</w:t>
      </w:r>
      <w:r>
        <w:rPr>
          <w:rFonts w:eastAsia="仿宋_GB2312"/>
          <w:kern w:val="0"/>
          <w:sz w:val="32"/>
          <w:szCs w:val="32"/>
        </w:rPr>
        <w:t>出具的本项目采购的所有设备3年或以上原厂保修服务承诺，内容包括但不限于保修期限、保修条件、保修范围等方面</w:t>
      </w:r>
      <w:r>
        <w:rPr>
          <w:rFonts w:hint="eastAsia" w:eastAsia="仿宋_GB2312"/>
          <w:kern w:val="0"/>
          <w:sz w:val="32"/>
          <w:szCs w:val="32"/>
        </w:rPr>
        <w:t>，需加盖供应商公章与设备制造商原厂公章</w:t>
      </w:r>
      <w:r>
        <w:rPr>
          <w:rFonts w:eastAsia="仿宋_GB2312"/>
          <w:kern w:val="0"/>
          <w:sz w:val="32"/>
          <w:szCs w:val="32"/>
        </w:rPr>
        <w:t>。</w:t>
      </w:r>
    </w:p>
    <w:p w14:paraId="39301950">
      <w:pPr>
        <w:widowControl/>
        <w:adjustRightInd w:val="0"/>
        <w:snapToGrid w:val="0"/>
        <w:spacing w:line="560" w:lineRule="exact"/>
        <w:ind w:firstLine="646"/>
        <w:rPr>
          <w:rFonts w:eastAsia="仿宋_GB2312"/>
          <w:kern w:val="0"/>
          <w:sz w:val="32"/>
          <w:szCs w:val="32"/>
        </w:rPr>
      </w:pPr>
      <w:r>
        <w:rPr>
          <w:rFonts w:eastAsia="仿宋_GB2312"/>
          <w:kern w:val="0"/>
          <w:sz w:val="32"/>
          <w:szCs w:val="32"/>
        </w:rPr>
        <w:t>免费维护期内，中标方</w:t>
      </w:r>
      <w:r>
        <w:rPr>
          <w:rFonts w:hint="eastAsia" w:eastAsia="仿宋_GB2312"/>
          <w:kern w:val="0"/>
          <w:sz w:val="32"/>
          <w:szCs w:val="32"/>
        </w:rPr>
        <w:t>应提供至少1名</w:t>
      </w:r>
      <w:r>
        <w:rPr>
          <w:rFonts w:eastAsia="仿宋_GB2312"/>
          <w:kern w:val="0"/>
          <w:sz w:val="32"/>
          <w:szCs w:val="32"/>
        </w:rPr>
        <w:t>具有</w:t>
      </w:r>
      <w:r>
        <w:rPr>
          <w:rFonts w:hint="eastAsia" w:eastAsia="仿宋_GB2312"/>
          <w:kern w:val="0"/>
          <w:sz w:val="32"/>
          <w:szCs w:val="32"/>
        </w:rPr>
        <w:t>两年以上类似项目</w:t>
      </w:r>
      <w:r>
        <w:rPr>
          <w:rFonts w:eastAsia="仿宋_GB2312"/>
          <w:kern w:val="0"/>
          <w:sz w:val="32"/>
          <w:szCs w:val="32"/>
        </w:rPr>
        <w:t>经验的工程师驻场服务（驻场地点：武宁南路128号，至少5*8小时驻场服务，节假日或重大活动保障期间应根据</w:t>
      </w:r>
      <w:r>
        <w:rPr>
          <w:rFonts w:hint="eastAsia" w:eastAsia="仿宋_GB2312"/>
          <w:kern w:val="0"/>
          <w:sz w:val="32"/>
          <w:szCs w:val="32"/>
        </w:rPr>
        <w:t>用户方</w:t>
      </w:r>
      <w:r>
        <w:rPr>
          <w:rFonts w:eastAsia="仿宋_GB2312"/>
          <w:kern w:val="0"/>
          <w:sz w:val="32"/>
          <w:szCs w:val="32"/>
        </w:rPr>
        <w:t>的要求，提供现场保障）。中标方如需更换驻场工程师必须事先与用户</w:t>
      </w:r>
      <w:r>
        <w:rPr>
          <w:rFonts w:hint="eastAsia" w:eastAsia="仿宋_GB2312"/>
          <w:kern w:val="0"/>
          <w:sz w:val="32"/>
          <w:szCs w:val="32"/>
        </w:rPr>
        <w:t>方</w:t>
      </w:r>
      <w:r>
        <w:rPr>
          <w:rFonts w:eastAsia="仿宋_GB2312"/>
          <w:kern w:val="0"/>
          <w:sz w:val="32"/>
          <w:szCs w:val="32"/>
        </w:rPr>
        <w:t>协商确定。</w:t>
      </w:r>
    </w:p>
    <w:p w14:paraId="0486AEA5">
      <w:pPr>
        <w:widowControl/>
        <w:adjustRightInd w:val="0"/>
        <w:snapToGrid w:val="0"/>
        <w:spacing w:line="560" w:lineRule="exact"/>
        <w:ind w:firstLine="646"/>
        <w:rPr>
          <w:rFonts w:eastAsia="仿宋_GB2312"/>
          <w:kern w:val="0"/>
          <w:sz w:val="32"/>
          <w:szCs w:val="32"/>
        </w:rPr>
      </w:pPr>
      <w:r>
        <w:rPr>
          <w:rFonts w:hint="eastAsia" w:eastAsia="仿宋_GB2312"/>
          <w:kern w:val="0"/>
          <w:sz w:val="32"/>
          <w:szCs w:val="32"/>
        </w:rPr>
        <w:t>免费维护期内，中标方须</w:t>
      </w:r>
      <w:r>
        <w:rPr>
          <w:rFonts w:eastAsia="仿宋_GB2312"/>
          <w:kern w:val="0"/>
          <w:sz w:val="32"/>
          <w:szCs w:val="32"/>
        </w:rPr>
        <w:t>提供7×24小时技术支持服务，故障响应时间不超过30分钟，到达现场时间不超过1小时，2小时内排除故障或提出解决方案</w:t>
      </w:r>
      <w:r>
        <w:rPr>
          <w:rFonts w:hint="eastAsia" w:eastAsia="仿宋_GB2312"/>
          <w:kern w:val="0"/>
          <w:sz w:val="32"/>
          <w:szCs w:val="32"/>
        </w:rPr>
        <w:t>，在不增硬件的基础上</w:t>
      </w:r>
      <w:r>
        <w:rPr>
          <w:rFonts w:eastAsia="仿宋_GB2312"/>
          <w:kern w:val="0"/>
          <w:sz w:val="32"/>
          <w:szCs w:val="32"/>
        </w:rPr>
        <w:t>免费进行软件升级和修改</w:t>
      </w:r>
      <w:r>
        <w:rPr>
          <w:rFonts w:hint="eastAsia" w:eastAsia="仿宋_GB2312"/>
          <w:kern w:val="0"/>
          <w:sz w:val="32"/>
          <w:szCs w:val="32"/>
        </w:rPr>
        <w:t>。</w:t>
      </w:r>
    </w:p>
    <w:p w14:paraId="573830E2">
      <w:pPr>
        <w:widowControl/>
        <w:adjustRightInd w:val="0"/>
        <w:snapToGrid w:val="0"/>
        <w:spacing w:line="560" w:lineRule="exact"/>
        <w:ind w:firstLine="646"/>
        <w:rPr>
          <w:rFonts w:eastAsia="仿宋_GB2312"/>
          <w:kern w:val="0"/>
          <w:sz w:val="32"/>
          <w:szCs w:val="32"/>
        </w:rPr>
      </w:pPr>
      <w:r>
        <w:rPr>
          <w:rFonts w:eastAsia="仿宋_GB2312"/>
          <w:kern w:val="0"/>
          <w:sz w:val="32"/>
          <w:szCs w:val="32"/>
        </w:rPr>
        <w:t>免费维护期间，</w:t>
      </w:r>
      <w:r>
        <w:rPr>
          <w:rFonts w:hint="eastAsia" w:eastAsia="仿宋_GB2312"/>
          <w:kern w:val="0"/>
          <w:sz w:val="32"/>
          <w:szCs w:val="32"/>
        </w:rPr>
        <w:t>中标方</w:t>
      </w:r>
      <w:r>
        <w:rPr>
          <w:rFonts w:eastAsia="仿宋_GB2312"/>
          <w:kern w:val="0"/>
          <w:sz w:val="32"/>
          <w:szCs w:val="32"/>
        </w:rPr>
        <w:t>须</w:t>
      </w:r>
      <w:r>
        <w:rPr>
          <w:rFonts w:hint="eastAsia" w:eastAsia="仿宋_GB2312"/>
          <w:kern w:val="0"/>
          <w:sz w:val="32"/>
          <w:szCs w:val="32"/>
        </w:rPr>
        <w:t>根据</w:t>
      </w:r>
      <w:r>
        <w:rPr>
          <w:rFonts w:eastAsia="仿宋_GB2312"/>
          <w:kern w:val="0"/>
          <w:sz w:val="32"/>
          <w:szCs w:val="32"/>
        </w:rPr>
        <w:t>用户</w:t>
      </w:r>
      <w:r>
        <w:rPr>
          <w:rFonts w:hint="eastAsia" w:eastAsia="仿宋_GB2312"/>
          <w:kern w:val="0"/>
          <w:sz w:val="32"/>
          <w:szCs w:val="32"/>
        </w:rPr>
        <w:t>方要求对平台</w:t>
      </w:r>
      <w:r>
        <w:rPr>
          <w:rFonts w:eastAsia="仿宋_GB2312"/>
          <w:kern w:val="0"/>
          <w:sz w:val="32"/>
          <w:szCs w:val="32"/>
        </w:rPr>
        <w:t>设备进行巡检，并协助用户对隐患和故障进行解决和追查。</w:t>
      </w:r>
    </w:p>
    <w:p w14:paraId="4BD5AD3C">
      <w:pPr>
        <w:widowControl/>
        <w:adjustRightInd w:val="0"/>
        <w:snapToGrid w:val="0"/>
        <w:spacing w:line="560" w:lineRule="exact"/>
        <w:ind w:firstLine="646"/>
        <w:outlineLvl w:val="1"/>
        <w:rPr>
          <w:rFonts w:eastAsia="楷体_GB2312"/>
          <w:bCs/>
          <w:kern w:val="0"/>
          <w:sz w:val="32"/>
          <w:szCs w:val="32"/>
        </w:rPr>
      </w:pPr>
      <w:r>
        <w:rPr>
          <w:rFonts w:eastAsia="楷体_GB2312"/>
          <w:bCs/>
          <w:kern w:val="0"/>
          <w:sz w:val="32"/>
          <w:szCs w:val="32"/>
        </w:rPr>
        <w:t>（七）招标方案、投标单位资质要求及投标书应答要求</w:t>
      </w:r>
    </w:p>
    <w:p w14:paraId="2E321837">
      <w:pPr>
        <w:widowControl/>
        <w:adjustRightInd w:val="0"/>
        <w:snapToGrid w:val="0"/>
        <w:spacing w:line="560" w:lineRule="exact"/>
        <w:ind w:firstLine="646"/>
        <w:outlineLvl w:val="2"/>
        <w:rPr>
          <w:rFonts w:eastAsia="仿宋_GB2312"/>
          <w:kern w:val="0"/>
          <w:sz w:val="32"/>
          <w:szCs w:val="32"/>
        </w:rPr>
      </w:pPr>
      <w:bookmarkStart w:id="15" w:name="_Toc205230643"/>
      <w:bookmarkStart w:id="16" w:name="_Toc174529968"/>
      <w:bookmarkStart w:id="17" w:name="_Toc199145424"/>
      <w:bookmarkStart w:id="18" w:name="_Toc216961982"/>
      <w:r>
        <w:rPr>
          <w:rFonts w:hint="eastAsia" w:eastAsia="仿宋_GB2312"/>
          <w:kern w:val="0"/>
          <w:sz w:val="32"/>
          <w:szCs w:val="32"/>
        </w:rPr>
        <w:t>1、</w:t>
      </w:r>
      <w:bookmarkEnd w:id="15"/>
      <w:bookmarkEnd w:id="16"/>
      <w:bookmarkEnd w:id="17"/>
      <w:bookmarkEnd w:id="18"/>
      <w:bookmarkStart w:id="19" w:name="_Toc174529970"/>
      <w:bookmarkStart w:id="20" w:name="_Toc216961984"/>
      <w:bookmarkStart w:id="21" w:name="_Toc205230645"/>
      <w:bookmarkStart w:id="22" w:name="_Toc199145426"/>
      <w:r>
        <w:rPr>
          <w:rFonts w:hint="eastAsia" w:eastAsia="仿宋_GB2312"/>
          <w:kern w:val="0"/>
          <w:sz w:val="32"/>
          <w:szCs w:val="32"/>
        </w:rPr>
        <w:t>招标的方式</w:t>
      </w:r>
      <w:bookmarkEnd w:id="19"/>
      <w:bookmarkEnd w:id="20"/>
      <w:bookmarkEnd w:id="21"/>
      <w:bookmarkEnd w:id="22"/>
    </w:p>
    <w:p w14:paraId="162F815B">
      <w:pPr>
        <w:widowControl/>
        <w:adjustRightInd w:val="0"/>
        <w:snapToGrid w:val="0"/>
        <w:spacing w:line="560" w:lineRule="exact"/>
        <w:ind w:firstLine="646"/>
        <w:rPr>
          <w:rFonts w:eastAsia="仿宋_GB2312"/>
          <w:kern w:val="0"/>
          <w:sz w:val="32"/>
          <w:szCs w:val="32"/>
        </w:rPr>
      </w:pPr>
      <w:r>
        <w:rPr>
          <w:rFonts w:hint="eastAsia" w:eastAsia="仿宋_GB2312"/>
          <w:kern w:val="0"/>
          <w:sz w:val="32"/>
          <w:szCs w:val="32"/>
        </w:rPr>
        <w:t>本项目通过公开招标选定。</w:t>
      </w:r>
    </w:p>
    <w:p w14:paraId="3CE8A291">
      <w:pPr>
        <w:widowControl/>
        <w:adjustRightInd w:val="0"/>
        <w:snapToGrid w:val="0"/>
        <w:spacing w:line="560" w:lineRule="exact"/>
        <w:ind w:firstLine="646"/>
        <w:outlineLvl w:val="2"/>
        <w:rPr>
          <w:rFonts w:eastAsia="仿宋_GB2312"/>
          <w:kern w:val="0"/>
          <w:sz w:val="32"/>
          <w:szCs w:val="32"/>
        </w:rPr>
      </w:pPr>
      <w:r>
        <w:rPr>
          <w:rFonts w:hint="eastAsia" w:eastAsia="仿宋_GB2312"/>
          <w:kern w:val="0"/>
          <w:sz w:val="32"/>
          <w:szCs w:val="32"/>
        </w:rPr>
        <w:t>2、供应商能力要求</w:t>
      </w:r>
    </w:p>
    <w:p w14:paraId="70224E3F">
      <w:pPr>
        <w:widowControl/>
        <w:adjustRightInd w:val="0"/>
        <w:snapToGrid w:val="0"/>
        <w:spacing w:line="560" w:lineRule="exact"/>
        <w:ind w:firstLine="646"/>
        <w:rPr>
          <w:rFonts w:eastAsia="仿宋_GB2312"/>
          <w:kern w:val="0"/>
          <w:sz w:val="32"/>
          <w:szCs w:val="32"/>
        </w:rPr>
      </w:pPr>
      <w:r>
        <w:rPr>
          <w:rFonts w:eastAsia="仿宋_GB2312"/>
          <w:kern w:val="0"/>
          <w:sz w:val="32"/>
          <w:szCs w:val="32"/>
        </w:rPr>
        <w:t>供应商应提供规范的软件工程实施和项目管理方法，提供完整的质量保证体系，对项目实施的全过程进行jk和管理，对服务进度和工程实施进度进行控制。</w:t>
      </w:r>
    </w:p>
    <w:p w14:paraId="37290DCE">
      <w:pPr>
        <w:widowControl/>
        <w:adjustRightInd w:val="0"/>
        <w:snapToGrid w:val="0"/>
        <w:spacing w:line="560" w:lineRule="exact"/>
        <w:ind w:firstLine="646"/>
        <w:rPr>
          <w:rFonts w:eastAsia="仿宋_GB2312"/>
          <w:kern w:val="0"/>
          <w:sz w:val="32"/>
          <w:szCs w:val="32"/>
        </w:rPr>
      </w:pPr>
      <w:r>
        <w:rPr>
          <w:rFonts w:hint="eastAsia" w:eastAsia="仿宋_GB2312"/>
          <w:kern w:val="0"/>
          <w:sz w:val="32"/>
          <w:szCs w:val="32"/>
        </w:rPr>
        <w:t>供应商具有与视频应用与管理相关软件著作权、已授权发明专利、</w:t>
      </w:r>
      <w:r>
        <w:rPr>
          <w:rFonts w:eastAsia="仿宋_GB2312"/>
          <w:kern w:val="0"/>
          <w:sz w:val="32"/>
          <w:szCs w:val="32"/>
        </w:rPr>
        <w:t>CCRC</w:t>
      </w:r>
      <w:r>
        <w:rPr>
          <w:rFonts w:hint="eastAsia" w:eastAsia="仿宋_GB2312"/>
          <w:kern w:val="0"/>
          <w:sz w:val="32"/>
          <w:szCs w:val="32"/>
        </w:rPr>
        <w:t>信息系统安全开发服务资质的优先考虑。</w:t>
      </w:r>
    </w:p>
    <w:p w14:paraId="52318232">
      <w:pPr>
        <w:widowControl/>
        <w:adjustRightInd w:val="0"/>
        <w:snapToGrid w:val="0"/>
        <w:spacing w:line="560" w:lineRule="exact"/>
        <w:ind w:firstLine="646"/>
        <w:rPr>
          <w:rFonts w:eastAsia="仿宋_GB2312"/>
          <w:kern w:val="0"/>
          <w:sz w:val="32"/>
          <w:szCs w:val="32"/>
        </w:rPr>
      </w:pPr>
      <w:r>
        <w:rPr>
          <w:rFonts w:hint="eastAsia" w:eastAsia="仿宋_GB2312"/>
          <w:kern w:val="0"/>
          <w:sz w:val="32"/>
          <w:szCs w:val="32"/>
        </w:rPr>
        <w:t>3、团队人员要求</w:t>
      </w:r>
    </w:p>
    <w:p w14:paraId="6B61DABA">
      <w:pPr>
        <w:widowControl/>
        <w:adjustRightInd w:val="0"/>
        <w:snapToGrid w:val="0"/>
        <w:spacing w:line="560" w:lineRule="exact"/>
        <w:ind w:firstLine="646"/>
        <w:rPr>
          <w:rFonts w:eastAsia="仿宋_GB2312"/>
          <w:kern w:val="0"/>
          <w:sz w:val="32"/>
          <w:szCs w:val="32"/>
        </w:rPr>
      </w:pPr>
      <w:r>
        <w:rPr>
          <w:rFonts w:hint="eastAsia" w:eastAsia="仿宋_GB2312"/>
          <w:kern w:val="0"/>
          <w:sz w:val="32"/>
          <w:szCs w:val="32"/>
        </w:rPr>
        <w:t>项目建设期间，开发期间项目团队不少于</w:t>
      </w:r>
      <w:r>
        <w:rPr>
          <w:rFonts w:eastAsia="仿宋_GB2312"/>
          <w:kern w:val="0"/>
          <w:sz w:val="32"/>
          <w:szCs w:val="32"/>
        </w:rPr>
        <w:t>80</w:t>
      </w:r>
      <w:r>
        <w:rPr>
          <w:rFonts w:hint="eastAsia" w:eastAsia="仿宋_GB2312"/>
          <w:kern w:val="0"/>
          <w:sz w:val="32"/>
          <w:szCs w:val="32"/>
        </w:rPr>
        <w:t>人，质保期内驻场人数不少于</w:t>
      </w:r>
      <w:r>
        <w:rPr>
          <w:rFonts w:eastAsia="仿宋_GB2312"/>
          <w:kern w:val="0"/>
          <w:sz w:val="32"/>
          <w:szCs w:val="32"/>
        </w:rPr>
        <w:t>2</w:t>
      </w:r>
      <w:r>
        <w:rPr>
          <w:rFonts w:hint="eastAsia" w:eastAsia="仿宋_GB2312"/>
          <w:kern w:val="0"/>
          <w:sz w:val="32"/>
          <w:szCs w:val="32"/>
        </w:rPr>
        <w:t>人。项目负责人须具有本科或以上学历，具有</w:t>
      </w:r>
      <w:r>
        <w:rPr>
          <w:rFonts w:eastAsia="仿宋_GB2312"/>
          <w:kern w:val="0"/>
          <w:sz w:val="32"/>
          <w:szCs w:val="32"/>
        </w:rPr>
        <w:t>15</w:t>
      </w:r>
      <w:r>
        <w:rPr>
          <w:rFonts w:hint="eastAsia" w:eastAsia="仿宋_GB2312"/>
          <w:kern w:val="0"/>
          <w:sz w:val="32"/>
          <w:szCs w:val="32"/>
        </w:rPr>
        <w:t>年或以上工程管理、安防系统建设经验</w:t>
      </w:r>
      <w:r>
        <w:rPr>
          <w:rFonts w:hint="eastAsia" w:eastAsia="仿宋_GB2312"/>
          <w:kern w:val="0"/>
          <w:sz w:val="32"/>
          <w:szCs w:val="32"/>
          <w:lang w:eastAsia="zh-CN"/>
        </w:rPr>
        <w:t>、具有信息技术类高级工程师职称</w:t>
      </w:r>
      <w:r>
        <w:rPr>
          <w:rFonts w:hint="eastAsia" w:eastAsia="仿宋_GB2312"/>
          <w:kern w:val="0"/>
          <w:sz w:val="32"/>
          <w:szCs w:val="32"/>
        </w:rPr>
        <w:t>。主要技术负责人需有承担过类似信息系统项目建设经验。项目团队成员具有信息技术类高级工程师职称、高级信息系统管理师、注册信息安全专业人员、高级软件工程师、高级系统架构设计师的优先考虑。</w:t>
      </w:r>
    </w:p>
    <w:p w14:paraId="7B73E83A">
      <w:pPr>
        <w:widowControl/>
        <w:adjustRightInd w:val="0"/>
        <w:snapToGrid w:val="0"/>
        <w:spacing w:line="560" w:lineRule="exact"/>
        <w:ind w:firstLine="646"/>
        <w:rPr>
          <w:rFonts w:eastAsia="仿宋_GB2312"/>
          <w:kern w:val="0"/>
          <w:sz w:val="32"/>
          <w:szCs w:val="32"/>
        </w:rPr>
      </w:pPr>
    </w:p>
    <w:p w14:paraId="3D6524B8">
      <w:pPr>
        <w:widowControl/>
        <w:adjustRightInd w:val="0"/>
        <w:snapToGrid w:val="0"/>
        <w:spacing w:line="560" w:lineRule="exact"/>
        <w:ind w:firstLine="646"/>
        <w:outlineLvl w:val="1"/>
        <w:rPr>
          <w:rFonts w:eastAsia="楷体_GB2312"/>
          <w:bCs/>
          <w:kern w:val="0"/>
          <w:sz w:val="32"/>
          <w:szCs w:val="32"/>
        </w:rPr>
      </w:pPr>
      <w:r>
        <w:rPr>
          <w:rFonts w:eastAsia="楷体_GB2312"/>
          <w:bCs/>
          <w:kern w:val="0"/>
          <w:sz w:val="32"/>
          <w:szCs w:val="32"/>
        </w:rPr>
        <w:t>（八）项目验收</w:t>
      </w:r>
    </w:p>
    <w:p w14:paraId="38BEBAEB">
      <w:pPr>
        <w:widowControl/>
        <w:adjustRightInd w:val="0"/>
        <w:snapToGrid w:val="0"/>
        <w:spacing w:line="560" w:lineRule="exact"/>
        <w:ind w:firstLine="646"/>
        <w:rPr>
          <w:rFonts w:eastAsia="仿宋_GB2312"/>
          <w:kern w:val="0"/>
          <w:sz w:val="32"/>
          <w:szCs w:val="32"/>
        </w:rPr>
      </w:pPr>
      <w:bookmarkStart w:id="23" w:name="PO_服务期限6"/>
      <w:r>
        <w:rPr>
          <w:rFonts w:hint="eastAsia" w:eastAsia="仿宋_GB2312"/>
          <w:kern w:val="0"/>
          <w:sz w:val="32"/>
          <w:szCs w:val="32"/>
        </w:rPr>
        <w:t>合同生效之日起12</w:t>
      </w:r>
      <w:r>
        <w:rPr>
          <w:rFonts w:eastAsia="仿宋_GB2312"/>
          <w:kern w:val="0"/>
          <w:sz w:val="32"/>
          <w:szCs w:val="32"/>
        </w:rPr>
        <w:t>个月内，</w:t>
      </w:r>
      <w:r>
        <w:rPr>
          <w:rFonts w:hint="eastAsia" w:eastAsia="仿宋_GB2312"/>
          <w:kern w:val="0"/>
          <w:sz w:val="32"/>
          <w:szCs w:val="32"/>
        </w:rPr>
        <w:t>中标方应</w:t>
      </w:r>
      <w:r>
        <w:rPr>
          <w:rFonts w:eastAsia="仿宋_GB2312"/>
          <w:kern w:val="0"/>
          <w:sz w:val="32"/>
          <w:szCs w:val="32"/>
        </w:rPr>
        <w:t>完成信息系统全部</w:t>
      </w:r>
      <w:r>
        <w:rPr>
          <w:rFonts w:hint="eastAsia" w:eastAsia="仿宋_GB2312"/>
          <w:kern w:val="0"/>
          <w:sz w:val="32"/>
          <w:szCs w:val="32"/>
        </w:rPr>
        <w:t>开发部署调试和不少于1个月的试运行</w:t>
      </w:r>
      <w:r>
        <w:rPr>
          <w:rFonts w:eastAsia="仿宋_GB2312"/>
          <w:kern w:val="0"/>
          <w:sz w:val="32"/>
          <w:szCs w:val="32"/>
        </w:rPr>
        <w:t>工作</w:t>
      </w:r>
      <w:bookmarkEnd w:id="23"/>
      <w:r>
        <w:rPr>
          <w:rFonts w:hint="eastAsia" w:eastAsia="仿宋_GB2312"/>
          <w:kern w:val="0"/>
          <w:sz w:val="32"/>
          <w:szCs w:val="32"/>
        </w:rPr>
        <w:t>。验收形式由采购人指定，成交供应商必须配合验收相关工作。成交供应商必须提供整个系统包括设备的测试与验收的方案和详细的验收计划。成交供应商应对每个设备及整体系统进行完善的测试和自验收，提供测试文档和自验收文档。</w:t>
      </w:r>
    </w:p>
    <w:p w14:paraId="7D5C0E5F">
      <w:pPr>
        <w:widowControl/>
        <w:adjustRightInd w:val="0"/>
        <w:snapToGrid w:val="0"/>
        <w:spacing w:line="560" w:lineRule="exact"/>
        <w:ind w:firstLine="646"/>
        <w:rPr>
          <w:rFonts w:eastAsia="仿宋_GB2312"/>
          <w:b/>
          <w:kern w:val="0"/>
          <w:sz w:val="32"/>
          <w:szCs w:val="32"/>
        </w:rPr>
      </w:pPr>
      <w:r>
        <w:rPr>
          <w:rFonts w:hint="eastAsia" w:eastAsia="仿宋_GB2312"/>
          <w:b/>
          <w:kern w:val="0"/>
          <w:sz w:val="32"/>
          <w:szCs w:val="32"/>
        </w:rPr>
        <w:t>成交供应商应当根据甲方要求配合有相关资质的测评机构进行安全测评、软件测试与密码测评，并通过三项测试或测评。同时，该系统应满足网络安全等级保护三级。</w:t>
      </w:r>
    </w:p>
    <w:p w14:paraId="068C1EE6">
      <w:pPr>
        <w:widowControl/>
        <w:adjustRightInd w:val="0"/>
        <w:snapToGrid w:val="0"/>
        <w:spacing w:line="560" w:lineRule="exact"/>
        <w:ind w:firstLine="646"/>
        <w:rPr>
          <w:rFonts w:eastAsia="仿宋_GB2312"/>
          <w:kern w:val="0"/>
          <w:sz w:val="32"/>
          <w:szCs w:val="32"/>
        </w:rPr>
      </w:pPr>
      <w:r>
        <w:rPr>
          <w:rFonts w:hint="eastAsia" w:eastAsia="仿宋_GB2312"/>
          <w:kern w:val="0"/>
          <w:sz w:val="32"/>
          <w:szCs w:val="32"/>
        </w:rPr>
        <w:t>验收相关资料：所有验收文件、硬件设备原厂功能证明（提供截图等并要求加盖供应商公章）、配置文档、设备技术资料及使用说明书等，资料根据验收要求完整提交，以作设备留档备案。</w:t>
      </w:r>
    </w:p>
    <w:p w14:paraId="56C84F05">
      <w:pPr>
        <w:widowControl/>
        <w:jc w:val="left"/>
      </w:pPr>
      <w:r>
        <w:br w:type="page"/>
      </w:r>
    </w:p>
    <w:p w14:paraId="050FBEAA">
      <w:pPr>
        <w:sectPr>
          <w:footerReference r:id="rId3" w:type="default"/>
          <w:pgSz w:w="11906" w:h="16838"/>
          <w:pgMar w:top="1440" w:right="1797" w:bottom="1440" w:left="1797" w:header="851" w:footer="992" w:gutter="0"/>
          <w:pgNumType w:fmt="numberInDash"/>
          <w:cols w:space="425" w:num="1"/>
          <w:docGrid w:linePitch="312" w:charSpace="0"/>
        </w:sectPr>
      </w:pPr>
    </w:p>
    <w:p w14:paraId="5D7FE364">
      <w:pPr>
        <w:widowControl/>
        <w:adjustRightInd w:val="0"/>
        <w:snapToGrid w:val="0"/>
        <w:spacing w:line="560" w:lineRule="exact"/>
        <w:ind w:firstLine="646"/>
        <w:outlineLvl w:val="1"/>
        <w:rPr>
          <w:rFonts w:eastAsia="楷体_GB2312"/>
          <w:bCs/>
          <w:kern w:val="0"/>
          <w:sz w:val="32"/>
          <w:szCs w:val="32"/>
        </w:rPr>
      </w:pPr>
      <w:bookmarkStart w:id="24" w:name="_GoBack"/>
      <w:bookmarkEnd w:id="24"/>
    </w:p>
    <w:sectPr>
      <w:pgSz w:w="11906" w:h="16838"/>
      <w:pgMar w:top="1440" w:right="1797" w:bottom="1440" w:left="1797" w:header="851" w:footer="992" w:gutter="0"/>
      <w:pgNumType w:fmt="numberInDash"/>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Light">
    <w:altName w:val="仿宋_GB2312"/>
    <w:panose1 w:val="00000000000000000000"/>
    <w:charset w:val="86"/>
    <w:family w:val="auto"/>
    <w:pitch w:val="default"/>
    <w:sig w:usb0="00000000" w:usb1="00000000"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Cambria">
    <w:altName w:val="Noto Sans Syriac Eastern"/>
    <w:panose1 w:val="02040503050406030204"/>
    <w:charset w:val="00"/>
    <w:family w:val="roman"/>
    <w:pitch w:val="default"/>
    <w:sig w:usb0="00000000" w:usb1="00000000" w:usb2="00000000" w:usb3="00000000" w:csb0="0000019F" w:csb1="00000000"/>
  </w:font>
  <w:font w:name="Noto Sans Syriac Eastern">
    <w:panose1 w:val="02040503050306020203"/>
    <w:charset w:val="86"/>
    <w:family w:val="auto"/>
    <w:pitch w:val="default"/>
    <w:sig w:usb0="00000000" w:usb1="00000000" w:usb2="00000080" w:usb3="00000000" w:csb0="203E0161" w:csb1="D7FF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Calibri Light">
    <w:altName w:val="DejaVu Sans"/>
    <w:panose1 w:val="020F0302020204030204"/>
    <w:charset w:val="00"/>
    <w:family w:val="swiss"/>
    <w:pitch w:val="default"/>
    <w:sig w:usb0="00000000" w:usb1="00000000" w:usb2="00000000" w:usb3="00000000" w:csb0="0000019F" w:csb1="00000000"/>
  </w:font>
  <w:font w:name="等线">
    <w:altName w:val="仿宋_GB2312"/>
    <w:panose1 w:val="00000000000000000000"/>
    <w:charset w:val="86"/>
    <w:family w:val="auto"/>
    <w:pitch w:val="default"/>
    <w:sig w:usb0="00000000" w:usb1="00000000" w:usb2="00000016" w:usb3="00000000" w:csb0="0004000F" w:csb1="00000000"/>
  </w:font>
  <w:font w:name="MiSans">
    <w:altName w:val="仿宋_GB2312"/>
    <w:panose1 w:val="00000000000000000000"/>
    <w:charset w:val="00"/>
    <w:family w:val="auto"/>
    <w:pitch w:val="default"/>
    <w:sig w:usb0="00000000" w:usb1="00000000" w:usb2="00000000" w:usb3="00000000" w:csb0="00000000" w:csb1="00000000"/>
  </w:font>
  <w:font w:name="微软雅黑">
    <w:altName w:val="方正黑体_GBK"/>
    <w:panose1 w:val="020B0503020204020204"/>
    <w:charset w:val="86"/>
    <w:family w:val="swiss"/>
    <w:pitch w:val="default"/>
    <w:sig w:usb0="00000000" w:usb1="00000000" w:usb2="00000016" w:usb3="00000000" w:csb0="0004001F" w:csb1="00000000"/>
  </w:font>
  <w:font w:name="Wingdings 2">
    <w:panose1 w:val="05020102010507070707"/>
    <w:charset w:val="02"/>
    <w:family w:val="roman"/>
    <w:pitch w:val="default"/>
    <w:sig w:usb0="00000000" w:usb1="00000000" w:usb2="00000000" w:usb3="00000000" w:csb0="80000000" w:csb1="00000000"/>
  </w:font>
  <w:font w:name="Segoe UI">
    <w:altName w:val="Noto Naskh Arabic"/>
    <w:panose1 w:val="020B0502040204020203"/>
    <w:charset w:val="00"/>
    <w:family w:val="swiss"/>
    <w:pitch w:val="default"/>
    <w:sig w:usb0="00000000" w:usb1="00000000" w:usb2="00000029" w:usb3="00000000" w:csb0="000001DF" w:csb1="00000000"/>
  </w:font>
  <w:font w:name="Noto Naskh Arabic">
    <w:panose1 w:val="020B0502040504020204"/>
    <w:charset w:val="00"/>
    <w:family w:val="auto"/>
    <w:pitch w:val="default"/>
    <w:sig w:usb0="80002003" w:usb1="80002000" w:usb2="00000008" w:usb3="00000000" w:csb0="00000041" w:csb1="0008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MS Mincho">
    <w:altName w:val="方正书宋_GBK"/>
    <w:panose1 w:val="02020609040205080304"/>
    <w:charset w:val="80"/>
    <w:family w:val="modern"/>
    <w:pitch w:val="default"/>
    <w:sig w:usb0="00000000" w:usb1="00000000" w:usb2="00000012" w:usb3="00000000" w:csb0="0002009F" w:csb1="00000000"/>
  </w:font>
  <w:font w:name="东文宋体">
    <w:altName w:val="方正书宋_GBK"/>
    <w:panose1 w:val="00000000000000000000"/>
    <w:charset w:val="00"/>
    <w:family w:val="auto"/>
    <w:pitch w:val="default"/>
    <w:sig w:usb0="00000000" w:usb1="00000000" w:usb2="00000000" w:usb3="00000000" w:csb0="00000000" w:csb1="00000000"/>
  </w:font>
  <w:font w:name="Liberation Serif">
    <w:panose1 w:val="02020603050405020304"/>
    <w:charset w:val="00"/>
    <w:family w:val="auto"/>
    <w:pitch w:val="default"/>
    <w:sig w:usb0="A00002AF" w:usb1="500078FB" w:usb2="00000000" w:usb3="00000000" w:csb0="6000009F" w:csb1="DFD70000"/>
  </w:font>
  <w:font w:name="微软雅黑">
    <w:altName w:val="方正黑体_GBK"/>
    <w:panose1 w:val="00000000000000000000"/>
    <w:charset w:val="00"/>
    <w:family w:val="auto"/>
    <w:pitch w:val="default"/>
    <w:sig w:usb0="00000000" w:usb1="00000000" w:usb2="00000000" w:usb3="00000000" w:csb0="00000000" w:csb1="00000000"/>
  </w:font>
  <w:font w:name="Tahoma">
    <w:altName w:val="noto sans thai"/>
    <w:panose1 w:val="00000000000000000000"/>
    <w:charset w:val="00"/>
    <w:family w:val="auto"/>
    <w:pitch w:val="default"/>
    <w:sig w:usb0="00000000" w:usb1="00000000" w:usb2="00000000" w:usb3="00000000" w:csb0="00000000" w:csb1="00000000"/>
  </w:font>
  <w:font w:name="文泉驿微米黑">
    <w:panose1 w:val="020B0606030804020204"/>
    <w:charset w:val="86"/>
    <w:family w:val="auto"/>
    <w:pitch w:val="default"/>
    <w:sig w:usb0="E10002EF" w:usb1="6BDFFCFB" w:usb2="00800036" w:usb3="00000000" w:csb0="603E01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5559454"/>
    </w:sdtPr>
    <w:sdtEndPr>
      <w:rPr>
        <w:rFonts w:asciiTheme="minorEastAsia" w:hAnsiTheme="minorEastAsia" w:eastAsiaTheme="minorEastAsia"/>
        <w:sz w:val="28"/>
        <w:szCs w:val="28"/>
      </w:rPr>
    </w:sdtEndPr>
    <w:sdtContent>
      <w:p w14:paraId="28CF7A25">
        <w:pPr>
          <w:pStyle w:val="23"/>
          <w:jc w:val="center"/>
          <w:rPr>
            <w:rFonts w:asciiTheme="minorEastAsia" w:hAnsiTheme="minorEastAsia" w:eastAsiaTheme="minorEastAsia"/>
            <w:sz w:val="28"/>
            <w:szCs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PAGE   \* MERGEFORMAT </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w:t>
        </w:r>
        <w:r>
          <w:rPr>
            <w:rFonts w:asciiTheme="minorEastAsia" w:hAnsiTheme="minorEastAsia" w:eastAsiaTheme="minorEastAsia"/>
            <w:sz w:val="28"/>
            <w:szCs w:val="28"/>
          </w:rPr>
          <w:t xml:space="preserve"> 62 -</w:t>
        </w:r>
        <w:r>
          <w:rPr>
            <w:rFonts w:asciiTheme="minorEastAsia" w:hAnsiTheme="minorEastAsia" w:eastAsiaTheme="minorEastAsia"/>
            <w:sz w:val="28"/>
            <w:szCs w:val="28"/>
          </w:rPr>
          <w:fldChar w:fldCharType="end"/>
        </w:r>
      </w:p>
    </w:sdtContent>
  </w:sdt>
  <w:p w14:paraId="75F76FB3">
    <w:pPr>
      <w:pStyle w:val="2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8A3480"/>
    <w:multiLevelType w:val="multilevel"/>
    <w:tmpl w:val="968A3480"/>
    <w:lvl w:ilvl="0" w:tentative="0">
      <w:start w:val="1"/>
      <w:numFmt w:val="decimal"/>
      <w:pStyle w:val="126"/>
      <w:suff w:val="nothing"/>
      <w:lvlText w:val="表%1："/>
      <w:lvlJc w:val="center"/>
      <w:pPr>
        <w:ind w:left="3964" w:hanging="420"/>
      </w:pPr>
      <w:rPr>
        <w:rFonts w:hint="default" w:cs="Times New Roman"/>
        <w:b w:val="0"/>
        <w:bCs w:val="0"/>
        <w:i w:val="0"/>
        <w:iCs w:val="0"/>
        <w:caps w:val="0"/>
        <w:smallCaps w:val="0"/>
        <w:strike w:val="0"/>
        <w:dstrike w:val="0"/>
        <w:vanish w:val="0"/>
        <w:color w:val="000000"/>
        <w:spacing w:val="0"/>
        <w:position w:val="0"/>
        <w:u w:val="none"/>
        <w:vertAlign w:val="baseline"/>
      </w:rPr>
    </w:lvl>
    <w:lvl w:ilvl="1" w:tentative="0">
      <w:start w:val="1"/>
      <w:numFmt w:val="lowerLetter"/>
      <w:lvlText w:val="%2)"/>
      <w:lvlJc w:val="left"/>
      <w:pPr>
        <w:ind w:left="-1003" w:hanging="420"/>
      </w:pPr>
      <w:rPr>
        <w:rFonts w:hint="eastAsia"/>
      </w:rPr>
    </w:lvl>
    <w:lvl w:ilvl="2" w:tentative="0">
      <w:start w:val="1"/>
      <w:numFmt w:val="lowerRoman"/>
      <w:lvlText w:val="%3."/>
      <w:lvlJc w:val="right"/>
      <w:pPr>
        <w:ind w:left="-583" w:hanging="420"/>
      </w:pPr>
      <w:rPr>
        <w:rFonts w:hint="eastAsia"/>
      </w:rPr>
    </w:lvl>
    <w:lvl w:ilvl="3" w:tentative="0">
      <w:start w:val="1"/>
      <w:numFmt w:val="decimal"/>
      <w:lvlText w:val="%4."/>
      <w:lvlJc w:val="left"/>
      <w:pPr>
        <w:ind w:left="-163" w:hanging="420"/>
      </w:pPr>
      <w:rPr>
        <w:rFonts w:hint="eastAsia"/>
      </w:rPr>
    </w:lvl>
    <w:lvl w:ilvl="4" w:tentative="0">
      <w:start w:val="1"/>
      <w:numFmt w:val="lowerLetter"/>
      <w:lvlText w:val="%5)"/>
      <w:lvlJc w:val="left"/>
      <w:pPr>
        <w:ind w:left="257" w:hanging="420"/>
      </w:pPr>
      <w:rPr>
        <w:rFonts w:hint="eastAsia"/>
      </w:rPr>
    </w:lvl>
    <w:lvl w:ilvl="5" w:tentative="0">
      <w:start w:val="1"/>
      <w:numFmt w:val="lowerRoman"/>
      <w:lvlText w:val="%6."/>
      <w:lvlJc w:val="right"/>
      <w:pPr>
        <w:ind w:left="677" w:hanging="420"/>
      </w:pPr>
      <w:rPr>
        <w:rFonts w:hint="eastAsia"/>
      </w:rPr>
    </w:lvl>
    <w:lvl w:ilvl="6" w:tentative="0">
      <w:start w:val="1"/>
      <w:numFmt w:val="decimal"/>
      <w:lvlText w:val="%7."/>
      <w:lvlJc w:val="left"/>
      <w:pPr>
        <w:ind w:left="1097" w:hanging="420"/>
      </w:pPr>
      <w:rPr>
        <w:rFonts w:hint="eastAsia"/>
      </w:rPr>
    </w:lvl>
    <w:lvl w:ilvl="7" w:tentative="0">
      <w:start w:val="1"/>
      <w:numFmt w:val="lowerLetter"/>
      <w:lvlText w:val="%8)"/>
      <w:lvlJc w:val="left"/>
      <w:pPr>
        <w:ind w:left="1517" w:hanging="420"/>
      </w:pPr>
      <w:rPr>
        <w:rFonts w:hint="eastAsia"/>
      </w:rPr>
    </w:lvl>
    <w:lvl w:ilvl="8" w:tentative="0">
      <w:start w:val="1"/>
      <w:numFmt w:val="lowerRoman"/>
      <w:lvlText w:val="%9."/>
      <w:lvlJc w:val="right"/>
      <w:pPr>
        <w:ind w:left="1937" w:hanging="420"/>
      </w:pPr>
      <w:rPr>
        <w:rFonts w:hint="eastAsia"/>
      </w:rPr>
    </w:lvl>
  </w:abstractNum>
  <w:abstractNum w:abstractNumId="1">
    <w:nsid w:val="F740D0A9"/>
    <w:multiLevelType w:val="multilevel"/>
    <w:tmpl w:val="F740D0A9"/>
    <w:lvl w:ilvl="0" w:tentative="0">
      <w:start w:val="1"/>
      <w:numFmt w:val="chineseCounting"/>
      <w:pStyle w:val="2"/>
      <w:suff w:val="nothing"/>
      <w:lvlText w:val="第%1章 "/>
      <w:lvlJc w:val="left"/>
      <w:pPr>
        <w:ind w:left="432" w:hanging="432"/>
      </w:pPr>
      <w:rPr>
        <w:rFonts w:hint="eastAsia"/>
      </w:rPr>
    </w:lvl>
    <w:lvl w:ilvl="1" w:tentative="0">
      <w:start w:val="1"/>
      <w:numFmt w:val="decimal"/>
      <w:pStyle w:val="3"/>
      <w:isLgl/>
      <w:lvlText w:val="%1.%2."/>
      <w:lvlJc w:val="left"/>
      <w:pPr>
        <w:ind w:left="575" w:hanging="575"/>
      </w:pPr>
      <w:rPr>
        <w:rFonts w:hint="eastAsia"/>
      </w:rPr>
    </w:lvl>
    <w:lvl w:ilvl="2" w:tentative="0">
      <w:start w:val="1"/>
      <w:numFmt w:val="decimal"/>
      <w:pStyle w:val="4"/>
      <w:isLgl/>
      <w:lvlText w:val="%1.%2.%3."/>
      <w:lvlJc w:val="left"/>
      <w:pPr>
        <w:ind w:left="720" w:hanging="720"/>
      </w:pPr>
      <w:rPr>
        <w:rFonts w:hint="eastAsia"/>
      </w:rPr>
    </w:lvl>
    <w:lvl w:ilvl="3" w:tentative="0">
      <w:start w:val="1"/>
      <w:numFmt w:val="decimal"/>
      <w:pStyle w:val="5"/>
      <w:isLgl/>
      <w:lvlText w:val="%1.%2.%3.%4."/>
      <w:lvlJc w:val="left"/>
      <w:pPr>
        <w:ind w:left="864" w:hanging="864"/>
      </w:pPr>
      <w:rPr>
        <w:rFonts w:hint="eastAsia"/>
      </w:rPr>
    </w:lvl>
    <w:lvl w:ilvl="4" w:tentative="0">
      <w:start w:val="1"/>
      <w:numFmt w:val="decimal"/>
      <w:pStyle w:val="6"/>
      <w:isLgl/>
      <w:lvlText w:val="%1.%2.%3.%4.%5."/>
      <w:lvlJc w:val="left"/>
      <w:pPr>
        <w:ind w:left="1008" w:hanging="1008"/>
      </w:pPr>
      <w:rPr>
        <w:rFonts w:hint="eastAsia"/>
      </w:rPr>
    </w:lvl>
    <w:lvl w:ilvl="5" w:tentative="0">
      <w:start w:val="1"/>
      <w:numFmt w:val="decimal"/>
      <w:pStyle w:val="7"/>
      <w:isLgl/>
      <w:lvlText w:val="%1.%2.%3.%4.%5.%6."/>
      <w:lvlJc w:val="left"/>
      <w:pPr>
        <w:ind w:left="1151" w:hanging="1151"/>
      </w:pPr>
      <w:rPr>
        <w:rFonts w:hint="eastAsia"/>
      </w:rPr>
    </w:lvl>
    <w:lvl w:ilvl="6" w:tentative="0">
      <w:start w:val="1"/>
      <w:numFmt w:val="decimal"/>
      <w:pStyle w:val="8"/>
      <w:isLgl/>
      <w:lvlText w:val="%1.%2.%3.%4.%5.%6.%7."/>
      <w:lvlJc w:val="left"/>
      <w:pPr>
        <w:ind w:left="1296" w:hanging="1296"/>
      </w:pPr>
      <w:rPr>
        <w:rFonts w:hint="eastAsia"/>
      </w:rPr>
    </w:lvl>
    <w:lvl w:ilvl="7" w:tentative="0">
      <w:start w:val="1"/>
      <w:numFmt w:val="decimal"/>
      <w:pStyle w:val="9"/>
      <w:isLgl/>
      <w:lvlText w:val="%1.%2.%3.%4.%5.%6.%7.%8."/>
      <w:lvlJc w:val="left"/>
      <w:pPr>
        <w:ind w:left="1440" w:hanging="1440"/>
      </w:pPr>
      <w:rPr>
        <w:rFonts w:hint="eastAsia"/>
      </w:rPr>
    </w:lvl>
    <w:lvl w:ilvl="8" w:tentative="0">
      <w:start w:val="1"/>
      <w:numFmt w:val="decimal"/>
      <w:pStyle w:val="10"/>
      <w:isLgl/>
      <w:lvlText w:val="%1.%2.%3.%4.%5.%6.%7.%8.%9."/>
      <w:lvlJc w:val="left"/>
      <w:pPr>
        <w:ind w:left="1583" w:hanging="1583"/>
      </w:pPr>
      <w:rPr>
        <w:rFonts w:hint="eastAsia"/>
      </w:rPr>
    </w:lvl>
  </w:abstractNum>
  <w:abstractNum w:abstractNumId="2">
    <w:nsid w:val="1C5818EB"/>
    <w:multiLevelType w:val="multilevel"/>
    <w:tmpl w:val="1C5818EB"/>
    <w:lvl w:ilvl="0" w:tentative="0">
      <w:start w:val="1"/>
      <w:numFmt w:val="bullet"/>
      <w:lvlText w:val=""/>
      <w:lvlJc w:val="left"/>
      <w:pPr>
        <w:tabs>
          <w:tab w:val="left" w:pos="900"/>
        </w:tabs>
        <w:ind w:left="900" w:hanging="420"/>
      </w:pPr>
      <w:rPr>
        <w:rFonts w:hint="default" w:ascii="Wingdings" w:hAnsi="Wingdings"/>
      </w:rPr>
    </w:lvl>
    <w:lvl w:ilvl="1" w:tentative="0">
      <w:start w:val="1"/>
      <w:numFmt w:val="bullet"/>
      <w:lvlText w:val=""/>
      <w:lvlJc w:val="left"/>
      <w:pPr>
        <w:tabs>
          <w:tab w:val="left" w:pos="1320"/>
        </w:tabs>
        <w:ind w:left="1320" w:hanging="420"/>
      </w:pPr>
      <w:rPr>
        <w:rFonts w:hint="default" w:ascii="Wingdings" w:hAnsi="Wingdings"/>
      </w:rPr>
    </w:lvl>
    <w:lvl w:ilvl="2" w:tentative="0">
      <w:start w:val="1"/>
      <w:numFmt w:val="bullet"/>
      <w:lvlText w:val=""/>
      <w:lvlJc w:val="left"/>
      <w:pPr>
        <w:tabs>
          <w:tab w:val="left" w:pos="1740"/>
        </w:tabs>
        <w:ind w:left="1740" w:hanging="420"/>
      </w:pPr>
      <w:rPr>
        <w:rFonts w:hint="default" w:ascii="Wingdings" w:hAnsi="Wingdings"/>
      </w:rPr>
    </w:lvl>
    <w:lvl w:ilvl="3" w:tentative="0">
      <w:start w:val="1"/>
      <w:numFmt w:val="bullet"/>
      <w:pStyle w:val="141"/>
      <w:lvlText w:val=""/>
      <w:lvlJc w:val="left"/>
      <w:pPr>
        <w:tabs>
          <w:tab w:val="left" w:pos="2160"/>
        </w:tabs>
        <w:ind w:left="2160" w:hanging="420"/>
      </w:pPr>
      <w:rPr>
        <w:rFonts w:hint="default" w:ascii="Wingdings" w:hAnsi="Wingdings"/>
      </w:rPr>
    </w:lvl>
    <w:lvl w:ilvl="4" w:tentative="0">
      <w:start w:val="1"/>
      <w:numFmt w:val="bullet"/>
      <w:lvlText w:val=""/>
      <w:lvlJc w:val="left"/>
      <w:pPr>
        <w:tabs>
          <w:tab w:val="left" w:pos="2580"/>
        </w:tabs>
        <w:ind w:left="2580" w:hanging="420"/>
      </w:pPr>
      <w:rPr>
        <w:rFonts w:hint="default" w:ascii="Wingdings" w:hAnsi="Wingdings"/>
      </w:rPr>
    </w:lvl>
    <w:lvl w:ilvl="5" w:tentative="0">
      <w:start w:val="1"/>
      <w:numFmt w:val="bullet"/>
      <w:lvlText w:val=""/>
      <w:lvlJc w:val="left"/>
      <w:pPr>
        <w:tabs>
          <w:tab w:val="left" w:pos="3000"/>
        </w:tabs>
        <w:ind w:left="3000" w:hanging="420"/>
      </w:pPr>
      <w:rPr>
        <w:rFonts w:hint="default" w:ascii="Wingdings" w:hAnsi="Wingdings"/>
      </w:rPr>
    </w:lvl>
    <w:lvl w:ilvl="6" w:tentative="0">
      <w:start w:val="1"/>
      <w:numFmt w:val="bullet"/>
      <w:lvlText w:val=""/>
      <w:lvlJc w:val="left"/>
      <w:pPr>
        <w:tabs>
          <w:tab w:val="left" w:pos="3420"/>
        </w:tabs>
        <w:ind w:left="3420" w:hanging="420"/>
      </w:pPr>
      <w:rPr>
        <w:rFonts w:hint="default" w:ascii="Wingdings" w:hAnsi="Wingdings"/>
      </w:rPr>
    </w:lvl>
    <w:lvl w:ilvl="7" w:tentative="0">
      <w:start w:val="1"/>
      <w:numFmt w:val="bullet"/>
      <w:lvlText w:val=""/>
      <w:lvlJc w:val="left"/>
      <w:pPr>
        <w:tabs>
          <w:tab w:val="left" w:pos="3840"/>
        </w:tabs>
        <w:ind w:left="3840" w:hanging="420"/>
      </w:pPr>
      <w:rPr>
        <w:rFonts w:hint="default" w:ascii="Wingdings" w:hAnsi="Wingdings"/>
      </w:rPr>
    </w:lvl>
    <w:lvl w:ilvl="8" w:tentative="0">
      <w:start w:val="1"/>
      <w:numFmt w:val="bullet"/>
      <w:lvlText w:val=""/>
      <w:lvlJc w:val="left"/>
      <w:pPr>
        <w:tabs>
          <w:tab w:val="left" w:pos="4260"/>
        </w:tabs>
        <w:ind w:left="4260" w:hanging="420"/>
      </w:pPr>
      <w:rPr>
        <w:rFonts w:hint="default" w:ascii="Wingdings" w:hAnsi="Wingdings"/>
      </w:rPr>
    </w:lvl>
  </w:abstractNum>
  <w:abstractNum w:abstractNumId="3">
    <w:nsid w:val="3C31CEA3"/>
    <w:multiLevelType w:val="multilevel"/>
    <w:tmpl w:val="3C31CEA3"/>
    <w:lvl w:ilvl="0" w:tentative="0">
      <w:start w:val="1"/>
      <w:numFmt w:val="decimal"/>
      <w:pStyle w:val="12"/>
      <w:lvlText w:val="%1."/>
      <w:lvlJc w:val="left"/>
      <w:pPr>
        <w:tabs>
          <w:tab w:val="left" w:pos="360"/>
        </w:tabs>
        <w:ind w:left="36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60F19086"/>
    <w:multiLevelType w:val="multilevel"/>
    <w:tmpl w:val="60F19086"/>
    <w:lvl w:ilvl="0" w:tentative="0">
      <w:start w:val="1"/>
      <w:numFmt w:val="decimal"/>
      <w:lvlText w:val="%1"/>
      <w:lvlJc w:val="left"/>
      <w:pPr>
        <w:ind w:left="0" w:firstLine="0"/>
      </w:pPr>
      <w:rPr>
        <w:rFonts w:hint="eastAsia" w:ascii="宋体" w:hAnsi="宋体" w:eastAsia="宋体"/>
        <w:b/>
        <w:i w:val="0"/>
        <w:strike w:val="0"/>
        <w:dstrike w:val="0"/>
        <w:sz w:val="24"/>
        <w:szCs w:val="24"/>
        <w:u w:val="none"/>
        <w:vertAlign w:val="baseline"/>
      </w:rPr>
    </w:lvl>
    <w:lvl w:ilvl="1" w:tentative="0">
      <w:start w:val="1"/>
      <w:numFmt w:val="decimal"/>
      <w:lvlText w:val="%1.%2"/>
      <w:lvlJc w:val="left"/>
      <w:pPr>
        <w:ind w:left="992" w:hanging="567"/>
      </w:pPr>
      <w:rPr>
        <w:rFonts w:hint="eastAsia" w:ascii="宋体" w:hAnsi="宋体" w:eastAsia="宋体"/>
      </w:rPr>
    </w:lvl>
    <w:lvl w:ilvl="2" w:tentative="0">
      <w:start w:val="1"/>
      <w:numFmt w:val="decimal"/>
      <w:lvlText w:val="%1.%2.%3"/>
      <w:lvlJc w:val="left"/>
      <w:pPr>
        <w:ind w:left="1418" w:hanging="567"/>
      </w:pPr>
      <w:rPr>
        <w:rFonts w:hint="eastAsia" w:ascii="宋体" w:hAnsi="宋体" w:eastAsia="宋体"/>
        <w:b/>
        <w:bCs/>
        <w:sz w:val="24"/>
        <w:szCs w:val="24"/>
      </w:rPr>
    </w:lvl>
    <w:lvl w:ilvl="3" w:tentative="0">
      <w:start w:val="1"/>
      <w:numFmt w:val="decimal"/>
      <w:lvlText w:val="%1.%2.%3.%4"/>
      <w:lvlJc w:val="left"/>
      <w:pPr>
        <w:ind w:left="1984" w:hanging="708"/>
      </w:pPr>
      <w:rPr>
        <w:rFonts w:hint="eastAsia"/>
        <w:sz w:val="24"/>
        <w:szCs w:val="24"/>
      </w:rPr>
    </w:lvl>
    <w:lvl w:ilvl="4" w:tentative="0">
      <w:start w:val="1"/>
      <w:numFmt w:val="decimal"/>
      <w:lvlText w:val="%1.%2.%3.%4.%5"/>
      <w:lvlJc w:val="left"/>
      <w:pPr>
        <w:ind w:left="2551" w:hanging="850"/>
      </w:pPr>
      <w:rPr>
        <w:rFonts w:hint="eastAsia"/>
        <w:b/>
        <w:bCs w:val="0"/>
        <w:sz w:val="24"/>
        <w:szCs w:val="24"/>
      </w:rPr>
    </w:lvl>
    <w:lvl w:ilvl="5" w:tentative="0">
      <w:start w:val="1"/>
      <w:numFmt w:val="decimal"/>
      <w:pStyle w:val="62"/>
      <w:lvlText w:val="%1.%2.%3.%4.%5.%6"/>
      <w:lvlJc w:val="left"/>
      <w:pPr>
        <w:ind w:left="2566" w:hanging="440"/>
      </w:pPr>
      <w:rPr>
        <w:rFonts w:hint="default"/>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5">
    <w:nsid w:val="7CB7501E"/>
    <w:multiLevelType w:val="multilevel"/>
    <w:tmpl w:val="7CB7501E"/>
    <w:lvl w:ilvl="0" w:tentative="0">
      <w:start w:val="1"/>
      <w:numFmt w:val="decimal"/>
      <w:lvlText w:val="第%1章"/>
      <w:lvlJc w:val="left"/>
      <w:pPr>
        <w:ind w:left="420" w:hanging="420"/>
      </w:pPr>
      <w:rPr>
        <w:rFonts w:hint="eastAsia"/>
      </w:rPr>
    </w:lvl>
    <w:lvl w:ilvl="1" w:tentative="0">
      <w:start w:val="1"/>
      <w:numFmt w:val="decimal"/>
      <w:suff w:val="space"/>
      <w:lvlText w:val="%1.%2"/>
      <w:lvlJc w:val="left"/>
      <w:pPr>
        <w:ind w:left="0" w:firstLine="0"/>
      </w:pPr>
    </w:lvl>
    <w:lvl w:ilvl="2" w:tentative="0">
      <w:start w:val="1"/>
      <w:numFmt w:val="decimal"/>
      <w:suff w:val="space"/>
      <w:lvlText w:val="%1.%2.%3"/>
      <w:lvlJc w:val="left"/>
      <w:pPr>
        <w:ind w:left="0" w:firstLine="0"/>
      </w:pPr>
    </w:lvl>
    <w:lvl w:ilvl="3" w:tentative="0">
      <w:start w:val="1"/>
      <w:numFmt w:val="decimal"/>
      <w:suff w:val="space"/>
      <w:lvlText w:val="%1.%2.%3.%4"/>
      <w:lvlJc w:val="left"/>
      <w:pPr>
        <w:ind w:left="0" w:firstLine="0"/>
      </w:pPr>
    </w:lvl>
    <w:lvl w:ilvl="4" w:tentative="0">
      <w:start w:val="1"/>
      <w:numFmt w:val="decimal"/>
      <w:pStyle w:val="150"/>
      <w:suff w:val="space"/>
      <w:lvlText w:val="%1.%2.%3.%4.%5"/>
      <w:lvlJc w:val="left"/>
      <w:pPr>
        <w:ind w:left="0" w:firstLine="0"/>
      </w:pPr>
    </w:lvl>
    <w:lvl w:ilvl="5" w:tentative="0">
      <w:start w:val="1"/>
      <w:numFmt w:val="decimal"/>
      <w:suff w:val="space"/>
      <w:lvlText w:val="%1.%2.%3.%4.%5.%6"/>
      <w:lvlJc w:val="left"/>
      <w:pPr>
        <w:ind w:left="0" w:firstLine="0"/>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num w:numId="1">
    <w:abstractNumId w:val="1"/>
  </w:num>
  <w:num w:numId="2">
    <w:abstractNumId w:val="3"/>
  </w:num>
  <w:num w:numId="3">
    <w:abstractNumId w:val="4"/>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6059FF"/>
    <w:rsid w:val="00000450"/>
    <w:rsid w:val="00001D17"/>
    <w:rsid w:val="000025B6"/>
    <w:rsid w:val="00002D6A"/>
    <w:rsid w:val="00005C77"/>
    <w:rsid w:val="000125D9"/>
    <w:rsid w:val="00013541"/>
    <w:rsid w:val="00020130"/>
    <w:rsid w:val="00021DD3"/>
    <w:rsid w:val="00022FB4"/>
    <w:rsid w:val="0002394A"/>
    <w:rsid w:val="000305DF"/>
    <w:rsid w:val="00031173"/>
    <w:rsid w:val="00031522"/>
    <w:rsid w:val="00033114"/>
    <w:rsid w:val="00033676"/>
    <w:rsid w:val="000358B5"/>
    <w:rsid w:val="000375B5"/>
    <w:rsid w:val="00040E36"/>
    <w:rsid w:val="000440C8"/>
    <w:rsid w:val="00045D40"/>
    <w:rsid w:val="00050D52"/>
    <w:rsid w:val="0005214C"/>
    <w:rsid w:val="00052574"/>
    <w:rsid w:val="00054BA7"/>
    <w:rsid w:val="00061C5A"/>
    <w:rsid w:val="000620C8"/>
    <w:rsid w:val="00062A5C"/>
    <w:rsid w:val="000668AD"/>
    <w:rsid w:val="00070978"/>
    <w:rsid w:val="00071EFA"/>
    <w:rsid w:val="000738F4"/>
    <w:rsid w:val="0007478D"/>
    <w:rsid w:val="00075528"/>
    <w:rsid w:val="0007636C"/>
    <w:rsid w:val="0007661A"/>
    <w:rsid w:val="0008521F"/>
    <w:rsid w:val="00085473"/>
    <w:rsid w:val="000A42EF"/>
    <w:rsid w:val="000A4371"/>
    <w:rsid w:val="000A5E9F"/>
    <w:rsid w:val="000B116A"/>
    <w:rsid w:val="000B1FEE"/>
    <w:rsid w:val="000B4FAA"/>
    <w:rsid w:val="000B61F8"/>
    <w:rsid w:val="000C59B4"/>
    <w:rsid w:val="000C7896"/>
    <w:rsid w:val="000D5215"/>
    <w:rsid w:val="000D6CC9"/>
    <w:rsid w:val="000D79EA"/>
    <w:rsid w:val="000E0D1E"/>
    <w:rsid w:val="000E1646"/>
    <w:rsid w:val="000E5BBE"/>
    <w:rsid w:val="000E789E"/>
    <w:rsid w:val="000F21F9"/>
    <w:rsid w:val="000F373F"/>
    <w:rsid w:val="000F6AEB"/>
    <w:rsid w:val="000F6E67"/>
    <w:rsid w:val="0010221C"/>
    <w:rsid w:val="0010277B"/>
    <w:rsid w:val="00102D88"/>
    <w:rsid w:val="0010329B"/>
    <w:rsid w:val="001040CC"/>
    <w:rsid w:val="001128F0"/>
    <w:rsid w:val="001161B0"/>
    <w:rsid w:val="001178D7"/>
    <w:rsid w:val="001204F6"/>
    <w:rsid w:val="00122832"/>
    <w:rsid w:val="00123381"/>
    <w:rsid w:val="00125FDB"/>
    <w:rsid w:val="0014223E"/>
    <w:rsid w:val="00145A8D"/>
    <w:rsid w:val="001479EF"/>
    <w:rsid w:val="00150E06"/>
    <w:rsid w:val="001537E4"/>
    <w:rsid w:val="00153D27"/>
    <w:rsid w:val="00155EDD"/>
    <w:rsid w:val="00162DD5"/>
    <w:rsid w:val="0016393C"/>
    <w:rsid w:val="00164EB4"/>
    <w:rsid w:val="0016504C"/>
    <w:rsid w:val="00171A96"/>
    <w:rsid w:val="00174F0C"/>
    <w:rsid w:val="001776E8"/>
    <w:rsid w:val="0017773F"/>
    <w:rsid w:val="0018235F"/>
    <w:rsid w:val="00187147"/>
    <w:rsid w:val="0019480D"/>
    <w:rsid w:val="00196E2E"/>
    <w:rsid w:val="00197000"/>
    <w:rsid w:val="001A0C92"/>
    <w:rsid w:val="001A1841"/>
    <w:rsid w:val="001A4128"/>
    <w:rsid w:val="001A5587"/>
    <w:rsid w:val="001A5C4C"/>
    <w:rsid w:val="001B20B8"/>
    <w:rsid w:val="001B2449"/>
    <w:rsid w:val="001B68E5"/>
    <w:rsid w:val="001B78E9"/>
    <w:rsid w:val="001C04BA"/>
    <w:rsid w:val="001C2437"/>
    <w:rsid w:val="001C7AFA"/>
    <w:rsid w:val="001D0475"/>
    <w:rsid w:val="001D17A2"/>
    <w:rsid w:val="001D2F5C"/>
    <w:rsid w:val="001D32F7"/>
    <w:rsid w:val="001D3E4E"/>
    <w:rsid w:val="001D4B84"/>
    <w:rsid w:val="001D6D6E"/>
    <w:rsid w:val="001E1A0B"/>
    <w:rsid w:val="001E2627"/>
    <w:rsid w:val="001E6B49"/>
    <w:rsid w:val="001E6D55"/>
    <w:rsid w:val="001F26F7"/>
    <w:rsid w:val="001F4140"/>
    <w:rsid w:val="001F43AB"/>
    <w:rsid w:val="00202462"/>
    <w:rsid w:val="00207530"/>
    <w:rsid w:val="00213B22"/>
    <w:rsid w:val="00214DB1"/>
    <w:rsid w:val="00217934"/>
    <w:rsid w:val="002260A2"/>
    <w:rsid w:val="00226143"/>
    <w:rsid w:val="00226CCA"/>
    <w:rsid w:val="002270C3"/>
    <w:rsid w:val="00227C94"/>
    <w:rsid w:val="00244C78"/>
    <w:rsid w:val="00245A2C"/>
    <w:rsid w:val="002473B9"/>
    <w:rsid w:val="002478DA"/>
    <w:rsid w:val="00254751"/>
    <w:rsid w:val="00255E55"/>
    <w:rsid w:val="00256280"/>
    <w:rsid w:val="00261C84"/>
    <w:rsid w:val="00267871"/>
    <w:rsid w:val="00272206"/>
    <w:rsid w:val="002766A3"/>
    <w:rsid w:val="00280517"/>
    <w:rsid w:val="002857B7"/>
    <w:rsid w:val="00285B14"/>
    <w:rsid w:val="00287515"/>
    <w:rsid w:val="00290033"/>
    <w:rsid w:val="002946B3"/>
    <w:rsid w:val="0029562C"/>
    <w:rsid w:val="002A7BA7"/>
    <w:rsid w:val="002B1C38"/>
    <w:rsid w:val="002B63F4"/>
    <w:rsid w:val="002B7995"/>
    <w:rsid w:val="002C207E"/>
    <w:rsid w:val="002C263D"/>
    <w:rsid w:val="002D27CD"/>
    <w:rsid w:val="002D4E96"/>
    <w:rsid w:val="002E29CA"/>
    <w:rsid w:val="002E62AC"/>
    <w:rsid w:val="002E7664"/>
    <w:rsid w:val="002F3E2A"/>
    <w:rsid w:val="0030172F"/>
    <w:rsid w:val="003064F7"/>
    <w:rsid w:val="003100D8"/>
    <w:rsid w:val="00310CC8"/>
    <w:rsid w:val="003155DD"/>
    <w:rsid w:val="00315FDC"/>
    <w:rsid w:val="00323B4B"/>
    <w:rsid w:val="003248A5"/>
    <w:rsid w:val="003350C5"/>
    <w:rsid w:val="00340688"/>
    <w:rsid w:val="003418EA"/>
    <w:rsid w:val="00341C19"/>
    <w:rsid w:val="00341EA0"/>
    <w:rsid w:val="0034388A"/>
    <w:rsid w:val="00350067"/>
    <w:rsid w:val="003555B7"/>
    <w:rsid w:val="003669BF"/>
    <w:rsid w:val="00375B99"/>
    <w:rsid w:val="00377896"/>
    <w:rsid w:val="00390B04"/>
    <w:rsid w:val="00393791"/>
    <w:rsid w:val="00395F8A"/>
    <w:rsid w:val="00396B32"/>
    <w:rsid w:val="003975B9"/>
    <w:rsid w:val="003A3C7F"/>
    <w:rsid w:val="003A4204"/>
    <w:rsid w:val="003A6BDE"/>
    <w:rsid w:val="003A6CF5"/>
    <w:rsid w:val="003A7014"/>
    <w:rsid w:val="003B6D0E"/>
    <w:rsid w:val="003C05A6"/>
    <w:rsid w:val="003C1963"/>
    <w:rsid w:val="003C23CC"/>
    <w:rsid w:val="003C6E51"/>
    <w:rsid w:val="003C7F25"/>
    <w:rsid w:val="003D0081"/>
    <w:rsid w:val="003D6F6B"/>
    <w:rsid w:val="003D719E"/>
    <w:rsid w:val="003E6559"/>
    <w:rsid w:val="003E6F9D"/>
    <w:rsid w:val="003F005D"/>
    <w:rsid w:val="003F334A"/>
    <w:rsid w:val="003F78FB"/>
    <w:rsid w:val="00401FE0"/>
    <w:rsid w:val="004062F1"/>
    <w:rsid w:val="004069E1"/>
    <w:rsid w:val="0041032B"/>
    <w:rsid w:val="00410FB2"/>
    <w:rsid w:val="004312A8"/>
    <w:rsid w:val="00432BDF"/>
    <w:rsid w:val="004333C5"/>
    <w:rsid w:val="004374E2"/>
    <w:rsid w:val="00444C6D"/>
    <w:rsid w:val="0045233E"/>
    <w:rsid w:val="00453EBD"/>
    <w:rsid w:val="00454581"/>
    <w:rsid w:val="004553AA"/>
    <w:rsid w:val="00456311"/>
    <w:rsid w:val="00461538"/>
    <w:rsid w:val="0046604B"/>
    <w:rsid w:val="00474DCD"/>
    <w:rsid w:val="004753E0"/>
    <w:rsid w:val="0048545E"/>
    <w:rsid w:val="004927CA"/>
    <w:rsid w:val="00497FC5"/>
    <w:rsid w:val="004A3DE7"/>
    <w:rsid w:val="004A5D65"/>
    <w:rsid w:val="004B071D"/>
    <w:rsid w:val="004B0E70"/>
    <w:rsid w:val="004B18AD"/>
    <w:rsid w:val="004B35E2"/>
    <w:rsid w:val="004B74ED"/>
    <w:rsid w:val="004C1B3E"/>
    <w:rsid w:val="004C55D8"/>
    <w:rsid w:val="004C761B"/>
    <w:rsid w:val="004D014C"/>
    <w:rsid w:val="004D02B1"/>
    <w:rsid w:val="004D069B"/>
    <w:rsid w:val="004D1124"/>
    <w:rsid w:val="004D4CD8"/>
    <w:rsid w:val="004D7AA4"/>
    <w:rsid w:val="004E0F5C"/>
    <w:rsid w:val="004E4BD7"/>
    <w:rsid w:val="004E5E8E"/>
    <w:rsid w:val="004E70C4"/>
    <w:rsid w:val="004F013B"/>
    <w:rsid w:val="004F40B0"/>
    <w:rsid w:val="004F5B5B"/>
    <w:rsid w:val="004F607D"/>
    <w:rsid w:val="004F7ECF"/>
    <w:rsid w:val="005008E6"/>
    <w:rsid w:val="0050263F"/>
    <w:rsid w:val="00502910"/>
    <w:rsid w:val="00504D00"/>
    <w:rsid w:val="00505048"/>
    <w:rsid w:val="00510087"/>
    <w:rsid w:val="005157CA"/>
    <w:rsid w:val="005206E6"/>
    <w:rsid w:val="005222F5"/>
    <w:rsid w:val="00523FFD"/>
    <w:rsid w:val="00532071"/>
    <w:rsid w:val="00533BF3"/>
    <w:rsid w:val="00536341"/>
    <w:rsid w:val="0054125E"/>
    <w:rsid w:val="00542A95"/>
    <w:rsid w:val="0054425D"/>
    <w:rsid w:val="00545CAD"/>
    <w:rsid w:val="005504B5"/>
    <w:rsid w:val="00553527"/>
    <w:rsid w:val="00553A9E"/>
    <w:rsid w:val="00562240"/>
    <w:rsid w:val="00563F2E"/>
    <w:rsid w:val="0057041A"/>
    <w:rsid w:val="005727FC"/>
    <w:rsid w:val="00573C14"/>
    <w:rsid w:val="00573DA0"/>
    <w:rsid w:val="0058120F"/>
    <w:rsid w:val="00585ABD"/>
    <w:rsid w:val="0059009F"/>
    <w:rsid w:val="0059165D"/>
    <w:rsid w:val="00595BF1"/>
    <w:rsid w:val="00597091"/>
    <w:rsid w:val="00597B66"/>
    <w:rsid w:val="005A0423"/>
    <w:rsid w:val="005A0D25"/>
    <w:rsid w:val="005A61F0"/>
    <w:rsid w:val="005B10C0"/>
    <w:rsid w:val="005C021E"/>
    <w:rsid w:val="005D04BB"/>
    <w:rsid w:val="005D19F8"/>
    <w:rsid w:val="005D3F76"/>
    <w:rsid w:val="005D5501"/>
    <w:rsid w:val="005F5475"/>
    <w:rsid w:val="0060073B"/>
    <w:rsid w:val="00601AC3"/>
    <w:rsid w:val="00604097"/>
    <w:rsid w:val="006059FF"/>
    <w:rsid w:val="00605C2A"/>
    <w:rsid w:val="00610F9F"/>
    <w:rsid w:val="006110A9"/>
    <w:rsid w:val="00612A40"/>
    <w:rsid w:val="006227BF"/>
    <w:rsid w:val="0062618D"/>
    <w:rsid w:val="00626831"/>
    <w:rsid w:val="0063166C"/>
    <w:rsid w:val="006344B4"/>
    <w:rsid w:val="006367CC"/>
    <w:rsid w:val="00637E70"/>
    <w:rsid w:val="006427B0"/>
    <w:rsid w:val="0064336F"/>
    <w:rsid w:val="006448C7"/>
    <w:rsid w:val="00645C31"/>
    <w:rsid w:val="00645DD4"/>
    <w:rsid w:val="00646F55"/>
    <w:rsid w:val="00647A67"/>
    <w:rsid w:val="00647AAB"/>
    <w:rsid w:val="006501DD"/>
    <w:rsid w:val="00650681"/>
    <w:rsid w:val="00650F46"/>
    <w:rsid w:val="00651452"/>
    <w:rsid w:val="00651CFC"/>
    <w:rsid w:val="00652484"/>
    <w:rsid w:val="006531DB"/>
    <w:rsid w:val="00653DAC"/>
    <w:rsid w:val="00655447"/>
    <w:rsid w:val="006557A6"/>
    <w:rsid w:val="00655977"/>
    <w:rsid w:val="00657F3E"/>
    <w:rsid w:val="0066226E"/>
    <w:rsid w:val="00662A04"/>
    <w:rsid w:val="00663031"/>
    <w:rsid w:val="006644BC"/>
    <w:rsid w:val="0066611B"/>
    <w:rsid w:val="00666213"/>
    <w:rsid w:val="0066648C"/>
    <w:rsid w:val="0067102C"/>
    <w:rsid w:val="00671826"/>
    <w:rsid w:val="00672CA6"/>
    <w:rsid w:val="00681BA1"/>
    <w:rsid w:val="00683F41"/>
    <w:rsid w:val="006846A9"/>
    <w:rsid w:val="00687AFC"/>
    <w:rsid w:val="00687F2B"/>
    <w:rsid w:val="006923D9"/>
    <w:rsid w:val="0069258F"/>
    <w:rsid w:val="00693C80"/>
    <w:rsid w:val="006956AB"/>
    <w:rsid w:val="00695998"/>
    <w:rsid w:val="00695C80"/>
    <w:rsid w:val="006A05F8"/>
    <w:rsid w:val="006A1FB6"/>
    <w:rsid w:val="006A2F0A"/>
    <w:rsid w:val="006A5BE4"/>
    <w:rsid w:val="006B557E"/>
    <w:rsid w:val="006B5C88"/>
    <w:rsid w:val="006C01BD"/>
    <w:rsid w:val="006C07A7"/>
    <w:rsid w:val="006C3D6C"/>
    <w:rsid w:val="006C5738"/>
    <w:rsid w:val="006C5D04"/>
    <w:rsid w:val="006D1CC6"/>
    <w:rsid w:val="006D26A3"/>
    <w:rsid w:val="006D3669"/>
    <w:rsid w:val="006D7798"/>
    <w:rsid w:val="006D792E"/>
    <w:rsid w:val="006E3DA1"/>
    <w:rsid w:val="006E7332"/>
    <w:rsid w:val="006F1122"/>
    <w:rsid w:val="006F5713"/>
    <w:rsid w:val="0070127E"/>
    <w:rsid w:val="00702B13"/>
    <w:rsid w:val="00703B1B"/>
    <w:rsid w:val="00706F81"/>
    <w:rsid w:val="00710B84"/>
    <w:rsid w:val="007140FB"/>
    <w:rsid w:val="00717066"/>
    <w:rsid w:val="00722F92"/>
    <w:rsid w:val="007260E3"/>
    <w:rsid w:val="00726B38"/>
    <w:rsid w:val="00732AC8"/>
    <w:rsid w:val="0073571E"/>
    <w:rsid w:val="007376EB"/>
    <w:rsid w:val="00740F1E"/>
    <w:rsid w:val="00741289"/>
    <w:rsid w:val="00744A52"/>
    <w:rsid w:val="007457F4"/>
    <w:rsid w:val="00747C54"/>
    <w:rsid w:val="00752038"/>
    <w:rsid w:val="00753237"/>
    <w:rsid w:val="00754BB4"/>
    <w:rsid w:val="00755214"/>
    <w:rsid w:val="00756C29"/>
    <w:rsid w:val="00757C5C"/>
    <w:rsid w:val="007602EA"/>
    <w:rsid w:val="00764365"/>
    <w:rsid w:val="007656D6"/>
    <w:rsid w:val="00767D58"/>
    <w:rsid w:val="00767ED4"/>
    <w:rsid w:val="0077097A"/>
    <w:rsid w:val="007735DD"/>
    <w:rsid w:val="0077536D"/>
    <w:rsid w:val="00775D81"/>
    <w:rsid w:val="00776269"/>
    <w:rsid w:val="00781132"/>
    <w:rsid w:val="00781350"/>
    <w:rsid w:val="007833DA"/>
    <w:rsid w:val="00785861"/>
    <w:rsid w:val="00792866"/>
    <w:rsid w:val="007950ED"/>
    <w:rsid w:val="00795308"/>
    <w:rsid w:val="00795F01"/>
    <w:rsid w:val="00795F43"/>
    <w:rsid w:val="007973AA"/>
    <w:rsid w:val="007A09C5"/>
    <w:rsid w:val="007A1CF4"/>
    <w:rsid w:val="007A2514"/>
    <w:rsid w:val="007A7991"/>
    <w:rsid w:val="007B531C"/>
    <w:rsid w:val="007C0729"/>
    <w:rsid w:val="007C2986"/>
    <w:rsid w:val="007C4244"/>
    <w:rsid w:val="007C5087"/>
    <w:rsid w:val="007D2470"/>
    <w:rsid w:val="007E099B"/>
    <w:rsid w:val="007E11C9"/>
    <w:rsid w:val="007E2A32"/>
    <w:rsid w:val="007E2DF6"/>
    <w:rsid w:val="007E4EE0"/>
    <w:rsid w:val="007F4975"/>
    <w:rsid w:val="007F4C35"/>
    <w:rsid w:val="007F5B8A"/>
    <w:rsid w:val="007F615E"/>
    <w:rsid w:val="007F786D"/>
    <w:rsid w:val="008031E1"/>
    <w:rsid w:val="00804CC8"/>
    <w:rsid w:val="008067EF"/>
    <w:rsid w:val="008105F5"/>
    <w:rsid w:val="00813EB1"/>
    <w:rsid w:val="008145C1"/>
    <w:rsid w:val="00821BA5"/>
    <w:rsid w:val="00821E5B"/>
    <w:rsid w:val="00823E6B"/>
    <w:rsid w:val="00823F07"/>
    <w:rsid w:val="00826320"/>
    <w:rsid w:val="0083246A"/>
    <w:rsid w:val="00833A57"/>
    <w:rsid w:val="0083604D"/>
    <w:rsid w:val="00840991"/>
    <w:rsid w:val="008425B9"/>
    <w:rsid w:val="00851B7F"/>
    <w:rsid w:val="00853949"/>
    <w:rsid w:val="008540A6"/>
    <w:rsid w:val="00854310"/>
    <w:rsid w:val="008614F5"/>
    <w:rsid w:val="00863A6B"/>
    <w:rsid w:val="0086487E"/>
    <w:rsid w:val="00870169"/>
    <w:rsid w:val="00873D5F"/>
    <w:rsid w:val="00880B79"/>
    <w:rsid w:val="00882459"/>
    <w:rsid w:val="00883C4B"/>
    <w:rsid w:val="0088535D"/>
    <w:rsid w:val="008A09C4"/>
    <w:rsid w:val="008A7518"/>
    <w:rsid w:val="008B0AC8"/>
    <w:rsid w:val="008B16F3"/>
    <w:rsid w:val="008B251F"/>
    <w:rsid w:val="008B2819"/>
    <w:rsid w:val="008B2894"/>
    <w:rsid w:val="008B2AA2"/>
    <w:rsid w:val="008B3775"/>
    <w:rsid w:val="008C6C14"/>
    <w:rsid w:val="008D24C0"/>
    <w:rsid w:val="008D4DA2"/>
    <w:rsid w:val="008E10B1"/>
    <w:rsid w:val="008E3535"/>
    <w:rsid w:val="008E561D"/>
    <w:rsid w:val="008E5DB0"/>
    <w:rsid w:val="008E7AEC"/>
    <w:rsid w:val="008F01FB"/>
    <w:rsid w:val="008F1CDF"/>
    <w:rsid w:val="008F21A3"/>
    <w:rsid w:val="008F21FD"/>
    <w:rsid w:val="008F4792"/>
    <w:rsid w:val="008F4CB8"/>
    <w:rsid w:val="009018F3"/>
    <w:rsid w:val="00902F1A"/>
    <w:rsid w:val="009065D9"/>
    <w:rsid w:val="00907585"/>
    <w:rsid w:val="009078E4"/>
    <w:rsid w:val="009144F1"/>
    <w:rsid w:val="00915772"/>
    <w:rsid w:val="00916112"/>
    <w:rsid w:val="009171C2"/>
    <w:rsid w:val="009222EA"/>
    <w:rsid w:val="0092276D"/>
    <w:rsid w:val="00927373"/>
    <w:rsid w:val="00927EE0"/>
    <w:rsid w:val="00931721"/>
    <w:rsid w:val="009317CF"/>
    <w:rsid w:val="00935D6B"/>
    <w:rsid w:val="00936971"/>
    <w:rsid w:val="00940A13"/>
    <w:rsid w:val="00942179"/>
    <w:rsid w:val="00943191"/>
    <w:rsid w:val="009441F7"/>
    <w:rsid w:val="00944235"/>
    <w:rsid w:val="00954E55"/>
    <w:rsid w:val="00964D3C"/>
    <w:rsid w:val="00966675"/>
    <w:rsid w:val="00966A89"/>
    <w:rsid w:val="009722B2"/>
    <w:rsid w:val="009739CD"/>
    <w:rsid w:val="00973AAD"/>
    <w:rsid w:val="00974DE7"/>
    <w:rsid w:val="00975BD4"/>
    <w:rsid w:val="00977817"/>
    <w:rsid w:val="0098245D"/>
    <w:rsid w:val="00985F57"/>
    <w:rsid w:val="0098704B"/>
    <w:rsid w:val="0099114E"/>
    <w:rsid w:val="00992D82"/>
    <w:rsid w:val="00993D3D"/>
    <w:rsid w:val="00995668"/>
    <w:rsid w:val="009A3AD9"/>
    <w:rsid w:val="009B308D"/>
    <w:rsid w:val="009B5692"/>
    <w:rsid w:val="009D52D6"/>
    <w:rsid w:val="009D6A7F"/>
    <w:rsid w:val="009D79ED"/>
    <w:rsid w:val="009E5164"/>
    <w:rsid w:val="009E5AB0"/>
    <w:rsid w:val="009E6DF5"/>
    <w:rsid w:val="009E7827"/>
    <w:rsid w:val="009F17FB"/>
    <w:rsid w:val="009F5EBD"/>
    <w:rsid w:val="009F737A"/>
    <w:rsid w:val="009F741B"/>
    <w:rsid w:val="009F7859"/>
    <w:rsid w:val="00A0357C"/>
    <w:rsid w:val="00A04868"/>
    <w:rsid w:val="00A04E19"/>
    <w:rsid w:val="00A06C1B"/>
    <w:rsid w:val="00A074F2"/>
    <w:rsid w:val="00A1093E"/>
    <w:rsid w:val="00A1142A"/>
    <w:rsid w:val="00A11AD0"/>
    <w:rsid w:val="00A16866"/>
    <w:rsid w:val="00A201A5"/>
    <w:rsid w:val="00A20A16"/>
    <w:rsid w:val="00A23B52"/>
    <w:rsid w:val="00A23F1C"/>
    <w:rsid w:val="00A26C75"/>
    <w:rsid w:val="00A27D8A"/>
    <w:rsid w:val="00A30110"/>
    <w:rsid w:val="00A35441"/>
    <w:rsid w:val="00A3794A"/>
    <w:rsid w:val="00A41D31"/>
    <w:rsid w:val="00A427E8"/>
    <w:rsid w:val="00A44633"/>
    <w:rsid w:val="00A529C8"/>
    <w:rsid w:val="00A5633A"/>
    <w:rsid w:val="00A617DB"/>
    <w:rsid w:val="00A64613"/>
    <w:rsid w:val="00A71045"/>
    <w:rsid w:val="00A75A5F"/>
    <w:rsid w:val="00A75E0D"/>
    <w:rsid w:val="00A77274"/>
    <w:rsid w:val="00A82B0D"/>
    <w:rsid w:val="00A831FD"/>
    <w:rsid w:val="00A855B0"/>
    <w:rsid w:val="00A858BC"/>
    <w:rsid w:val="00A85F15"/>
    <w:rsid w:val="00A87E1A"/>
    <w:rsid w:val="00A97626"/>
    <w:rsid w:val="00AA253C"/>
    <w:rsid w:val="00AB2FCB"/>
    <w:rsid w:val="00AB749C"/>
    <w:rsid w:val="00AC0CFD"/>
    <w:rsid w:val="00AC22F8"/>
    <w:rsid w:val="00AC26B4"/>
    <w:rsid w:val="00AC536F"/>
    <w:rsid w:val="00AD1065"/>
    <w:rsid w:val="00AE029E"/>
    <w:rsid w:val="00AE1B9C"/>
    <w:rsid w:val="00AE24AC"/>
    <w:rsid w:val="00AE4DAE"/>
    <w:rsid w:val="00AE50B3"/>
    <w:rsid w:val="00AE5445"/>
    <w:rsid w:val="00AF04DE"/>
    <w:rsid w:val="00AF1414"/>
    <w:rsid w:val="00AF3E3B"/>
    <w:rsid w:val="00AF5DCD"/>
    <w:rsid w:val="00AF5E27"/>
    <w:rsid w:val="00B030BA"/>
    <w:rsid w:val="00B05D39"/>
    <w:rsid w:val="00B06B7E"/>
    <w:rsid w:val="00B13447"/>
    <w:rsid w:val="00B1375B"/>
    <w:rsid w:val="00B1487A"/>
    <w:rsid w:val="00B171E6"/>
    <w:rsid w:val="00B31241"/>
    <w:rsid w:val="00B331F9"/>
    <w:rsid w:val="00B3405B"/>
    <w:rsid w:val="00B42600"/>
    <w:rsid w:val="00B44435"/>
    <w:rsid w:val="00B4493D"/>
    <w:rsid w:val="00B47E5D"/>
    <w:rsid w:val="00B50BDA"/>
    <w:rsid w:val="00B52A71"/>
    <w:rsid w:val="00B545F7"/>
    <w:rsid w:val="00B56180"/>
    <w:rsid w:val="00B5777A"/>
    <w:rsid w:val="00B71943"/>
    <w:rsid w:val="00B71F0A"/>
    <w:rsid w:val="00B758AF"/>
    <w:rsid w:val="00B75E1A"/>
    <w:rsid w:val="00B80264"/>
    <w:rsid w:val="00B85760"/>
    <w:rsid w:val="00B85BCB"/>
    <w:rsid w:val="00B86B56"/>
    <w:rsid w:val="00B90C1F"/>
    <w:rsid w:val="00B92148"/>
    <w:rsid w:val="00B93CE9"/>
    <w:rsid w:val="00B9629A"/>
    <w:rsid w:val="00BA009A"/>
    <w:rsid w:val="00BA3182"/>
    <w:rsid w:val="00BA55E1"/>
    <w:rsid w:val="00BA6036"/>
    <w:rsid w:val="00BA7915"/>
    <w:rsid w:val="00BB132A"/>
    <w:rsid w:val="00BB4522"/>
    <w:rsid w:val="00BB4CC1"/>
    <w:rsid w:val="00BB7A7E"/>
    <w:rsid w:val="00BC0CFB"/>
    <w:rsid w:val="00BC3449"/>
    <w:rsid w:val="00BC44CD"/>
    <w:rsid w:val="00BC48A0"/>
    <w:rsid w:val="00BC4AA6"/>
    <w:rsid w:val="00BC4DAE"/>
    <w:rsid w:val="00BD1D77"/>
    <w:rsid w:val="00BD45E8"/>
    <w:rsid w:val="00BD7BC7"/>
    <w:rsid w:val="00BE148A"/>
    <w:rsid w:val="00BE1E64"/>
    <w:rsid w:val="00BE4F5F"/>
    <w:rsid w:val="00BE601F"/>
    <w:rsid w:val="00BF0FE6"/>
    <w:rsid w:val="00C00C9C"/>
    <w:rsid w:val="00C0410E"/>
    <w:rsid w:val="00C058E1"/>
    <w:rsid w:val="00C07012"/>
    <w:rsid w:val="00C10A91"/>
    <w:rsid w:val="00C11201"/>
    <w:rsid w:val="00C12894"/>
    <w:rsid w:val="00C1731C"/>
    <w:rsid w:val="00C20FA4"/>
    <w:rsid w:val="00C21E65"/>
    <w:rsid w:val="00C256F5"/>
    <w:rsid w:val="00C30C09"/>
    <w:rsid w:val="00C31B12"/>
    <w:rsid w:val="00C33E58"/>
    <w:rsid w:val="00C3561E"/>
    <w:rsid w:val="00C3597F"/>
    <w:rsid w:val="00C36915"/>
    <w:rsid w:val="00C37131"/>
    <w:rsid w:val="00C40FF7"/>
    <w:rsid w:val="00C437AB"/>
    <w:rsid w:val="00C44670"/>
    <w:rsid w:val="00C46409"/>
    <w:rsid w:val="00C46F5D"/>
    <w:rsid w:val="00C52087"/>
    <w:rsid w:val="00C53017"/>
    <w:rsid w:val="00C60675"/>
    <w:rsid w:val="00C657D1"/>
    <w:rsid w:val="00C66D19"/>
    <w:rsid w:val="00C71B20"/>
    <w:rsid w:val="00C73F5F"/>
    <w:rsid w:val="00C778CD"/>
    <w:rsid w:val="00C77E85"/>
    <w:rsid w:val="00C8131B"/>
    <w:rsid w:val="00C8546B"/>
    <w:rsid w:val="00C87AB8"/>
    <w:rsid w:val="00C91877"/>
    <w:rsid w:val="00CA067A"/>
    <w:rsid w:val="00CA2284"/>
    <w:rsid w:val="00CA2C8D"/>
    <w:rsid w:val="00CB61CC"/>
    <w:rsid w:val="00CC023E"/>
    <w:rsid w:val="00CC03D2"/>
    <w:rsid w:val="00CC3129"/>
    <w:rsid w:val="00CD0BF4"/>
    <w:rsid w:val="00CD209D"/>
    <w:rsid w:val="00CD2214"/>
    <w:rsid w:val="00CD2F43"/>
    <w:rsid w:val="00CD47FE"/>
    <w:rsid w:val="00CD5162"/>
    <w:rsid w:val="00CD78D9"/>
    <w:rsid w:val="00CE702A"/>
    <w:rsid w:val="00CF063F"/>
    <w:rsid w:val="00CF1A33"/>
    <w:rsid w:val="00CF3B0C"/>
    <w:rsid w:val="00CF3BA2"/>
    <w:rsid w:val="00CF53EB"/>
    <w:rsid w:val="00CF5492"/>
    <w:rsid w:val="00CF746A"/>
    <w:rsid w:val="00D024DF"/>
    <w:rsid w:val="00D050DD"/>
    <w:rsid w:val="00D11509"/>
    <w:rsid w:val="00D15434"/>
    <w:rsid w:val="00D177A3"/>
    <w:rsid w:val="00D279AB"/>
    <w:rsid w:val="00D3028A"/>
    <w:rsid w:val="00D31A6D"/>
    <w:rsid w:val="00D32D2A"/>
    <w:rsid w:val="00D3443C"/>
    <w:rsid w:val="00D42DD1"/>
    <w:rsid w:val="00D46499"/>
    <w:rsid w:val="00D47BFD"/>
    <w:rsid w:val="00D51999"/>
    <w:rsid w:val="00D527BA"/>
    <w:rsid w:val="00D540DD"/>
    <w:rsid w:val="00D607D6"/>
    <w:rsid w:val="00D62597"/>
    <w:rsid w:val="00D63CE6"/>
    <w:rsid w:val="00D67057"/>
    <w:rsid w:val="00D700A6"/>
    <w:rsid w:val="00D7121C"/>
    <w:rsid w:val="00D742FD"/>
    <w:rsid w:val="00D76825"/>
    <w:rsid w:val="00D76C9C"/>
    <w:rsid w:val="00D81BC7"/>
    <w:rsid w:val="00D841FF"/>
    <w:rsid w:val="00D84321"/>
    <w:rsid w:val="00D85F12"/>
    <w:rsid w:val="00D9375C"/>
    <w:rsid w:val="00D93EFE"/>
    <w:rsid w:val="00D93FD8"/>
    <w:rsid w:val="00DA2F57"/>
    <w:rsid w:val="00DA4913"/>
    <w:rsid w:val="00DA7D23"/>
    <w:rsid w:val="00DB2974"/>
    <w:rsid w:val="00DB5E5F"/>
    <w:rsid w:val="00DB7D2A"/>
    <w:rsid w:val="00DC5742"/>
    <w:rsid w:val="00DC6842"/>
    <w:rsid w:val="00DC6933"/>
    <w:rsid w:val="00DC7339"/>
    <w:rsid w:val="00DD0242"/>
    <w:rsid w:val="00DD3080"/>
    <w:rsid w:val="00DE2EA5"/>
    <w:rsid w:val="00DE3401"/>
    <w:rsid w:val="00DE4638"/>
    <w:rsid w:val="00DF07C0"/>
    <w:rsid w:val="00DF640D"/>
    <w:rsid w:val="00DF75F6"/>
    <w:rsid w:val="00E03218"/>
    <w:rsid w:val="00E04A23"/>
    <w:rsid w:val="00E052EA"/>
    <w:rsid w:val="00E0683D"/>
    <w:rsid w:val="00E06D03"/>
    <w:rsid w:val="00E110B8"/>
    <w:rsid w:val="00E139D6"/>
    <w:rsid w:val="00E148F6"/>
    <w:rsid w:val="00E171A1"/>
    <w:rsid w:val="00E220CE"/>
    <w:rsid w:val="00E23282"/>
    <w:rsid w:val="00E2445D"/>
    <w:rsid w:val="00E24B8F"/>
    <w:rsid w:val="00E24D69"/>
    <w:rsid w:val="00E26E4F"/>
    <w:rsid w:val="00E27ECF"/>
    <w:rsid w:val="00E34155"/>
    <w:rsid w:val="00E35355"/>
    <w:rsid w:val="00E41FB4"/>
    <w:rsid w:val="00E4270B"/>
    <w:rsid w:val="00E531DB"/>
    <w:rsid w:val="00E54596"/>
    <w:rsid w:val="00E5463D"/>
    <w:rsid w:val="00E5518C"/>
    <w:rsid w:val="00E56E7A"/>
    <w:rsid w:val="00E634CE"/>
    <w:rsid w:val="00E67CEF"/>
    <w:rsid w:val="00E708F2"/>
    <w:rsid w:val="00E71299"/>
    <w:rsid w:val="00E71B90"/>
    <w:rsid w:val="00E72F3B"/>
    <w:rsid w:val="00E75A56"/>
    <w:rsid w:val="00E76C6A"/>
    <w:rsid w:val="00E817F9"/>
    <w:rsid w:val="00E843BB"/>
    <w:rsid w:val="00E8763F"/>
    <w:rsid w:val="00E90419"/>
    <w:rsid w:val="00E90427"/>
    <w:rsid w:val="00E974EE"/>
    <w:rsid w:val="00E97619"/>
    <w:rsid w:val="00EA0172"/>
    <w:rsid w:val="00EA17D3"/>
    <w:rsid w:val="00EA21DE"/>
    <w:rsid w:val="00EB026F"/>
    <w:rsid w:val="00EB083B"/>
    <w:rsid w:val="00EB1990"/>
    <w:rsid w:val="00EB58AC"/>
    <w:rsid w:val="00EB69D6"/>
    <w:rsid w:val="00EB75B2"/>
    <w:rsid w:val="00EC0FE1"/>
    <w:rsid w:val="00EC369D"/>
    <w:rsid w:val="00EC5076"/>
    <w:rsid w:val="00ED73C0"/>
    <w:rsid w:val="00ED79D0"/>
    <w:rsid w:val="00EE2314"/>
    <w:rsid w:val="00EE2E61"/>
    <w:rsid w:val="00EE4571"/>
    <w:rsid w:val="00EE4D64"/>
    <w:rsid w:val="00EE775B"/>
    <w:rsid w:val="00EF3BCC"/>
    <w:rsid w:val="00EF43BF"/>
    <w:rsid w:val="00EF4D9D"/>
    <w:rsid w:val="00EF7B1E"/>
    <w:rsid w:val="00F024DD"/>
    <w:rsid w:val="00F0313C"/>
    <w:rsid w:val="00F042D1"/>
    <w:rsid w:val="00F04FD8"/>
    <w:rsid w:val="00F1119D"/>
    <w:rsid w:val="00F11765"/>
    <w:rsid w:val="00F13BA9"/>
    <w:rsid w:val="00F16C04"/>
    <w:rsid w:val="00F20472"/>
    <w:rsid w:val="00F232A1"/>
    <w:rsid w:val="00F25B8E"/>
    <w:rsid w:val="00F3115C"/>
    <w:rsid w:val="00F31CAB"/>
    <w:rsid w:val="00F356B7"/>
    <w:rsid w:val="00F35B94"/>
    <w:rsid w:val="00F37532"/>
    <w:rsid w:val="00F402E1"/>
    <w:rsid w:val="00F411B4"/>
    <w:rsid w:val="00F41EC6"/>
    <w:rsid w:val="00F4542D"/>
    <w:rsid w:val="00F4664E"/>
    <w:rsid w:val="00F51D04"/>
    <w:rsid w:val="00F52269"/>
    <w:rsid w:val="00F52305"/>
    <w:rsid w:val="00F53658"/>
    <w:rsid w:val="00F54B38"/>
    <w:rsid w:val="00F55E65"/>
    <w:rsid w:val="00F60521"/>
    <w:rsid w:val="00F617A0"/>
    <w:rsid w:val="00F63DB3"/>
    <w:rsid w:val="00F64329"/>
    <w:rsid w:val="00F740D0"/>
    <w:rsid w:val="00F7795C"/>
    <w:rsid w:val="00F85C82"/>
    <w:rsid w:val="00F90670"/>
    <w:rsid w:val="00F913B3"/>
    <w:rsid w:val="00F9206D"/>
    <w:rsid w:val="00F929B7"/>
    <w:rsid w:val="00F93853"/>
    <w:rsid w:val="00F96F2F"/>
    <w:rsid w:val="00FA102A"/>
    <w:rsid w:val="00FA2C3A"/>
    <w:rsid w:val="00FA7463"/>
    <w:rsid w:val="00FB084C"/>
    <w:rsid w:val="00FB3DDB"/>
    <w:rsid w:val="00FB452D"/>
    <w:rsid w:val="00FB4EC5"/>
    <w:rsid w:val="00FB5110"/>
    <w:rsid w:val="00FB6600"/>
    <w:rsid w:val="00FB7AE7"/>
    <w:rsid w:val="00FB7DD8"/>
    <w:rsid w:val="00FC16A7"/>
    <w:rsid w:val="00FC17AA"/>
    <w:rsid w:val="00FC6E8B"/>
    <w:rsid w:val="00FD04C4"/>
    <w:rsid w:val="00FD1646"/>
    <w:rsid w:val="00FD2735"/>
    <w:rsid w:val="00FD572E"/>
    <w:rsid w:val="00FE1A6E"/>
    <w:rsid w:val="00FE5A1A"/>
    <w:rsid w:val="00FE6DD6"/>
    <w:rsid w:val="00FF1E7B"/>
    <w:rsid w:val="16DF350D"/>
    <w:rsid w:val="3BED06FE"/>
    <w:rsid w:val="3F77FCF8"/>
    <w:rsid w:val="4FD7BE29"/>
    <w:rsid w:val="5FDF181F"/>
    <w:rsid w:val="6FEF0F03"/>
    <w:rsid w:val="7AEFC043"/>
    <w:rsid w:val="7DBF25F5"/>
    <w:rsid w:val="7DDFB655"/>
    <w:rsid w:val="7EBDC8B7"/>
    <w:rsid w:val="7FA5FDF5"/>
    <w:rsid w:val="977DFDD0"/>
    <w:rsid w:val="9F8F2C01"/>
    <w:rsid w:val="A9AFB8CE"/>
    <w:rsid w:val="D6DF466D"/>
    <w:rsid w:val="E7F45E9F"/>
    <w:rsid w:val="F5FF112D"/>
    <w:rsid w:val="FEAF1CA8"/>
    <w:rsid w:val="FEEB0797"/>
    <w:rsid w:val="FFF7D1A3"/>
    <w:rsid w:val="FFFD4A0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nhideWhenUsed="0" w:uiPriority="99" w:semiHidden="0" w:name="annotation text"/>
    <w:lsdException w:qFormat="1" w:uiPriority="0" w:semiHidden="0" w:name="header"/>
    <w:lsdException w:qFormat="1" w:uiPriority="99" w:semiHidden="0" w:name="footer"/>
    <w:lsdException w:uiPriority="99" w:name="index heading"/>
    <w:lsdException w:qFormat="1"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iPriority="99" w:semiHidden="0"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5"/>
    <w:qFormat/>
    <w:uiPriority w:val="0"/>
    <w:pPr>
      <w:keepNext/>
      <w:keepLines/>
      <w:numPr>
        <w:ilvl w:val="0"/>
        <w:numId w:val="1"/>
      </w:numPr>
      <w:spacing w:line="360" w:lineRule="auto"/>
      <w:outlineLvl w:val="0"/>
    </w:pPr>
    <w:rPr>
      <w:rFonts w:ascii="宋体" w:hAnsi="宋体"/>
      <w:b/>
      <w:bCs/>
      <w:kern w:val="44"/>
      <w:sz w:val="28"/>
    </w:rPr>
  </w:style>
  <w:style w:type="paragraph" w:styleId="3">
    <w:name w:val="heading 2"/>
    <w:basedOn w:val="1"/>
    <w:next w:val="1"/>
    <w:link w:val="46"/>
    <w:qFormat/>
    <w:uiPriority w:val="0"/>
    <w:pPr>
      <w:keepNext/>
      <w:keepLines/>
      <w:widowControl/>
      <w:numPr>
        <w:ilvl w:val="1"/>
        <w:numId w:val="1"/>
      </w:numPr>
      <w:spacing w:line="360" w:lineRule="auto"/>
      <w:jc w:val="left"/>
      <w:outlineLvl w:val="1"/>
    </w:pPr>
    <w:rPr>
      <w:rFonts w:ascii="宋体" w:hAnsi="宋体" w:cs="宋体"/>
      <w:b/>
      <w:kern w:val="0"/>
      <w:sz w:val="28"/>
    </w:rPr>
  </w:style>
  <w:style w:type="paragraph" w:styleId="4">
    <w:name w:val="heading 3"/>
    <w:basedOn w:val="1"/>
    <w:next w:val="1"/>
    <w:link w:val="47"/>
    <w:unhideWhenUsed/>
    <w:qFormat/>
    <w:uiPriority w:val="9"/>
    <w:pPr>
      <w:keepNext/>
      <w:keepLines/>
      <w:numPr>
        <w:ilvl w:val="2"/>
        <w:numId w:val="1"/>
      </w:numPr>
      <w:spacing w:line="360" w:lineRule="auto"/>
      <w:outlineLvl w:val="2"/>
    </w:pPr>
    <w:rPr>
      <w:rFonts w:ascii="宋体" w:hAnsi="宋体"/>
      <w:b/>
      <w:bCs/>
      <w:sz w:val="28"/>
    </w:rPr>
  </w:style>
  <w:style w:type="paragraph" w:styleId="5">
    <w:name w:val="heading 4"/>
    <w:basedOn w:val="1"/>
    <w:next w:val="1"/>
    <w:link w:val="48"/>
    <w:unhideWhenUsed/>
    <w:qFormat/>
    <w:uiPriority w:val="0"/>
    <w:pPr>
      <w:keepNext/>
      <w:keepLines/>
      <w:numPr>
        <w:ilvl w:val="3"/>
        <w:numId w:val="1"/>
      </w:numPr>
      <w:spacing w:line="360" w:lineRule="auto"/>
      <w:outlineLvl w:val="3"/>
    </w:pPr>
    <w:rPr>
      <w:rFonts w:ascii="宋体" w:hAnsi="宋体"/>
      <w:b/>
      <w:bCs/>
      <w:sz w:val="28"/>
    </w:rPr>
  </w:style>
  <w:style w:type="paragraph" w:styleId="6">
    <w:name w:val="heading 5"/>
    <w:basedOn w:val="1"/>
    <w:next w:val="1"/>
    <w:link w:val="49"/>
    <w:unhideWhenUsed/>
    <w:qFormat/>
    <w:uiPriority w:val="0"/>
    <w:pPr>
      <w:keepNext/>
      <w:keepLines/>
      <w:numPr>
        <w:ilvl w:val="4"/>
        <w:numId w:val="1"/>
      </w:numPr>
      <w:spacing w:line="360" w:lineRule="auto"/>
      <w:outlineLvl w:val="4"/>
    </w:pPr>
    <w:rPr>
      <w:rFonts w:ascii="Calibri" w:hAnsi="Calibri"/>
      <w:b/>
      <w:bCs/>
      <w:sz w:val="28"/>
      <w:szCs w:val="28"/>
    </w:rPr>
  </w:style>
  <w:style w:type="paragraph" w:styleId="7">
    <w:name w:val="heading 6"/>
    <w:basedOn w:val="1"/>
    <w:next w:val="1"/>
    <w:link w:val="50"/>
    <w:unhideWhenUsed/>
    <w:qFormat/>
    <w:uiPriority w:val="0"/>
    <w:pPr>
      <w:keepNext/>
      <w:keepLines/>
      <w:widowControl/>
      <w:numPr>
        <w:ilvl w:val="5"/>
        <w:numId w:val="1"/>
      </w:numPr>
      <w:spacing w:line="360" w:lineRule="auto"/>
      <w:jc w:val="left"/>
      <w:outlineLvl w:val="5"/>
    </w:pPr>
    <w:rPr>
      <w:rFonts w:ascii="等线 Light" w:hAnsi="等线 Light" w:eastAsia="等线 Light"/>
      <w:b/>
      <w:bCs/>
      <w:kern w:val="0"/>
      <w:sz w:val="28"/>
    </w:rPr>
  </w:style>
  <w:style w:type="paragraph" w:styleId="8">
    <w:name w:val="heading 7"/>
    <w:basedOn w:val="1"/>
    <w:next w:val="1"/>
    <w:link w:val="51"/>
    <w:unhideWhenUsed/>
    <w:qFormat/>
    <w:uiPriority w:val="0"/>
    <w:pPr>
      <w:keepNext/>
      <w:keepLines/>
      <w:widowControl/>
      <w:numPr>
        <w:ilvl w:val="6"/>
        <w:numId w:val="1"/>
      </w:numPr>
      <w:spacing w:before="240" w:after="64" w:line="320" w:lineRule="auto"/>
      <w:jc w:val="left"/>
      <w:outlineLvl w:val="6"/>
    </w:pPr>
    <w:rPr>
      <w:rFonts w:ascii="宋体" w:hAnsi="宋体" w:cs="宋体"/>
      <w:b/>
      <w:bCs/>
      <w:kern w:val="0"/>
      <w:sz w:val="28"/>
    </w:rPr>
  </w:style>
  <w:style w:type="paragraph" w:styleId="9">
    <w:name w:val="heading 8"/>
    <w:basedOn w:val="1"/>
    <w:next w:val="1"/>
    <w:link w:val="52"/>
    <w:unhideWhenUsed/>
    <w:qFormat/>
    <w:uiPriority w:val="0"/>
    <w:pPr>
      <w:keepNext/>
      <w:keepLines/>
      <w:widowControl/>
      <w:numPr>
        <w:ilvl w:val="7"/>
        <w:numId w:val="1"/>
      </w:numPr>
      <w:spacing w:before="240" w:after="64" w:line="320" w:lineRule="auto"/>
      <w:jc w:val="left"/>
      <w:outlineLvl w:val="7"/>
    </w:pPr>
    <w:rPr>
      <w:rFonts w:ascii="等线 Light" w:hAnsi="等线 Light" w:eastAsia="等线 Light"/>
      <w:kern w:val="0"/>
      <w:sz w:val="28"/>
    </w:rPr>
  </w:style>
  <w:style w:type="paragraph" w:styleId="10">
    <w:name w:val="heading 9"/>
    <w:basedOn w:val="1"/>
    <w:next w:val="1"/>
    <w:link w:val="53"/>
    <w:unhideWhenUsed/>
    <w:qFormat/>
    <w:uiPriority w:val="0"/>
    <w:pPr>
      <w:keepNext/>
      <w:keepLines/>
      <w:widowControl/>
      <w:numPr>
        <w:ilvl w:val="8"/>
        <w:numId w:val="1"/>
      </w:numPr>
      <w:spacing w:before="240" w:after="64" w:line="320" w:lineRule="auto"/>
      <w:jc w:val="left"/>
      <w:outlineLvl w:val="8"/>
    </w:pPr>
    <w:rPr>
      <w:rFonts w:ascii="等线 Light" w:hAnsi="等线 Light" w:eastAsia="等线 Light"/>
      <w:kern w:val="0"/>
      <w:szCs w:val="21"/>
    </w:rPr>
  </w:style>
  <w:style w:type="character" w:default="1" w:styleId="36">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autoRedefine/>
    <w:unhideWhenUsed/>
    <w:qFormat/>
    <w:uiPriority w:val="39"/>
    <w:pPr>
      <w:spacing w:after="160" w:line="278" w:lineRule="auto"/>
      <w:ind w:left="2520" w:leftChars="1200"/>
      <w:jc w:val="left"/>
    </w:pPr>
    <w:rPr>
      <w:rFonts w:asciiTheme="minorHAnsi" w:hAnsiTheme="minorHAnsi" w:eastAsiaTheme="minorEastAsia" w:cstheme="minorBidi"/>
      <w:sz w:val="22"/>
    </w:rPr>
  </w:style>
  <w:style w:type="paragraph" w:styleId="12">
    <w:name w:val="List Number"/>
    <w:basedOn w:val="1"/>
    <w:unhideWhenUsed/>
    <w:qFormat/>
    <w:uiPriority w:val="99"/>
    <w:pPr>
      <w:widowControl/>
      <w:numPr>
        <w:ilvl w:val="0"/>
        <w:numId w:val="2"/>
      </w:numPr>
      <w:tabs>
        <w:tab w:val="clear" w:pos="360"/>
      </w:tabs>
      <w:ind w:left="0" w:firstLine="0"/>
      <w:jc w:val="left"/>
    </w:pPr>
    <w:rPr>
      <w:rFonts w:hint="eastAsia" w:ascii="宋体" w:hAnsi="宋体"/>
      <w:kern w:val="0"/>
      <w:sz w:val="24"/>
    </w:rPr>
  </w:style>
  <w:style w:type="paragraph" w:styleId="13">
    <w:name w:val="caption"/>
    <w:basedOn w:val="1"/>
    <w:next w:val="1"/>
    <w:link w:val="138"/>
    <w:unhideWhenUsed/>
    <w:qFormat/>
    <w:uiPriority w:val="0"/>
    <w:rPr>
      <w:rFonts w:eastAsia="黑体" w:asciiTheme="majorHAnsi" w:hAnsiTheme="majorHAnsi" w:cstheme="majorBidi"/>
      <w:sz w:val="20"/>
      <w:szCs w:val="20"/>
    </w:rPr>
  </w:style>
  <w:style w:type="paragraph" w:styleId="14">
    <w:name w:val="Document Map"/>
    <w:basedOn w:val="1"/>
    <w:link w:val="54"/>
    <w:qFormat/>
    <w:uiPriority w:val="0"/>
    <w:pPr>
      <w:widowControl/>
      <w:spacing w:line="360" w:lineRule="auto"/>
      <w:jc w:val="left"/>
    </w:pPr>
    <w:rPr>
      <w:rFonts w:ascii="宋体" w:hAnsi="宋体" w:cs="宋体"/>
      <w:kern w:val="0"/>
      <w:sz w:val="18"/>
      <w:szCs w:val="18"/>
    </w:rPr>
  </w:style>
  <w:style w:type="paragraph" w:styleId="15">
    <w:name w:val="annotation text"/>
    <w:basedOn w:val="1"/>
    <w:link w:val="55"/>
    <w:qFormat/>
    <w:uiPriority w:val="99"/>
    <w:pPr>
      <w:widowControl/>
      <w:spacing w:line="360" w:lineRule="auto"/>
      <w:jc w:val="left"/>
    </w:pPr>
    <w:rPr>
      <w:rFonts w:ascii="宋体" w:hAnsi="宋体" w:cs="宋体"/>
      <w:kern w:val="0"/>
      <w:sz w:val="28"/>
    </w:rPr>
  </w:style>
  <w:style w:type="paragraph" w:styleId="16">
    <w:name w:val="Body Text"/>
    <w:basedOn w:val="1"/>
    <w:link w:val="56"/>
    <w:unhideWhenUsed/>
    <w:qFormat/>
    <w:uiPriority w:val="1"/>
    <w:pPr>
      <w:widowControl/>
      <w:kinsoku w:val="0"/>
      <w:autoSpaceDE w:val="0"/>
      <w:autoSpaceDN w:val="0"/>
      <w:adjustRightInd w:val="0"/>
      <w:snapToGrid w:val="0"/>
      <w:spacing w:after="120" w:line="360" w:lineRule="auto"/>
      <w:jc w:val="left"/>
      <w:textAlignment w:val="baseline"/>
    </w:pPr>
    <w:rPr>
      <w:rFonts w:ascii="Arial" w:hAnsi="Arial" w:eastAsia="仿宋" w:cs="Arial"/>
      <w:snapToGrid w:val="0"/>
      <w:color w:val="000000"/>
      <w:kern w:val="0"/>
      <w:sz w:val="28"/>
      <w:szCs w:val="21"/>
    </w:rPr>
  </w:style>
  <w:style w:type="paragraph" w:styleId="17">
    <w:name w:val="toc 5"/>
    <w:basedOn w:val="1"/>
    <w:next w:val="1"/>
    <w:autoRedefine/>
    <w:unhideWhenUsed/>
    <w:qFormat/>
    <w:uiPriority w:val="39"/>
    <w:pPr>
      <w:spacing w:after="160" w:line="278" w:lineRule="auto"/>
      <w:ind w:left="1680" w:leftChars="800"/>
      <w:jc w:val="left"/>
    </w:pPr>
    <w:rPr>
      <w:rFonts w:asciiTheme="minorHAnsi" w:hAnsiTheme="minorHAnsi" w:eastAsiaTheme="minorEastAsia" w:cstheme="minorBidi"/>
      <w:sz w:val="22"/>
    </w:rPr>
  </w:style>
  <w:style w:type="paragraph" w:styleId="18">
    <w:name w:val="toc 3"/>
    <w:basedOn w:val="1"/>
    <w:next w:val="1"/>
    <w:autoRedefine/>
    <w:unhideWhenUsed/>
    <w:qFormat/>
    <w:uiPriority w:val="39"/>
    <w:pPr>
      <w:widowControl/>
      <w:spacing w:line="360" w:lineRule="auto"/>
      <w:ind w:left="480"/>
      <w:jc w:val="left"/>
    </w:pPr>
    <w:rPr>
      <w:rFonts w:hAnsi="宋体" w:cs="宋体" w:asciiTheme="minorHAnsi" w:eastAsiaTheme="minorHAnsi"/>
      <w:iCs/>
      <w:kern w:val="0"/>
      <w:sz w:val="20"/>
      <w:szCs w:val="20"/>
    </w:rPr>
  </w:style>
  <w:style w:type="paragraph" w:styleId="19">
    <w:name w:val="Plain Text"/>
    <w:basedOn w:val="1"/>
    <w:link w:val="156"/>
    <w:qFormat/>
    <w:uiPriority w:val="0"/>
    <w:rPr>
      <w:rFonts w:ascii="宋体" w:hAnsi="Courier New"/>
      <w:szCs w:val="20"/>
      <w:lang w:val="zh-CN"/>
    </w:rPr>
  </w:style>
  <w:style w:type="paragraph" w:styleId="20">
    <w:name w:val="toc 8"/>
    <w:basedOn w:val="1"/>
    <w:next w:val="1"/>
    <w:autoRedefine/>
    <w:unhideWhenUsed/>
    <w:qFormat/>
    <w:uiPriority w:val="39"/>
    <w:pPr>
      <w:spacing w:after="160" w:line="278" w:lineRule="auto"/>
      <w:ind w:left="2940" w:leftChars="1400"/>
      <w:jc w:val="left"/>
    </w:pPr>
    <w:rPr>
      <w:rFonts w:asciiTheme="minorHAnsi" w:hAnsiTheme="minorHAnsi" w:eastAsiaTheme="minorEastAsia" w:cstheme="minorBidi"/>
      <w:sz w:val="22"/>
    </w:rPr>
  </w:style>
  <w:style w:type="paragraph" w:styleId="21">
    <w:name w:val="Date"/>
    <w:basedOn w:val="1"/>
    <w:next w:val="1"/>
    <w:link w:val="57"/>
    <w:qFormat/>
    <w:uiPriority w:val="0"/>
    <w:pPr>
      <w:widowControl/>
      <w:spacing w:line="360" w:lineRule="auto"/>
      <w:ind w:left="100" w:leftChars="2500"/>
      <w:jc w:val="left"/>
    </w:pPr>
    <w:rPr>
      <w:rFonts w:ascii="宋体" w:hAnsi="宋体" w:cs="宋体"/>
      <w:kern w:val="0"/>
      <w:sz w:val="28"/>
    </w:rPr>
  </w:style>
  <w:style w:type="paragraph" w:styleId="22">
    <w:name w:val="Balloon Text"/>
    <w:basedOn w:val="1"/>
    <w:link w:val="44"/>
    <w:unhideWhenUsed/>
    <w:qFormat/>
    <w:uiPriority w:val="99"/>
    <w:rPr>
      <w:sz w:val="18"/>
      <w:szCs w:val="18"/>
    </w:rPr>
  </w:style>
  <w:style w:type="paragraph" w:styleId="23">
    <w:name w:val="footer"/>
    <w:basedOn w:val="1"/>
    <w:link w:val="42"/>
    <w:unhideWhenUsed/>
    <w:qFormat/>
    <w:uiPriority w:val="99"/>
    <w:pPr>
      <w:tabs>
        <w:tab w:val="center" w:pos="4153"/>
        <w:tab w:val="right" w:pos="8306"/>
      </w:tabs>
      <w:snapToGrid w:val="0"/>
      <w:jc w:val="left"/>
    </w:pPr>
    <w:rPr>
      <w:sz w:val="18"/>
      <w:szCs w:val="18"/>
    </w:rPr>
  </w:style>
  <w:style w:type="paragraph" w:styleId="24">
    <w:name w:val="header"/>
    <w:basedOn w:val="1"/>
    <w:link w:val="41"/>
    <w:unhideWhenUsed/>
    <w:qFormat/>
    <w:uiPriority w:val="0"/>
    <w:pPr>
      <w:pBdr>
        <w:bottom w:val="single" w:color="auto" w:sz="6" w:space="1"/>
      </w:pBdr>
      <w:tabs>
        <w:tab w:val="center" w:pos="4153"/>
        <w:tab w:val="right" w:pos="8306"/>
      </w:tabs>
      <w:snapToGrid w:val="0"/>
      <w:jc w:val="center"/>
    </w:pPr>
    <w:rPr>
      <w:sz w:val="18"/>
      <w:szCs w:val="18"/>
    </w:rPr>
  </w:style>
  <w:style w:type="paragraph" w:styleId="25">
    <w:name w:val="toc 1"/>
    <w:basedOn w:val="1"/>
    <w:next w:val="1"/>
    <w:autoRedefine/>
    <w:unhideWhenUsed/>
    <w:qFormat/>
    <w:uiPriority w:val="39"/>
    <w:pPr>
      <w:widowControl/>
      <w:spacing w:before="120" w:after="120" w:line="360" w:lineRule="auto"/>
      <w:jc w:val="left"/>
    </w:pPr>
    <w:rPr>
      <w:rFonts w:hAnsi="宋体" w:cs="宋体" w:asciiTheme="minorHAnsi" w:eastAsiaTheme="minorHAnsi"/>
      <w:b/>
      <w:bCs/>
      <w:caps/>
      <w:kern w:val="0"/>
      <w:sz w:val="20"/>
      <w:szCs w:val="20"/>
    </w:rPr>
  </w:style>
  <w:style w:type="paragraph" w:styleId="26">
    <w:name w:val="toc 4"/>
    <w:basedOn w:val="1"/>
    <w:next w:val="1"/>
    <w:autoRedefine/>
    <w:unhideWhenUsed/>
    <w:qFormat/>
    <w:uiPriority w:val="39"/>
    <w:pPr>
      <w:spacing w:after="160" w:line="278" w:lineRule="auto"/>
      <w:ind w:left="1260" w:leftChars="600"/>
      <w:jc w:val="left"/>
    </w:pPr>
    <w:rPr>
      <w:rFonts w:asciiTheme="minorHAnsi" w:hAnsiTheme="minorHAnsi" w:eastAsiaTheme="minorEastAsia" w:cstheme="minorBidi"/>
      <w:sz w:val="22"/>
    </w:rPr>
  </w:style>
  <w:style w:type="paragraph" w:styleId="27">
    <w:name w:val="Subtitle"/>
    <w:basedOn w:val="1"/>
    <w:next w:val="1"/>
    <w:link w:val="58"/>
    <w:qFormat/>
    <w:uiPriority w:val="11"/>
    <w:pPr>
      <w:spacing w:before="240" w:after="60" w:line="312" w:lineRule="auto"/>
      <w:jc w:val="center"/>
      <w:outlineLvl w:val="1"/>
    </w:pPr>
    <w:rPr>
      <w:rFonts w:ascii="Calibri Light" w:hAnsi="Calibri Light"/>
      <w:b/>
      <w:bCs/>
      <w:kern w:val="28"/>
      <w:sz w:val="32"/>
      <w:szCs w:val="32"/>
    </w:rPr>
  </w:style>
  <w:style w:type="paragraph" w:styleId="28">
    <w:name w:val="toc 6"/>
    <w:basedOn w:val="1"/>
    <w:next w:val="1"/>
    <w:autoRedefine/>
    <w:unhideWhenUsed/>
    <w:qFormat/>
    <w:uiPriority w:val="39"/>
    <w:pPr>
      <w:spacing w:after="160" w:line="278" w:lineRule="auto"/>
      <w:ind w:left="2100" w:leftChars="1000"/>
      <w:jc w:val="left"/>
    </w:pPr>
    <w:rPr>
      <w:rFonts w:asciiTheme="minorHAnsi" w:hAnsiTheme="minorHAnsi" w:eastAsiaTheme="minorEastAsia" w:cstheme="minorBidi"/>
      <w:sz w:val="22"/>
    </w:rPr>
  </w:style>
  <w:style w:type="paragraph" w:styleId="29">
    <w:name w:val="toc 2"/>
    <w:basedOn w:val="1"/>
    <w:next w:val="1"/>
    <w:autoRedefine/>
    <w:unhideWhenUsed/>
    <w:qFormat/>
    <w:uiPriority w:val="39"/>
    <w:pPr>
      <w:widowControl/>
      <w:spacing w:line="360" w:lineRule="auto"/>
      <w:ind w:left="240"/>
      <w:jc w:val="left"/>
    </w:pPr>
    <w:rPr>
      <w:rFonts w:hAnsi="宋体" w:cs="宋体" w:asciiTheme="minorHAnsi" w:eastAsiaTheme="minorHAnsi"/>
      <w:smallCaps/>
      <w:kern w:val="0"/>
      <w:sz w:val="20"/>
      <w:szCs w:val="20"/>
    </w:rPr>
  </w:style>
  <w:style w:type="paragraph" w:styleId="30">
    <w:name w:val="toc 9"/>
    <w:basedOn w:val="1"/>
    <w:next w:val="1"/>
    <w:autoRedefine/>
    <w:unhideWhenUsed/>
    <w:qFormat/>
    <w:uiPriority w:val="39"/>
    <w:pPr>
      <w:spacing w:after="160" w:line="278" w:lineRule="auto"/>
      <w:ind w:left="3360" w:leftChars="1600"/>
      <w:jc w:val="left"/>
    </w:pPr>
    <w:rPr>
      <w:rFonts w:asciiTheme="minorHAnsi" w:hAnsiTheme="minorHAnsi" w:eastAsiaTheme="minorEastAsia" w:cstheme="minorBidi"/>
      <w:sz w:val="22"/>
    </w:rPr>
  </w:style>
  <w:style w:type="paragraph" w:styleId="31">
    <w:name w:val="Normal (Web)"/>
    <w:basedOn w:val="1"/>
    <w:link w:val="144"/>
    <w:unhideWhenUsed/>
    <w:qFormat/>
    <w:uiPriority w:val="99"/>
    <w:pPr>
      <w:widowControl/>
      <w:spacing w:before="100" w:beforeAutospacing="1" w:after="100" w:afterAutospacing="1"/>
      <w:jc w:val="left"/>
    </w:pPr>
    <w:rPr>
      <w:rFonts w:ascii="宋体" w:hAnsi="宋体" w:cs="宋体"/>
      <w:kern w:val="0"/>
      <w:sz w:val="24"/>
    </w:rPr>
  </w:style>
  <w:style w:type="paragraph" w:styleId="32">
    <w:name w:val="Title"/>
    <w:basedOn w:val="1"/>
    <w:next w:val="1"/>
    <w:link w:val="59"/>
    <w:qFormat/>
    <w:uiPriority w:val="10"/>
    <w:pPr>
      <w:widowControl/>
      <w:spacing w:before="240" w:after="60" w:line="360" w:lineRule="auto"/>
      <w:ind w:firstLine="420"/>
      <w:jc w:val="center"/>
      <w:outlineLvl w:val="0"/>
    </w:pPr>
    <w:rPr>
      <w:rFonts w:ascii="Cambria" w:hAnsi="Cambria"/>
      <w:b/>
      <w:bCs/>
      <w:kern w:val="0"/>
      <w:sz w:val="32"/>
      <w:szCs w:val="32"/>
    </w:rPr>
  </w:style>
  <w:style w:type="paragraph" w:styleId="33">
    <w:name w:val="annotation subject"/>
    <w:basedOn w:val="15"/>
    <w:next w:val="15"/>
    <w:link w:val="60"/>
    <w:qFormat/>
    <w:uiPriority w:val="99"/>
    <w:rPr>
      <w:b/>
      <w:bCs/>
    </w:rPr>
  </w:style>
  <w:style w:type="table" w:styleId="35">
    <w:name w:val="Table Grid"/>
    <w:basedOn w:val="34"/>
    <w:qFormat/>
    <w:uiPriority w:val="39"/>
    <w:pPr>
      <w:widowControl w:val="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cPr>
      <w:tcBorders>
        <w:top w:val="single" w:color="000000" w:sz="4" w:space="0"/>
        <w:left w:val="single" w:color="000000" w:sz="4" w:space="0"/>
        <w:bottom w:val="single" w:color="000000" w:sz="4" w:space="0"/>
        <w:right w:val="single" w:color="000000" w:sz="4" w:space="0"/>
      </w:tcBorders>
    </w:tcPr>
  </w:style>
  <w:style w:type="character" w:styleId="37">
    <w:name w:val="Strong"/>
    <w:basedOn w:val="36"/>
    <w:qFormat/>
    <w:uiPriority w:val="22"/>
    <w:rPr>
      <w:b/>
      <w:bCs/>
    </w:rPr>
  </w:style>
  <w:style w:type="character" w:styleId="38">
    <w:name w:val="FollowedHyperlink"/>
    <w:basedOn w:val="36"/>
    <w:unhideWhenUsed/>
    <w:qFormat/>
    <w:uiPriority w:val="99"/>
    <w:rPr>
      <w:color w:val="96607D"/>
      <w:u w:val="single"/>
    </w:rPr>
  </w:style>
  <w:style w:type="character" w:styleId="39">
    <w:name w:val="Hyperlink"/>
    <w:basedOn w:val="36"/>
    <w:unhideWhenUsed/>
    <w:qFormat/>
    <w:uiPriority w:val="99"/>
    <w:rPr>
      <w:color w:val="0000FF" w:themeColor="hyperlink"/>
      <w:u w:val="single"/>
    </w:rPr>
  </w:style>
  <w:style w:type="character" w:styleId="40">
    <w:name w:val="annotation reference"/>
    <w:basedOn w:val="36"/>
    <w:qFormat/>
    <w:uiPriority w:val="99"/>
    <w:rPr>
      <w:sz w:val="21"/>
      <w:szCs w:val="21"/>
    </w:rPr>
  </w:style>
  <w:style w:type="character" w:customStyle="1" w:styleId="41">
    <w:name w:val="页眉 Char"/>
    <w:basedOn w:val="36"/>
    <w:link w:val="24"/>
    <w:qFormat/>
    <w:uiPriority w:val="99"/>
    <w:rPr>
      <w:rFonts w:ascii="Times New Roman" w:hAnsi="Times New Roman" w:eastAsia="宋体" w:cs="Times New Roman"/>
      <w:sz w:val="18"/>
      <w:szCs w:val="18"/>
    </w:rPr>
  </w:style>
  <w:style w:type="character" w:customStyle="1" w:styleId="42">
    <w:name w:val="页脚 Char"/>
    <w:basedOn w:val="36"/>
    <w:link w:val="23"/>
    <w:qFormat/>
    <w:uiPriority w:val="99"/>
    <w:rPr>
      <w:rFonts w:ascii="Times New Roman" w:hAnsi="Times New Roman" w:eastAsia="宋体" w:cs="Times New Roman"/>
      <w:sz w:val="18"/>
      <w:szCs w:val="18"/>
    </w:rPr>
  </w:style>
  <w:style w:type="paragraph" w:customStyle="1" w:styleId="43">
    <w:name w:val="【正文】"/>
    <w:basedOn w:val="1"/>
    <w:qFormat/>
    <w:uiPriority w:val="0"/>
    <w:pPr>
      <w:widowControl/>
      <w:wordWrap w:val="0"/>
      <w:spacing w:line="360" w:lineRule="auto"/>
      <w:ind w:firstLine="482"/>
      <w:jc w:val="left"/>
    </w:pPr>
    <w:rPr>
      <w:sz w:val="28"/>
      <w:szCs w:val="20"/>
    </w:rPr>
  </w:style>
  <w:style w:type="character" w:customStyle="1" w:styleId="44">
    <w:name w:val="批注框文本 Char"/>
    <w:basedOn w:val="36"/>
    <w:link w:val="22"/>
    <w:qFormat/>
    <w:uiPriority w:val="99"/>
    <w:rPr>
      <w:rFonts w:ascii="Times New Roman" w:hAnsi="Times New Roman" w:eastAsia="宋体" w:cs="Times New Roman"/>
      <w:sz w:val="18"/>
      <w:szCs w:val="18"/>
    </w:rPr>
  </w:style>
  <w:style w:type="character" w:customStyle="1" w:styleId="45">
    <w:name w:val="标题 1 Char"/>
    <w:basedOn w:val="36"/>
    <w:link w:val="2"/>
    <w:qFormat/>
    <w:uiPriority w:val="9"/>
    <w:rPr>
      <w:rFonts w:ascii="宋体" w:hAnsi="宋体" w:eastAsia="宋体" w:cs="Times New Roman"/>
      <w:b/>
      <w:bCs/>
      <w:kern w:val="44"/>
      <w:sz w:val="28"/>
      <w:szCs w:val="24"/>
    </w:rPr>
  </w:style>
  <w:style w:type="character" w:customStyle="1" w:styleId="46">
    <w:name w:val="标题 2 Char"/>
    <w:basedOn w:val="36"/>
    <w:link w:val="3"/>
    <w:qFormat/>
    <w:uiPriority w:val="0"/>
    <w:rPr>
      <w:rFonts w:ascii="宋体" w:hAnsi="宋体" w:eastAsia="宋体" w:cs="宋体"/>
      <w:b/>
      <w:kern w:val="0"/>
      <w:sz w:val="28"/>
      <w:szCs w:val="24"/>
    </w:rPr>
  </w:style>
  <w:style w:type="character" w:customStyle="1" w:styleId="47">
    <w:name w:val="标题 3 Char"/>
    <w:basedOn w:val="36"/>
    <w:link w:val="4"/>
    <w:qFormat/>
    <w:uiPriority w:val="9"/>
    <w:rPr>
      <w:rFonts w:ascii="宋体" w:hAnsi="宋体" w:eastAsia="宋体" w:cs="Times New Roman"/>
      <w:b/>
      <w:bCs/>
      <w:sz w:val="28"/>
      <w:szCs w:val="24"/>
    </w:rPr>
  </w:style>
  <w:style w:type="character" w:customStyle="1" w:styleId="48">
    <w:name w:val="标题 4 Char"/>
    <w:basedOn w:val="36"/>
    <w:link w:val="5"/>
    <w:qFormat/>
    <w:uiPriority w:val="0"/>
    <w:rPr>
      <w:rFonts w:ascii="宋体" w:hAnsi="宋体" w:eastAsia="宋体" w:cs="Times New Roman"/>
      <w:b/>
      <w:bCs/>
      <w:sz w:val="28"/>
      <w:szCs w:val="24"/>
    </w:rPr>
  </w:style>
  <w:style w:type="character" w:customStyle="1" w:styleId="49">
    <w:name w:val="标题 5 Char"/>
    <w:basedOn w:val="36"/>
    <w:link w:val="6"/>
    <w:qFormat/>
    <w:uiPriority w:val="0"/>
    <w:rPr>
      <w:rFonts w:ascii="Calibri" w:hAnsi="Calibri" w:eastAsia="宋体" w:cs="Times New Roman"/>
      <w:b/>
      <w:bCs/>
      <w:sz w:val="28"/>
      <w:szCs w:val="28"/>
    </w:rPr>
  </w:style>
  <w:style w:type="character" w:customStyle="1" w:styleId="50">
    <w:name w:val="标题 6 Char"/>
    <w:basedOn w:val="36"/>
    <w:link w:val="7"/>
    <w:qFormat/>
    <w:uiPriority w:val="0"/>
    <w:rPr>
      <w:rFonts w:ascii="等线 Light" w:hAnsi="等线 Light" w:eastAsia="等线 Light" w:cs="Times New Roman"/>
      <w:b/>
      <w:bCs/>
      <w:kern w:val="0"/>
      <w:sz w:val="28"/>
      <w:szCs w:val="24"/>
    </w:rPr>
  </w:style>
  <w:style w:type="character" w:customStyle="1" w:styleId="51">
    <w:name w:val="标题 7 Char"/>
    <w:basedOn w:val="36"/>
    <w:link w:val="8"/>
    <w:qFormat/>
    <w:uiPriority w:val="0"/>
    <w:rPr>
      <w:rFonts w:ascii="宋体" w:hAnsi="宋体" w:eastAsia="宋体" w:cs="宋体"/>
      <w:b/>
      <w:bCs/>
      <w:kern w:val="0"/>
      <w:sz w:val="28"/>
      <w:szCs w:val="24"/>
    </w:rPr>
  </w:style>
  <w:style w:type="character" w:customStyle="1" w:styleId="52">
    <w:name w:val="标题 8 Char"/>
    <w:basedOn w:val="36"/>
    <w:link w:val="9"/>
    <w:qFormat/>
    <w:uiPriority w:val="0"/>
    <w:rPr>
      <w:rFonts w:ascii="等线 Light" w:hAnsi="等线 Light" w:eastAsia="等线 Light" w:cs="Times New Roman"/>
      <w:kern w:val="0"/>
      <w:sz w:val="28"/>
      <w:szCs w:val="24"/>
    </w:rPr>
  </w:style>
  <w:style w:type="character" w:customStyle="1" w:styleId="53">
    <w:name w:val="标题 9 Char"/>
    <w:basedOn w:val="36"/>
    <w:link w:val="10"/>
    <w:qFormat/>
    <w:uiPriority w:val="0"/>
    <w:rPr>
      <w:rFonts w:ascii="等线 Light" w:hAnsi="等线 Light" w:eastAsia="等线 Light" w:cs="Times New Roman"/>
      <w:kern w:val="0"/>
      <w:szCs w:val="21"/>
    </w:rPr>
  </w:style>
  <w:style w:type="character" w:customStyle="1" w:styleId="54">
    <w:name w:val="文档结构图 Char"/>
    <w:basedOn w:val="36"/>
    <w:link w:val="14"/>
    <w:qFormat/>
    <w:uiPriority w:val="0"/>
    <w:rPr>
      <w:rFonts w:ascii="宋体" w:hAnsi="宋体" w:eastAsia="宋体" w:cs="宋体"/>
      <w:kern w:val="0"/>
      <w:sz w:val="18"/>
      <w:szCs w:val="18"/>
    </w:rPr>
  </w:style>
  <w:style w:type="character" w:customStyle="1" w:styleId="55">
    <w:name w:val="批注文字 Char"/>
    <w:basedOn w:val="36"/>
    <w:link w:val="15"/>
    <w:qFormat/>
    <w:uiPriority w:val="99"/>
    <w:rPr>
      <w:rFonts w:ascii="宋体" w:hAnsi="宋体" w:eastAsia="宋体" w:cs="宋体"/>
      <w:kern w:val="0"/>
      <w:sz w:val="28"/>
      <w:szCs w:val="24"/>
    </w:rPr>
  </w:style>
  <w:style w:type="character" w:customStyle="1" w:styleId="56">
    <w:name w:val="正文文本 Char"/>
    <w:basedOn w:val="36"/>
    <w:link w:val="16"/>
    <w:qFormat/>
    <w:uiPriority w:val="1"/>
    <w:rPr>
      <w:rFonts w:ascii="Arial" w:hAnsi="Arial" w:eastAsia="仿宋" w:cs="Arial"/>
      <w:snapToGrid w:val="0"/>
      <w:color w:val="000000"/>
      <w:kern w:val="0"/>
      <w:sz w:val="28"/>
      <w:szCs w:val="21"/>
    </w:rPr>
  </w:style>
  <w:style w:type="character" w:customStyle="1" w:styleId="57">
    <w:name w:val="日期 Char"/>
    <w:basedOn w:val="36"/>
    <w:link w:val="21"/>
    <w:qFormat/>
    <w:uiPriority w:val="0"/>
    <w:rPr>
      <w:rFonts w:ascii="宋体" w:hAnsi="宋体" w:eastAsia="宋体" w:cs="宋体"/>
      <w:kern w:val="0"/>
      <w:sz w:val="28"/>
      <w:szCs w:val="24"/>
    </w:rPr>
  </w:style>
  <w:style w:type="character" w:customStyle="1" w:styleId="58">
    <w:name w:val="副标题 Char"/>
    <w:basedOn w:val="36"/>
    <w:link w:val="27"/>
    <w:qFormat/>
    <w:uiPriority w:val="11"/>
    <w:rPr>
      <w:rFonts w:ascii="Calibri Light" w:hAnsi="Calibri Light" w:eastAsia="宋体" w:cs="Times New Roman"/>
      <w:b/>
      <w:bCs/>
      <w:kern w:val="28"/>
      <w:sz w:val="32"/>
      <w:szCs w:val="32"/>
    </w:rPr>
  </w:style>
  <w:style w:type="character" w:customStyle="1" w:styleId="59">
    <w:name w:val="标题 Char"/>
    <w:basedOn w:val="36"/>
    <w:link w:val="32"/>
    <w:qFormat/>
    <w:uiPriority w:val="10"/>
    <w:rPr>
      <w:rFonts w:ascii="Cambria" w:hAnsi="Cambria" w:eastAsia="宋体" w:cs="Times New Roman"/>
      <w:b/>
      <w:bCs/>
      <w:kern w:val="0"/>
      <w:sz w:val="32"/>
      <w:szCs w:val="32"/>
    </w:rPr>
  </w:style>
  <w:style w:type="character" w:customStyle="1" w:styleId="60">
    <w:name w:val="批注主题 Char"/>
    <w:basedOn w:val="55"/>
    <w:link w:val="33"/>
    <w:qFormat/>
    <w:uiPriority w:val="99"/>
    <w:rPr>
      <w:b/>
      <w:bCs/>
    </w:rPr>
  </w:style>
  <w:style w:type="paragraph" w:customStyle="1" w:styleId="61">
    <w:name w:val="TOC 标题2"/>
    <w:basedOn w:val="2"/>
    <w:next w:val="1"/>
    <w:qFormat/>
    <w:uiPriority w:val="39"/>
    <w:pPr>
      <w:widowControl/>
      <w:spacing w:before="240" w:line="259" w:lineRule="auto"/>
      <w:jc w:val="left"/>
      <w:outlineLvl w:val="9"/>
    </w:pPr>
    <w:rPr>
      <w:rFonts w:ascii="等线 Light" w:hAnsi="等线 Light" w:eastAsia="等线 Light"/>
      <w:b w:val="0"/>
      <w:bCs w:val="0"/>
      <w:color w:val="2F5496"/>
      <w:kern w:val="0"/>
      <w:sz w:val="32"/>
      <w:szCs w:val="32"/>
    </w:rPr>
  </w:style>
  <w:style w:type="paragraph" w:customStyle="1" w:styleId="62">
    <w:name w:val="6级标题"/>
    <w:basedOn w:val="1"/>
    <w:qFormat/>
    <w:uiPriority w:val="0"/>
    <w:pPr>
      <w:widowControl/>
      <w:numPr>
        <w:ilvl w:val="5"/>
        <w:numId w:val="3"/>
      </w:numPr>
      <w:spacing w:line="360" w:lineRule="auto"/>
      <w:jc w:val="left"/>
    </w:pPr>
    <w:rPr>
      <w:rFonts w:ascii="宋体" w:hAnsi="宋体" w:cs="宋体"/>
      <w:b/>
      <w:kern w:val="0"/>
      <w:sz w:val="28"/>
    </w:rPr>
  </w:style>
  <w:style w:type="paragraph" w:styleId="63">
    <w:name w:val="List Paragraph"/>
    <w:basedOn w:val="1"/>
    <w:link w:val="117"/>
    <w:unhideWhenUsed/>
    <w:qFormat/>
    <w:uiPriority w:val="34"/>
    <w:pPr>
      <w:widowControl/>
      <w:spacing w:line="360" w:lineRule="auto"/>
      <w:ind w:firstLine="420" w:firstLineChars="200"/>
      <w:jc w:val="left"/>
    </w:pPr>
    <w:rPr>
      <w:rFonts w:ascii="宋体" w:hAnsi="宋体" w:cs="宋体"/>
      <w:kern w:val="0"/>
      <w:sz w:val="28"/>
    </w:rPr>
  </w:style>
  <w:style w:type="paragraph" w:customStyle="1" w:styleId="64">
    <w:name w:val="修订1"/>
    <w:hidden/>
    <w:unhideWhenUsed/>
    <w:qFormat/>
    <w:uiPriority w:val="99"/>
    <w:rPr>
      <w:rFonts w:ascii="宋体" w:hAnsi="宋体" w:eastAsia="宋体" w:cs="宋体"/>
      <w:sz w:val="24"/>
      <w:szCs w:val="24"/>
      <w:lang w:val="en-US" w:eastAsia="zh-CN" w:bidi="ar-SA"/>
    </w:rPr>
  </w:style>
  <w:style w:type="character" w:customStyle="1" w:styleId="65">
    <w:name w:val="未处理的提及1"/>
    <w:basedOn w:val="36"/>
    <w:semiHidden/>
    <w:unhideWhenUsed/>
    <w:qFormat/>
    <w:uiPriority w:val="99"/>
    <w:rPr>
      <w:color w:val="605E5C"/>
      <w:shd w:val="clear" w:color="auto" w:fill="E1DFDD"/>
    </w:rPr>
  </w:style>
  <w:style w:type="paragraph" w:customStyle="1" w:styleId="66">
    <w:name w:val="修订2"/>
    <w:hidden/>
    <w:unhideWhenUsed/>
    <w:qFormat/>
    <w:uiPriority w:val="99"/>
    <w:rPr>
      <w:rFonts w:ascii="宋体" w:hAnsi="宋体" w:eastAsia="宋体" w:cs="宋体"/>
      <w:sz w:val="24"/>
      <w:szCs w:val="24"/>
      <w:lang w:val="en-US" w:eastAsia="zh-CN" w:bidi="ar-SA"/>
    </w:rPr>
  </w:style>
  <w:style w:type="paragraph" w:customStyle="1" w:styleId="67">
    <w:name w:val="msonormal"/>
    <w:basedOn w:val="1"/>
    <w:qFormat/>
    <w:uiPriority w:val="0"/>
    <w:pPr>
      <w:widowControl/>
      <w:spacing w:before="100" w:beforeAutospacing="1" w:after="100" w:afterAutospacing="1"/>
      <w:jc w:val="left"/>
    </w:pPr>
    <w:rPr>
      <w:rFonts w:ascii="宋体" w:hAnsi="宋体" w:cs="宋体"/>
      <w:kern w:val="0"/>
      <w:sz w:val="28"/>
    </w:rPr>
  </w:style>
  <w:style w:type="paragraph" w:customStyle="1" w:styleId="68">
    <w:name w:val="font5"/>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69">
    <w:name w:val="font6"/>
    <w:basedOn w:val="1"/>
    <w:qFormat/>
    <w:uiPriority w:val="0"/>
    <w:pPr>
      <w:widowControl/>
      <w:spacing w:before="100" w:beforeAutospacing="1" w:after="100" w:afterAutospacing="1"/>
      <w:jc w:val="left"/>
    </w:pPr>
    <w:rPr>
      <w:rFonts w:ascii="宋体" w:hAnsi="宋体" w:cs="宋体"/>
      <w:b/>
      <w:bCs/>
      <w:kern w:val="0"/>
      <w:sz w:val="20"/>
      <w:szCs w:val="20"/>
      <w:u w:val="single"/>
    </w:rPr>
  </w:style>
  <w:style w:type="paragraph" w:customStyle="1" w:styleId="70">
    <w:name w:val="font7"/>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71">
    <w:name w:val="xl67"/>
    <w:basedOn w:val="1"/>
    <w:qFormat/>
    <w:uiPriority w:val="0"/>
    <w:pPr>
      <w:widowControl/>
      <w:spacing w:before="100" w:beforeAutospacing="1" w:after="100" w:afterAutospacing="1"/>
      <w:jc w:val="left"/>
    </w:pPr>
    <w:rPr>
      <w:rFonts w:ascii="宋体" w:hAnsi="宋体" w:cs="宋体"/>
      <w:b/>
      <w:bCs/>
      <w:kern w:val="0"/>
      <w:sz w:val="28"/>
    </w:rPr>
  </w:style>
  <w:style w:type="paragraph" w:customStyle="1" w:styleId="72">
    <w:name w:val="xl68"/>
    <w:basedOn w:val="1"/>
    <w:qFormat/>
    <w:uiPriority w:val="0"/>
    <w:pPr>
      <w:widowControl/>
      <w:spacing w:before="100" w:beforeAutospacing="1" w:after="100" w:afterAutospacing="1"/>
      <w:jc w:val="center"/>
    </w:pPr>
    <w:rPr>
      <w:rFonts w:ascii="宋体" w:hAnsi="宋体" w:cs="宋体"/>
      <w:kern w:val="0"/>
      <w:sz w:val="28"/>
    </w:rPr>
  </w:style>
  <w:style w:type="paragraph" w:customStyle="1" w:styleId="73">
    <w:name w:val="xl69"/>
    <w:basedOn w:val="1"/>
    <w:qFormat/>
    <w:uiPriority w:val="0"/>
    <w:pPr>
      <w:widowControl/>
      <w:spacing w:before="100" w:beforeAutospacing="1" w:after="100" w:afterAutospacing="1"/>
      <w:jc w:val="left"/>
    </w:pPr>
    <w:rPr>
      <w:rFonts w:ascii="宋体" w:hAnsi="宋体" w:cs="宋体"/>
      <w:kern w:val="0"/>
      <w:sz w:val="28"/>
    </w:rPr>
  </w:style>
  <w:style w:type="paragraph" w:customStyle="1" w:styleId="74">
    <w:name w:val="xl70"/>
    <w:basedOn w:val="1"/>
    <w:qFormat/>
    <w:uiPriority w:val="0"/>
    <w:pPr>
      <w:widowControl/>
      <w:spacing w:before="100" w:beforeAutospacing="1" w:after="100" w:afterAutospacing="1"/>
      <w:jc w:val="left"/>
    </w:pPr>
    <w:rPr>
      <w:rFonts w:ascii="宋体" w:hAnsi="宋体" w:cs="宋体"/>
      <w:color w:val="FF0000"/>
      <w:kern w:val="0"/>
      <w:sz w:val="28"/>
    </w:rPr>
  </w:style>
  <w:style w:type="paragraph" w:customStyle="1" w:styleId="75">
    <w:name w:val="xl71"/>
    <w:basedOn w:val="1"/>
    <w:qFormat/>
    <w:uiPriority w:val="0"/>
    <w:pPr>
      <w:widowControl/>
      <w:spacing w:before="100" w:beforeAutospacing="1" w:after="100" w:afterAutospacing="1"/>
      <w:jc w:val="left"/>
    </w:pPr>
    <w:rPr>
      <w:rFonts w:ascii="宋体" w:hAnsi="宋体" w:cs="宋体"/>
      <w:kern w:val="0"/>
      <w:sz w:val="28"/>
    </w:rPr>
  </w:style>
  <w:style w:type="paragraph" w:customStyle="1" w:styleId="76">
    <w:name w:val="xl72"/>
    <w:basedOn w:val="1"/>
    <w:qFormat/>
    <w:uiPriority w:val="0"/>
    <w:pPr>
      <w:widowControl/>
      <w:spacing w:before="100" w:beforeAutospacing="1" w:after="100" w:afterAutospacing="1"/>
      <w:jc w:val="center"/>
    </w:pPr>
    <w:rPr>
      <w:rFonts w:ascii="宋体" w:hAnsi="宋体" w:cs="宋体"/>
      <w:kern w:val="0"/>
      <w:sz w:val="20"/>
      <w:szCs w:val="20"/>
    </w:rPr>
  </w:style>
  <w:style w:type="paragraph" w:customStyle="1" w:styleId="77">
    <w:name w:val="xl73"/>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78">
    <w:name w:val="xl74"/>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79">
    <w:name w:val="xl75"/>
    <w:basedOn w:val="1"/>
    <w:qFormat/>
    <w:uiPriority w:val="0"/>
    <w:pPr>
      <w:widowControl/>
      <w:spacing w:before="100" w:beforeAutospacing="1" w:after="100" w:afterAutospacing="1"/>
      <w:jc w:val="center"/>
    </w:pPr>
    <w:rPr>
      <w:rFonts w:ascii="宋体" w:hAnsi="宋体" w:cs="宋体"/>
      <w:kern w:val="0"/>
      <w:sz w:val="20"/>
      <w:szCs w:val="20"/>
    </w:rPr>
  </w:style>
  <w:style w:type="paragraph" w:customStyle="1" w:styleId="80">
    <w:name w:val="xl76"/>
    <w:basedOn w:val="1"/>
    <w:qFormat/>
    <w:uiPriority w:val="0"/>
    <w:pPr>
      <w:widowControl/>
      <w:spacing w:before="100" w:beforeAutospacing="1" w:after="100" w:afterAutospacing="1"/>
      <w:jc w:val="left"/>
    </w:pPr>
    <w:rPr>
      <w:rFonts w:ascii="宋体" w:hAnsi="宋体" w:cs="宋体"/>
      <w:kern w:val="0"/>
      <w:sz w:val="28"/>
    </w:rPr>
  </w:style>
  <w:style w:type="paragraph" w:customStyle="1" w:styleId="81">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2">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0"/>
    </w:rPr>
  </w:style>
  <w:style w:type="paragraph" w:customStyle="1" w:styleId="83">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4">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5">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6">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7">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cs="宋体"/>
      <w:b/>
      <w:bCs/>
      <w:kern w:val="0"/>
      <w:sz w:val="20"/>
      <w:szCs w:val="20"/>
    </w:rPr>
  </w:style>
  <w:style w:type="paragraph" w:customStyle="1" w:styleId="88">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89">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90">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91">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92">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93">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94">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95">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96">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97">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98">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99">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00">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01">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02">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03">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04">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05">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06">
    <w:name w:val="xl10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107">
    <w:name w:val="xl103"/>
    <w:basedOn w:val="1"/>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108">
    <w:name w:val="xl10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109">
    <w:name w:val="xl105"/>
    <w:basedOn w:val="1"/>
    <w:qFormat/>
    <w:uiPriority w:val="0"/>
    <w:pPr>
      <w:widowControl/>
      <w:pBdr>
        <w:top w:val="single" w:color="auto" w:sz="4" w:space="0"/>
        <w:left w:val="single" w:color="auto" w:sz="4" w:space="0"/>
        <w:bottom w:val="single" w:color="auto" w:sz="4" w:space="0"/>
      </w:pBdr>
      <w:spacing w:before="100" w:beforeAutospacing="1" w:after="100" w:afterAutospacing="1"/>
      <w:jc w:val="right"/>
    </w:pPr>
    <w:rPr>
      <w:rFonts w:ascii="宋体" w:hAnsi="宋体" w:cs="宋体"/>
      <w:kern w:val="0"/>
      <w:sz w:val="20"/>
      <w:szCs w:val="20"/>
    </w:rPr>
  </w:style>
  <w:style w:type="paragraph" w:customStyle="1" w:styleId="110">
    <w:name w:val="xl106"/>
    <w:basedOn w:val="1"/>
    <w:qFormat/>
    <w:uiPriority w:val="0"/>
    <w:pPr>
      <w:widowControl/>
      <w:pBdr>
        <w:top w:val="single" w:color="auto" w:sz="4" w:space="0"/>
        <w:bottom w:val="single" w:color="auto" w:sz="4" w:space="0"/>
      </w:pBdr>
      <w:spacing w:before="100" w:beforeAutospacing="1" w:after="100" w:afterAutospacing="1"/>
      <w:jc w:val="right"/>
    </w:pPr>
    <w:rPr>
      <w:rFonts w:ascii="宋体" w:hAnsi="宋体" w:cs="宋体"/>
      <w:kern w:val="0"/>
      <w:sz w:val="20"/>
      <w:szCs w:val="20"/>
    </w:rPr>
  </w:style>
  <w:style w:type="paragraph" w:customStyle="1" w:styleId="111">
    <w:name w:val="xl107"/>
    <w:basedOn w:val="1"/>
    <w:qFormat/>
    <w:uiPriority w:val="0"/>
    <w:pPr>
      <w:widowControl/>
      <w:pBdr>
        <w:top w:val="single" w:color="auto" w:sz="4" w:space="0"/>
        <w:bottom w:val="single" w:color="auto" w:sz="4" w:space="0"/>
        <w:right w:val="single" w:color="auto" w:sz="4" w:space="0"/>
      </w:pBdr>
      <w:spacing w:before="100" w:beforeAutospacing="1" w:after="100" w:afterAutospacing="1"/>
      <w:jc w:val="right"/>
    </w:pPr>
    <w:rPr>
      <w:rFonts w:ascii="宋体" w:hAnsi="宋体" w:cs="宋体"/>
      <w:kern w:val="0"/>
      <w:sz w:val="20"/>
      <w:szCs w:val="20"/>
    </w:rPr>
  </w:style>
  <w:style w:type="paragraph" w:customStyle="1" w:styleId="112">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0"/>
    </w:rPr>
  </w:style>
  <w:style w:type="paragraph" w:customStyle="1" w:styleId="113">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0"/>
    </w:rPr>
  </w:style>
  <w:style w:type="character" w:customStyle="1" w:styleId="114">
    <w:name w:val="未处理的提及2"/>
    <w:basedOn w:val="36"/>
    <w:semiHidden/>
    <w:unhideWhenUsed/>
    <w:qFormat/>
    <w:uiPriority w:val="99"/>
    <w:rPr>
      <w:color w:val="605E5C"/>
      <w:shd w:val="clear" w:color="auto" w:fill="E1DFDD"/>
    </w:rPr>
  </w:style>
  <w:style w:type="table" w:customStyle="1" w:styleId="115">
    <w:name w:val="网格型浅色1"/>
    <w:basedOn w:val="34"/>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style>
  <w:style w:type="paragraph" w:customStyle="1" w:styleId="116">
    <w:name w:val="修订3"/>
    <w:hidden/>
    <w:unhideWhenUsed/>
    <w:qFormat/>
    <w:uiPriority w:val="99"/>
    <w:rPr>
      <w:rFonts w:ascii="宋体" w:hAnsi="宋体" w:eastAsia="宋体" w:cs="宋体"/>
      <w:sz w:val="24"/>
      <w:szCs w:val="24"/>
      <w:lang w:val="en-US" w:eastAsia="zh-CN" w:bidi="ar-SA"/>
    </w:rPr>
  </w:style>
  <w:style w:type="character" w:customStyle="1" w:styleId="117">
    <w:name w:val="列出段落 Char"/>
    <w:link w:val="63"/>
    <w:qFormat/>
    <w:locked/>
    <w:uiPriority w:val="34"/>
    <w:rPr>
      <w:rFonts w:ascii="宋体" w:hAnsi="宋体" w:eastAsia="宋体" w:cs="宋体"/>
      <w:kern w:val="0"/>
      <w:sz w:val="28"/>
      <w:szCs w:val="24"/>
    </w:rPr>
  </w:style>
  <w:style w:type="character" w:customStyle="1" w:styleId="118">
    <w:name w:val="未处理的提及3"/>
    <w:basedOn w:val="36"/>
    <w:semiHidden/>
    <w:unhideWhenUsed/>
    <w:qFormat/>
    <w:uiPriority w:val="99"/>
    <w:rPr>
      <w:color w:val="605E5C"/>
      <w:shd w:val="clear" w:color="auto" w:fill="E1DFDD"/>
    </w:rPr>
  </w:style>
  <w:style w:type="character" w:customStyle="1" w:styleId="119">
    <w:name w:val="font11"/>
    <w:basedOn w:val="36"/>
    <w:qFormat/>
    <w:uiPriority w:val="0"/>
    <w:rPr>
      <w:rFonts w:hint="eastAsia" w:ascii="宋体" w:hAnsi="宋体" w:eastAsia="宋体"/>
      <w:color w:val="000000"/>
      <w:sz w:val="24"/>
      <w:szCs w:val="24"/>
      <w:u w:val="none"/>
    </w:rPr>
  </w:style>
  <w:style w:type="paragraph" w:customStyle="1" w:styleId="120">
    <w:name w:val="可研正文"/>
    <w:basedOn w:val="1"/>
    <w:link w:val="121"/>
    <w:qFormat/>
    <w:uiPriority w:val="0"/>
    <w:pPr>
      <w:spacing w:line="360" w:lineRule="auto"/>
      <w:ind w:firstLine="200" w:firstLineChars="200"/>
    </w:pPr>
    <w:rPr>
      <w:rFonts w:ascii="仿宋" w:hAnsi="仿宋" w:eastAsia="仿宋" w:cstheme="minorBidi"/>
      <w:sz w:val="28"/>
      <w:szCs w:val="28"/>
    </w:rPr>
  </w:style>
  <w:style w:type="character" w:customStyle="1" w:styleId="121">
    <w:name w:val="可研正文 Char"/>
    <w:link w:val="120"/>
    <w:qFormat/>
    <w:uiPriority w:val="0"/>
    <w:rPr>
      <w:rFonts w:ascii="仿宋" w:hAnsi="仿宋" w:eastAsia="仿宋"/>
      <w:sz w:val="28"/>
      <w:szCs w:val="28"/>
    </w:rPr>
  </w:style>
  <w:style w:type="paragraph" w:customStyle="1" w:styleId="122">
    <w:name w:val="样式2"/>
    <w:link w:val="142"/>
    <w:qFormat/>
    <w:uiPriority w:val="0"/>
    <w:pPr>
      <w:adjustRightInd w:val="0"/>
      <w:snapToGrid w:val="0"/>
      <w:spacing w:line="360" w:lineRule="auto"/>
      <w:ind w:firstLine="480" w:firstLineChars="200"/>
      <w:jc w:val="both"/>
    </w:pPr>
    <w:rPr>
      <w:rFonts w:ascii="宋体" w:hAnsi="宋体" w:eastAsia="MiSans" w:cstheme="minorBidi"/>
      <w:sz w:val="24"/>
      <w:szCs w:val="24"/>
      <w:lang w:val="en-US" w:eastAsia="en-US" w:bidi="ar-SA"/>
    </w:rPr>
  </w:style>
  <w:style w:type="paragraph" w:customStyle="1" w:styleId="123">
    <w:name w:val="修订31"/>
    <w:hidden/>
    <w:unhideWhenUsed/>
    <w:qFormat/>
    <w:uiPriority w:val="99"/>
    <w:rPr>
      <w:rFonts w:ascii="宋体" w:hAnsi="宋体" w:eastAsia="宋体" w:cs="宋体"/>
      <w:sz w:val="24"/>
      <w:szCs w:val="24"/>
      <w:lang w:val="en-US" w:eastAsia="zh-CN" w:bidi="ar-SA"/>
    </w:rPr>
  </w:style>
  <w:style w:type="character" w:customStyle="1" w:styleId="124">
    <w:name w:val="未处理的提及31"/>
    <w:basedOn w:val="36"/>
    <w:semiHidden/>
    <w:unhideWhenUsed/>
    <w:qFormat/>
    <w:uiPriority w:val="99"/>
    <w:rPr>
      <w:color w:val="605E5C"/>
      <w:shd w:val="clear" w:color="auto" w:fill="E1DFDD"/>
    </w:rPr>
  </w:style>
  <w:style w:type="paragraph" w:customStyle="1" w:styleId="125">
    <w:name w:val="B-表正文"/>
    <w:qFormat/>
    <w:uiPriority w:val="0"/>
    <w:rPr>
      <w:rFonts w:ascii="Times New Roman" w:hAnsi="Times New Roman" w:eastAsia="仿宋" w:cstheme="minorBidi"/>
      <w:kern w:val="2"/>
      <w:sz w:val="21"/>
      <w:szCs w:val="24"/>
      <w:lang w:val="en-US" w:eastAsia="zh-CN" w:bidi="ar-SA"/>
    </w:rPr>
  </w:style>
  <w:style w:type="paragraph" w:customStyle="1" w:styleId="126">
    <w:name w:val="B-表题注"/>
    <w:next w:val="1"/>
    <w:link w:val="127"/>
    <w:qFormat/>
    <w:uiPriority w:val="0"/>
    <w:pPr>
      <w:numPr>
        <w:ilvl w:val="0"/>
        <w:numId w:val="4"/>
      </w:numPr>
      <w:spacing w:line="240" w:lineRule="atLeast"/>
      <w:jc w:val="center"/>
    </w:pPr>
    <w:rPr>
      <w:rFonts w:ascii="Times New Roman" w:hAnsi="Times New Roman" w:eastAsia="仿宋" w:cs="Times New Roman"/>
      <w:b/>
      <w:kern w:val="2"/>
      <w:sz w:val="21"/>
      <w:szCs w:val="44"/>
      <w:lang w:val="en-US" w:eastAsia="zh-CN" w:bidi="ar-SA"/>
    </w:rPr>
  </w:style>
  <w:style w:type="character" w:customStyle="1" w:styleId="127">
    <w:name w:val="B-表题注 字符"/>
    <w:basedOn w:val="36"/>
    <w:link w:val="126"/>
    <w:qFormat/>
    <w:uiPriority w:val="0"/>
    <w:rPr>
      <w:rFonts w:ascii="Times New Roman" w:hAnsi="Times New Roman" w:eastAsia="仿宋" w:cs="Times New Roman"/>
      <w:b/>
      <w:szCs w:val="44"/>
    </w:rPr>
  </w:style>
  <w:style w:type="table" w:customStyle="1" w:styleId="128">
    <w:name w:val="Table Normal"/>
    <w:unhideWhenUsed/>
    <w:qFormat/>
    <w:uiPriority w:val="0"/>
    <w:tblPr>
      <w:tblCellMar>
        <w:top w:w="0" w:type="dxa"/>
        <w:left w:w="0" w:type="dxa"/>
        <w:bottom w:w="0" w:type="dxa"/>
        <w:right w:w="0" w:type="dxa"/>
      </w:tblCellMar>
    </w:tblPr>
  </w:style>
  <w:style w:type="paragraph" w:customStyle="1" w:styleId="129">
    <w:name w:val="论文正文"/>
    <w:basedOn w:val="1"/>
    <w:link w:val="130"/>
    <w:qFormat/>
    <w:uiPriority w:val="0"/>
    <w:pPr>
      <w:snapToGrid w:val="0"/>
      <w:spacing w:line="360" w:lineRule="auto"/>
      <w:ind w:firstLine="200" w:firstLineChars="200"/>
    </w:pPr>
    <w:rPr>
      <w:rFonts w:eastAsia="仿宋_GB2312" w:asciiTheme="minorHAnsi" w:hAnsiTheme="minorHAnsi" w:cstheme="minorBidi"/>
      <w:sz w:val="28"/>
      <w:szCs w:val="22"/>
    </w:rPr>
  </w:style>
  <w:style w:type="character" w:customStyle="1" w:styleId="130">
    <w:name w:val="论文正文 字符"/>
    <w:basedOn w:val="36"/>
    <w:link w:val="129"/>
    <w:qFormat/>
    <w:uiPriority w:val="0"/>
    <w:rPr>
      <w:rFonts w:eastAsia="仿宋_GB2312"/>
      <w:sz w:val="28"/>
    </w:rPr>
  </w:style>
  <w:style w:type="paragraph" w:customStyle="1" w:styleId="131">
    <w:name w:val="正文内容"/>
    <w:basedOn w:val="1"/>
    <w:link w:val="132"/>
    <w:qFormat/>
    <w:uiPriority w:val="0"/>
    <w:pPr>
      <w:adjustRightInd w:val="0"/>
      <w:snapToGrid w:val="0"/>
      <w:spacing w:line="360" w:lineRule="auto"/>
      <w:ind w:firstLine="200" w:firstLineChars="200"/>
    </w:pPr>
    <w:rPr>
      <w:rFonts w:cstheme="minorBidi"/>
      <w:sz w:val="28"/>
      <w:szCs w:val="21"/>
    </w:rPr>
  </w:style>
  <w:style w:type="character" w:customStyle="1" w:styleId="132">
    <w:name w:val="正文内容 字符"/>
    <w:basedOn w:val="36"/>
    <w:link w:val="131"/>
    <w:qFormat/>
    <w:uiPriority w:val="0"/>
    <w:rPr>
      <w:rFonts w:ascii="Times New Roman" w:hAnsi="Times New Roman" w:eastAsia="宋体"/>
      <w:sz w:val="28"/>
      <w:szCs w:val="21"/>
    </w:rPr>
  </w:style>
  <w:style w:type="paragraph" w:customStyle="1" w:styleId="133">
    <w:name w:val="Table Paragraph"/>
    <w:basedOn w:val="1"/>
    <w:qFormat/>
    <w:uiPriority w:val="1"/>
    <w:rPr>
      <w:rFonts w:ascii="仿宋" w:hAnsi="仿宋" w:eastAsia="仿宋" w:cs="仿宋"/>
      <w:lang w:val="zh-CN" w:bidi="zh-CN"/>
    </w:rPr>
  </w:style>
  <w:style w:type="paragraph" w:customStyle="1" w:styleId="134">
    <w:name w:val="xl66"/>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35">
    <w:name w:val="可研标题"/>
    <w:basedOn w:val="32"/>
    <w:link w:val="136"/>
    <w:qFormat/>
    <w:uiPriority w:val="0"/>
    <w:pPr>
      <w:widowControl w:val="0"/>
      <w:ind w:firstLine="0"/>
    </w:pPr>
    <w:rPr>
      <w:rFonts w:ascii="微软雅黑" w:hAnsi="微软雅黑" w:eastAsia="微软雅黑" w:cstheme="majorBidi"/>
      <w:b w:val="0"/>
      <w:kern w:val="2"/>
      <w:sz w:val="52"/>
      <w:szCs w:val="52"/>
    </w:rPr>
  </w:style>
  <w:style w:type="character" w:customStyle="1" w:styleId="136">
    <w:name w:val="可研标题 Char"/>
    <w:basedOn w:val="59"/>
    <w:link w:val="135"/>
    <w:qFormat/>
    <w:uiPriority w:val="0"/>
    <w:rPr>
      <w:rFonts w:ascii="微软雅黑" w:hAnsi="微软雅黑" w:eastAsia="微软雅黑" w:cstheme="majorBidi"/>
      <w:sz w:val="52"/>
      <w:szCs w:val="52"/>
    </w:rPr>
  </w:style>
  <w:style w:type="paragraph" w:customStyle="1" w:styleId="137">
    <w:name w:val="TOC 标题1"/>
    <w:basedOn w:val="2"/>
    <w:next w:val="1"/>
    <w:unhideWhenUsed/>
    <w:qFormat/>
    <w:uiPriority w:val="39"/>
    <w:pPr>
      <w:widowControl/>
      <w:numPr>
        <w:numId w:val="0"/>
      </w:numPr>
      <w:spacing w:before="240" w:line="259" w:lineRule="auto"/>
      <w:jc w:val="left"/>
      <w:outlineLvl w:val="9"/>
    </w:pPr>
    <w:rPr>
      <w:rFonts w:asciiTheme="majorHAnsi" w:hAnsiTheme="majorHAnsi" w:eastAsiaTheme="majorEastAsia" w:cstheme="majorBidi"/>
      <w:b w:val="0"/>
      <w:bCs w:val="0"/>
      <w:color w:val="366091" w:themeColor="accent1" w:themeShade="BF"/>
      <w:kern w:val="0"/>
      <w:sz w:val="32"/>
      <w:szCs w:val="32"/>
    </w:rPr>
  </w:style>
  <w:style w:type="character" w:customStyle="1" w:styleId="138">
    <w:name w:val="题注 Char"/>
    <w:link w:val="13"/>
    <w:qFormat/>
    <w:uiPriority w:val="0"/>
    <w:rPr>
      <w:rFonts w:eastAsia="黑体" w:asciiTheme="majorHAnsi" w:hAnsiTheme="majorHAnsi" w:cstheme="majorBidi"/>
      <w:sz w:val="20"/>
      <w:szCs w:val="20"/>
    </w:rPr>
  </w:style>
  <w:style w:type="paragraph" w:customStyle="1" w:styleId="139">
    <w:name w:val="TOC 标题11"/>
    <w:basedOn w:val="2"/>
    <w:next w:val="1"/>
    <w:unhideWhenUsed/>
    <w:qFormat/>
    <w:uiPriority w:val="39"/>
    <w:pPr>
      <w:pageBreakBefore/>
      <w:widowControl/>
      <w:numPr>
        <w:numId w:val="0"/>
      </w:numPr>
      <w:spacing w:before="240" w:line="259" w:lineRule="auto"/>
      <w:jc w:val="center"/>
      <w:outlineLvl w:val="9"/>
    </w:pPr>
    <w:rPr>
      <w:rFonts w:asciiTheme="majorHAnsi" w:hAnsiTheme="majorHAnsi" w:eastAsiaTheme="majorEastAsia" w:cstheme="majorBidi"/>
      <w:b w:val="0"/>
      <w:bCs w:val="0"/>
      <w:color w:val="366091" w:themeColor="accent1" w:themeShade="BF"/>
      <w:kern w:val="0"/>
      <w:sz w:val="32"/>
      <w:szCs w:val="32"/>
      <w:lang w:val="zh-CN"/>
    </w:rPr>
  </w:style>
  <w:style w:type="paragraph" w:customStyle="1" w:styleId="140">
    <w:name w:val="图表题注"/>
    <w:basedOn w:val="13"/>
    <w:next w:val="1"/>
    <w:qFormat/>
    <w:uiPriority w:val="0"/>
    <w:pPr>
      <w:jc w:val="center"/>
    </w:pPr>
    <w:rPr>
      <w:rFonts w:ascii="仿宋" w:hAnsi="仿宋" w:eastAsia="仿宋"/>
      <w:sz w:val="28"/>
      <w:szCs w:val="28"/>
    </w:rPr>
  </w:style>
  <w:style w:type="paragraph" w:customStyle="1" w:styleId="141">
    <w:name w:val="N-4"/>
    <w:basedOn w:val="5"/>
    <w:qFormat/>
    <w:uiPriority w:val="0"/>
    <w:pPr>
      <w:numPr>
        <w:numId w:val="5"/>
      </w:numPr>
      <w:tabs>
        <w:tab w:val="left" w:pos="2160"/>
      </w:tabs>
      <w:spacing w:before="160" w:after="160" w:line="240" w:lineRule="auto"/>
      <w:ind w:left="0" w:firstLine="0"/>
    </w:pPr>
    <w:rPr>
      <w:rFonts w:ascii="Arial" w:hAnsi="Arial" w:eastAsia="黑体"/>
      <w:b w:val="0"/>
      <w:sz w:val="21"/>
      <w:szCs w:val="20"/>
    </w:rPr>
  </w:style>
  <w:style w:type="character" w:customStyle="1" w:styleId="142">
    <w:name w:val="样式2 Char"/>
    <w:link w:val="122"/>
    <w:qFormat/>
    <w:uiPriority w:val="0"/>
    <w:rPr>
      <w:rFonts w:ascii="宋体" w:hAnsi="宋体" w:eastAsia="MiSans"/>
      <w:kern w:val="0"/>
      <w:sz w:val="24"/>
      <w:szCs w:val="24"/>
      <w:lang w:eastAsia="en-US"/>
    </w:rPr>
  </w:style>
  <w:style w:type="paragraph" w:customStyle="1" w:styleId="143">
    <w:name w:val="!正文"/>
    <w:basedOn w:val="1"/>
    <w:qFormat/>
    <w:uiPriority w:val="0"/>
    <w:pPr>
      <w:spacing w:before="60"/>
      <w:ind w:firstLine="200" w:firstLineChars="200"/>
      <w:jc w:val="left"/>
    </w:pPr>
    <w:rPr>
      <w:rFonts w:ascii="宋体" w:hAnsi="宋体" w:eastAsiaTheme="minorEastAsia" w:cstheme="minorBidi"/>
      <w:kern w:val="0"/>
      <w:szCs w:val="20"/>
    </w:rPr>
  </w:style>
  <w:style w:type="character" w:customStyle="1" w:styleId="144">
    <w:name w:val="普通(网站) Char"/>
    <w:basedOn w:val="36"/>
    <w:link w:val="31"/>
    <w:qFormat/>
    <w:uiPriority w:val="99"/>
    <w:rPr>
      <w:rFonts w:ascii="宋体" w:hAnsi="宋体" w:eastAsia="宋体" w:cs="宋体"/>
      <w:kern w:val="0"/>
      <w:sz w:val="24"/>
      <w:szCs w:val="24"/>
    </w:rPr>
  </w:style>
  <w:style w:type="character" w:customStyle="1" w:styleId="145">
    <w:name w:val="页脚 字符1"/>
    <w:basedOn w:val="36"/>
    <w:qFormat/>
    <w:uiPriority w:val="0"/>
    <w:rPr>
      <w:rFonts w:hint="default" w:ascii="Calibri" w:hAnsi="Calibri" w:eastAsia="宋体" w:cs="Times New Roman"/>
      <w:kern w:val="2"/>
      <w:sz w:val="18"/>
      <w:szCs w:val="18"/>
    </w:rPr>
  </w:style>
  <w:style w:type="paragraph" w:customStyle="1" w:styleId="146">
    <w:name w:val="可研标题1级"/>
    <w:basedOn w:val="2"/>
    <w:next w:val="1"/>
    <w:qFormat/>
    <w:uiPriority w:val="0"/>
    <w:pPr>
      <w:pageBreakBefore/>
      <w:numPr>
        <w:numId w:val="0"/>
      </w:numPr>
      <w:spacing w:before="400" w:after="400"/>
      <w:jc w:val="center"/>
    </w:pPr>
    <w:rPr>
      <w:rFonts w:asciiTheme="minorHAnsi" w:hAnsiTheme="minorHAnsi" w:eastAsiaTheme="minorEastAsia" w:cstheme="minorBidi"/>
      <w:sz w:val="44"/>
      <w:szCs w:val="44"/>
    </w:rPr>
  </w:style>
  <w:style w:type="paragraph" w:customStyle="1" w:styleId="147">
    <w:name w:val="可研标题2级"/>
    <w:basedOn w:val="3"/>
    <w:next w:val="120"/>
    <w:qFormat/>
    <w:uiPriority w:val="0"/>
    <w:pPr>
      <w:widowControl w:val="0"/>
      <w:numPr>
        <w:ilvl w:val="0"/>
        <w:numId w:val="0"/>
      </w:numPr>
      <w:spacing w:before="260" w:after="260" w:line="416" w:lineRule="auto"/>
      <w:jc w:val="both"/>
    </w:pPr>
    <w:rPr>
      <w:rFonts w:ascii="黑体" w:hAnsi="黑体" w:eastAsia="黑体" w:cstheme="majorBidi"/>
      <w:bCs/>
      <w:kern w:val="2"/>
      <w:sz w:val="36"/>
      <w:szCs w:val="36"/>
    </w:rPr>
  </w:style>
  <w:style w:type="paragraph" w:customStyle="1" w:styleId="148">
    <w:name w:val="可研标题3级"/>
    <w:basedOn w:val="4"/>
    <w:next w:val="120"/>
    <w:qFormat/>
    <w:uiPriority w:val="0"/>
    <w:pPr>
      <w:numPr>
        <w:ilvl w:val="0"/>
        <w:numId w:val="0"/>
      </w:numPr>
      <w:spacing w:before="260" w:after="260" w:line="416" w:lineRule="auto"/>
    </w:pPr>
    <w:rPr>
      <w:rFonts w:ascii="黑体" w:hAnsi="黑体" w:eastAsia="黑体" w:cstheme="minorBidi"/>
      <w:sz w:val="32"/>
      <w:szCs w:val="32"/>
    </w:rPr>
  </w:style>
  <w:style w:type="paragraph" w:customStyle="1" w:styleId="149">
    <w:name w:val="可研标题4级"/>
    <w:basedOn w:val="5"/>
    <w:next w:val="120"/>
    <w:qFormat/>
    <w:uiPriority w:val="0"/>
    <w:pPr>
      <w:numPr>
        <w:ilvl w:val="0"/>
        <w:numId w:val="0"/>
      </w:numPr>
      <w:spacing w:before="240" w:after="240"/>
    </w:pPr>
    <w:rPr>
      <w:rFonts w:ascii="黑体" w:hAnsi="黑体" w:eastAsia="黑体" w:cstheme="majorBidi"/>
      <w:b w:val="0"/>
      <w:sz w:val="30"/>
      <w:szCs w:val="30"/>
    </w:rPr>
  </w:style>
  <w:style w:type="paragraph" w:customStyle="1" w:styleId="150">
    <w:name w:val="可研标题5级"/>
    <w:basedOn w:val="6"/>
    <w:next w:val="120"/>
    <w:qFormat/>
    <w:uiPriority w:val="0"/>
    <w:pPr>
      <w:numPr>
        <w:numId w:val="6"/>
      </w:numPr>
      <w:spacing w:beforeLines="50"/>
    </w:pPr>
    <w:rPr>
      <w:rFonts w:ascii="仿宋" w:hAnsi="仿宋" w:eastAsia="仿宋" w:cstheme="minorBidi"/>
    </w:rPr>
  </w:style>
  <w:style w:type="character" w:customStyle="1" w:styleId="151">
    <w:name w:val="font41"/>
    <w:basedOn w:val="36"/>
    <w:qFormat/>
    <w:uiPriority w:val="0"/>
    <w:rPr>
      <w:rFonts w:ascii="Wingdings 2" w:hAnsi="Wingdings 2" w:eastAsia="Wingdings 2" w:cs="Wingdings 2"/>
      <w:color w:val="000000"/>
      <w:sz w:val="20"/>
      <w:szCs w:val="20"/>
      <w:u w:val="none"/>
    </w:rPr>
  </w:style>
  <w:style w:type="character" w:customStyle="1" w:styleId="152">
    <w:name w:val="未处理的提及4"/>
    <w:basedOn w:val="36"/>
    <w:semiHidden/>
    <w:unhideWhenUsed/>
    <w:qFormat/>
    <w:uiPriority w:val="99"/>
    <w:rPr>
      <w:color w:val="605E5C"/>
      <w:shd w:val="clear" w:color="auto" w:fill="E1DFDD"/>
    </w:rPr>
  </w:style>
  <w:style w:type="character" w:customStyle="1" w:styleId="153">
    <w:name w:val="Unresolved Mention"/>
    <w:basedOn w:val="36"/>
    <w:semiHidden/>
    <w:unhideWhenUsed/>
    <w:qFormat/>
    <w:uiPriority w:val="99"/>
    <w:rPr>
      <w:color w:val="605E5C"/>
      <w:shd w:val="clear" w:color="auto" w:fill="E1DFDD"/>
    </w:rPr>
  </w:style>
  <w:style w:type="paragraph" w:customStyle="1" w:styleId="154">
    <w:name w:val="修订4"/>
    <w:hidden/>
    <w:unhideWhenUsed/>
    <w:qFormat/>
    <w:uiPriority w:val="99"/>
    <w:rPr>
      <w:rFonts w:ascii="宋体" w:hAnsi="宋体" w:eastAsia="宋体" w:cs="宋体"/>
      <w:sz w:val="28"/>
      <w:szCs w:val="24"/>
      <w:lang w:val="en-US" w:eastAsia="zh-CN" w:bidi="ar-SA"/>
    </w:rPr>
  </w:style>
  <w:style w:type="paragraph" w:customStyle="1" w:styleId="155">
    <w:name w:val="font8"/>
    <w:basedOn w:val="1"/>
    <w:qFormat/>
    <w:uiPriority w:val="0"/>
    <w:pPr>
      <w:widowControl/>
      <w:spacing w:before="100" w:beforeAutospacing="1" w:after="100" w:afterAutospacing="1"/>
      <w:jc w:val="left"/>
    </w:pPr>
    <w:rPr>
      <w:rFonts w:ascii="Segoe UI" w:hAnsi="Segoe UI" w:cs="Segoe UI"/>
      <w:color w:val="000000"/>
      <w:kern w:val="0"/>
      <w:sz w:val="22"/>
      <w:szCs w:val="22"/>
    </w:rPr>
  </w:style>
  <w:style w:type="character" w:customStyle="1" w:styleId="156">
    <w:name w:val="纯文本 Char"/>
    <w:basedOn w:val="36"/>
    <w:link w:val="19"/>
    <w:qFormat/>
    <w:uiPriority w:val="0"/>
    <w:rPr>
      <w:rFonts w:ascii="宋体" w:hAnsi="Courier New"/>
      <w:kern w:val="2"/>
      <w:sz w:val="21"/>
      <w:lang w:val="zh-CN"/>
    </w:rPr>
  </w:style>
  <w:style w:type="paragraph" w:customStyle="1" w:styleId="157">
    <w:name w:val="纯文本1"/>
    <w:basedOn w:val="1"/>
    <w:qFormat/>
    <w:uiPriority w:val="0"/>
    <w:rPr>
      <w:rFonts w:ascii="宋体" w:hAnsi="Courier New"/>
      <w:szCs w:val="20"/>
    </w:rPr>
  </w:style>
  <w:style w:type="character" w:customStyle="1" w:styleId="158">
    <w:name w:val="纯文本 字符"/>
    <w:basedOn w:val="36"/>
    <w:semiHidden/>
    <w:qFormat/>
    <w:uiPriority w:val="99"/>
    <w:rPr>
      <w:rFonts w:hAnsi="Courier New" w:cs="Courier New" w:asciiTheme="minorEastAsia" w:eastAsiaTheme="minorEastAsia"/>
      <w:szCs w:val="22"/>
    </w:rPr>
  </w:style>
  <w:style w:type="paragraph" w:customStyle="1" w:styleId="159">
    <w:name w:val="纯文本2"/>
    <w:basedOn w:val="1"/>
    <w:qFormat/>
    <w:uiPriority w:val="0"/>
    <w:rPr>
      <w:rFonts w:ascii="宋体" w:hAnsi="Courier New"/>
      <w:szCs w:val="20"/>
    </w:rPr>
  </w:style>
  <w:style w:type="paragraph" w:customStyle="1" w:styleId="160">
    <w:name w:val="font9"/>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61">
    <w:name w:val="Plain Text1"/>
    <w:basedOn w:val="1"/>
    <w:qFormat/>
    <w:uiPriority w:val="0"/>
    <w:rPr>
      <w:rFonts w:ascii="宋体" w:hAnsi="Courier New"/>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54</Pages>
  <Words>6247</Words>
  <Characters>35612</Characters>
  <Lines>296</Lines>
  <Paragraphs>83</Paragraphs>
  <TotalTime>22</TotalTime>
  <ScaleCrop>false</ScaleCrop>
  <LinksUpToDate>false</LinksUpToDate>
  <CharactersWithSpaces>41776</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2026-10-01T10:02:00Z</dcterms:created>
  <dc:creator>钟杨忆冰</dc:creator>
  <cp:lastModifiedBy>郭田恬</cp:lastModifiedBy>
  <dcterms:modified xsi:type="dcterms:W3CDTF">2026-10-08T14:23:06Z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F691EFB9E9941D18DE77966A25AF2BFD_42</vt:lpwstr>
  </property>
</Properties>
</file>