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bookmarkStart w:id="39" w:name="_GoBack"/>
      <w:bookmarkEnd w:id="39"/>
    </w:p>
    <w:p>
      <w:pPr>
        <w:ind w:firstLine="0" w:firstLineChars="0"/>
        <w:rPr>
          <w:rFonts w:ascii="黑体" w:hAnsi="黑体" w:eastAsia="黑体"/>
          <w:sz w:val="52"/>
          <w:szCs w:val="52"/>
        </w:rPr>
      </w:pPr>
    </w:p>
    <w:p>
      <w:pPr>
        <w:ind w:firstLine="0" w:firstLineChars="0"/>
        <w:rPr>
          <w:rFonts w:ascii="黑体" w:hAnsi="黑体" w:eastAsia="黑体"/>
          <w:sz w:val="52"/>
          <w:szCs w:val="52"/>
        </w:rPr>
      </w:pPr>
    </w:p>
    <w:p>
      <w:pPr>
        <w:ind w:firstLine="0" w:firstLineChars="0"/>
        <w:jc w:val="center"/>
        <w:rPr>
          <w:rFonts w:ascii="黑体" w:hAnsi="黑体" w:eastAsia="黑体"/>
          <w:sz w:val="52"/>
          <w:szCs w:val="52"/>
        </w:rPr>
      </w:pPr>
      <w:r>
        <w:rPr>
          <w:rFonts w:hint="eastAsia" w:ascii="黑体" w:hAnsi="黑体" w:eastAsia="黑体"/>
          <w:sz w:val="52"/>
          <w:szCs w:val="52"/>
        </w:rPr>
        <w:t>依法治市大系统建设项目</w:t>
      </w:r>
      <w:r>
        <w:rPr>
          <w:rFonts w:hint="eastAsia" w:ascii="黑体" w:hAnsi="黑体" w:eastAsia="黑体"/>
          <w:sz w:val="52"/>
          <w:szCs w:val="52"/>
          <w:lang w:eastAsia="zh-CN"/>
        </w:rPr>
        <w:t>（</w:t>
      </w:r>
      <w:r>
        <w:rPr>
          <w:rFonts w:hint="eastAsia" w:ascii="黑体" w:hAnsi="黑体" w:eastAsia="黑体"/>
          <w:sz w:val="52"/>
          <w:szCs w:val="52"/>
        </w:rPr>
        <w:t>2026年升级改造</w:t>
      </w:r>
      <w:r>
        <w:rPr>
          <w:rFonts w:hint="eastAsia" w:ascii="黑体" w:hAnsi="黑体" w:eastAsia="黑体"/>
          <w:sz w:val="52"/>
          <w:szCs w:val="52"/>
          <w:lang w:eastAsia="zh-CN"/>
        </w:rPr>
        <w:t>）</w:t>
      </w:r>
    </w:p>
    <w:p>
      <w:pPr>
        <w:ind w:firstLine="0" w:firstLineChars="0"/>
        <w:jc w:val="center"/>
        <w:rPr>
          <w:rFonts w:ascii="黑体" w:hAnsi="黑体" w:eastAsia="黑体"/>
          <w:sz w:val="52"/>
          <w:szCs w:val="52"/>
        </w:rPr>
      </w:pPr>
      <w:r>
        <w:rPr>
          <w:rFonts w:hint="eastAsia" w:ascii="黑体" w:hAnsi="黑体" w:eastAsia="黑体"/>
          <w:sz w:val="52"/>
          <w:szCs w:val="52"/>
        </w:rPr>
        <w:t>2026年度采购需求</w:t>
      </w: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
      <w:pPr>
        <w:ind w:firstLine="104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pStyle w:val="3"/>
      </w:pPr>
      <w:r>
        <w:rPr>
          <w:rFonts w:hint="eastAsia"/>
        </w:rPr>
        <w:t>项目背景及现状</w:t>
      </w:r>
    </w:p>
    <w:p>
      <w:r>
        <w:rPr>
          <w:rFonts w:hint="eastAsia"/>
        </w:rPr>
        <w:t>2024年1月14日下午，司法部召开全国司法厅（局）长会议。会议指出，“立法方面，持续强化立法质效，改进立法模式，探索建立立法快速响应机制；行政执法方面，建立行政执法协调监督工作体系，提升行政执法质量”。</w:t>
      </w:r>
    </w:p>
    <w:p>
      <w:r>
        <w:rPr>
          <w:rFonts w:hint="eastAsia"/>
        </w:rPr>
        <w:t>2024年2月18日，2024年全市司法行政工作会议召开。会议指出，“奋力推动全面依法治市和司法行政工作高质量发展，为上海加快建成具有世界影响力的社会主义现代化国际大都市提供有力法治保障；提升行政立法效能，科学出台实施立法工作计划，加强重点领域、新兴领域的立法供给，与时俱进开展常态化评估清理”。</w:t>
      </w:r>
    </w:p>
    <w:p>
      <w:r>
        <w:rPr>
          <w:rFonts w:hint="eastAsia"/>
        </w:rPr>
        <w:t>2024年2月4日上午，2024年市委政法工作会议举行。陈吉宁书记在会上指出，以政法工作现代化支撑和服务上海社会主义现代化建设，为加快建成具有世界影响力的社会主义现代化国际大都市作出新贡献。</w:t>
      </w:r>
    </w:p>
    <w:p>
      <w:r>
        <w:rPr>
          <w:rFonts w:hint="eastAsia"/>
        </w:rPr>
        <w:t>随着上级发布多项要求，依法治市大系统已不能完全满足助力上海国际科技创新中心建设和城市数字化转型要求，故需要对上海市行政立法信息系统、行政执法管理信息系统加以改进。</w:t>
      </w:r>
    </w:p>
    <w:p>
      <w:pPr>
        <w:pStyle w:val="3"/>
      </w:pPr>
      <w:r>
        <w:rPr>
          <w:rFonts w:hint="eastAsia"/>
        </w:rPr>
        <w:t>建设期限</w:t>
      </w:r>
    </w:p>
    <w:p>
      <w:r>
        <w:rPr>
          <w:rFonts w:hint="eastAsia"/>
        </w:rPr>
        <w:t>建设期限：自合同签订之日起至2026年11月</w:t>
      </w:r>
      <w:r>
        <w:rPr>
          <w:rFonts w:hint="eastAsia"/>
          <w:lang w:val="en-US" w:eastAsia="zh-CN"/>
        </w:rPr>
        <w:t>15</w:t>
      </w:r>
      <w:r>
        <w:rPr>
          <w:rFonts w:hint="eastAsia"/>
        </w:rPr>
        <w:t>日前完成项目建设并通过验收（包含30天试运行）。</w:t>
      </w:r>
    </w:p>
    <w:p>
      <w:pPr>
        <w:pStyle w:val="3"/>
      </w:pPr>
      <w:r>
        <w:rPr>
          <w:rFonts w:hint="eastAsia"/>
        </w:rPr>
        <w:t>建设地点</w:t>
      </w:r>
    </w:p>
    <w:p>
      <w:r>
        <w:rPr>
          <w:rFonts w:hint="eastAsia"/>
        </w:rPr>
        <w:t>建设地点：上海市建国西路648号（上海市司法局）。</w:t>
      </w:r>
    </w:p>
    <w:p>
      <w:pPr>
        <w:pStyle w:val="3"/>
      </w:pPr>
      <w:r>
        <w:rPr>
          <w:rFonts w:hint="eastAsia"/>
        </w:rPr>
        <w:t>预算金额</w:t>
      </w:r>
    </w:p>
    <w:p>
      <w:r>
        <w:rPr>
          <w:rFonts w:hint="eastAsia"/>
        </w:rPr>
        <w:t>预算金额：2305000元</w:t>
      </w:r>
    </w:p>
    <w:p>
      <w:pPr>
        <w:pStyle w:val="3"/>
      </w:pPr>
      <w:r>
        <w:rPr>
          <w:rFonts w:hint="eastAsia"/>
        </w:rPr>
        <w:t>采购金额（最高限价）</w:t>
      </w:r>
    </w:p>
    <w:p>
      <w:r>
        <w:rPr>
          <w:rFonts w:hint="eastAsia"/>
        </w:rPr>
        <w:t>采购金额（最高限价）：2305000元</w:t>
      </w:r>
    </w:p>
    <w:p>
      <w:pPr>
        <w:pStyle w:val="3"/>
      </w:pPr>
      <w:r>
        <w:rPr>
          <w:rFonts w:hint="eastAsia"/>
        </w:rPr>
        <w:t>组织形式</w:t>
      </w:r>
    </w:p>
    <w:p>
      <w:r>
        <w:rPr>
          <w:rFonts w:hint="eastAsia"/>
        </w:rPr>
        <w:t>组织形式：</w:t>
      </w:r>
      <w:r>
        <w:rPr>
          <w:rFonts w:hint="eastAsia"/>
          <w:lang w:val="en-US" w:eastAsia="zh-CN"/>
        </w:rPr>
        <w:t>集中采购</w:t>
      </w:r>
    </w:p>
    <w:p>
      <w:pPr>
        <w:pStyle w:val="3"/>
      </w:pPr>
      <w:r>
        <w:rPr>
          <w:rFonts w:hint="eastAsia"/>
        </w:rPr>
        <w:t>采购方式</w:t>
      </w:r>
    </w:p>
    <w:p>
      <w:r>
        <w:rPr>
          <w:rFonts w:hint="eastAsia"/>
        </w:rPr>
        <w:t>采购方式：竞争性磋商</w:t>
      </w:r>
    </w:p>
    <w:p>
      <w:pPr>
        <w:pStyle w:val="3"/>
      </w:pPr>
      <w:r>
        <w:rPr>
          <w:rFonts w:hint="eastAsia"/>
        </w:rPr>
        <w:t>是否接受联合体</w:t>
      </w:r>
      <w:r>
        <w:rPr>
          <w:rFonts w:hint="eastAsia"/>
          <w:lang w:eastAsia="zh-CN"/>
        </w:rPr>
        <w:t>响应</w:t>
      </w:r>
    </w:p>
    <w:p>
      <w:pPr>
        <w:rPr>
          <w:rFonts w:hint="eastAsia" w:eastAsia="宋体"/>
          <w:lang w:eastAsia="zh-CN"/>
        </w:rPr>
      </w:pPr>
      <w:r>
        <w:rPr>
          <w:rFonts w:hint="eastAsia"/>
        </w:rPr>
        <w:t>是否接受联合体</w:t>
      </w:r>
      <w:r>
        <w:rPr>
          <w:rFonts w:hint="eastAsia"/>
          <w:lang w:eastAsia="zh-CN"/>
        </w:rPr>
        <w:t>响应</w:t>
      </w:r>
      <w:r>
        <w:rPr>
          <w:rFonts w:hint="eastAsia"/>
        </w:rPr>
        <w:t>：</w:t>
      </w:r>
      <w:r>
        <w:rPr>
          <w:rFonts w:hint="eastAsia"/>
          <w:lang w:eastAsia="zh-CN"/>
        </w:rPr>
        <w:t>否</w:t>
      </w:r>
    </w:p>
    <w:p>
      <w:pPr>
        <w:pStyle w:val="3"/>
      </w:pPr>
      <w:r>
        <w:rPr>
          <w:rFonts w:hint="eastAsia"/>
        </w:rPr>
        <w:t>是否按</w:t>
      </w:r>
      <w:r>
        <w:rPr>
          <w:rFonts w:hint="eastAsia"/>
          <w:lang w:eastAsia="zh-CN"/>
        </w:rPr>
        <w:t>XC</w:t>
      </w:r>
      <w:r>
        <w:rPr>
          <w:rFonts w:hint="eastAsia"/>
        </w:rPr>
        <w:t>要求建设</w:t>
      </w:r>
    </w:p>
    <w:p>
      <w:r>
        <w:rPr>
          <w:rFonts w:hint="eastAsia"/>
        </w:rPr>
        <w:t>是否按</w:t>
      </w:r>
      <w:r>
        <w:rPr>
          <w:rFonts w:hint="eastAsia"/>
          <w:lang w:eastAsia="zh-CN"/>
        </w:rPr>
        <w:t>XC</w:t>
      </w:r>
      <w:r>
        <w:rPr>
          <w:rFonts w:hint="eastAsia"/>
        </w:rPr>
        <w:t>要求建设：是</w:t>
      </w:r>
    </w:p>
    <w:p>
      <w:pPr>
        <w:pStyle w:val="3"/>
      </w:pPr>
      <w:r>
        <w:rPr>
          <w:rFonts w:hint="eastAsia"/>
        </w:rPr>
        <w:t>运维后所属大系统</w:t>
      </w:r>
    </w:p>
    <w:p>
      <w:r>
        <w:rPr>
          <w:rFonts w:hint="eastAsia"/>
        </w:rPr>
        <w:t>运维后所属大系统：依法治市大系统</w:t>
      </w:r>
    </w:p>
    <w:p>
      <w:pPr>
        <w:pStyle w:val="2"/>
      </w:pPr>
      <w:bookmarkStart w:id="1" w:name="_Toc47532255"/>
      <w:bookmarkEnd w:id="1"/>
      <w:bookmarkStart w:id="2" w:name="_Toc47531634"/>
      <w:bookmarkEnd w:id="2"/>
      <w:bookmarkStart w:id="3" w:name="_Toc47536644"/>
      <w:bookmarkEnd w:id="3"/>
      <w:bookmarkStart w:id="4" w:name="_Toc47537134"/>
      <w:bookmarkEnd w:id="4"/>
      <w:bookmarkStart w:id="5" w:name="_Toc47536272"/>
      <w:bookmarkEnd w:id="5"/>
      <w:bookmarkStart w:id="6" w:name="_Toc47539070"/>
      <w:bookmarkEnd w:id="6"/>
      <w:bookmarkStart w:id="7" w:name="_Toc47532891"/>
      <w:bookmarkEnd w:id="7"/>
      <w:bookmarkStart w:id="8" w:name="_Toc47533256"/>
      <w:bookmarkEnd w:id="8"/>
      <w:bookmarkStart w:id="9" w:name="_Toc48223882"/>
      <w:bookmarkStart w:id="10" w:name="_Toc63785463"/>
      <w:r>
        <w:rPr>
          <w:rFonts w:hint="eastAsia"/>
        </w:rPr>
        <w:t>建设目标</w:t>
      </w:r>
      <w:bookmarkEnd w:id="9"/>
      <w:bookmarkEnd w:id="10"/>
    </w:p>
    <w:p>
      <w:pPr>
        <w:pStyle w:val="3"/>
      </w:pPr>
      <w:r>
        <w:rPr>
          <w:rFonts w:hint="eastAsia"/>
        </w:rPr>
        <w:t>建设目标</w:t>
      </w:r>
    </w:p>
    <w:p>
      <w:r>
        <w:rPr>
          <w:rFonts w:hint="eastAsia"/>
        </w:rPr>
        <w:t>为满足当前法治政府工作的新要求，贯彻落实《关于推动上海法律科技应用和发展的工作方案》，赋能司法行政实际业务工作，在依法治市业务领域，打造创新的应用场景，形成以“数据要素为基础、场景应用为牵引、技术研发为关键”的创新发展和场景应用示范高地，更好助力上海国际科技创新中心建设和城市数字化转型。</w:t>
      </w:r>
    </w:p>
    <w:p>
      <w:pPr>
        <w:pStyle w:val="3"/>
        <w:keepNext w:val="0"/>
        <w:keepLines w:val="0"/>
        <w:widowControl/>
        <w:shd w:val="clear" w:color="auto" w:fill="FFFFFF"/>
        <w:spacing w:before="192" w:after="192"/>
      </w:pPr>
      <w:r>
        <w:rPr>
          <w:rFonts w:hint="eastAsia"/>
        </w:rPr>
        <w:t>应用指标</w:t>
      </w:r>
    </w:p>
    <w:tbl>
      <w:tblPr>
        <w:tblStyle w:val="36"/>
        <w:tblW w:w="852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20"/>
        <w:gridCol w:w="1165"/>
        <w:gridCol w:w="1246"/>
        <w:gridCol w:w="2460"/>
        <w:gridCol w:w="1975"/>
        <w:gridCol w:w="9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b/>
                <w:sz w:val="22"/>
              </w:rPr>
              <w:t>序号</w:t>
            </w:r>
          </w:p>
        </w:tc>
        <w:tc>
          <w:tcPr>
            <w:tcW w:w="1165" w:type="dxa"/>
            <w:shd w:val="clear" w:color="auto" w:fill="auto"/>
            <w:vAlign w:val="center"/>
          </w:tcPr>
          <w:p>
            <w:pPr>
              <w:pStyle w:val="137"/>
              <w:widowControl w:val="0"/>
              <w:snapToGrid w:val="0"/>
              <w:jc w:val="center"/>
              <w:rPr>
                <w:rFonts w:eastAsia="仿宋_GB2312"/>
                <w:sz w:val="22"/>
              </w:rPr>
            </w:pPr>
            <w:r>
              <w:rPr>
                <w:rFonts w:hint="eastAsia" w:eastAsia="仿宋_GB2312"/>
                <w:b/>
                <w:sz w:val="22"/>
              </w:rPr>
              <w:t>一级指标</w:t>
            </w:r>
          </w:p>
        </w:tc>
        <w:tc>
          <w:tcPr>
            <w:tcW w:w="1246" w:type="dxa"/>
            <w:shd w:val="clear" w:color="auto" w:fill="auto"/>
            <w:vAlign w:val="center"/>
          </w:tcPr>
          <w:p>
            <w:pPr>
              <w:pStyle w:val="137"/>
              <w:widowControl w:val="0"/>
              <w:snapToGrid w:val="0"/>
              <w:jc w:val="center"/>
              <w:rPr>
                <w:rFonts w:eastAsia="仿宋_GB2312"/>
                <w:sz w:val="22"/>
              </w:rPr>
            </w:pPr>
            <w:r>
              <w:rPr>
                <w:rFonts w:hint="eastAsia" w:eastAsia="仿宋_GB2312"/>
                <w:b/>
                <w:sz w:val="22"/>
              </w:rPr>
              <w:t>二级指标</w:t>
            </w:r>
          </w:p>
        </w:tc>
        <w:tc>
          <w:tcPr>
            <w:tcW w:w="2460" w:type="dxa"/>
            <w:shd w:val="clear" w:color="auto" w:fill="auto"/>
            <w:vAlign w:val="center"/>
          </w:tcPr>
          <w:p>
            <w:pPr>
              <w:pStyle w:val="137"/>
              <w:widowControl w:val="0"/>
              <w:snapToGrid w:val="0"/>
              <w:jc w:val="center"/>
              <w:rPr>
                <w:rFonts w:eastAsia="仿宋_GB2312"/>
                <w:sz w:val="22"/>
              </w:rPr>
            </w:pPr>
            <w:r>
              <w:rPr>
                <w:rFonts w:hint="eastAsia" w:eastAsia="仿宋_GB2312"/>
                <w:b/>
                <w:sz w:val="22"/>
              </w:rPr>
              <w:t>三级指标</w:t>
            </w:r>
          </w:p>
        </w:tc>
        <w:tc>
          <w:tcPr>
            <w:tcW w:w="1975" w:type="dxa"/>
            <w:vAlign w:val="center"/>
          </w:tcPr>
          <w:p>
            <w:pPr>
              <w:pStyle w:val="137"/>
              <w:widowControl w:val="0"/>
              <w:snapToGrid w:val="0"/>
              <w:jc w:val="center"/>
              <w:rPr>
                <w:rFonts w:eastAsia="仿宋_GB2312" w:cs="仿宋_GB2312"/>
                <w:sz w:val="22"/>
                <w:lang w:bidi="ar"/>
              </w:rPr>
            </w:pPr>
            <w:r>
              <w:rPr>
                <w:rFonts w:hint="eastAsia" w:eastAsia="仿宋_GB2312"/>
                <w:b/>
                <w:sz w:val="22"/>
              </w:rPr>
              <w:t>四级指标</w:t>
            </w:r>
          </w:p>
        </w:tc>
        <w:tc>
          <w:tcPr>
            <w:tcW w:w="962" w:type="dxa"/>
            <w:shd w:val="clear" w:color="auto" w:fill="auto"/>
            <w:vAlign w:val="center"/>
          </w:tcPr>
          <w:p>
            <w:pPr>
              <w:pStyle w:val="137"/>
              <w:widowControl w:val="0"/>
              <w:snapToGrid w:val="0"/>
              <w:jc w:val="center"/>
              <w:rPr>
                <w:rFonts w:eastAsia="仿宋_GB2312" w:cs="仿宋_GB2312"/>
                <w:sz w:val="22"/>
                <w:lang w:bidi="ar"/>
              </w:rPr>
            </w:pPr>
            <w:r>
              <w:rPr>
                <w:rFonts w:hint="eastAsia" w:eastAsia="仿宋_GB2312"/>
                <w:b/>
                <w:sz w:val="22"/>
              </w:rPr>
              <w:t>指标值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1</w:t>
            </w:r>
          </w:p>
        </w:tc>
        <w:tc>
          <w:tcPr>
            <w:tcW w:w="1165"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业务指标</w:t>
            </w:r>
          </w:p>
        </w:tc>
        <w:tc>
          <w:tcPr>
            <w:tcW w:w="1246"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产出指标</w:t>
            </w:r>
          </w:p>
        </w:tc>
        <w:tc>
          <w:tcPr>
            <w:tcW w:w="2460"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产出数量</w:t>
            </w: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支持的总用户数</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2</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continue"/>
            <w:shd w:val="clear" w:color="auto" w:fill="auto"/>
            <w:vAlign w:val="center"/>
          </w:tcPr>
          <w:p>
            <w:pPr>
              <w:pStyle w:val="137"/>
              <w:widowControl w:val="0"/>
              <w:snapToGrid w:val="0"/>
              <w:jc w:val="center"/>
              <w:rPr>
                <w:rFonts w:eastAsia="仿宋_GB2312"/>
                <w:sz w:val="22"/>
              </w:rPr>
            </w:pP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并发访问</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3</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产出质量</w:t>
            </w: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rPr>
              <w:t>一般查询</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rPr>
              <w:t>≤3秒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4</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continue"/>
            <w:shd w:val="clear" w:color="auto" w:fill="auto"/>
            <w:vAlign w:val="center"/>
          </w:tcPr>
          <w:p>
            <w:pPr>
              <w:pStyle w:val="137"/>
              <w:widowControl w:val="0"/>
              <w:snapToGrid w:val="0"/>
              <w:jc w:val="center"/>
              <w:rPr>
                <w:rFonts w:eastAsia="仿宋_GB2312"/>
                <w:sz w:val="22"/>
              </w:rPr>
            </w:pP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rPr>
              <w:t>复杂查询</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rPr>
              <w:t>≤5秒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5</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continue"/>
            <w:shd w:val="clear" w:color="auto" w:fill="auto"/>
            <w:vAlign w:val="center"/>
          </w:tcPr>
          <w:p>
            <w:pPr>
              <w:pStyle w:val="137"/>
              <w:widowControl w:val="0"/>
              <w:snapToGrid w:val="0"/>
              <w:jc w:val="center"/>
              <w:rPr>
                <w:rFonts w:eastAsia="仿宋_GB2312"/>
                <w:sz w:val="22"/>
              </w:rPr>
            </w:pP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rPr>
              <w:t>一般系统统计</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rPr>
              <w:t>≤3秒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6</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效益指标</w:t>
            </w:r>
          </w:p>
        </w:tc>
        <w:tc>
          <w:tcPr>
            <w:tcW w:w="2460"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社会效益指标</w:t>
            </w: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工作效率</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提升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7</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continue"/>
            <w:shd w:val="clear" w:color="auto" w:fill="auto"/>
            <w:vAlign w:val="center"/>
          </w:tcPr>
          <w:p>
            <w:pPr>
              <w:pStyle w:val="137"/>
              <w:widowControl w:val="0"/>
              <w:snapToGrid w:val="0"/>
              <w:jc w:val="center"/>
              <w:rPr>
                <w:rFonts w:eastAsia="仿宋_GB2312"/>
                <w:sz w:val="22"/>
              </w:rPr>
            </w:pP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业务数据精准度</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提升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8</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vMerge w:val="continue"/>
            <w:shd w:val="clear" w:color="auto" w:fill="auto"/>
            <w:vAlign w:val="center"/>
          </w:tcPr>
          <w:p>
            <w:pPr>
              <w:pStyle w:val="137"/>
              <w:widowControl w:val="0"/>
              <w:snapToGrid w:val="0"/>
              <w:jc w:val="center"/>
              <w:rPr>
                <w:rFonts w:eastAsia="仿宋_GB2312"/>
                <w:sz w:val="22"/>
              </w:rPr>
            </w:pP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服务覆盖面</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扩大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20" w:type="dxa"/>
            <w:shd w:val="clear" w:color="auto" w:fill="auto"/>
            <w:vAlign w:val="center"/>
          </w:tcPr>
          <w:p>
            <w:pPr>
              <w:pStyle w:val="137"/>
              <w:widowControl w:val="0"/>
              <w:snapToGrid w:val="0"/>
              <w:jc w:val="center"/>
              <w:rPr>
                <w:rFonts w:eastAsia="仿宋_GB2312"/>
                <w:sz w:val="22"/>
              </w:rPr>
            </w:pPr>
            <w:r>
              <w:rPr>
                <w:rFonts w:hint="eastAsia" w:eastAsia="仿宋_GB2312"/>
                <w:sz w:val="22"/>
              </w:rPr>
              <w:t>9</w:t>
            </w:r>
          </w:p>
        </w:tc>
        <w:tc>
          <w:tcPr>
            <w:tcW w:w="1165" w:type="dxa"/>
            <w:vMerge w:val="continue"/>
            <w:shd w:val="clear" w:color="auto" w:fill="auto"/>
            <w:vAlign w:val="center"/>
          </w:tcPr>
          <w:p>
            <w:pPr>
              <w:pStyle w:val="137"/>
              <w:widowControl w:val="0"/>
              <w:snapToGrid w:val="0"/>
              <w:jc w:val="center"/>
              <w:rPr>
                <w:rFonts w:eastAsia="仿宋_GB2312"/>
                <w:sz w:val="22"/>
              </w:rPr>
            </w:pPr>
          </w:p>
        </w:tc>
        <w:tc>
          <w:tcPr>
            <w:tcW w:w="1246" w:type="dxa"/>
            <w:vMerge w:val="continue"/>
            <w:shd w:val="clear" w:color="auto" w:fill="auto"/>
            <w:vAlign w:val="center"/>
          </w:tcPr>
          <w:p>
            <w:pPr>
              <w:pStyle w:val="137"/>
              <w:widowControl w:val="0"/>
              <w:snapToGrid w:val="0"/>
              <w:jc w:val="center"/>
              <w:rPr>
                <w:rFonts w:eastAsia="仿宋_GB2312"/>
                <w:sz w:val="22"/>
              </w:rPr>
            </w:pPr>
          </w:p>
        </w:tc>
        <w:tc>
          <w:tcPr>
            <w:tcW w:w="2460"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服务对象满意度指标</w:t>
            </w:r>
          </w:p>
        </w:tc>
        <w:tc>
          <w:tcPr>
            <w:tcW w:w="1975" w:type="dxa"/>
            <w:vAlign w:val="center"/>
          </w:tcPr>
          <w:p>
            <w:pPr>
              <w:pStyle w:val="137"/>
              <w:widowControl w:val="0"/>
              <w:snapToGrid w:val="0"/>
              <w:jc w:val="center"/>
              <w:rPr>
                <w:rFonts w:eastAsia="仿宋_GB2312"/>
                <w:sz w:val="22"/>
              </w:rPr>
            </w:pPr>
            <w:r>
              <w:rPr>
                <w:rFonts w:hint="eastAsia" w:eastAsia="仿宋_GB2312" w:cs="仿宋_GB2312"/>
                <w:sz w:val="22"/>
                <w:lang w:bidi="ar"/>
              </w:rPr>
              <w:t>用户体验满意度</w:t>
            </w:r>
          </w:p>
        </w:tc>
        <w:tc>
          <w:tcPr>
            <w:tcW w:w="96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≥95%</w:t>
            </w:r>
          </w:p>
        </w:tc>
      </w:tr>
    </w:tbl>
    <w:p>
      <w:pPr>
        <w:pStyle w:val="3"/>
        <w:keepNext w:val="0"/>
        <w:keepLines w:val="0"/>
        <w:widowControl/>
        <w:spacing w:before="0" w:after="0"/>
      </w:pPr>
      <w:r>
        <w:rPr>
          <w:rFonts w:hint="eastAsia"/>
        </w:rPr>
        <w:t>技术指标</w:t>
      </w:r>
    </w:p>
    <w:tbl>
      <w:tblPr>
        <w:tblStyle w:val="36"/>
        <w:tblW w:w="852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89"/>
        <w:gridCol w:w="1151"/>
        <w:gridCol w:w="1151"/>
        <w:gridCol w:w="2075"/>
        <w:gridCol w:w="2307"/>
        <w:gridCol w:w="11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689" w:type="dxa"/>
            <w:shd w:val="clear" w:color="auto" w:fill="auto"/>
            <w:vAlign w:val="center"/>
          </w:tcPr>
          <w:p>
            <w:pPr>
              <w:pStyle w:val="137"/>
              <w:widowControl w:val="0"/>
              <w:snapToGrid w:val="0"/>
              <w:jc w:val="center"/>
              <w:rPr>
                <w:rFonts w:eastAsia="仿宋_GB2312"/>
                <w:b/>
                <w:sz w:val="22"/>
              </w:rPr>
            </w:pPr>
            <w:r>
              <w:rPr>
                <w:rFonts w:hint="eastAsia" w:eastAsia="仿宋_GB2312"/>
                <w:b/>
                <w:sz w:val="22"/>
              </w:rPr>
              <w:t>序号</w:t>
            </w:r>
          </w:p>
        </w:tc>
        <w:tc>
          <w:tcPr>
            <w:tcW w:w="1151" w:type="dxa"/>
            <w:shd w:val="clear" w:color="auto" w:fill="auto"/>
            <w:vAlign w:val="center"/>
          </w:tcPr>
          <w:p>
            <w:pPr>
              <w:pStyle w:val="137"/>
              <w:widowControl w:val="0"/>
              <w:snapToGrid w:val="0"/>
              <w:jc w:val="center"/>
              <w:rPr>
                <w:rFonts w:eastAsia="仿宋_GB2312"/>
                <w:b/>
                <w:sz w:val="22"/>
              </w:rPr>
            </w:pPr>
            <w:r>
              <w:rPr>
                <w:rFonts w:hint="eastAsia" w:eastAsia="仿宋_GB2312"/>
                <w:b/>
                <w:sz w:val="22"/>
              </w:rPr>
              <w:t>一级指标</w:t>
            </w:r>
          </w:p>
        </w:tc>
        <w:tc>
          <w:tcPr>
            <w:tcW w:w="1151" w:type="dxa"/>
            <w:shd w:val="clear" w:color="auto" w:fill="auto"/>
            <w:vAlign w:val="center"/>
          </w:tcPr>
          <w:p>
            <w:pPr>
              <w:pStyle w:val="137"/>
              <w:widowControl w:val="0"/>
              <w:snapToGrid w:val="0"/>
              <w:jc w:val="center"/>
              <w:rPr>
                <w:rFonts w:eastAsia="仿宋_GB2312"/>
                <w:b/>
                <w:sz w:val="22"/>
              </w:rPr>
            </w:pPr>
            <w:r>
              <w:rPr>
                <w:rFonts w:hint="eastAsia" w:eastAsia="仿宋_GB2312"/>
                <w:b/>
                <w:sz w:val="22"/>
              </w:rPr>
              <w:t>二级指标</w:t>
            </w:r>
          </w:p>
        </w:tc>
        <w:tc>
          <w:tcPr>
            <w:tcW w:w="2075" w:type="dxa"/>
            <w:shd w:val="clear" w:color="auto" w:fill="auto"/>
            <w:vAlign w:val="center"/>
          </w:tcPr>
          <w:p>
            <w:pPr>
              <w:pStyle w:val="137"/>
              <w:widowControl w:val="0"/>
              <w:snapToGrid w:val="0"/>
              <w:jc w:val="center"/>
              <w:rPr>
                <w:rFonts w:eastAsia="仿宋_GB2312"/>
                <w:b/>
                <w:sz w:val="22"/>
              </w:rPr>
            </w:pPr>
            <w:r>
              <w:rPr>
                <w:rFonts w:hint="eastAsia" w:eastAsia="仿宋_GB2312"/>
                <w:b/>
                <w:sz w:val="22"/>
              </w:rPr>
              <w:t>三级指标</w:t>
            </w:r>
          </w:p>
        </w:tc>
        <w:tc>
          <w:tcPr>
            <w:tcW w:w="2307" w:type="dxa"/>
            <w:vAlign w:val="center"/>
          </w:tcPr>
          <w:p>
            <w:pPr>
              <w:pStyle w:val="137"/>
              <w:widowControl w:val="0"/>
              <w:snapToGrid w:val="0"/>
              <w:jc w:val="center"/>
              <w:rPr>
                <w:rFonts w:eastAsia="仿宋_GB2312"/>
                <w:b/>
                <w:sz w:val="22"/>
              </w:rPr>
            </w:pPr>
            <w:r>
              <w:rPr>
                <w:rFonts w:hint="eastAsia" w:eastAsia="仿宋_GB2312"/>
                <w:b/>
                <w:sz w:val="22"/>
              </w:rPr>
              <w:t>四级指标</w:t>
            </w:r>
          </w:p>
        </w:tc>
        <w:tc>
          <w:tcPr>
            <w:tcW w:w="1152" w:type="dxa"/>
            <w:shd w:val="clear" w:color="auto" w:fill="auto"/>
            <w:vAlign w:val="center"/>
          </w:tcPr>
          <w:p>
            <w:pPr>
              <w:pStyle w:val="137"/>
              <w:widowControl w:val="0"/>
              <w:snapToGrid w:val="0"/>
              <w:jc w:val="center"/>
              <w:rPr>
                <w:rFonts w:eastAsia="仿宋_GB2312"/>
                <w:b/>
                <w:sz w:val="22"/>
              </w:rPr>
            </w:pPr>
            <w:r>
              <w:rPr>
                <w:rFonts w:hint="eastAsia" w:eastAsia="仿宋_GB2312"/>
                <w:b/>
                <w:sz w:val="22"/>
              </w:rPr>
              <w:t>指标值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w:t>
            </w:r>
          </w:p>
        </w:tc>
        <w:tc>
          <w:tcPr>
            <w:tcW w:w="1151"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技术考核</w:t>
            </w:r>
          </w:p>
        </w:tc>
        <w:tc>
          <w:tcPr>
            <w:tcW w:w="1151"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产出指标</w:t>
            </w:r>
          </w:p>
        </w:tc>
        <w:tc>
          <w:tcPr>
            <w:tcW w:w="2075"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产出数量</w:t>
            </w:r>
          </w:p>
        </w:tc>
        <w:tc>
          <w:tcPr>
            <w:tcW w:w="2307" w:type="dxa"/>
            <w:vAlign w:val="center"/>
          </w:tcPr>
          <w:p>
            <w:pPr>
              <w:pStyle w:val="137"/>
              <w:widowControl w:val="0"/>
              <w:snapToGrid w:val="0"/>
              <w:jc w:val="center"/>
              <w:rPr>
                <w:rFonts w:eastAsia="仿宋_GB2312"/>
                <w:sz w:val="22"/>
              </w:rPr>
            </w:pPr>
            <w:r>
              <w:rPr>
                <w:rFonts w:hint="eastAsia" w:eastAsia="仿宋_GB2312"/>
                <w:sz w:val="22"/>
              </w:rPr>
              <w:t>软件开发完成率</w:t>
            </w:r>
          </w:p>
        </w:tc>
        <w:tc>
          <w:tcPr>
            <w:tcW w:w="1152" w:type="dxa"/>
            <w:shd w:val="clear" w:color="auto" w:fill="auto"/>
            <w:vAlign w:val="center"/>
          </w:tcPr>
          <w:p>
            <w:pPr>
              <w:pStyle w:val="137"/>
              <w:widowControl w:val="0"/>
              <w:snapToGrid w:val="0"/>
              <w:jc w:val="center"/>
              <w:rPr>
                <w:rFonts w:eastAsia="仿宋_GB2312"/>
                <w:sz w:val="22"/>
              </w:rPr>
            </w:pPr>
            <w:r>
              <w:rPr>
                <w:rFonts w:eastAsia="仿宋_GB2312"/>
                <w:sz w:val="22"/>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2</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一次性验收合格率</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sz w:val="22"/>
              </w:rPr>
              <w:t>1</w:t>
            </w:r>
            <w:r>
              <w:rPr>
                <w:rFonts w:eastAsia="仿宋_GB2312"/>
                <w:sz w:val="22"/>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3</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产出质量</w:t>
            </w:r>
          </w:p>
        </w:tc>
        <w:tc>
          <w:tcPr>
            <w:tcW w:w="2307" w:type="dxa"/>
            <w:vAlign w:val="center"/>
          </w:tcPr>
          <w:p>
            <w:pPr>
              <w:pStyle w:val="137"/>
              <w:widowControl w:val="0"/>
              <w:snapToGrid w:val="0"/>
              <w:jc w:val="center"/>
              <w:rPr>
                <w:rFonts w:eastAsia="仿宋_GB2312"/>
                <w:sz w:val="22"/>
              </w:rPr>
            </w:pPr>
            <w:r>
              <w:rPr>
                <w:rFonts w:hint="eastAsia" w:eastAsia="仿宋_GB2312" w:cs="仿宋_GB2312"/>
                <w:sz w:val="22"/>
                <w:lang w:bidi="ar"/>
              </w:rPr>
              <w:t>系统稳定性</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≥9</w:t>
            </w:r>
            <w:r>
              <w:rPr>
                <w:rFonts w:eastAsia="仿宋_GB2312" w:cs="仿宋_GB2312"/>
                <w:sz w:val="22"/>
                <w:lang w:bidi="ar"/>
              </w:rPr>
              <w:t>9</w:t>
            </w:r>
            <w:r>
              <w:rPr>
                <w:rFonts w:hint="eastAsia" w:eastAsia="仿宋_GB2312" w:cs="仿宋_GB2312"/>
                <w:sz w:val="22"/>
                <w:lang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4</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cs="仿宋_GB2312"/>
                <w:sz w:val="22"/>
                <w:lang w:bidi="ar"/>
              </w:rPr>
              <w:t>软件测试</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通过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5</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cs="仿宋_GB2312"/>
                <w:sz w:val="22"/>
                <w:lang w:bidi="ar"/>
              </w:rPr>
              <w:t>密码测试</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sz w:val="22"/>
              </w:rPr>
              <w:t>通过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6</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cs="仿宋_GB2312"/>
                <w:sz w:val="22"/>
                <w:lang w:bidi="ar"/>
              </w:rPr>
              <w:t>网络安全等级</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sz w:val="22"/>
              </w:rPr>
              <w:t>等保三级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7</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cs="仿宋_GB2312"/>
                <w:sz w:val="22"/>
                <w:lang w:bidi="ar"/>
              </w:rPr>
              <w:t>安全测试</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通过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8</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安全事件发生次数</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sz w:val="22"/>
              </w:rPr>
              <w:t>0次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9</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shd w:val="clear" w:color="auto" w:fill="auto"/>
            <w:vAlign w:val="center"/>
          </w:tcPr>
          <w:p>
            <w:pPr>
              <w:pStyle w:val="137"/>
              <w:widowControl w:val="0"/>
              <w:snapToGrid w:val="0"/>
              <w:jc w:val="center"/>
              <w:rPr>
                <w:rFonts w:eastAsia="仿宋_GB2312"/>
                <w:sz w:val="22"/>
              </w:rPr>
            </w:pPr>
            <w:r>
              <w:rPr>
                <w:rFonts w:hint="eastAsia" w:eastAsia="仿宋_GB2312"/>
                <w:sz w:val="22"/>
              </w:rPr>
              <w:t>产出时效</w:t>
            </w:r>
          </w:p>
        </w:tc>
        <w:tc>
          <w:tcPr>
            <w:tcW w:w="2307" w:type="dxa"/>
            <w:vAlign w:val="center"/>
          </w:tcPr>
          <w:p>
            <w:pPr>
              <w:pStyle w:val="137"/>
              <w:widowControl w:val="0"/>
              <w:snapToGrid w:val="0"/>
              <w:jc w:val="center"/>
              <w:rPr>
                <w:rFonts w:eastAsia="仿宋_GB2312"/>
                <w:sz w:val="22"/>
              </w:rPr>
            </w:pPr>
            <w:r>
              <w:rPr>
                <w:rFonts w:hint="eastAsia" w:eastAsia="仿宋_GB2312"/>
                <w:sz w:val="22"/>
              </w:rPr>
              <w:t>项目实施进度</w:t>
            </w:r>
          </w:p>
        </w:tc>
        <w:tc>
          <w:tcPr>
            <w:tcW w:w="1152" w:type="dxa"/>
            <w:shd w:val="clear" w:color="auto" w:fill="auto"/>
            <w:vAlign w:val="center"/>
          </w:tcPr>
          <w:p>
            <w:pPr>
              <w:pStyle w:val="137"/>
              <w:widowControl w:val="0"/>
              <w:snapToGrid w:val="0"/>
              <w:jc w:val="center"/>
              <w:rPr>
                <w:rFonts w:eastAsia="仿宋_GB2312"/>
                <w:sz w:val="22"/>
              </w:rPr>
            </w:pPr>
            <w:r>
              <w:rPr>
                <w:rFonts w:eastAsia="仿宋_GB2312"/>
                <w:sz w:val="22"/>
              </w:rPr>
              <w:t>12</w:t>
            </w:r>
            <w:r>
              <w:rPr>
                <w:rFonts w:hint="eastAsia" w:eastAsia="仿宋_GB2312"/>
                <w:sz w:val="22"/>
              </w:rPr>
              <w:t>个月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10</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效益指标</w:t>
            </w:r>
          </w:p>
        </w:tc>
        <w:tc>
          <w:tcPr>
            <w:tcW w:w="2075"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共性平台</w:t>
            </w:r>
          </w:p>
        </w:tc>
        <w:tc>
          <w:tcPr>
            <w:tcW w:w="2307" w:type="dxa"/>
            <w:vAlign w:val="center"/>
          </w:tcPr>
          <w:p>
            <w:pPr>
              <w:pStyle w:val="137"/>
              <w:widowControl w:val="0"/>
              <w:snapToGrid w:val="0"/>
              <w:jc w:val="center"/>
              <w:rPr>
                <w:rFonts w:eastAsia="仿宋_GB2312"/>
                <w:sz w:val="22"/>
              </w:rPr>
            </w:pPr>
            <w:r>
              <w:rPr>
                <w:rFonts w:hint="eastAsia" w:eastAsia="仿宋_GB2312"/>
                <w:sz w:val="22"/>
              </w:rPr>
              <w:t>核心数据缺失率</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≤5</w:t>
            </w:r>
            <w:r>
              <w:rPr>
                <w:rFonts w:eastAsia="仿宋_GB2312" w:cs="仿宋_GB2312"/>
                <w:sz w:val="22"/>
                <w:lang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11</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覆盖部门数量</w:t>
            </w:r>
          </w:p>
        </w:tc>
        <w:tc>
          <w:tcPr>
            <w:tcW w:w="1152" w:type="dxa"/>
            <w:shd w:val="clear" w:color="auto" w:fill="auto"/>
            <w:vAlign w:val="center"/>
          </w:tcPr>
          <w:p>
            <w:pPr>
              <w:pStyle w:val="137"/>
              <w:widowControl w:val="0"/>
              <w:snapToGrid w:val="0"/>
              <w:jc w:val="center"/>
              <w:rPr>
                <w:rFonts w:eastAsia="仿宋_GB2312" w:cs="仿宋_GB2312"/>
                <w:sz w:val="22"/>
                <w:lang w:bidi="ar"/>
              </w:rPr>
            </w:pPr>
            <w:r>
              <w:rPr>
                <w:rFonts w:hint="eastAsia" w:eastAsia="仿宋_GB2312" w:cs="仿宋_GB2312"/>
                <w:sz w:val="22"/>
                <w:lang w:bidi="ar"/>
              </w:rPr>
              <w:t>≥5个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12</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统筹对接系统数量</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≥5个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13</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shd w:val="clear" w:color="auto" w:fill="auto"/>
            <w:vAlign w:val="center"/>
          </w:tcPr>
          <w:p>
            <w:pPr>
              <w:pStyle w:val="137"/>
              <w:widowControl w:val="0"/>
              <w:snapToGrid w:val="0"/>
              <w:jc w:val="center"/>
              <w:rPr>
                <w:rFonts w:eastAsia="仿宋_GB2312"/>
                <w:sz w:val="22"/>
              </w:rPr>
            </w:pPr>
            <w:r>
              <w:rPr>
                <w:rFonts w:hint="eastAsia" w:eastAsia="仿宋_GB2312"/>
                <w:sz w:val="22"/>
              </w:rPr>
              <w:t>用户使用情况</w:t>
            </w:r>
          </w:p>
        </w:tc>
        <w:tc>
          <w:tcPr>
            <w:tcW w:w="2307" w:type="dxa"/>
            <w:vAlign w:val="center"/>
          </w:tcPr>
          <w:p>
            <w:pPr>
              <w:pStyle w:val="137"/>
              <w:widowControl w:val="0"/>
              <w:snapToGrid w:val="0"/>
              <w:jc w:val="center"/>
              <w:rPr>
                <w:rFonts w:eastAsia="仿宋_GB2312"/>
                <w:sz w:val="22"/>
              </w:rPr>
            </w:pPr>
            <w:r>
              <w:rPr>
                <w:rFonts w:hint="eastAsia" w:eastAsia="仿宋_GB2312"/>
                <w:sz w:val="22"/>
              </w:rPr>
              <w:t>系统用户量</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≥2</w:t>
            </w:r>
            <w:r>
              <w:rPr>
                <w:rFonts w:eastAsia="仿宋_GB2312" w:cs="仿宋_GB2312"/>
                <w:sz w:val="22"/>
                <w:lang w:bidi="ar"/>
              </w:rPr>
              <w:t>00</w:t>
            </w:r>
            <w:r>
              <w:rPr>
                <w:rFonts w:hint="eastAsia" w:eastAsia="仿宋_GB2312" w:cs="仿宋_GB2312"/>
                <w:sz w:val="22"/>
                <w:lang w:bidi="ar"/>
              </w:rPr>
              <w:t>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14</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restart"/>
            <w:shd w:val="clear" w:color="auto" w:fill="auto"/>
            <w:vAlign w:val="center"/>
          </w:tcPr>
          <w:p>
            <w:pPr>
              <w:pStyle w:val="137"/>
              <w:widowControl w:val="0"/>
              <w:snapToGrid w:val="0"/>
              <w:jc w:val="center"/>
              <w:rPr>
                <w:rFonts w:eastAsia="仿宋_GB2312"/>
                <w:sz w:val="22"/>
              </w:rPr>
            </w:pPr>
            <w:r>
              <w:rPr>
                <w:rFonts w:hint="eastAsia" w:eastAsia="仿宋_GB2312"/>
                <w:sz w:val="22"/>
              </w:rPr>
              <w:t>基础数据共性系统</w:t>
            </w:r>
          </w:p>
        </w:tc>
        <w:tc>
          <w:tcPr>
            <w:tcW w:w="2307" w:type="dxa"/>
            <w:vAlign w:val="center"/>
          </w:tcPr>
          <w:p>
            <w:pPr>
              <w:pStyle w:val="137"/>
              <w:widowControl w:val="0"/>
              <w:snapToGrid w:val="0"/>
              <w:jc w:val="center"/>
              <w:rPr>
                <w:rFonts w:eastAsia="仿宋_GB2312"/>
                <w:sz w:val="22"/>
              </w:rPr>
            </w:pPr>
            <w:r>
              <w:rPr>
                <w:rFonts w:hint="eastAsia" w:eastAsia="仿宋_GB2312"/>
                <w:sz w:val="22"/>
              </w:rPr>
              <w:t>数据准确率</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≥9</w:t>
            </w:r>
            <w:r>
              <w:rPr>
                <w:rFonts w:eastAsia="仿宋_GB2312" w:cs="仿宋_GB2312"/>
                <w:sz w:val="22"/>
                <w:lang w:bidi="ar"/>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15</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基础数据采集覆盖率</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cs="仿宋_GB2312"/>
                <w:sz w:val="22"/>
                <w:lang w:bidi="ar"/>
              </w:rPr>
              <w:t>≥9</w:t>
            </w:r>
            <w:r>
              <w:rPr>
                <w:rFonts w:eastAsia="仿宋_GB2312" w:cs="仿宋_GB2312"/>
                <w:sz w:val="22"/>
                <w:lang w:bidi="ar"/>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dxa"/>
            <w:shd w:val="clear" w:color="auto" w:fill="auto"/>
            <w:vAlign w:val="center"/>
          </w:tcPr>
          <w:p>
            <w:pPr>
              <w:pStyle w:val="137"/>
              <w:widowControl w:val="0"/>
              <w:snapToGrid w:val="0"/>
              <w:jc w:val="center"/>
              <w:rPr>
                <w:rFonts w:eastAsia="仿宋_GB2312"/>
                <w:sz w:val="22"/>
              </w:rPr>
            </w:pPr>
            <w:r>
              <w:rPr>
                <w:rFonts w:hint="eastAsia" w:eastAsia="仿宋_GB2312"/>
                <w:sz w:val="22"/>
              </w:rPr>
              <w:t>16</w:t>
            </w: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1151" w:type="dxa"/>
            <w:vMerge w:val="continue"/>
            <w:shd w:val="clear" w:color="auto" w:fill="auto"/>
            <w:vAlign w:val="center"/>
          </w:tcPr>
          <w:p>
            <w:pPr>
              <w:pStyle w:val="137"/>
              <w:widowControl w:val="0"/>
              <w:snapToGrid w:val="0"/>
              <w:jc w:val="center"/>
              <w:rPr>
                <w:rFonts w:eastAsia="仿宋_GB2312"/>
                <w:sz w:val="22"/>
              </w:rPr>
            </w:pPr>
          </w:p>
        </w:tc>
        <w:tc>
          <w:tcPr>
            <w:tcW w:w="2075" w:type="dxa"/>
            <w:vMerge w:val="continue"/>
            <w:shd w:val="clear" w:color="auto" w:fill="auto"/>
            <w:vAlign w:val="center"/>
          </w:tcPr>
          <w:p>
            <w:pPr>
              <w:pStyle w:val="137"/>
              <w:widowControl w:val="0"/>
              <w:snapToGrid w:val="0"/>
              <w:jc w:val="center"/>
              <w:rPr>
                <w:rFonts w:eastAsia="仿宋_GB2312"/>
                <w:sz w:val="22"/>
              </w:rPr>
            </w:pPr>
          </w:p>
        </w:tc>
        <w:tc>
          <w:tcPr>
            <w:tcW w:w="2307" w:type="dxa"/>
            <w:vAlign w:val="center"/>
          </w:tcPr>
          <w:p>
            <w:pPr>
              <w:pStyle w:val="137"/>
              <w:widowControl w:val="0"/>
              <w:snapToGrid w:val="0"/>
              <w:jc w:val="center"/>
              <w:rPr>
                <w:rFonts w:eastAsia="仿宋_GB2312"/>
                <w:sz w:val="22"/>
              </w:rPr>
            </w:pPr>
            <w:r>
              <w:rPr>
                <w:rFonts w:hint="eastAsia" w:eastAsia="仿宋_GB2312"/>
                <w:sz w:val="22"/>
              </w:rPr>
              <w:t>基础数据服务投诉率</w:t>
            </w:r>
          </w:p>
        </w:tc>
        <w:tc>
          <w:tcPr>
            <w:tcW w:w="1152" w:type="dxa"/>
            <w:shd w:val="clear" w:color="auto" w:fill="auto"/>
            <w:vAlign w:val="center"/>
          </w:tcPr>
          <w:p>
            <w:pPr>
              <w:pStyle w:val="137"/>
              <w:widowControl w:val="0"/>
              <w:snapToGrid w:val="0"/>
              <w:jc w:val="center"/>
              <w:rPr>
                <w:rFonts w:eastAsia="仿宋_GB2312"/>
                <w:sz w:val="22"/>
              </w:rPr>
            </w:pPr>
            <w:r>
              <w:rPr>
                <w:rFonts w:hint="eastAsia" w:eastAsia="仿宋_GB2312"/>
                <w:sz w:val="22"/>
              </w:rPr>
              <w:t>0</w:t>
            </w:r>
            <w:r>
              <w:rPr>
                <w:rFonts w:eastAsia="仿宋_GB2312"/>
                <w:sz w:val="22"/>
              </w:rPr>
              <w:t>%</w:t>
            </w:r>
          </w:p>
        </w:tc>
      </w:tr>
    </w:tbl>
    <w:p>
      <w:pPr>
        <w:pStyle w:val="2"/>
      </w:pPr>
      <w:bookmarkStart w:id="11" w:name="_Toc47537166"/>
      <w:bookmarkEnd w:id="11"/>
      <w:bookmarkStart w:id="12" w:name="_Toc47536676"/>
      <w:bookmarkEnd w:id="12"/>
      <w:bookmarkStart w:id="13" w:name="_Toc47532923"/>
      <w:bookmarkEnd w:id="13"/>
      <w:bookmarkStart w:id="14" w:name="_Toc47536304"/>
      <w:bookmarkEnd w:id="14"/>
      <w:bookmarkStart w:id="15" w:name="_Toc47533288"/>
      <w:bookmarkEnd w:id="15"/>
      <w:bookmarkStart w:id="16" w:name="_Toc47539102"/>
      <w:bookmarkEnd w:id="16"/>
      <w:r>
        <w:rPr>
          <w:rFonts w:hint="eastAsia"/>
        </w:rPr>
        <w:t>项目建设内容</w:t>
      </w:r>
    </w:p>
    <w:p>
      <w:pPr>
        <w:pStyle w:val="3"/>
      </w:pPr>
      <w:r>
        <w:rPr>
          <w:rFonts w:hint="eastAsia"/>
        </w:rPr>
        <w:t>部署环境</w:t>
      </w:r>
    </w:p>
    <w:p>
      <w:r>
        <w:rPr>
          <w:rFonts w:hint="eastAsia"/>
        </w:rPr>
        <w:t>本项目部署于电子政务云上。</w:t>
      </w:r>
    </w:p>
    <w:p>
      <w:pPr>
        <w:pStyle w:val="3"/>
      </w:pPr>
      <w:r>
        <w:rPr>
          <w:rFonts w:hint="eastAsia"/>
        </w:rPr>
        <w:t>软件开发清单</w:t>
      </w:r>
    </w:p>
    <w:tbl>
      <w:tblPr>
        <w:tblStyle w:val="36"/>
        <w:tblW w:w="5630" w:type="pct"/>
        <w:jc w:val="center"/>
        <w:tblLayout w:type="fixed"/>
        <w:tblCellMar>
          <w:top w:w="0" w:type="dxa"/>
          <w:left w:w="108" w:type="dxa"/>
          <w:bottom w:w="0" w:type="dxa"/>
          <w:right w:w="108" w:type="dxa"/>
        </w:tblCellMar>
      </w:tblPr>
      <w:tblGrid>
        <w:gridCol w:w="553"/>
        <w:gridCol w:w="1199"/>
        <w:gridCol w:w="2184"/>
        <w:gridCol w:w="5667"/>
      </w:tblGrid>
      <w:tr>
        <w:tblPrEx>
          <w:tblCellMar>
            <w:top w:w="0" w:type="dxa"/>
            <w:left w:w="108" w:type="dxa"/>
            <w:bottom w:w="0" w:type="dxa"/>
            <w:right w:w="108" w:type="dxa"/>
          </w:tblCellMar>
        </w:tblPrEx>
        <w:trPr>
          <w:trHeight w:val="270" w:hRule="atLeast"/>
          <w:jc w:val="center"/>
        </w:trPr>
        <w:tc>
          <w:tcPr>
            <w:tcW w:w="280" w:type="pct"/>
            <w:tcBorders>
              <w:top w:val="single" w:color="auto" w:sz="4" w:space="0"/>
              <w:left w:val="single" w:color="auto" w:sz="4" w:space="0"/>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607"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106"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2872" w:type="pct"/>
            <w:tcBorders>
              <w:top w:val="single" w:color="auto" w:sz="4" w:space="0"/>
              <w:left w:val="nil"/>
              <w:bottom w:val="single" w:color="auto" w:sz="4" w:space="0"/>
              <w:right w:val="single" w:color="auto" w:sz="4" w:space="0"/>
            </w:tcBorders>
            <w:shd w:val="clear" w:color="000000" w:fill="F3F8FC"/>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tblPrEx>
          <w:tblCellMar>
            <w:top w:w="0" w:type="dxa"/>
            <w:left w:w="108" w:type="dxa"/>
            <w:bottom w:w="0" w:type="dxa"/>
            <w:right w:w="108" w:type="dxa"/>
          </w:tblCellMar>
        </w:tblPrEx>
        <w:trPr>
          <w:trHeight w:val="114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w:t>
            </w:r>
          </w:p>
        </w:tc>
        <w:tc>
          <w:tcPr>
            <w:tcW w:w="607" w:type="pct"/>
            <w:vMerge w:val="restart"/>
            <w:tcBorders>
              <w:top w:val="single" w:color="auto" w:sz="4" w:space="0"/>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上海市行政立法信息系统</w:t>
            </w: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常态化评估清理-评估清理法规规章池配置管理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一、通过系统界面一键导入历年法规规章池数据至当前年份，自动化生成今年法规规章池数据，减少人工录入时间，确保基础数据完整性与时效性，支持评估清理工作的快速启动。</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二、提供对法规规章的编辑维护功能，支持用户按年度筛选调整法规规章内容，系统自动校验数据格式并保留历史版本记录，确保法规信息的持续有效性和可追溯性。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三、支持创建、修改和版本控制评估清理所需的各类材料模板（如报告、表格），支持模板分类存储与多格式附件（Word/Excel等），便于立法处快速调用并适应不同法规规章的材料要求。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四、支持对填报要求与说明进行编辑维护，系统在机关单位填报时自动显示评估清理工作的填报规范、示例内容等说明，降低填报错误率，确保反馈信息的标准化与合规性。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五、通过配置界面动态添加或删除责任部门及处室信息，实时同步至法规规章责任单位配置页面，确保责任单位信息的准确性和页面展示一致性。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六、按年度分类存储和管理上报材料的类型、版本及附件，支持材料关联法规条目，确保材料归档清晰可查。</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常态化评估清理-机关反馈模块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一、提供分页列表与多条件筛选（如法规名称、反馈状态、处理进度），支持按“已办/待办”分类展示任务，机关单位可快速定位待处理事项并查看详情。</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二、在线表单支持机关单位逐条填写清理意见，系统自动保存草稿并校验必填项，支持附件上传（如证明材料），确保反馈内容的完整性与可追溯性。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法规规章责任单位提交法规规章常态化评估清理意见后，如果需要进下调整，可进下撤回操作。系统会进下判断如果提交的评估清理意见已经完成审核，则无法进下撤回。系统会对撤回操作进下记录，记录撤回时间，撤回账号。</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法规规章责任单位在进行法规规章常态化评估清理的反馈过程中，可选择填写法规规章对应行政行为情况。行政行为类型包含30多种。默认可不进行填写行政行为信息的反馈。首先先选择是否包含某项行政行为，再对行政情况进下数量填写及情况填写。</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五、法规规章责任单位在填写反馈后，如果责任单位需要清除已填写的信息，不需要逐条删除，可点击填报初始化清空信息。清空后的界面不包含已经填报的内容，但是会把法规规章的信息拆条展示在页面上。</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六、法规规章责任单位完成填报后，系统将依据用户所填写的内容，进行汇总、统计并提炼出总结性信息，最终予以展示。</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七、填报完成后，用户可通过提交按钮一键上报至审核流程，系统自动生成提交记录并触发短信通知审核人员，实现流程无缝衔接与状态透明化。</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八、在用户输入文本时实时检测敏感词库（如政治术语、涉密信息），页面高亮敏感词并定位问题字段，支持页面协助修改。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九、用户可动态增删敏感词条目，设置匹配规则，确保敏感词管理的灵活性与安全性。</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常态化评估清理-导出导入</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一、根据法规条目生成结构化Excel模板，自动拆分条款内容并提供清理意见填写列，支持批量导入回传系统，大幅提升数据录入效率。</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二、用户上传填写完成的Excel模板后，系统自动解析数据并校验格式，减少人工录入时间，提高评估清理工作效率。</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三、按需求导出法规条款为Word（格式规范），支持自定义导出范围（如按部门、年份），满足多场景文档协作需求。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四、按需求导出法规条款为Excel（可编辑表格），支持自定义导出范围（如按部门、年份），满足多场景文档协作需求。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五、机关单位可对已提交的反馈内容进行批量编辑、内容调整或补充说明，修改相应上传的填报材料。</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常态化评估清理-评估清理法规规章审核模块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一、立法处查看按部门、法规类型分类的清理意见汇总表，支持多维度排序与关键词搜索，审核界面集成意见详情、附件等反馈内容。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二、综合报告导出所选年份的所有机关单位评估清理工作上报进度情况表格，满足向上汇报与内部留档的不同需求。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三、细项数据导出为详细的机关单位法规规章评估清理工作反馈内容表格，满足向上汇报与内部留档的不同需求。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四、立法处在线对机关单位反馈的评估清理意见进行批注，并反馈给机关单位，系统自动记录操作人与时间，同步短信通知原单位。</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常态化评估清理-评估清理情况跟踪及统计模块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一、按机关单位统计法规规章反馈提交情况，可以根据法规规章，模糊条款，兜底条款，行政行为案件等条件进行筛选，支持导出为工作报告向上汇报。</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二、通过可视化图形展示清理意见反馈结果状态分布（如已提交/已审核/未反馈），标注工作整体完成进度情况，支持交互式钻取查看明细数据。</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三、按年份维度展示法规规章池的增删改变化详情，支持差异高亮对比与历史版本回溯功能，帮助用户直观分析法规规章池变化情况。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四、常态化评估清理工作全过程日志流程记录，及日志信息快捷查看，快捷展示。</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常态化评估清理-评估清理信息数据查询模块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一、输入关键词可跨年份、部门、法规类型检索条款内容及关联意见，结果列表支持二次过滤与高亮显示匹配字段，提升信息定位效率。数据初始化到es。</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二、一键查询根据关键字进下查询，查询结果会根据匹配度，有最高到最低排序显示。</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三、条件检索，根据标签条件，对查询结果进下进一步筛选。</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常态化评估清理-消息通知模块-短信提醒进度情况</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一、根据任务节点（如提交成功、初审通过、终审完成）自动触发短信通知，内容含法规规章名称、反馈进度状态情况。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二、立法处可以编辑不同阶段的短信模板，可插入动态变量（如单位名称、截止日期），预览效果实时显示，支持测试发送至指定手机号验证内容准确性。</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常态化评估清理-评估清理意见信息采集模块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一、机关单位可以查看自己填写的意见箱列表页面，汇总本机关提交的各类意见信息。列表展示意见标题、提交单位、状态及操作人，支持分类标签快速筛选。</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二、机关单位通过表单填写意见描述，支持上传相关材料（扫描件，电子文档等），提交后自动生成在列表页面供后续编辑维护操作。</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三、立法处可以查看机关单位反馈的所有意见信息，可以对意见内容进行筛选，根据反馈时间进行排序，意见箱汇总结果可导出为表格文件。</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常态化评估清理-评估清理外部数据支撑模块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一、通过API接口定时从外部法规全书数据库同步最新法规规章，系统自动去重并匹配现有条目，更新日志记录变动详情供人工复核，自动备份上一次同步的法规规章数据，保证数据的安全可靠。</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二、利用自然语言处理技术识别法规文本中的章节、条款等分段关键字，生成结构化数据并关联关键词标签，为后续机关单位对法规规章评估清理意见填报提供能力支撑。</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三、系统中展示法规规章拆条后的信息。首先是填报反馈页面需要逐条拆分进下条款展示，同时反馈填报页面下载的导入模版中exl中也要展示法律法规拆条后的信息。</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立法过程一图办-立法流程管理一图办理模块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一、以甘特图形式展示立法流程各阶段（如起草、征求意见、审议），节点状态（进行中/已完成）实时更新，点击节点可查看负责人、时限及关联文档。</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二、在流程图中直接上传或关联材料（如草案、会议纪要），支持版本控制与权限管理，确保上下游节点人员可实时查阅最新文件。</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三、处理人完成节点任务后，需填写处理说明并上传成果文件，系统自动生成操作日志（含时间戳、IP地址），支持添加内部评注供协同参考。</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立法过程一图办-立法过程管理跟踪监督管理模块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一、按角色（如起草人、审核人）分配任务权限，支持细粒度控制（如仅查看、编辑、审批），任务列表自动同步至个人工作台并标注优先级。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二、整合各流程节点数据生成进度总览面板（含完成率、瓶颈分析），支持一键导出PDF报告（含图表与改进建议），助力管理层统筹决策。</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立法过程一图办-立法过程电子材料管理模块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一、立法权过程资源材料统一管理。整合汇总整理相关。</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二、可支持在线预览pdf文件。word文件等其他文件。</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三、对接wps相关在线阅读功能。</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四、文件在线阅览及文件下载安全管控功能。</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立法服务管理模块-门户应用-门户应用、常用应用快速入口</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行政立法服务管理模块门户，在为立法业务人员提供业务流程指引与常用功能模块快速入口的同时，也支持通过数据可视化的方式，直观的向立法项目管理人员展示立法项目逾期风险预警、立法计划进展、立法项目进展等立法进度概览信息。</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二、在智能立法门户应用中，支持为立法业务人员提供立法知识辅助推荐、立法草案辅助生成、立法草案辅助修订、立法草案辅助审查等常用应用功能模块的快速入口，方便快速便捷地进入相关业务应用页面。</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立法服务管理模块-门户应用-立法项目进展概览、立法项目实时进度跟踪、热点项目聚焦</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一、支持以数据卡片的形式展示当年度需要被完成的立法项目数量项目总数，以及当前分布在立法计划阶段、立法起草阶段、征求会议阶段、审核会议阶段与正式实施阶段的立法项目数量分布概览。</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二、支持以项目详情列表的方式展示当年度正在进行中的所有立法项目的实时进展情况，列表中支持展示立法项目名称、立法项目类型、立法实时进展进度条，并支持以不同的颜色标识项目逾期的风险等级。</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三、支持查看当前门户应用中关注数量最多的三个热点项目的详情信息，展示内容包含项目名称、项目类型、项目截止时间与项目流程跟踪图。</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立法服务管理模块-门户应用-立法工作概览、立法审核概览、立法审核态势分析</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一、支持以环形图、玫瑰图的形式展示历年与当年的立法工作总数，以及每一个年度不同类型(调研、预备、正式(制定)、正式(修改)、正式(废止)、正式(立新废旧))的立法工作的数量分布。</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二、支持以数据卡片的形式展示基层立法联系点意见反馈参与度统计结果与在线审核会议的开展情况统计结果。</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三、支持以组合柱状图的形式展示在线审核会与基层立法联系点的立法审核工作年度开展情况态势分析。</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立法服务管理模块-门户应用-立法工作申报情况概览、承办情况概览</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支持以数据卡片和饼图的形式展示各委办单位的立法工作申报详情，展示当年所有申报立法项目总数、申报立法项目数量前三的单位、单位申报立法项目数量和同比上年度申报项目数量增长（或下降）的百分比。</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二、支持以数据卡片和饼图的形式展示各立法部门处室的立法工作承办详情，展示各部门当年年度办理的项目数量和同比上年度办理项目数量增长（或下降）的百分比。</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立法服务管理模块-门户应用-立法工作计划管理、立法工作计划基本信息录入与查看、历史发布记录</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一、为实现对全市历史立法工作计划的统一管理，提供计划管理，相关工作人员可查看计划年份下的所有立法项目，列表展示所对应的立法项目标题与工作类型。</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二、起草人员可进行新的立法工作计划的添加，需要填写立法工作计划基本信息；当起草或审核人员需要查阅计划时，可查看该计划的基本信息。</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三、针对已发布、立新废旧或废止的立法工作计划，工作人员可进行该工作计划的历史发布记录进行查看。</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立法服务管理模块-立法知识辅助推荐场景-立法知识精准搜索-标题语义精准搜索、法条语义精准搜索、全文语义精准搜索、全文搜索关键词辅助扩写</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一、在“标题”搜索模式下，立法起草人员通过输入法律法规标题检索关键词，针对法规标题内容进行语义智能检索，向量检索引擎将根据语义相关度评分由高到低排列展示命中的法律法规详情。</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在法条语义精准搜索模式下，支持立法起草人员通过精准搜索具体法条内容的检索关键词，针对法条文本内容进行语义智能检索，向量检索引擎将根据语义相关度评分由高到低排列展示命中的法条内容详情，及其所属的法律法规名称。</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在全文语义精准搜索模式下，立法起草人员通过搜索具体法律法规主旨摘要的检索关键内容，针对法律法规全文核心内容进行语义智能检索，向量检索引擎将根据语义相关度评分由高到低排列命中的法律法规文本摘要详情(预生成)，及其所属的法律法规名称。</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为了使得全文搜索的内容更加准确，在立法起草人员输入法律法规检索关键词时，提供辅助扩写服务，根据输入的关键词提供围绕该关键词展开生成的几个法律法规全文摘要候选选项参考，辅助立法起草人员更加精准详细的描述自己想搜索的内容，提高全文检索的准确性和可靠性。</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19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立法服务管理模块-立法知识辅助推荐场景-司法案件知识图谱关联-司法案件相似度得分、司法案件查阅下载、司法案件详情</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一、根据司法案件的执法依据与立法工作计划的草案标题之间的向量相似度得分，从高到低展示与当前立法工作计划相关的司法案件信息。</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在查阅司法案件时，可查阅的内容包括：司法案件名称、执法类型标签(行政处罚、行政强制等)、相似度评分、执法主体、行政执法时间、案发地点、执法领域、执法依据、依据条例、执法案由。同时，工作人员可以选择部分或全部的相关司法案件进行批量下载。</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三、工作人员需要针对单条司法案件进行详情查阅，可进入到案件详情查看包括基本信息、基本案情、处理结果与案件评析相关内容。</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立法服务管理模块-立法知识辅助推荐场景-立法依据与参考辅助推荐-立法依据与参考相似度得分、法律法规查阅、法律法规筛选</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一、根据立法工作计划的草案标题与当前法律法规库中法规标题之间的向量相似度得分，从高到低展示与当前立法工作计划相关的参考法律法规。</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二、工作人员可查看立法工作计划相关法律法规内容包括标题、效力级别标签(全国、省级、市级)、时效性、法规基本类型、发布部门、发文号、发布时间、生效时间、相似度评分。</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三、由于立法工作计划往往涉及到多级别和多类型法律法规，工作人员按照需求对参考法律法规进行进一步筛选。</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立法服务管理模块-立法草案辅助生成场景-立法草案统一管理-立法草案概况查阅、立法草案编辑管理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一、为了便于立法草案的统一管理，立法工作人员可对已辅助生成的草案进行动态维护和统筹管理。</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对于辅助生成的草案的概况信息，工作人员可通过卡片形式查阅、维护草案信息，包括立法草案标题、最近更新时间、参考资料数量(参考法律法规个数和参考附件个数)、立法依据数量、立法目的。</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二、针对辅助生成的立法草案，立法工作人员可进行在线编辑、删除和下载。同时，也可根据自身需求，通过草案标题和发布时间进行查询。</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立法服务管理模块-立法草案辅助生成场景-辅助生成立法目的-立法目的自动生成、立法目的修改编辑</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拟定立法草案之前，立法人员需要明确立法标题、立法目的，为后续编写立法草案确定立法主题和核心内容。通过调用能力底座中的立法辅助工具能力，根据过往法律法规文本知识进行知识学习，并基于工作人员输入的立法标题，自动生成4条候选立法目的供工作人员进行选择。</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二、工作人员选择满意的自动生成立法目的后，对于立法目的可进行手动调整和修改，形成本次立法草案的立法目的。</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立法服务管理模块-立法草案辅助生成场景-立法依据检索推荐</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工作人员可自行添加上位法作为立法依据，当工作人员需要系统推荐立法依据时，系统将自动在下拉框中向用户推荐与立法草案标题最相关的5个效力级别为“全国”的现行有效法律法规。</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立法服务管理模块-立法草案辅助生成场景-草案提纲生成与修改-草案提纲自动生成、草案提纲修改编辑</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辅助生成草案全文之前，工作人员需要对立法提纲进行一个初步确定，以便于后续全文编写。基于已确定的立法标题、立法目的、立法依据，帮助工作人员自动生成立法草案提纲，包括大章名称、子章节名称。</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二、工作人员可根据实际情况，对系统辅助生成的草案提纲在文本框中对不满意的章节名称直接进行二次人工修改，确认无误后即完成该立法草案提纲。</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立法服务管理模块-立法草案辅助生成场景-草案全文生成与下载-草案全文自动生成、草案全文修改下载</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一、完成立法草案提纲的确认修改后，立法辅助工具能够根据立法提纲逐字逐句的自动生成立法草案全文。在生成立法草案全文时，支持对于每一个法条内容自动生成能够高度概括法条文本内容的条标短语。</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在完成草案全文的生成后，起草人员可按照自己需求将行政立法服务管理模块生成的草案全文进行修改编辑，也可以下载至本地进行修改编辑和业务协同；工作人员可根据实际立法情况需要返回到草案提纲，重新对草案提纲进行调整。</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立法服务管理模块-立法草案辅助生成场景-草案条标辅助生成、立法资料汇编生成与下载、自定义参考附件上传、参考附件文档摘要生成、结合参考附件生成草案</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一、在立法工具生成立法草案全文时，支持对于每一个法条内容自动生成能够高度概括法条文本内容的条标短语。</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二、工作人员完成了立法草案主题定义并草案全文生成后，通过调用安全指挥业务综合知识能力管理中枢的立法依据向量搜索能力，实现该立法草案相关的法律法规进行展示。</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在起草立法草案过程中，除了立法依据，可能还需要用到其他法律相关材料，起草人员在起草立法草案之前，可以上传自己所需用到的附件材料，可以上传格式为word格式的本地文件，作为除立法依据外的补充材料。</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四、基于工作人员自行上传的附件材料文档，调用行政立法服务管理模块能力自动生成参考附件文档的摘要，便于工作人员获取若干个参考文档的主题和核心内容。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五、根据立法标题、立法目的、立法依据，同时进一步结合参考附件材料，自动生成更加贴合立法目标的立法草案。</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立法服务管理模块-立法草案辅助修订场景-草案修订版本管理、草案底稿上传解析、草案法条在线编辑</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一、工作人员可对立法草案的各个历史修订版本进行统一的管理与维护。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二、对于需要修订的立法草案，工作人员可直接通过本地上传的方式将格式为word的立法草案上传至系统进行进一步的解析工作，完成上传后系统将自动按“条”对文档内容进行拆分。</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三、在进行草案文本内容修订时，立法起草人员可进行法条在线编辑。</w:t>
            </w:r>
          </w:p>
        </w:tc>
      </w:tr>
      <w:tr>
        <w:tblPrEx>
          <w:tblCellMar>
            <w:top w:w="0" w:type="dxa"/>
            <w:left w:w="108" w:type="dxa"/>
            <w:bottom w:w="0" w:type="dxa"/>
            <w:right w:w="108" w:type="dxa"/>
          </w:tblCellMar>
        </w:tblPrEx>
        <w:trPr>
          <w:trHeight w:val="469"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立法服务管理模块-立法草案辅助修订场景-辅助比对篇分析、辅助比对条分析、司法案件辅助关联</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一、在完成了立法草案底稿的上传与解析后，工作人员可以选择篇分析对整篇草案进行总体分析。根据上传草案的标题自动检索出所有相关的法律法规，并按照相似度打分由高到低进行排列。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二、工作人员可选择条分析对立法草案中的法条进行逐条分析，查看其对应相关的现有法律法规法条，并按照其相似度评分从高到低进行排列。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三、对于上传的立法草案，基于知识图谱自动关联与当前立法草案相关的司法案件信息，根据司法案件的执法依据与立法草案标题之间的向量相似度得分，从高到低展示与当前立法草案相关的司法案件信息。</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29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立法服务管理模块-立法草案辅助修订场景-草案版本比对-对照表生成、花脸稿生成</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一、对于同一立法草案下的不同修订版本，可以进行内容比对，将修改之处进行逐一识别并自动生成对照表。</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二、对比修改前版本的修改痕迹，也可将花脸稿保存到本地。</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立法服务管理模块-立法草案辅助审查场景-审查版本辅助管理、审查文件上传与解析</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一、立法草案往往会进行多轮审查工作，需要对草案的各个历史修订版本的审查记录进行统一的管理与维护。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二、审查人员可上传待审查的立法草案word文档，完成上传后系统将自动解析出该审查对象中包含有多少法条、总计多少个字符，并且将其按条进行拆分，便于审查人员对该立法草案的通篇了解。</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立法服务管理模块-立法草案辅助审查场景-立法草案文本纠错</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在立法草案审查过程中，提供立法草案文本语法错误、行文规范错误的辅助识别能力，大幅省去审核人员审核草案行文、语法错误的时间，提升整体审核效率。</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立法服务管理模块-立法草案辅助审查场景-审查依据辅助匹配-审查依据相似度展示、审查意见录入</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一、参考法律法规展示所有与当前审查对象相关法律法规，相关法律法规默认按照相似度打分由高到低的进行展示，支持用户自定义检索范围。</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二、审查人员根据自身判断勾选可作为审查依据的法律法规，并点击将其添加至审查依据中，完成添加后审查人员可根据实际情况进行草案审查意见录入。</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立法服务管理模块-立法草案辅助审查场景-草案法条可靠性辅助评级</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针对草案中的每一条拟定法条，进行草案法条的可靠性评级，通过调用立法辅助工具的知识图谱检索，对现有法律法规的法条与该草案中的法条知识相似度进行最高分判定，设定三种不同的阈值来判定法条的标签，包括引用、参考和独创。</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立法服务管理模块-立法草案辅助审查场景-法条依据相似度辅助评分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草案的每一条草案可能会涉及到多条法条依据，审查人员在进行审查过程中，针对每一条拟定草案法条，调用调用立法辅助工具的知识图谱检索，实现该法条与参考的法条依据语义知识相似度的自动判定，并通过百分比的形式进行评分，便于审查人员了解该拟定法条与各法条依据的相似程度。</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立法服务管理模块-立法草案辅助审查场景-立法草案条审查-草案语法辅助纠错、行文规范辅助纠错、上下文逻辑问题识别</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一、在进行条审查时，审查人员可选择语法辅助纠错，用下划线标识出涉及到各类语法问题的文字内容。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通过行政立法服务管理模块自动对“字词问题”、“标点问题”、“语病问题”这三种类型的语法问题进行识别，并针对每一个识别出的问题写明问题原因分析。同时，在修改建议模块展示行政立法服务管理模块综合上述发现的所有类型的语法问题所生成的几个候选修改方式，供审查人员进行选择。</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行文规范辅助纠错支持特别针对立法草案行文的用词规范及上下文逻辑进行错误识别并支持辅助纠错，利用行政立法服务管理模块根据《上海市政府规章起草技术规范》文件中对于法律法规起草格式的相关行文规范条例，对立法草案文本中涉及到的不规范问题进行自动识别，作为辅助审查的依据。</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三、通过行政立法服务管理模块，对于存在引用其他法条内容的情况进行自动识别，并判断上下文的引用内容是否符合逻辑，对于存在问题的部分，自动生成问题描述并向用户展示，作为辅助审查的依据。</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立法服务管理模块-立法草案辅助审查场景-立法草案条审查-法条审查意见录入</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审查人员在审查过程需要对草案的法条进行逐条审查，审查人员可对每条法条进行逐条批注意见录入。</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立法服务管理模块-立法草案辅助审查场景-篇审查意见录入、立法草案篇审查篇审查结果报告、审查报告预览生成</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一、审查人员在完成立法草案的条审查后，可在行政立法服务管理模块中进行篇审查意见的录入，通过输入框中输入对于全篇的概述性审查意见，长度不超过500个字符。</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完成审查意见的录入后，如果审查认为审查意见已经全部录入完毕，则可提交并生成报告，进入审查结果报告的预览与下载；如果审查人员还想进一步录入审查意见，则可返回进行审查意见录入，同时会保留当前所有的审查意见。</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当完成立法草案的条审查意见和篇审查意见的录入和提交后，系统自动生成审查报告，审查人员可进行设查报告的预览，报告内容包括审查对象标题、审查意见总数、审查依据法规数量、审查引用法条数量、篇审查意见、条审查意见。</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立法服务管理模块-立法草案辅助审查场景-敏感词库管理-敏感词展示、新增敏感词、敏感词状态、敏感词查询</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一、以列表的形式展示当前系统中维护的所有敏感词，列表根据敏感词的更新时间倒序排列。具体展示的字段有：序号、敏感词、同义词数量、创建时间(首次添加该敏感词的时间)、更新时间、启用状态。</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二、新增敏感词也可进行批量添加敏感词，具体功能如下：</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对于每一个敏感词，需要配置的内容如下：敏感词：必填项，长度不超过20；同义词：如果当前敏感词有部分同义词需同样作为敏感词，审查人员可查看同义词并进行选择；审查人员可以手动添加同义词；也可进行批量添加和删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三、对于已添加的敏感词，可进行启停切换、编辑与删除。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当启用状态为“关闭”时，敏感词及其同义词在审查时不会进行提醒，审查人员也可对该敏感词进行编辑与删除操作；</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当启用状态为“开启”时，敏感词及其同义词在审查时均会进行识别提示，且该状态下不可对敏感词进行编辑与删除操作。</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四、审查人员在管理敏感词时，可按照需求进行多种方式的查询，包括敏感词模糊搜索、启用状态选择、更新时间区间选择。</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39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立法服务管理模块-立法草案辅助审查场景-敏感词同义词推荐、敏感词识别高亮提醒</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一、在立法草案审查敏感词库建立的过程中，通过立法辅助工具的知识图谱服务能力，提供敏感词联想能力，快速生成语义相同的敏感词组。</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二、审查人员在条审查和篇审查过程中，草案若存在敏感词，系统将自动识别并通过高亮的形式提示审查人员，进一步提升审查效率。</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立法服务管理模块-开发立法进度一屏统览</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运用数据归集、知识图谱、数据可视化技术实现自动汇总、监控立法项目的实时进度，直观形象展示立法任务完成情况态势，对不同阶段的立法项目以红黄绿三色进行标示，如临近办理期限而未报送的立法项目，作黄色报警提示。</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立法服务管理模块-对接执法、复议、诉讼等信息系统-对接本市行政复议信息系统</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对接本市行政复议信息系统，利用行政立法辅助系统的服务能力分析拟修订法规规章的具体条款在行政执法、复议中的出现频率，对于多次出现且争议较大的条款进行重点分析，必要时可开展专项立法调研，并在立法中予以针对性回应，不断反哺提升立法质量。</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立法服务管理模块-对接执法、复议、诉讼等信息系统-对接本市行政执法信息系统</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对接本市行政执法信息系统，利用行政立法辅助系统的服务能力分析拟修订法规规章的具体条款在行政执法中的出现频率，对于多次出现且争议较大的条款进行重点分析，必要时可开展专项立法调研，并在立法中予以针对性回应，不断反哺提升立法质量。</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立法服务管理模块-对接执法、复议、诉讼等信息系统-对接本市数字法院信息系统</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对接本市数字法院信息系统，利用行政立法辅助系统的服务能力分析拟修订法规规章的具体条款在法院诉讼、判决中的出现频率，对于多次出现且争议较大的条款进行重点分析，必要时可开展专项立法调研，并在立法中予以针对性回应，不断反哺提升立法质量。</w:t>
            </w:r>
          </w:p>
        </w:tc>
      </w:tr>
      <w:tr>
        <w:tblPrEx>
          <w:tblCellMar>
            <w:top w:w="0" w:type="dxa"/>
            <w:left w:w="108" w:type="dxa"/>
            <w:bottom w:w="0" w:type="dxa"/>
            <w:right w:w="108" w:type="dxa"/>
          </w:tblCellMar>
        </w:tblPrEx>
        <w:trPr>
          <w:trHeight w:val="171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default" w:ascii="等线" w:hAnsi="等线" w:eastAsia="等线" w:cs="等线"/>
                <w:b/>
                <w:bCs/>
                <w:i w:val="0"/>
                <w:iCs w:val="0"/>
                <w:color w:val="000000"/>
                <w:kern w:val="0"/>
                <w:sz w:val="22"/>
                <w:szCs w:val="22"/>
                <w:u w:val="none"/>
                <w:lang w:val="en-US" w:eastAsia="zh-CN" w:bidi="ar"/>
              </w:rPr>
              <w:t>44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立法服务管理模块-立法辅助后台管理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一、系统提供用户维护功能。包括：用户增改、权限复制、冻结、初始化密码、授予角色、兼职、改变组织、绑定分级关系、用户绑定登录地址以及excel导入/导出功能，并提供导入模板下载。</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二、通过与CA进行登录系统及认证体系进行集成。用户登录系统使用完成工作后，可进行退出登录。</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三、角色管理模块提供用户角色创建、用户角色维护、系统功能权限控制功能。</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四、日志管理模块包括登录日志管理、操作日志管理功能。</w:t>
            </w:r>
          </w:p>
        </w:tc>
      </w:tr>
      <w:tr>
        <w:tblPrEx>
          <w:tblCellMar>
            <w:top w:w="0" w:type="dxa"/>
            <w:left w:w="108" w:type="dxa"/>
            <w:bottom w:w="0" w:type="dxa"/>
            <w:right w:w="108" w:type="dxa"/>
          </w:tblCellMar>
        </w:tblPrEx>
        <w:trPr>
          <w:trHeight w:val="516"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eastAsia" w:ascii="等线" w:hAnsi="等线" w:eastAsia="等线" w:cs="等线"/>
                <w:b/>
                <w:bCs/>
                <w:i w:val="0"/>
                <w:iCs w:val="0"/>
                <w:color w:val="000000"/>
                <w:kern w:val="0"/>
                <w:sz w:val="22"/>
                <w:szCs w:val="22"/>
                <w:u w:val="none"/>
                <w:lang w:val="en-US" w:eastAsia="zh-CN" w:bidi="ar"/>
              </w:rPr>
              <w:t>45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法律法规知识库-法律法条数据处理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上海市行政立法信息系统-法律法规知识检索增强知识准备、立法大模型训练微调数据集准备</w:t>
            </w:r>
          </w:p>
        </w:tc>
      </w:tr>
      <w:tr>
        <w:tblPrEx>
          <w:tblCellMar>
            <w:top w:w="0" w:type="dxa"/>
            <w:left w:w="108" w:type="dxa"/>
            <w:bottom w:w="0" w:type="dxa"/>
            <w:right w:w="108" w:type="dxa"/>
          </w:tblCellMar>
        </w:tblPrEx>
        <w:trPr>
          <w:trHeight w:val="239"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eastAsia" w:ascii="等线" w:hAnsi="等线" w:eastAsia="等线" w:cs="等线"/>
                <w:b/>
                <w:bCs/>
                <w:i w:val="0"/>
                <w:iCs w:val="0"/>
                <w:color w:val="000000"/>
                <w:kern w:val="0"/>
                <w:sz w:val="22"/>
                <w:szCs w:val="22"/>
                <w:u w:val="none"/>
                <w:lang w:val="en-US" w:eastAsia="zh-CN" w:bidi="ar"/>
              </w:rPr>
              <w:t>46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法律法规知识库-法律法规正文数据增强</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上海市行政立法信息系统-法律法规知识检索增强知识准备、立法大模型训练微调数据集准备</w:t>
            </w:r>
          </w:p>
        </w:tc>
      </w:tr>
      <w:tr>
        <w:tblPrEx>
          <w:tblCellMar>
            <w:top w:w="0" w:type="dxa"/>
            <w:left w:w="108" w:type="dxa"/>
            <w:bottom w:w="0" w:type="dxa"/>
            <w:right w:w="108" w:type="dxa"/>
          </w:tblCellMar>
        </w:tblPrEx>
        <w:trPr>
          <w:trHeight w:val="331"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eastAsia" w:ascii="等线" w:hAnsi="等线" w:eastAsia="等线" w:cs="等线"/>
                <w:b/>
                <w:bCs/>
                <w:i w:val="0"/>
                <w:iCs w:val="0"/>
                <w:color w:val="000000"/>
                <w:kern w:val="0"/>
                <w:sz w:val="22"/>
                <w:szCs w:val="22"/>
                <w:u w:val="none"/>
                <w:lang w:val="en-US" w:eastAsia="zh-CN" w:bidi="ar"/>
              </w:rPr>
              <w:t>47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法律法规知识库-法规正文语义标签标注</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上海市行政立法信息系统-法律法规知识检索增强知识准备、立法大模型训练微调数据集准备</w:t>
            </w:r>
          </w:p>
        </w:tc>
      </w:tr>
      <w:tr>
        <w:tblPrEx>
          <w:tblCellMar>
            <w:top w:w="0" w:type="dxa"/>
            <w:left w:w="108" w:type="dxa"/>
            <w:bottom w:w="0" w:type="dxa"/>
            <w:right w:w="108" w:type="dxa"/>
          </w:tblCellMar>
        </w:tblPrEx>
        <w:trPr>
          <w:trHeight w:val="207"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cs="Tahoma"/>
                <w:color w:val="000000"/>
                <w:kern w:val="0"/>
                <w:sz w:val="22"/>
                <w:szCs w:val="22"/>
              </w:rPr>
            </w:pPr>
            <w:r>
              <w:rPr>
                <w:rFonts w:hint="eastAsia" w:ascii="等线" w:hAnsi="等线" w:eastAsia="等线" w:cs="等线"/>
                <w:b/>
                <w:bCs/>
                <w:i w:val="0"/>
                <w:iCs w:val="0"/>
                <w:color w:val="000000"/>
                <w:kern w:val="0"/>
                <w:sz w:val="22"/>
                <w:szCs w:val="22"/>
                <w:u w:val="none"/>
                <w:lang w:val="en-US" w:eastAsia="zh-CN" w:bidi="ar"/>
              </w:rPr>
              <w:t>48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法律法规知识库-法律法规实体关系抽取</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上海市行政立法信息系统-法律法规知识检索增强知识准备</w:t>
            </w:r>
          </w:p>
        </w:tc>
      </w:tr>
      <w:tr>
        <w:tblPrEx>
          <w:tblCellMar>
            <w:top w:w="0" w:type="dxa"/>
            <w:left w:w="108" w:type="dxa"/>
            <w:bottom w:w="0" w:type="dxa"/>
            <w:right w:w="108" w:type="dxa"/>
          </w:tblCellMar>
        </w:tblPrEx>
        <w:trPr>
          <w:trHeight w:val="485"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49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法律法规知识库-法律法规知识图谱构建与检索服务维护</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上海市行政立法信息系统-法律法规知识检索增强知识准备</w:t>
            </w:r>
          </w:p>
        </w:tc>
      </w:tr>
      <w:tr>
        <w:tblPrEx>
          <w:tblCellMar>
            <w:top w:w="0" w:type="dxa"/>
            <w:left w:w="108" w:type="dxa"/>
            <w:bottom w:w="0" w:type="dxa"/>
            <w:right w:w="108" w:type="dxa"/>
          </w:tblCellMar>
        </w:tblPrEx>
        <w:trPr>
          <w:trHeight w:val="962"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法律法规知识库-法律法规数据回流</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上海市行政立法信息系统-法律法规数据查询</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司法案例知识库-案例数据处理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上海市行政立法信息系统-司法案例知识检索增强知识准备、立法大模型训练微调数据集准备</w:t>
            </w:r>
          </w:p>
        </w:tc>
      </w:tr>
      <w:tr>
        <w:tblPrEx>
          <w:tblCellMar>
            <w:top w:w="0" w:type="dxa"/>
            <w:left w:w="108" w:type="dxa"/>
            <w:bottom w:w="0" w:type="dxa"/>
            <w:right w:w="108" w:type="dxa"/>
          </w:tblCellMar>
        </w:tblPrEx>
        <w:trPr>
          <w:trHeight w:val="377"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司法案例知识库-案例数据关联增强</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上海市行政立法信息系统-司法案例知识检索增强知识准备、立法大模型训练微调数据集准备</w:t>
            </w:r>
          </w:p>
        </w:tc>
      </w:tr>
      <w:tr>
        <w:tblPrEx>
          <w:tblCellMar>
            <w:top w:w="0" w:type="dxa"/>
            <w:left w:w="108" w:type="dxa"/>
            <w:bottom w:w="0" w:type="dxa"/>
            <w:right w:w="108" w:type="dxa"/>
          </w:tblCellMar>
        </w:tblPrEx>
        <w:trPr>
          <w:trHeight w:val="30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司法案例知识库-案例数据正负样本增强</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上海市行政立法信息系统-司法案例知识检索增强知识准备、立法大模型训练微调数据集准备</w:t>
            </w:r>
          </w:p>
        </w:tc>
      </w:tr>
      <w:tr>
        <w:tblPrEx>
          <w:tblCellMar>
            <w:top w:w="0" w:type="dxa"/>
            <w:left w:w="108" w:type="dxa"/>
            <w:bottom w:w="0" w:type="dxa"/>
            <w:right w:w="108" w:type="dxa"/>
          </w:tblCellMar>
        </w:tblPrEx>
        <w:trPr>
          <w:trHeight w:val="684"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司法案例知识库-案例数据标注</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上海市行政立法信息系统-司法案例知识检索增强知识准备、立法大模型训练微调数据集准备</w:t>
            </w:r>
          </w:p>
        </w:tc>
      </w:tr>
      <w:tr>
        <w:tblPrEx>
          <w:tblCellMar>
            <w:top w:w="0" w:type="dxa"/>
            <w:left w:w="108" w:type="dxa"/>
            <w:bottom w:w="0" w:type="dxa"/>
            <w:right w:w="108" w:type="dxa"/>
          </w:tblCellMar>
        </w:tblPrEx>
        <w:trPr>
          <w:trHeight w:val="30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司法案例知识库-案例数据知识图谱</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上海市行政立法信息系统-司法案例知识检索增强知识准备、立法大模型训练微调数据集准备</w:t>
            </w:r>
          </w:p>
        </w:tc>
      </w:tr>
      <w:tr>
        <w:tblPrEx>
          <w:tblCellMar>
            <w:top w:w="0" w:type="dxa"/>
            <w:left w:w="108" w:type="dxa"/>
            <w:bottom w:w="0" w:type="dxa"/>
            <w:right w:w="108" w:type="dxa"/>
          </w:tblCellMar>
        </w:tblPrEx>
        <w:trPr>
          <w:trHeight w:val="639"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司法案例知识库-案例数据回流</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上海市行政立法信息系统-司法案例数据查询</w:t>
            </w:r>
          </w:p>
        </w:tc>
      </w:tr>
      <w:tr>
        <w:tblPrEx>
          <w:tblCellMar>
            <w:top w:w="0" w:type="dxa"/>
            <w:left w:w="108" w:type="dxa"/>
            <w:bottom w:w="0" w:type="dxa"/>
            <w:right w:w="108" w:type="dxa"/>
          </w:tblCellMar>
        </w:tblPrEx>
        <w:trPr>
          <w:trHeight w:val="577"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立法技术规范知识库-数据处理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上海市行政立法信息系统-立法技术规范知识检索增强知识准备、立法大模型训练微调数据集准备</w:t>
            </w:r>
          </w:p>
        </w:tc>
      </w:tr>
      <w:tr>
        <w:tblPrEx>
          <w:tblCellMar>
            <w:top w:w="0" w:type="dxa"/>
            <w:left w:w="108" w:type="dxa"/>
            <w:bottom w:w="0" w:type="dxa"/>
            <w:right w:w="108" w:type="dxa"/>
          </w:tblCellMar>
        </w:tblPrEx>
        <w:trPr>
          <w:trHeight w:val="562"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立法技术规范知识库-数据关联增强</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上海市行政立法信息系统-立法技术规范知识检索增强知识准备、立法大模型训练微调数据集准备</w:t>
            </w:r>
          </w:p>
        </w:tc>
      </w:tr>
      <w:tr>
        <w:tblPrEx>
          <w:tblCellMar>
            <w:top w:w="0" w:type="dxa"/>
            <w:left w:w="108" w:type="dxa"/>
            <w:bottom w:w="0" w:type="dxa"/>
            <w:right w:w="108" w:type="dxa"/>
          </w:tblCellMar>
        </w:tblPrEx>
        <w:trPr>
          <w:trHeight w:val="685"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59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立法技术规范知识库-数据正负样本增强、数据标注</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上海市行政立法信息系统-立法技术规范知识检索增强知识准备、立法大模型训练微调数据集准备</w:t>
            </w:r>
          </w:p>
        </w:tc>
      </w:tr>
      <w:tr>
        <w:tblPrEx>
          <w:tblCellMar>
            <w:top w:w="0" w:type="dxa"/>
            <w:left w:w="108" w:type="dxa"/>
            <w:bottom w:w="0" w:type="dxa"/>
            <w:right w:w="108" w:type="dxa"/>
          </w:tblCellMar>
        </w:tblPrEx>
        <w:trPr>
          <w:trHeight w:val="669"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立法技术规范知识库-数据知识图谱</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上海市行政立法信息系统-立法技术规范知识检索增强知识准备、立法大模型训练微调数据集准备</w:t>
            </w:r>
          </w:p>
        </w:tc>
      </w:tr>
      <w:tr>
        <w:tblPrEx>
          <w:tblCellMar>
            <w:top w:w="0" w:type="dxa"/>
            <w:left w:w="108" w:type="dxa"/>
            <w:bottom w:w="0" w:type="dxa"/>
            <w:right w:w="108" w:type="dxa"/>
          </w:tblCellMar>
        </w:tblPrEx>
        <w:trPr>
          <w:trHeight w:val="346"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立法技术规范知识库-数据回流</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上海市行政立法信息系统-立法技术规范数据查询</w:t>
            </w:r>
          </w:p>
        </w:tc>
      </w:tr>
      <w:tr>
        <w:tblPrEx>
          <w:tblCellMar>
            <w:top w:w="0" w:type="dxa"/>
            <w:left w:w="108" w:type="dxa"/>
            <w:bottom w:w="0" w:type="dxa"/>
            <w:right w:w="108" w:type="dxa"/>
          </w:tblCellMar>
        </w:tblPrEx>
        <w:trPr>
          <w:trHeight w:val="50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政策知识库-数据处理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上海市行政立法信息系统-政策知识检索增强知识准备、立法大模型训练微调数据集准备</w:t>
            </w:r>
          </w:p>
        </w:tc>
      </w:tr>
      <w:tr>
        <w:tblPrEx>
          <w:tblCellMar>
            <w:top w:w="0" w:type="dxa"/>
            <w:left w:w="108" w:type="dxa"/>
            <w:bottom w:w="0" w:type="dxa"/>
            <w:right w:w="108" w:type="dxa"/>
          </w:tblCellMar>
        </w:tblPrEx>
        <w:trPr>
          <w:trHeight w:val="777"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政策知识库-数据关联增强</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上海市行政立法信息系统-政策知识检索增强知识准备、立法大模型训练微调数据集准备</w:t>
            </w:r>
          </w:p>
        </w:tc>
      </w:tr>
      <w:tr>
        <w:tblPrEx>
          <w:tblCellMar>
            <w:top w:w="0" w:type="dxa"/>
            <w:left w:w="108" w:type="dxa"/>
            <w:bottom w:w="0" w:type="dxa"/>
            <w:right w:w="108" w:type="dxa"/>
          </w:tblCellMar>
        </w:tblPrEx>
        <w:trPr>
          <w:trHeight w:val="285"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政策知识库-数据正负样本增强、数据标注</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上海市行政立法信息系统-政策知识检索增强知识准备、立法大模型训练微调数据集准备</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政策知识库-数据知识图谱</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上海市行政立法信息系统-政策知识检索增强知识准备</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66</w:t>
            </w:r>
          </w:p>
        </w:tc>
        <w:tc>
          <w:tcPr>
            <w:tcW w:w="607" w:type="pct"/>
            <w:vMerge w:val="continue"/>
            <w:tcBorders>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政策知识库-数据回流</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color w:val="000000"/>
                <w:kern w:val="0"/>
                <w:sz w:val="21"/>
                <w:szCs w:val="21"/>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上海市行政立法信息系统-政策文件数据查询</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67</w:t>
            </w:r>
          </w:p>
        </w:tc>
        <w:tc>
          <w:tcPr>
            <w:tcW w:w="607" w:type="pct"/>
            <w:vMerge w:val="restart"/>
            <w:tcBorders>
              <w:top w:val="single" w:color="auto" w:sz="4" w:space="0"/>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行政执法管理信息系统</w:t>
            </w: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执法考试集约化-集约化组织考试模块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一、全市各机关工作人员（各机关有一名联络员），可通过系统上传考试人员照片。在以下两种情况下均可进行上传：情况一：考试人员在申请执法考试环节。系统中进行相关上传要求说明。</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系统对全市各机关工作人员上传的工作人员照片进行智能化审核，判断照片是否符合司法局照片标准要求。如果不符合要求，给出系统提示不予上传照片。如果工作人员未上传合格的工作人员照片，则系统不允许其申报执法证件。</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三、执法考试题库的维护管理。支持考试题目类型的维护。支持考试题目的维护。支持最新的题库导出，支持查看变更记录情况。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四、题库维护支持题库模版的下载，最新题库信息导入解析。导入后原来的题目变为历史题目，不再启用。</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五、维护试卷类型，包括新上岗考试试卷、区抽查考试试卷、专项考试试卷等。</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管理试卷的抽题规则，设定总分，合格分数线，以及题型和不同题目类型的占比等配置。</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六、机关单位工作人员，每年需要对执法人员的培训时长进行信息填写。便于在进行执法人员审核的过程中需查看并掌握培训情况。</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执法考试集约化-集约化考试检录模块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一、考点现场拍照记录考生的照片信息确保是本人参加考试。拍照的满足司法部要求。照片背景为白色，像素为 335*384。拍摄的照片考生可以在系统中进行下载查看。</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二、如果考生没有携带身份证，系统支持无法进行设备身份检录，考点监考老师通过人工校验入口可以对考生进行身份检录，检录完成后可以参加本场考试。</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69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执法考试集约化-集约化抽查考试模块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一、考试抽查规则的管理允许选择特定的考试人员。模板可以设定考生的范围、年龄组、数量，以及每个单位应选择的考生数目等参数。此外，模板还可以进行配置、调整和重复使用。</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二、抽查考试启动，启动分为基本信息填写、选择考试抽人规则模版、人员确认、送考点等。</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三、抽查考试中被选中参加考试的考生会先收到短信通知，随后由工作人员统一通过系统进行人员信息确认。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四、可以查看抽查考试的情况概览，参加考试的考生情况，考试时间，考试场地，考试教室，考试使用的试卷类型。</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ahoma" w:hAnsi="Tahoma" w:eastAsia="宋体" w:cs="Tahoma"/>
                <w:color w:val="000000"/>
                <w:kern w:val="0"/>
                <w:sz w:val="22"/>
                <w:szCs w:val="22"/>
                <w:lang w:val="en-US" w:eastAsia="zh-CN" w:bidi="ar-SA"/>
              </w:rPr>
            </w:pPr>
            <w:r>
              <w:rPr>
                <w:rFonts w:hint="default" w:ascii="等线" w:hAnsi="等线" w:eastAsia="等线" w:cs="等线"/>
                <w:b/>
                <w:bCs/>
                <w:i w:val="0"/>
                <w:iCs w:val="0"/>
                <w:color w:val="000000"/>
                <w:kern w:val="0"/>
                <w:sz w:val="22"/>
                <w:szCs w:val="22"/>
                <w:u w:val="none"/>
                <w:lang w:val="en-US" w:eastAsia="zh-CN" w:bidi="ar"/>
              </w:rPr>
              <w:t>70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执法考试集约化-集约化考试情况统计</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一、新上岗执法人员考试情况及全市各区抽查考试情况。考试的完成情况、通过率、首次通过率、补考情况。考试组织单位的统计，考试参加单位的统计。执法考点的考试组织情况的统计。历年考试情况的对比。</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二、考生参加培训的情况，培训的时间，培训的类型，历年培训考试情况对比等。</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法治政府建设工作-法治政府建设配置管理模块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一、工作任务模版的下载、工作任务文件上传、工作任务文件的解析入库。</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二、《上海法治政府建设规划（2021-2025年）》与历年《法治政府建设工作要点与责任分工》之间的关联性，关联模版导入，关联内容导入，关联信息解析入库。</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 、配置调整参与工作要点任务的机关单位信息及账号信息。</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展示各项工作要点每年的负责人相关人。</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72</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法治政府建设工作-法治政府建设工作督办管理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一、涉及工作任务的工作人员可查看本机关的工作任务，并可以进行反馈。</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如果是责任单位，还可以查看到本项工作其他参与部门的意见及相关责任人信息。可查看历年的填报信息。</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二、市司法局查看全市的工作任务完成情况。汇总展示工作任务完成情况，并对任务进行处理，责任单位的反馈意见为最终意见。</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三、工作任务条款的导出，工作任务完成反馈情况的导出，机关单位反馈完成情况的导出等相关核心信息的导出。</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73</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法治政府建设工作-法治政府关键信息查询</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一、筛选模糊查询</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针对反馈内容或涉及的信息，进行深入查询，依托ES全文检索技术。通过关键字查询，精准定位相关工作任务及相关的法治政府建设规划，并将所得信息进行清晰展示。此外，可根据关键字进行进一步的筛选和展示。</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74</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法治政府建设工作-数据统计模块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一、统计展示各机关的政府工作上报完成情况。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二、统计反映了政府工作的成果。在推进过程中，已完成的项目情况。依据年度工作任务的维度进行统计，同时根据政府建设规划的维度进行统计。</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75</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执法证件管理-执法证件新增送制证环节、其他证件管理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一、送制证环节调整为，待送制证环节和已送制证环节。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终审环节的证件，点击通过终审后，进入待制证环节。待制证环节的证件点击送制证后，进入已送制证环节。</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二、管理国家证件、部委办证证件，支持数据采集及分析功能。</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76</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执法证件管理-皮夹管理模块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一、管理全市皮夹发放情况，确保证件发证时配套发放皮夹。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二、各级执法机关可掌握本机关及下属机关皮夹领取情况。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三、支持根据现有皮夹持有情况初始化全市数据。</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77</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执法证件管理-皮夹信息统计汇总管理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统计查询全市皮夹持有及发放情况。支持市级机关区级机关及其他执法部门查看本机关及本机关下属机关的皮夹持有情况。</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78</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三项制度管理-三项制度采集内容配置管理</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列表展示资源配置情况，管理每年需上报的信息及提交材料的文件类型与模板。</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79</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三项制度管理-三项制度采集模块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一、相关部门可通过系统查看需上报的内容及范围，并可完成信息及材料的上报操作。</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二、市司法局可分级分类检索各市级机关及区政府的三项制度完成情况，支持按时间、级别、事项类别等检索并导出。</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三、根据任务类型批量导出文件。</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四、汇总统计展示三项制度上报完成情况。</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80</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行政行为管理-行政行为采集配置管理、行政行为数据汇总统计</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一、配置机关单位，配置上下级关系、配置账号及上报内容。</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二、统计展示行政行为数据上报工作完成情况。支持区可以查看本区的行政行为数据上报情况。</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三、汇总统计展示全市的行政行为数量，展示各区的行政行为数量。</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81</w:t>
            </w:r>
          </w:p>
        </w:tc>
        <w:tc>
          <w:tcPr>
            <w:tcW w:w="607" w:type="pct"/>
            <w:vMerge w:val="continue"/>
            <w:tcBorders>
              <w:left w:val="nil"/>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数据对接-数据共享交互模块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一、对外共享执法证件信息，可用于其他系统的调用使用。</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二、对接法考信息，用于执法人员执法资格审核。</w:t>
            </w:r>
          </w:p>
        </w:tc>
      </w:tr>
      <w:tr>
        <w:tblPrEx>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82</w:t>
            </w:r>
          </w:p>
        </w:tc>
        <w:tc>
          <w:tcPr>
            <w:tcW w:w="607" w:type="pct"/>
            <w:vMerge w:val="continue"/>
            <w:tcBorders>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p>
        </w:tc>
        <w:tc>
          <w:tcPr>
            <w:tcW w:w="1106"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密码应用功能模块</w:t>
            </w:r>
          </w:p>
        </w:tc>
        <w:tc>
          <w:tcPr>
            <w:tcW w:w="2872"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Songti SC Regular" w:hAnsi="Songti SC Regular" w:eastAsia="Songti SC Regular" w:cs="Songti SC Regular"/>
                <w:b w:val="0"/>
                <w:bCs/>
                <w:i w:val="0"/>
                <w:iCs w:val="0"/>
                <w:color w:val="000000"/>
                <w:kern w:val="0"/>
                <w:sz w:val="21"/>
                <w:szCs w:val="21"/>
                <w:u w:val="none"/>
                <w:lang w:val="en-US" w:eastAsia="zh-CN" w:bidi="ar"/>
              </w:rPr>
            </w:pPr>
            <w:r>
              <w:rPr>
                <w:rFonts w:hint="eastAsia" w:ascii="Songti SC Regular" w:hAnsi="Songti SC Regular" w:eastAsia="Songti SC Regular" w:cs="Songti SC Regular"/>
                <w:b w:val="0"/>
                <w:bCs/>
                <w:i w:val="0"/>
                <w:iCs w:val="0"/>
                <w:color w:val="000000"/>
                <w:kern w:val="0"/>
                <w:sz w:val="21"/>
                <w:szCs w:val="21"/>
                <w:u w:val="none"/>
                <w:lang w:val="en-US" w:eastAsia="zh-CN" w:bidi="ar"/>
              </w:rPr>
              <w:t>1、用户身份认证机制模块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开发用户身份认证机制模块，通过签名验签等安全机制实现登录用户的身份鉴别。</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2、业务重要数据安全传输模块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开发业务重要数据安全传输模块，调用密码支撑平台提供的安全认证网关服务接口，实现应用系统通信数据的机密性和完整性保护。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3、服务器虚拟机设备日志/访问控制信息完整性模块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开发服务器虚拟机设备日志/访问控制信息完整性模块，调用密码支撑平台提供的签名验签服务接口，实现服务器虚拟机、数据库等设备日志/访问控制信息的完整性保护。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4、重要可执行程序签名验签模块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开发重要可执行程序签名验签模块，调用密码支撑平台提供的签名验签服务接口，实现重要可执行程序的完整性、来源真实性保护。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5、用户访问控制信息签名验签模块开发用户访问控制信息签名验签模块，调用密码支撑平台提供的签名验签服务接口，实现应用系统登录用户的访问控制列表完整性保护。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6、应用系统重要数据加解密模块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开发应用系统重要数据加解密模块，调用密码支撑平台提供的数据加解密服务接口，实现登录用户身份鉴别数据、草案、行政立法、行政执法等信息等结构化、非结构化数据的存储机密性保护</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7、应用系统重要数据签名验签模块</w:t>
            </w:r>
            <w:r>
              <w:rPr>
                <w:rFonts w:hint="eastAsia" w:ascii="Songti SC Regular" w:hAnsi="Songti SC Regular" w:eastAsia="Songti SC Regular" w:cs="Songti SC Regular"/>
                <w:b w:val="0"/>
                <w:bCs/>
                <w:i w:val="0"/>
                <w:iCs w:val="0"/>
                <w:color w:val="000000"/>
                <w:kern w:val="0"/>
                <w:sz w:val="21"/>
                <w:szCs w:val="21"/>
                <w:u w:val="none"/>
                <w:lang w:val="en-US" w:eastAsia="zh-CN" w:bidi="ar"/>
              </w:rPr>
              <w:br w:type="textWrapping"/>
            </w:r>
            <w:r>
              <w:rPr>
                <w:rFonts w:hint="eastAsia" w:ascii="Songti SC Regular" w:hAnsi="Songti SC Regular" w:eastAsia="Songti SC Regular" w:cs="Songti SC Regular"/>
                <w:b w:val="0"/>
                <w:bCs/>
                <w:i w:val="0"/>
                <w:iCs w:val="0"/>
                <w:color w:val="000000"/>
                <w:kern w:val="0"/>
                <w:sz w:val="21"/>
                <w:szCs w:val="21"/>
                <w:u w:val="none"/>
                <w:lang w:val="en-US" w:eastAsia="zh-CN" w:bidi="ar"/>
              </w:rPr>
              <w:t>开发应用系统重要数据签名验签模块，调用密码支撑平台提供的签名验签服务接口，实现登录用户身份鉴别数据、重要业务数据、业务日志的存储完整性保护</w:t>
            </w:r>
          </w:p>
        </w:tc>
      </w:tr>
    </w:tbl>
    <w:p>
      <w:pPr>
        <w:pStyle w:val="4"/>
        <w:ind w:firstLine="0" w:firstLineChars="0"/>
      </w:pPr>
    </w:p>
    <w:p>
      <w:pPr>
        <w:pStyle w:val="2"/>
      </w:pPr>
      <w:bookmarkStart w:id="17" w:name="_Toc63785502"/>
      <w:r>
        <w:rPr>
          <w:rFonts w:hint="eastAsia"/>
        </w:rPr>
        <w:t>电子政务云资源需求</w:t>
      </w:r>
      <w:bookmarkEnd w:id="17"/>
    </w:p>
    <w:p>
      <w:r>
        <w:rPr>
          <w:rFonts w:hint="eastAsia"/>
        </w:rPr>
        <w:t>根据项目前期资源现状，本次建设根据估算拟向电子政务云申请5台服务器资源，资源类型为虚拟机，其中2台CPU16核 、内存64GB、存储500GB，2台CPU32核 、内存64GB、存储3000GB，1台CPU8核 、内存16GB、存储200GB。</w:t>
      </w:r>
    </w:p>
    <w:tbl>
      <w:tblPr>
        <w:tblStyle w:val="36"/>
        <w:tblW w:w="10199" w:type="dxa"/>
        <w:jc w:val="center"/>
        <w:tblLayout w:type="fixed"/>
        <w:tblCellMar>
          <w:top w:w="0" w:type="dxa"/>
          <w:left w:w="108" w:type="dxa"/>
          <w:bottom w:w="0" w:type="dxa"/>
          <w:right w:w="108" w:type="dxa"/>
        </w:tblCellMar>
      </w:tblPr>
      <w:tblGrid>
        <w:gridCol w:w="488"/>
        <w:gridCol w:w="594"/>
        <w:gridCol w:w="1083"/>
        <w:gridCol w:w="1123"/>
        <w:gridCol w:w="738"/>
        <w:gridCol w:w="585"/>
        <w:gridCol w:w="769"/>
        <w:gridCol w:w="893"/>
        <w:gridCol w:w="892"/>
        <w:gridCol w:w="1203"/>
        <w:gridCol w:w="662"/>
        <w:gridCol w:w="723"/>
        <w:gridCol w:w="446"/>
      </w:tblGrid>
      <w:tr>
        <w:tblPrEx>
          <w:tblCellMar>
            <w:top w:w="0" w:type="dxa"/>
            <w:left w:w="108" w:type="dxa"/>
            <w:bottom w:w="0" w:type="dxa"/>
            <w:right w:w="108" w:type="dxa"/>
          </w:tblCellMar>
        </w:tblPrEx>
        <w:trPr>
          <w:tblHeader/>
          <w:jc w:val="center"/>
        </w:trPr>
        <w:tc>
          <w:tcPr>
            <w:tcW w:w="4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bookmarkStart w:id="18" w:name="_Hlk200972802"/>
            <w:r>
              <w:rPr>
                <w:rFonts w:hint="eastAsia" w:cs="宋体"/>
                <w:b/>
                <w:bCs/>
                <w:color w:val="000000"/>
                <w:sz w:val="22"/>
                <w:szCs w:val="22"/>
              </w:rPr>
              <w:t>序号</w:t>
            </w:r>
          </w:p>
        </w:tc>
        <w:tc>
          <w:tcPr>
            <w:tcW w:w="5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网络区域</w:t>
            </w:r>
          </w:p>
        </w:tc>
        <w:tc>
          <w:tcPr>
            <w:tcW w:w="1083" w:type="dxa"/>
            <w:vMerge w:val="restart"/>
            <w:tcBorders>
              <w:top w:val="single" w:color="auto" w:sz="4" w:space="0"/>
              <w:left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资源名称</w:t>
            </w:r>
          </w:p>
        </w:tc>
        <w:tc>
          <w:tcPr>
            <w:tcW w:w="11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资源说明</w:t>
            </w:r>
          </w:p>
        </w:tc>
        <w:tc>
          <w:tcPr>
            <w:tcW w:w="738" w:type="dxa"/>
            <w:vMerge w:val="restart"/>
            <w:tcBorders>
              <w:top w:val="single" w:color="auto" w:sz="4" w:space="0"/>
              <w:left w:val="nil"/>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资源</w:t>
            </w:r>
          </w:p>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类型</w:t>
            </w:r>
          </w:p>
        </w:tc>
        <w:tc>
          <w:tcPr>
            <w:tcW w:w="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数量</w:t>
            </w:r>
          </w:p>
        </w:tc>
        <w:tc>
          <w:tcPr>
            <w:tcW w:w="5142" w:type="dxa"/>
            <w:gridSpan w:val="6"/>
            <w:tcBorders>
              <w:top w:val="single" w:color="auto" w:sz="4" w:space="0"/>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单台配置</w:t>
            </w:r>
          </w:p>
        </w:tc>
        <w:tc>
          <w:tcPr>
            <w:tcW w:w="4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备注</w:t>
            </w:r>
          </w:p>
        </w:tc>
      </w:tr>
      <w:tr>
        <w:tblPrEx>
          <w:tblCellMar>
            <w:top w:w="0" w:type="dxa"/>
            <w:left w:w="108" w:type="dxa"/>
            <w:bottom w:w="0" w:type="dxa"/>
            <w:right w:w="108" w:type="dxa"/>
          </w:tblCellMar>
        </w:tblPrEx>
        <w:trPr>
          <w:tblHeader/>
          <w:jc w:val="center"/>
        </w:trPr>
        <w:tc>
          <w:tcPr>
            <w:tcW w:w="488"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c>
          <w:tcPr>
            <w:tcW w:w="59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c>
          <w:tcPr>
            <w:tcW w:w="1083" w:type="dxa"/>
            <w:vMerge w:val="continue"/>
            <w:tcBorders>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c>
          <w:tcPr>
            <w:tcW w:w="112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c>
          <w:tcPr>
            <w:tcW w:w="738" w:type="dxa"/>
            <w:vMerge w:val="continue"/>
            <w:tcBorders>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p>
        </w:tc>
        <w:tc>
          <w:tcPr>
            <w:tcW w:w="585"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c>
          <w:tcPr>
            <w:tcW w:w="769"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b/>
                <w:bCs/>
                <w:color w:val="000000"/>
                <w:sz w:val="22"/>
                <w:szCs w:val="22"/>
              </w:rPr>
            </w:pPr>
            <w:r>
              <w:rPr>
                <w:b/>
                <w:bCs/>
                <w:color w:val="000000"/>
                <w:sz w:val="22"/>
                <w:szCs w:val="22"/>
              </w:rPr>
              <w:t>CPU</w:t>
            </w:r>
          </w:p>
          <w:p>
            <w:pPr>
              <w:snapToGrid w:val="0"/>
              <w:spacing w:line="240" w:lineRule="auto"/>
              <w:ind w:firstLine="0" w:firstLineChars="0"/>
              <w:jc w:val="center"/>
              <w:rPr>
                <w:b/>
                <w:bCs/>
                <w:color w:val="000000"/>
                <w:sz w:val="22"/>
                <w:szCs w:val="22"/>
              </w:rPr>
            </w:pPr>
            <w:r>
              <w:rPr>
                <w:rFonts w:hint="eastAsia"/>
                <w:b/>
                <w:bCs/>
                <w:color w:val="000000"/>
                <w:sz w:val="22"/>
                <w:szCs w:val="22"/>
              </w:rPr>
              <w:t>（核）</w:t>
            </w:r>
          </w:p>
        </w:tc>
        <w:tc>
          <w:tcPr>
            <w:tcW w:w="89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内存</w:t>
            </w:r>
          </w:p>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w:t>
            </w:r>
            <w:r>
              <w:rPr>
                <w:b/>
                <w:bCs/>
                <w:color w:val="000000"/>
                <w:sz w:val="22"/>
                <w:szCs w:val="22"/>
              </w:rPr>
              <w:t>GB</w:t>
            </w:r>
            <w:r>
              <w:rPr>
                <w:rFonts w:hint="eastAsia" w:cs="宋体"/>
                <w:b/>
                <w:bCs/>
                <w:color w:val="000000"/>
                <w:sz w:val="22"/>
                <w:szCs w:val="22"/>
              </w:rPr>
              <w:t>）</w:t>
            </w:r>
          </w:p>
        </w:tc>
        <w:tc>
          <w:tcPr>
            <w:tcW w:w="89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存储</w:t>
            </w:r>
          </w:p>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w:t>
            </w:r>
            <w:r>
              <w:rPr>
                <w:b/>
                <w:bCs/>
                <w:color w:val="000000"/>
                <w:sz w:val="22"/>
                <w:szCs w:val="22"/>
              </w:rPr>
              <w:t>GB</w:t>
            </w:r>
            <w:r>
              <w:rPr>
                <w:rFonts w:hint="eastAsia" w:cs="宋体"/>
                <w:b/>
                <w:bCs/>
                <w:color w:val="000000"/>
                <w:sz w:val="22"/>
                <w:szCs w:val="22"/>
              </w:rPr>
              <w:t>）</w:t>
            </w:r>
          </w:p>
        </w:tc>
        <w:tc>
          <w:tcPr>
            <w:tcW w:w="120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操作系统</w:t>
            </w:r>
          </w:p>
        </w:tc>
        <w:tc>
          <w:tcPr>
            <w:tcW w:w="66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中间件</w:t>
            </w:r>
          </w:p>
        </w:tc>
        <w:tc>
          <w:tcPr>
            <w:tcW w:w="7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数据库</w:t>
            </w:r>
          </w:p>
        </w:tc>
        <w:tc>
          <w:tcPr>
            <w:tcW w:w="446"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b/>
                <w:bCs/>
                <w:color w:val="000000"/>
                <w:sz w:val="22"/>
                <w:szCs w:val="22"/>
              </w:rPr>
            </w:pPr>
          </w:p>
        </w:tc>
      </w:tr>
      <w:tr>
        <w:tblPrEx>
          <w:tblCellMar>
            <w:top w:w="0" w:type="dxa"/>
            <w:left w:w="108" w:type="dxa"/>
            <w:bottom w:w="0" w:type="dxa"/>
            <w:right w:w="108" w:type="dxa"/>
          </w:tblCellMar>
        </w:tblPrEx>
        <w:trPr>
          <w:jc w:val="center"/>
        </w:trPr>
        <w:tc>
          <w:tcPr>
            <w:tcW w:w="488" w:type="dxa"/>
            <w:tcBorders>
              <w:top w:val="nil"/>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1</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政务外网</w:t>
            </w:r>
          </w:p>
        </w:tc>
        <w:tc>
          <w:tcPr>
            <w:tcW w:w="1083"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cs="宋体"/>
                <w:color w:val="000000"/>
                <w:sz w:val="22"/>
                <w:szCs w:val="22"/>
              </w:rPr>
            </w:pPr>
            <w:r>
              <w:rPr>
                <w:rFonts w:hint="eastAsia" w:cs="宋体"/>
                <w:color w:val="000000"/>
                <w:sz w:val="22"/>
                <w:szCs w:val="22"/>
                <w:lang w:bidi="ar"/>
              </w:rPr>
              <w:t>应用服务器</w:t>
            </w:r>
          </w:p>
        </w:tc>
        <w:tc>
          <w:tcPr>
            <w:tcW w:w="11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left"/>
              <w:rPr>
                <w:rFonts w:cs="宋体"/>
                <w:color w:val="000000"/>
                <w:sz w:val="22"/>
                <w:szCs w:val="22"/>
              </w:rPr>
            </w:pPr>
            <w:r>
              <w:rPr>
                <w:rFonts w:hint="eastAsia" w:cs="宋体"/>
                <w:color w:val="000000"/>
                <w:sz w:val="22"/>
                <w:szCs w:val="22"/>
              </w:rPr>
              <w:t>立法服务管理应用服务器</w:t>
            </w:r>
          </w:p>
        </w:tc>
        <w:tc>
          <w:tcPr>
            <w:tcW w:w="738"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虚拟机</w:t>
            </w:r>
          </w:p>
        </w:tc>
        <w:tc>
          <w:tcPr>
            <w:tcW w:w="585"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rFonts w:hint="eastAsia"/>
                <w:color w:val="000000"/>
                <w:sz w:val="22"/>
                <w:szCs w:val="22"/>
              </w:rPr>
              <w:t>2</w:t>
            </w:r>
          </w:p>
        </w:tc>
        <w:tc>
          <w:tcPr>
            <w:tcW w:w="769"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16</w:t>
            </w:r>
          </w:p>
        </w:tc>
        <w:tc>
          <w:tcPr>
            <w:tcW w:w="89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64</w:t>
            </w:r>
          </w:p>
        </w:tc>
        <w:tc>
          <w:tcPr>
            <w:tcW w:w="89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500</w:t>
            </w:r>
          </w:p>
        </w:tc>
        <w:tc>
          <w:tcPr>
            <w:tcW w:w="120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银河麒麟 v10</w:t>
            </w:r>
          </w:p>
        </w:tc>
        <w:tc>
          <w:tcPr>
            <w:tcW w:w="66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东方通</w:t>
            </w:r>
          </w:p>
        </w:tc>
        <w:tc>
          <w:tcPr>
            <w:tcW w:w="7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w:t>
            </w:r>
          </w:p>
        </w:tc>
        <w:tc>
          <w:tcPr>
            <w:tcW w:w="446"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p>
        </w:tc>
      </w:tr>
      <w:tr>
        <w:tblPrEx>
          <w:tblCellMar>
            <w:top w:w="0" w:type="dxa"/>
            <w:left w:w="108" w:type="dxa"/>
            <w:bottom w:w="0" w:type="dxa"/>
            <w:right w:w="108" w:type="dxa"/>
          </w:tblCellMar>
        </w:tblPrEx>
        <w:trPr>
          <w:jc w:val="center"/>
        </w:trPr>
        <w:tc>
          <w:tcPr>
            <w:tcW w:w="488" w:type="dxa"/>
            <w:tcBorders>
              <w:top w:val="nil"/>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2</w:t>
            </w:r>
          </w:p>
        </w:tc>
        <w:tc>
          <w:tcPr>
            <w:tcW w:w="594" w:type="dxa"/>
            <w:vMerge w:val="continue"/>
            <w:tcBorders>
              <w:top w:val="nil"/>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color w:val="000000"/>
                <w:sz w:val="22"/>
                <w:szCs w:val="22"/>
              </w:rPr>
            </w:pPr>
          </w:p>
        </w:tc>
        <w:tc>
          <w:tcPr>
            <w:tcW w:w="1083"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cs="宋体"/>
                <w:color w:val="000000"/>
                <w:sz w:val="22"/>
                <w:szCs w:val="22"/>
              </w:rPr>
            </w:pPr>
            <w:r>
              <w:rPr>
                <w:rFonts w:hint="eastAsia" w:cs="宋体"/>
                <w:color w:val="000000"/>
                <w:sz w:val="22"/>
                <w:szCs w:val="22"/>
                <w:lang w:bidi="ar"/>
              </w:rPr>
              <w:t>关系型数据库服务器</w:t>
            </w:r>
          </w:p>
        </w:tc>
        <w:tc>
          <w:tcPr>
            <w:tcW w:w="11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left"/>
              <w:rPr>
                <w:rFonts w:cs="宋体"/>
                <w:color w:val="000000"/>
                <w:sz w:val="22"/>
                <w:szCs w:val="22"/>
              </w:rPr>
            </w:pPr>
            <w:r>
              <w:rPr>
                <w:rFonts w:hint="eastAsia" w:cs="宋体"/>
                <w:color w:val="000000"/>
                <w:sz w:val="22"/>
                <w:szCs w:val="22"/>
              </w:rPr>
              <w:t>立法服务管理数据库服务器</w:t>
            </w:r>
          </w:p>
        </w:tc>
        <w:tc>
          <w:tcPr>
            <w:tcW w:w="738"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虚拟机</w:t>
            </w:r>
          </w:p>
        </w:tc>
        <w:tc>
          <w:tcPr>
            <w:tcW w:w="585"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rFonts w:hint="eastAsia"/>
                <w:color w:val="000000"/>
                <w:sz w:val="22"/>
                <w:szCs w:val="22"/>
              </w:rPr>
              <w:t>2</w:t>
            </w:r>
          </w:p>
        </w:tc>
        <w:tc>
          <w:tcPr>
            <w:tcW w:w="769"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32</w:t>
            </w:r>
          </w:p>
        </w:tc>
        <w:tc>
          <w:tcPr>
            <w:tcW w:w="89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64</w:t>
            </w:r>
          </w:p>
        </w:tc>
        <w:tc>
          <w:tcPr>
            <w:tcW w:w="89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3000</w:t>
            </w:r>
          </w:p>
        </w:tc>
        <w:tc>
          <w:tcPr>
            <w:tcW w:w="120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银河麒麟 v10</w:t>
            </w:r>
          </w:p>
        </w:tc>
        <w:tc>
          <w:tcPr>
            <w:tcW w:w="66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w:t>
            </w:r>
          </w:p>
        </w:tc>
        <w:tc>
          <w:tcPr>
            <w:tcW w:w="7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达梦数据库</w:t>
            </w:r>
          </w:p>
        </w:tc>
        <w:tc>
          <w:tcPr>
            <w:tcW w:w="446"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p>
        </w:tc>
      </w:tr>
      <w:tr>
        <w:tblPrEx>
          <w:tblCellMar>
            <w:top w:w="0" w:type="dxa"/>
            <w:left w:w="108" w:type="dxa"/>
            <w:bottom w:w="0" w:type="dxa"/>
            <w:right w:w="108" w:type="dxa"/>
          </w:tblCellMar>
        </w:tblPrEx>
        <w:trPr>
          <w:jc w:val="center"/>
        </w:trPr>
        <w:tc>
          <w:tcPr>
            <w:tcW w:w="488" w:type="dxa"/>
            <w:tcBorders>
              <w:top w:val="nil"/>
              <w:left w:val="single" w:color="auto" w:sz="4" w:space="0"/>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rFonts w:hint="eastAsia"/>
                <w:color w:val="000000"/>
                <w:sz w:val="22"/>
                <w:szCs w:val="22"/>
              </w:rPr>
              <w:t>3</w:t>
            </w:r>
          </w:p>
        </w:tc>
        <w:tc>
          <w:tcPr>
            <w:tcW w:w="594" w:type="dxa"/>
            <w:vMerge w:val="continue"/>
            <w:tcBorders>
              <w:top w:val="nil"/>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cs="宋体"/>
                <w:color w:val="000000"/>
                <w:sz w:val="22"/>
                <w:szCs w:val="22"/>
              </w:rPr>
            </w:pPr>
          </w:p>
        </w:tc>
        <w:tc>
          <w:tcPr>
            <w:tcW w:w="1083"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cs="宋体"/>
                <w:color w:val="000000"/>
                <w:sz w:val="22"/>
                <w:szCs w:val="22"/>
              </w:rPr>
            </w:pPr>
            <w:r>
              <w:rPr>
                <w:rFonts w:hint="eastAsia" w:cs="宋体"/>
                <w:color w:val="000000"/>
                <w:sz w:val="22"/>
                <w:szCs w:val="22"/>
                <w:lang w:bidi="ar"/>
              </w:rPr>
              <w:t>代理和负载均衡服务器</w:t>
            </w:r>
          </w:p>
        </w:tc>
        <w:tc>
          <w:tcPr>
            <w:tcW w:w="11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left"/>
              <w:rPr>
                <w:rFonts w:cs="宋体"/>
                <w:color w:val="000000"/>
                <w:sz w:val="22"/>
                <w:szCs w:val="22"/>
              </w:rPr>
            </w:pPr>
            <w:r>
              <w:rPr>
                <w:rFonts w:hint="eastAsia" w:cs="宋体"/>
                <w:color w:val="000000"/>
                <w:sz w:val="22"/>
                <w:szCs w:val="22"/>
              </w:rPr>
              <w:t>代理服务器</w:t>
            </w:r>
          </w:p>
        </w:tc>
        <w:tc>
          <w:tcPr>
            <w:tcW w:w="738"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虚拟机</w:t>
            </w:r>
          </w:p>
        </w:tc>
        <w:tc>
          <w:tcPr>
            <w:tcW w:w="585"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rFonts w:hint="eastAsia"/>
                <w:color w:val="000000"/>
                <w:sz w:val="22"/>
                <w:szCs w:val="22"/>
              </w:rPr>
              <w:t>1</w:t>
            </w:r>
          </w:p>
        </w:tc>
        <w:tc>
          <w:tcPr>
            <w:tcW w:w="769"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8</w:t>
            </w:r>
          </w:p>
        </w:tc>
        <w:tc>
          <w:tcPr>
            <w:tcW w:w="89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16</w:t>
            </w:r>
          </w:p>
        </w:tc>
        <w:tc>
          <w:tcPr>
            <w:tcW w:w="89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r>
              <w:rPr>
                <w:color w:val="000000"/>
                <w:sz w:val="22"/>
                <w:szCs w:val="22"/>
              </w:rPr>
              <w:t>200</w:t>
            </w:r>
          </w:p>
        </w:tc>
        <w:tc>
          <w:tcPr>
            <w:tcW w:w="120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color w:val="000000"/>
                <w:sz w:val="22"/>
                <w:szCs w:val="22"/>
              </w:rPr>
            </w:pPr>
            <w:r>
              <w:rPr>
                <w:rFonts w:hint="eastAsia" w:cs="宋体"/>
                <w:color w:val="000000"/>
                <w:sz w:val="22"/>
                <w:szCs w:val="22"/>
              </w:rPr>
              <w:t>银河麒麟 v10</w:t>
            </w:r>
          </w:p>
        </w:tc>
        <w:tc>
          <w:tcPr>
            <w:tcW w:w="66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p>
        </w:tc>
        <w:tc>
          <w:tcPr>
            <w:tcW w:w="7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p>
        </w:tc>
        <w:tc>
          <w:tcPr>
            <w:tcW w:w="446"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color w:val="000000"/>
                <w:sz w:val="22"/>
                <w:szCs w:val="22"/>
              </w:rPr>
            </w:pPr>
          </w:p>
        </w:tc>
      </w:tr>
      <w:tr>
        <w:tblPrEx>
          <w:tblCellMar>
            <w:top w:w="0" w:type="dxa"/>
            <w:left w:w="108" w:type="dxa"/>
            <w:bottom w:w="0" w:type="dxa"/>
            <w:right w:w="108" w:type="dxa"/>
          </w:tblCellMar>
        </w:tblPrEx>
        <w:trPr>
          <w:jc w:val="center"/>
        </w:trPr>
        <w:tc>
          <w:tcPr>
            <w:tcW w:w="4026"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合计</w:t>
            </w:r>
          </w:p>
        </w:tc>
        <w:tc>
          <w:tcPr>
            <w:tcW w:w="585"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5</w:t>
            </w:r>
          </w:p>
        </w:tc>
        <w:tc>
          <w:tcPr>
            <w:tcW w:w="769"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104</w:t>
            </w:r>
          </w:p>
        </w:tc>
        <w:tc>
          <w:tcPr>
            <w:tcW w:w="89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272</w:t>
            </w:r>
          </w:p>
        </w:tc>
        <w:tc>
          <w:tcPr>
            <w:tcW w:w="89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7200</w:t>
            </w:r>
          </w:p>
        </w:tc>
        <w:tc>
          <w:tcPr>
            <w:tcW w:w="120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5　</w:t>
            </w:r>
          </w:p>
        </w:tc>
        <w:tc>
          <w:tcPr>
            <w:tcW w:w="662"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2　</w:t>
            </w:r>
          </w:p>
        </w:tc>
        <w:tc>
          <w:tcPr>
            <w:tcW w:w="723" w:type="dxa"/>
            <w:tcBorders>
              <w:top w:val="nil"/>
              <w:left w:val="nil"/>
              <w:bottom w:val="single" w:color="auto" w:sz="4" w:space="0"/>
              <w:right w:val="single" w:color="auto" w:sz="4" w:space="0"/>
            </w:tcBorders>
            <w:shd w:val="clear" w:color="auto" w:fill="auto"/>
            <w:vAlign w:val="center"/>
          </w:tcPr>
          <w:p>
            <w:pPr>
              <w:snapToGrid w:val="0"/>
              <w:spacing w:line="240" w:lineRule="auto"/>
              <w:ind w:firstLine="0" w:firstLineChars="0"/>
              <w:jc w:val="center"/>
              <w:rPr>
                <w:rFonts w:cs="宋体"/>
                <w:b/>
                <w:bCs/>
                <w:color w:val="000000"/>
                <w:sz w:val="22"/>
                <w:szCs w:val="22"/>
              </w:rPr>
            </w:pPr>
            <w:r>
              <w:rPr>
                <w:rFonts w:hint="eastAsia" w:cs="宋体"/>
                <w:b/>
                <w:bCs/>
                <w:color w:val="000000"/>
                <w:sz w:val="22"/>
                <w:szCs w:val="22"/>
              </w:rPr>
              <w:t>2　</w:t>
            </w:r>
          </w:p>
        </w:tc>
        <w:tc>
          <w:tcPr>
            <w:tcW w:w="446" w:type="dxa"/>
            <w:tcBorders>
              <w:top w:val="nil"/>
              <w:left w:val="nil"/>
              <w:bottom w:val="single" w:color="auto" w:sz="4" w:space="0"/>
              <w:right w:val="single" w:color="auto" w:sz="4" w:space="0"/>
            </w:tcBorders>
            <w:shd w:val="clear" w:color="auto" w:fill="auto"/>
            <w:noWrap/>
            <w:vAlign w:val="center"/>
          </w:tcPr>
          <w:p>
            <w:pPr>
              <w:snapToGrid w:val="0"/>
              <w:spacing w:line="240" w:lineRule="auto"/>
              <w:ind w:firstLine="0" w:firstLineChars="0"/>
              <w:jc w:val="center"/>
              <w:rPr>
                <w:rFonts w:cs="宋体"/>
                <w:b/>
                <w:color w:val="000000"/>
                <w:sz w:val="22"/>
                <w:szCs w:val="22"/>
              </w:rPr>
            </w:pPr>
          </w:p>
        </w:tc>
      </w:tr>
      <w:bookmarkEnd w:id="18"/>
    </w:tbl>
    <w:p>
      <w:pPr>
        <w:pStyle w:val="2"/>
      </w:pPr>
      <w:bookmarkStart w:id="19" w:name="_Toc63785503"/>
      <w:r>
        <w:rPr>
          <w:rFonts w:hint="eastAsia"/>
        </w:rPr>
        <w:t>其他工作要求</w:t>
      </w:r>
      <w:bookmarkEnd w:id="19"/>
      <w:bookmarkStart w:id="20" w:name="_Toc62209488"/>
      <w:bookmarkEnd w:id="20"/>
      <w:bookmarkStart w:id="21" w:name="_Toc63785439"/>
      <w:bookmarkEnd w:id="21"/>
      <w:bookmarkStart w:id="22" w:name="_Toc63585480"/>
      <w:bookmarkEnd w:id="22"/>
      <w:bookmarkStart w:id="23" w:name="_Toc63151871"/>
      <w:bookmarkEnd w:id="23"/>
      <w:bookmarkStart w:id="24" w:name="_Toc63785504"/>
      <w:bookmarkEnd w:id="24"/>
      <w:bookmarkStart w:id="25" w:name="_Toc63762370"/>
      <w:bookmarkEnd w:id="25"/>
      <w:bookmarkStart w:id="26" w:name="_Toc62219358"/>
      <w:bookmarkEnd w:id="26"/>
      <w:bookmarkStart w:id="27" w:name="_Toc61968111"/>
      <w:bookmarkEnd w:id="27"/>
    </w:p>
    <w:p>
      <w:pPr>
        <w:pStyle w:val="3"/>
      </w:pPr>
      <w:bookmarkStart w:id="28" w:name="_Toc63785505"/>
      <w:r>
        <w:rPr>
          <w:rFonts w:hint="eastAsia"/>
        </w:rPr>
        <w:t>售后服务要求</w:t>
      </w:r>
      <w:bookmarkEnd w:id="28"/>
    </w:p>
    <w:p>
      <w:pPr>
        <w:pStyle w:val="107"/>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本项目从系统验收通过之日起1年内提供5</w:t>
      </w:r>
      <w:r>
        <w:rPr>
          <w:rFonts w:ascii="宋体" w:hAnsi="宋体"/>
          <w:sz w:val="24"/>
          <w:szCs w:val="24"/>
        </w:rPr>
        <w:t>*</w:t>
      </w:r>
      <w:r>
        <w:rPr>
          <w:rFonts w:hint="eastAsia" w:ascii="宋体" w:hAnsi="宋体"/>
          <w:sz w:val="24"/>
          <w:szCs w:val="24"/>
        </w:rPr>
        <w:t>8</w:t>
      </w:r>
      <w:r>
        <w:rPr>
          <w:rFonts w:ascii="宋体" w:hAnsi="宋体"/>
          <w:sz w:val="24"/>
          <w:szCs w:val="24"/>
        </w:rPr>
        <w:t>小时免费技术支持</w:t>
      </w:r>
      <w:r>
        <w:rPr>
          <w:rFonts w:hint="eastAsia" w:ascii="宋体" w:hAnsi="宋体"/>
          <w:sz w:val="24"/>
          <w:szCs w:val="24"/>
        </w:rPr>
        <w:t>和售后服务，1年后进入有偿维护期。</w:t>
      </w:r>
    </w:p>
    <w:p>
      <w:pPr>
        <w:pStyle w:val="107"/>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在质量保证期内，供应商负责信息系统的运行维护工作，确保信息系统安全、稳定、可靠地运行。本项目涉及的运行维护工作范围为：依法治市大系统建设项目(2026年升级改造)所涉及的相关内容。</w:t>
      </w:r>
    </w:p>
    <w:p>
      <w:pPr>
        <w:pStyle w:val="3"/>
      </w:pPr>
      <w:bookmarkStart w:id="29" w:name="_Toc63785506"/>
      <w:r>
        <w:rPr>
          <w:rFonts w:hint="eastAsia"/>
        </w:rPr>
        <w:t>应急响应要求</w:t>
      </w:r>
      <w:bookmarkEnd w:id="29"/>
    </w:p>
    <w:p>
      <w:pPr>
        <w:pStyle w:val="107"/>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w:t>
      </w:r>
      <w:r>
        <w:rPr>
          <w:rFonts w:hint="eastAsia" w:ascii="宋体" w:hAnsi="宋体"/>
          <w:sz w:val="24"/>
          <w:szCs w:val="24"/>
        </w:rPr>
        <w:t>远程确诊并解决。特殊故障与客户沟通协商后，按照协商的方式制定解决方案并进行处理。</w:t>
      </w:r>
    </w:p>
    <w:p>
      <w:pPr>
        <w:pStyle w:val="107"/>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107"/>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r>
        <w:rPr>
          <w:rFonts w:hint="eastAsia" w:ascii="宋体" w:hAnsi="宋体"/>
          <w:sz w:val="24"/>
          <w:szCs w:val="24"/>
        </w:rPr>
        <w:t>；</w:t>
      </w:r>
    </w:p>
    <w:p>
      <w:pPr>
        <w:pStyle w:val="107"/>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w:t>
      </w:r>
      <w:r>
        <w:rPr>
          <w:rFonts w:hint="eastAsia" w:ascii="宋体" w:hAnsi="宋体"/>
          <w:sz w:val="24"/>
          <w:szCs w:val="24"/>
        </w:rPr>
        <w:t>远程</w:t>
      </w:r>
      <w:r>
        <w:rPr>
          <w:rFonts w:ascii="宋体" w:hAnsi="宋体"/>
          <w:sz w:val="24"/>
          <w:szCs w:val="24"/>
        </w:rPr>
        <w:t>确诊并解决，总故障解决时间不超过8小时；</w:t>
      </w:r>
    </w:p>
    <w:p>
      <w:pPr>
        <w:pStyle w:val="107"/>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pPr>
        <w:pStyle w:val="3"/>
      </w:pPr>
      <w:bookmarkStart w:id="30" w:name="_Toc63785507"/>
      <w:r>
        <w:rPr>
          <w:rFonts w:hint="eastAsia"/>
        </w:rPr>
        <w:t>培训要求</w:t>
      </w:r>
      <w:bookmarkEnd w:id="30"/>
    </w:p>
    <w:p>
      <w:pPr>
        <w:pStyle w:val="107"/>
        <w:snapToGrid w:val="0"/>
        <w:spacing w:line="360" w:lineRule="auto"/>
        <w:ind w:firstLine="480"/>
        <w:rPr>
          <w:rFonts w:ascii="宋体" w:hAnsi="宋体"/>
          <w:sz w:val="24"/>
          <w:szCs w:val="24"/>
        </w:rPr>
      </w:pPr>
      <w:r>
        <w:rPr>
          <w:rFonts w:hint="eastAsia" w:ascii="宋体" w:hAnsi="宋体"/>
          <w:sz w:val="24"/>
          <w:szCs w:val="24"/>
        </w:rPr>
        <w:t>供应商依据用户的具体需求，开展相应的业务系统培训工作。</w:t>
      </w:r>
    </w:p>
    <w:p>
      <w:pPr>
        <w:pStyle w:val="107"/>
        <w:snapToGrid w:val="0"/>
        <w:spacing w:line="360" w:lineRule="auto"/>
        <w:ind w:firstLine="480"/>
        <w:rPr>
          <w:rFonts w:ascii="宋体" w:hAnsi="宋体"/>
          <w:sz w:val="24"/>
          <w:szCs w:val="24"/>
        </w:rPr>
      </w:pPr>
      <w:r>
        <w:rPr>
          <w:rFonts w:hint="eastAsia" w:ascii="宋体" w:hAnsi="宋体"/>
          <w:sz w:val="24"/>
          <w:szCs w:val="24"/>
        </w:rPr>
        <w:t>培训内容涵盖信息系统的基本操作、功能模块使用、常见问题处理以及系统维护管理等方面。培训方式可采取集中授课、现场指导等多种形式，以满足不同用户的学习需求。同时，供应商应提供详细的培训资料，包括操作手册、使用指南等，方便用户后续查阅和学习。对于关键用户，还可提供一对一的专项培训，确保其能够熟练掌握系统操作和维护技能。</w:t>
      </w:r>
    </w:p>
    <w:p>
      <w:pPr>
        <w:pStyle w:val="3"/>
      </w:pPr>
      <w:bookmarkStart w:id="31" w:name="_Toc63785508"/>
      <w:r>
        <w:rPr>
          <w:rFonts w:hint="eastAsia"/>
        </w:rPr>
        <w:t>验收要求</w:t>
      </w:r>
      <w:bookmarkEnd w:id="31"/>
    </w:p>
    <w:p>
      <w:pPr>
        <w:rPr>
          <w:szCs w:val="21"/>
        </w:rPr>
      </w:pPr>
      <w:r>
        <w:rPr>
          <w:rFonts w:hint="eastAsia"/>
          <w:szCs w:val="21"/>
        </w:rPr>
        <w:t>本项目按下述方式开展验收。</w:t>
      </w:r>
    </w:p>
    <w:p>
      <w:pPr>
        <w:rPr>
          <w:szCs w:val="21"/>
        </w:rPr>
      </w:pPr>
      <w:r>
        <w:rPr>
          <w:rFonts w:hint="eastAsia"/>
          <w:szCs w:val="21"/>
        </w:rPr>
        <w:t>（</w:t>
      </w:r>
      <w:r>
        <w:rPr>
          <w:szCs w:val="21"/>
        </w:rPr>
        <w:t>1）验收分初验和终验。</w:t>
      </w:r>
    </w:p>
    <w:p>
      <w:pPr>
        <w:rPr>
          <w:szCs w:val="21"/>
        </w:rPr>
      </w:pPr>
      <w:r>
        <w:rPr>
          <w:rFonts w:hint="eastAsia"/>
          <w:szCs w:val="21"/>
        </w:rPr>
        <w:t>（</w:t>
      </w:r>
      <w:r>
        <w:rPr>
          <w:szCs w:val="21"/>
        </w:rPr>
        <w:t>2）初验前，供应商须完成软件开发、安装和信息系统的调试等，并对本项目进行功能和运行检测，确保所有信息系统功能模块能够正常运行且已达到本项目约定的各类标准要求。供应商应以书面形式向</w:t>
      </w:r>
      <w:r>
        <w:rPr>
          <w:rFonts w:hint="eastAsia"/>
          <w:szCs w:val="21"/>
          <w:lang w:eastAsia="zh-CN"/>
        </w:rPr>
        <w:t>采购人</w:t>
      </w:r>
      <w:r>
        <w:rPr>
          <w:szCs w:val="21"/>
        </w:rPr>
        <w:t>递交初验通知书。</w:t>
      </w:r>
      <w:r>
        <w:rPr>
          <w:rFonts w:hint="eastAsia"/>
          <w:szCs w:val="21"/>
          <w:lang w:eastAsia="zh-CN"/>
        </w:rPr>
        <w:t>采购人</w:t>
      </w:r>
      <w:r>
        <w:rPr>
          <w:szCs w:val="21"/>
        </w:rPr>
        <w:t>应当在接到通知后的5个工作日内确定初验的具体日期，由双方按照本项目的约定完成本项目的初验。</w:t>
      </w:r>
      <w:r>
        <w:rPr>
          <w:rFonts w:hint="eastAsia"/>
          <w:szCs w:val="21"/>
          <w:lang w:eastAsia="zh-CN"/>
        </w:rPr>
        <w:t>采购人</w:t>
      </w:r>
      <w:r>
        <w:rPr>
          <w:szCs w:val="21"/>
        </w:rPr>
        <w:t>有权委托第三方检测机构进行验收，对此供应商应当配合。</w:t>
      </w:r>
    </w:p>
    <w:p>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lang w:eastAsia="zh-CN"/>
        </w:rPr>
        <w:t>采购人</w:t>
      </w:r>
      <w:r>
        <w:rPr>
          <w:szCs w:val="21"/>
        </w:rPr>
        <w:t>应向供应商出具书面报告，陈述需要改进的缺陷。供应商应立即严格依照</w:t>
      </w:r>
      <w:r>
        <w:rPr>
          <w:rFonts w:hint="eastAsia"/>
          <w:szCs w:val="21"/>
          <w:lang w:eastAsia="zh-CN"/>
        </w:rPr>
        <w:t>采购人</w:t>
      </w:r>
      <w:r>
        <w:rPr>
          <w:szCs w:val="21"/>
        </w:rPr>
        <w:t>的书面报告中的要求改进缺陷，并再次进行初验。</w:t>
      </w:r>
    </w:p>
    <w:p>
      <w:pPr>
        <w:rPr>
          <w:szCs w:val="21"/>
        </w:rPr>
      </w:pPr>
      <w:r>
        <w:rPr>
          <w:rFonts w:hint="eastAsia"/>
          <w:szCs w:val="21"/>
        </w:rPr>
        <w:t>（</w:t>
      </w:r>
      <w:r>
        <w:rPr>
          <w:szCs w:val="21"/>
        </w:rPr>
        <w:t>4）自初验通过之日起，</w:t>
      </w:r>
      <w:r>
        <w:rPr>
          <w:rFonts w:hint="eastAsia"/>
          <w:szCs w:val="21"/>
          <w:lang w:eastAsia="zh-CN"/>
        </w:rPr>
        <w:t>采购人</w:t>
      </w:r>
      <w:r>
        <w:rPr>
          <w:szCs w:val="21"/>
        </w:rPr>
        <w:t>享有供应商免费提供的</w:t>
      </w:r>
      <w:r>
        <w:rPr>
          <w:rFonts w:hint="eastAsia"/>
          <w:szCs w:val="21"/>
        </w:rPr>
        <w:t>30</w:t>
      </w:r>
      <w:r>
        <w:rPr>
          <w:szCs w:val="21"/>
        </w:rPr>
        <w:t>天的信息系统试运行服务期。该期间内，供应商应当按照</w:t>
      </w:r>
      <w:r>
        <w:rPr>
          <w:rFonts w:hint="eastAsia"/>
          <w:szCs w:val="21"/>
          <w:lang w:eastAsia="zh-CN"/>
        </w:rPr>
        <w:t>采购人</w:t>
      </w:r>
      <w:r>
        <w:rPr>
          <w:szCs w:val="21"/>
        </w:rPr>
        <w:t>的要求提供技术支持服务，解决信息系统试运行期间可能出现的各类问题，或进一步提高与完善信息系统运行水平。</w:t>
      </w:r>
    </w:p>
    <w:p>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w:t>
      </w:r>
      <w:r>
        <w:rPr>
          <w:rFonts w:hint="eastAsia"/>
          <w:szCs w:val="21"/>
          <w:lang w:eastAsia="zh-CN"/>
        </w:rPr>
        <w:t>采购人</w:t>
      </w:r>
      <w:r>
        <w:rPr>
          <w:szCs w:val="21"/>
        </w:rPr>
        <w:t>信息系统已准备就绪等待终验。</w:t>
      </w:r>
      <w:r>
        <w:rPr>
          <w:rFonts w:hint="eastAsia"/>
          <w:szCs w:val="21"/>
          <w:lang w:eastAsia="zh-CN"/>
        </w:rPr>
        <w:t>采购人</w:t>
      </w:r>
      <w:r>
        <w:rPr>
          <w:szCs w:val="21"/>
        </w:rPr>
        <w:t>在收到终验通知后的</w:t>
      </w:r>
      <w:r>
        <w:rPr>
          <w:rFonts w:hint="eastAsia"/>
          <w:szCs w:val="21"/>
        </w:rPr>
        <w:t>7</w:t>
      </w:r>
      <w:r>
        <w:rPr>
          <w:szCs w:val="21"/>
        </w:rPr>
        <w:t>个工作日内发起组织专家验收会。</w:t>
      </w:r>
    </w:p>
    <w:p>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szCs w:val="21"/>
        </w:rPr>
      </w:pPr>
      <w:r>
        <w:rPr>
          <w:rFonts w:hint="eastAsia"/>
          <w:szCs w:val="21"/>
        </w:rPr>
        <w:t>（7</w:t>
      </w:r>
      <w:r>
        <w:rPr>
          <w:szCs w:val="21"/>
        </w:rPr>
        <w:t>）如果由于</w:t>
      </w:r>
      <w:r>
        <w:rPr>
          <w:rFonts w:hint="eastAsia"/>
          <w:szCs w:val="21"/>
          <w:lang w:eastAsia="zh-CN"/>
        </w:rPr>
        <w:t>采购人</w:t>
      </w:r>
      <w:r>
        <w:rPr>
          <w:szCs w:val="21"/>
        </w:rPr>
        <w:t>原因导致本项目在终验通过前出现故障或问题，供应商应及时配合排除该方面的故障或问题。</w:t>
      </w:r>
    </w:p>
    <w:p>
      <w:pPr>
        <w:rPr>
          <w:szCs w:val="21"/>
        </w:rPr>
      </w:pPr>
      <w:r>
        <w:rPr>
          <w:rFonts w:hint="eastAsia"/>
          <w:szCs w:val="21"/>
        </w:rPr>
        <w:t>（8</w:t>
      </w:r>
      <w:r>
        <w:rPr>
          <w:szCs w:val="21"/>
        </w:rPr>
        <w:t>）如本项目连续3次验收未通过（含初验未通过或终验未通过），</w:t>
      </w:r>
      <w:r>
        <w:rPr>
          <w:rFonts w:hint="eastAsia"/>
          <w:szCs w:val="21"/>
          <w:lang w:eastAsia="zh-CN"/>
        </w:rPr>
        <w:t>采购人</w:t>
      </w:r>
      <w:r>
        <w:rPr>
          <w:szCs w:val="21"/>
        </w:rPr>
        <w:t>有权解除项目，并有权依照本项目约定的违约条款追究供应商的违约责任。</w:t>
      </w:r>
    </w:p>
    <w:p>
      <w:pPr>
        <w:pStyle w:val="3"/>
      </w:pPr>
      <w:bookmarkStart w:id="32" w:name="_Toc63785509"/>
      <w:r>
        <w:rPr>
          <w:rFonts w:hint="eastAsia"/>
        </w:rPr>
        <w:t>进度要求</w:t>
      </w:r>
      <w:bookmarkEnd w:id="32"/>
    </w:p>
    <w:p>
      <w:pPr>
        <w:ind w:left="0"/>
        <w:rPr>
          <w:rFonts w:hint="eastAsia"/>
        </w:rPr>
      </w:pPr>
      <w:r>
        <w:rPr>
          <w:rFonts w:hint="eastAsia"/>
          <w:lang w:eastAsia="zh-CN"/>
        </w:rPr>
        <w:t>供应商</w:t>
      </w:r>
      <w:r>
        <w:rPr>
          <w:rFonts w:hint="eastAsia"/>
        </w:rPr>
        <w:t>应根据建设内容，分阶段制定合理的时间进度，并且应根据</w:t>
      </w:r>
      <w:r>
        <w:rPr>
          <w:rFonts w:hint="eastAsia"/>
          <w:lang w:eastAsia="zh-CN"/>
        </w:rPr>
        <w:t>采购人</w:t>
      </w:r>
      <w:r>
        <w:rPr>
          <w:rFonts w:hint="eastAsia"/>
        </w:rPr>
        <w:t>要求进行调整和细化。</w:t>
      </w:r>
    </w:p>
    <w:p>
      <w:pPr>
        <w:rPr>
          <w:rFonts w:hint="eastAsia" w:eastAsia="宋体"/>
          <w:lang w:eastAsia="zh-CN"/>
        </w:rPr>
      </w:pPr>
      <w:r>
        <w:rPr>
          <w:rFonts w:hint="eastAsia"/>
        </w:rPr>
        <w:t>总建设周期为从签订合同起至202</w:t>
      </w:r>
      <w:r>
        <w:rPr>
          <w:rFonts w:hint="eastAsia"/>
          <w:lang w:val="en-US" w:eastAsia="zh-CN"/>
        </w:rPr>
        <w:t>6</w:t>
      </w:r>
      <w:r>
        <w:rPr>
          <w:rFonts w:hint="eastAsia"/>
        </w:rPr>
        <w:t>年11月</w:t>
      </w:r>
      <w:r>
        <w:rPr>
          <w:rFonts w:hint="eastAsia"/>
          <w:lang w:val="en-US" w:eastAsia="zh-CN"/>
        </w:rPr>
        <w:t>15日前</w:t>
      </w:r>
      <w:r>
        <w:rPr>
          <w:rFonts w:hint="eastAsia"/>
        </w:rPr>
        <w:t>结束，分为3个阶段</w:t>
      </w:r>
      <w:r>
        <w:rPr>
          <w:rFonts w:hint="eastAsia"/>
          <w:lang w:eastAsia="zh-CN"/>
        </w:rPr>
        <w:t>。</w:t>
      </w:r>
    </w:p>
    <w:p>
      <w:pPr>
        <w:rPr>
          <w:rFonts w:hint="eastAsia" w:eastAsia="宋体"/>
          <w:lang w:eastAsia="zh-CN"/>
        </w:rPr>
      </w:pPr>
      <w:r>
        <w:rPr>
          <w:rFonts w:hint="eastAsia"/>
        </w:rPr>
        <w:t>第一阶段为合同签订起至202</w:t>
      </w:r>
      <w:r>
        <w:rPr>
          <w:rFonts w:hint="eastAsia"/>
          <w:lang w:val="en-US" w:eastAsia="zh-CN"/>
        </w:rPr>
        <w:t>6</w:t>
      </w:r>
      <w:r>
        <w:rPr>
          <w:rFonts w:hint="eastAsia"/>
        </w:rPr>
        <w:t>年</w:t>
      </w:r>
      <w:r>
        <w:rPr>
          <w:rFonts w:hint="eastAsia"/>
          <w:lang w:val="en-US" w:eastAsia="zh-CN"/>
        </w:rPr>
        <w:t>4</w:t>
      </w:r>
      <w:r>
        <w:rPr>
          <w:rFonts w:hint="eastAsia"/>
        </w:rPr>
        <w:t>月</w:t>
      </w:r>
      <w:r>
        <w:rPr>
          <w:rFonts w:hint="eastAsia"/>
          <w:lang w:eastAsia="zh-CN"/>
        </w:rPr>
        <w:t>：</w:t>
      </w:r>
      <w:r>
        <w:rPr>
          <w:rFonts w:hint="eastAsia"/>
        </w:rPr>
        <w:t>完成合同签订、需求调研</w:t>
      </w:r>
      <w:r>
        <w:rPr>
          <w:rFonts w:hint="eastAsia"/>
          <w:lang w:eastAsia="zh-CN"/>
        </w:rPr>
        <w:t>，</w:t>
      </w:r>
      <w:r>
        <w:rPr>
          <w:rFonts w:hint="eastAsia"/>
          <w:lang w:val="en-US" w:eastAsia="zh-CN"/>
        </w:rPr>
        <w:t>方案设计等</w:t>
      </w:r>
      <w:r>
        <w:rPr>
          <w:rFonts w:hint="eastAsia"/>
          <w:lang w:eastAsia="zh-CN"/>
        </w:rPr>
        <w:t>；</w:t>
      </w:r>
    </w:p>
    <w:p>
      <w:pPr>
        <w:rPr>
          <w:rFonts w:hint="eastAsia" w:eastAsia="宋体"/>
          <w:lang w:eastAsia="zh-CN"/>
        </w:rPr>
      </w:pPr>
      <w:r>
        <w:rPr>
          <w:rFonts w:hint="eastAsia"/>
        </w:rPr>
        <w:t>第二阶段为202</w:t>
      </w:r>
      <w:r>
        <w:rPr>
          <w:rFonts w:hint="eastAsia"/>
          <w:lang w:val="en-US" w:eastAsia="zh-CN"/>
        </w:rPr>
        <w:t>6</w:t>
      </w:r>
      <w:r>
        <w:rPr>
          <w:rFonts w:hint="eastAsia"/>
        </w:rPr>
        <w:t>年5月~10月</w:t>
      </w:r>
      <w:r>
        <w:rPr>
          <w:rFonts w:hint="eastAsia"/>
          <w:lang w:val="en-US" w:eastAsia="zh-CN"/>
        </w:rPr>
        <w:t>15日</w:t>
      </w:r>
      <w:r>
        <w:rPr>
          <w:rFonts w:hint="eastAsia"/>
          <w:lang w:eastAsia="zh-CN"/>
        </w:rPr>
        <w:t>：</w:t>
      </w:r>
      <w:r>
        <w:rPr>
          <w:rFonts w:hint="eastAsia"/>
        </w:rPr>
        <w:t>完成数据归集整合、资源申请和各模块的开发与测试工作，完成系统联调与部署</w:t>
      </w:r>
      <w:r>
        <w:rPr>
          <w:rFonts w:hint="eastAsia"/>
          <w:lang w:eastAsia="zh-CN"/>
        </w:rPr>
        <w:t>，</w:t>
      </w:r>
      <w:r>
        <w:rPr>
          <w:rFonts w:hint="eastAsia"/>
        </w:rPr>
        <w:t>修正各模块联调中出现的问题,完成系统完善和功能迭代，直至发布正式运行版本。包括应用软件开发、系统集成、部署、测评</w:t>
      </w:r>
      <w:r>
        <w:rPr>
          <w:rFonts w:hint="eastAsia"/>
          <w:lang w:eastAsia="zh-CN"/>
        </w:rPr>
        <w:t>；</w:t>
      </w:r>
    </w:p>
    <w:p>
      <w:pPr>
        <w:rPr>
          <w:rFonts w:hint="eastAsia"/>
        </w:rPr>
      </w:pPr>
      <w:r>
        <w:rPr>
          <w:rFonts w:hint="eastAsia"/>
        </w:rPr>
        <w:t>第三阶段为</w:t>
      </w:r>
      <w:r>
        <w:rPr>
          <w:rFonts w:hint="eastAsia"/>
          <w:lang w:val="en-US" w:eastAsia="zh-CN"/>
        </w:rPr>
        <w:t>2026年</w:t>
      </w:r>
      <w:r>
        <w:rPr>
          <w:rFonts w:hint="eastAsia"/>
        </w:rPr>
        <w:t>11月</w:t>
      </w:r>
      <w:r>
        <w:rPr>
          <w:rFonts w:hint="eastAsia"/>
          <w:lang w:val="en-US" w:eastAsia="zh-CN"/>
        </w:rPr>
        <w:t>15</w:t>
      </w:r>
      <w:r>
        <w:rPr>
          <w:rFonts w:hint="eastAsia"/>
        </w:rPr>
        <w:t>前</w:t>
      </w:r>
      <w:r>
        <w:rPr>
          <w:rFonts w:hint="eastAsia"/>
          <w:lang w:eastAsia="zh-CN"/>
        </w:rPr>
        <w:t>（</w:t>
      </w:r>
      <w:r>
        <w:rPr>
          <w:rFonts w:hint="eastAsia"/>
          <w:lang w:val="en-US" w:eastAsia="zh-CN"/>
        </w:rPr>
        <w:t>包含30天试运行）</w:t>
      </w:r>
      <w:r>
        <w:rPr>
          <w:rFonts w:hint="eastAsia"/>
          <w:lang w:eastAsia="zh-CN"/>
        </w:rPr>
        <w:t>：</w:t>
      </w:r>
      <w:r>
        <w:rPr>
          <w:rFonts w:hint="eastAsia"/>
        </w:rPr>
        <w:t>根据项目运行情况和验收要求开展功能优化和绩效评价等工作，完成实施项目验收并启动项目的正式运行。</w:t>
      </w:r>
    </w:p>
    <w:p>
      <w:pPr>
        <w:pStyle w:val="3"/>
      </w:pPr>
      <w:bookmarkStart w:id="33" w:name="_Toc63785510"/>
      <w:r>
        <w:rPr>
          <w:rFonts w:hint="eastAsia"/>
        </w:rPr>
        <w:t>项目团队及驻场人员要求</w:t>
      </w:r>
      <w:bookmarkEnd w:id="33"/>
    </w:p>
    <w:p>
      <w:r>
        <w:t>1）</w:t>
      </w:r>
      <w:r>
        <w:rPr>
          <w:rFonts w:hint="eastAsia"/>
          <w:lang w:eastAsia="zh-CN"/>
        </w:rPr>
        <w:t>供应商</w:t>
      </w:r>
      <w:r>
        <w:t>须具有稳定的在职技术保障力量，能够提供及时的技术支援或服务，应针对本项目提供不少于</w:t>
      </w:r>
      <w:r>
        <w:rPr>
          <w:rFonts w:hint="eastAsia"/>
        </w:rPr>
        <w:t>9</w:t>
      </w:r>
      <w:r>
        <w:t>人的项目服务团队（包括项</w:t>
      </w:r>
      <w:r>
        <w:rPr>
          <w:rFonts w:hint="eastAsia"/>
          <w:lang w:val="en-US" w:eastAsia="zh-CN"/>
        </w:rPr>
        <w:t>负责人</w:t>
      </w:r>
      <w:r>
        <w:t>、</w:t>
      </w:r>
      <w:r>
        <w:rPr>
          <w:rFonts w:hint="eastAsia"/>
        </w:rPr>
        <w:t>技术</w:t>
      </w:r>
      <w:r>
        <w:t>经理、研发等），</w:t>
      </w:r>
      <w:r>
        <w:rPr>
          <w:rFonts w:hint="eastAsia"/>
          <w:lang w:eastAsia="zh-CN"/>
        </w:rPr>
        <w:t>供应商</w:t>
      </w:r>
      <w:r>
        <w:t>的相关服务人员需具备相应的服务能力，需提供相关证明。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3038"/>
        <w:gridCol w:w="1180"/>
        <w:gridCol w:w="181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sz w:val="22"/>
                <w:szCs w:val="22"/>
              </w:rPr>
            </w:pPr>
            <w:r>
              <w:rPr>
                <w:rFonts w:hint="eastAsia"/>
                <w:sz w:val="22"/>
                <w:szCs w:val="22"/>
              </w:rPr>
              <w:t>项目</w:t>
            </w:r>
            <w:r>
              <w:rPr>
                <w:rFonts w:hint="eastAsia"/>
                <w:sz w:val="22"/>
                <w:szCs w:val="22"/>
                <w:lang w:eastAsia="zh-CN"/>
              </w:rPr>
              <w:t>负责人</w:t>
            </w:r>
          </w:p>
        </w:tc>
        <w:tc>
          <w:tcPr>
            <w:tcW w:w="0" w:type="auto"/>
            <w:vAlign w:val="center"/>
          </w:tcPr>
          <w:p>
            <w:pPr>
              <w:widowControl/>
              <w:spacing w:line="240" w:lineRule="auto"/>
              <w:ind w:firstLine="0" w:firstLineChars="0"/>
              <w:jc w:val="center"/>
              <w:rPr>
                <w:sz w:val="22"/>
                <w:szCs w:val="22"/>
              </w:rPr>
            </w:pPr>
            <w:r>
              <w:rPr>
                <w:rFonts w:hint="eastAsia"/>
                <w:sz w:val="22"/>
                <w:szCs w:val="22"/>
              </w:rPr>
              <w:t>负责项目总体管理，项目质量和进度控制等</w:t>
            </w:r>
          </w:p>
        </w:tc>
        <w:tc>
          <w:tcPr>
            <w:tcW w:w="0" w:type="auto"/>
            <w:noWrap/>
            <w:vAlign w:val="center"/>
          </w:tcPr>
          <w:p>
            <w:pPr>
              <w:widowControl/>
              <w:spacing w:line="240" w:lineRule="auto"/>
              <w:ind w:firstLine="0" w:firstLineChars="0"/>
              <w:jc w:val="center"/>
              <w:rPr>
                <w:sz w:val="22"/>
                <w:szCs w:val="22"/>
              </w:rPr>
            </w:pPr>
            <w:r>
              <w:rPr>
                <w:rFonts w:hint="eastAsia"/>
                <w:sz w:val="22"/>
                <w:szCs w:val="22"/>
              </w:rPr>
              <w:t>1人</w:t>
            </w:r>
          </w:p>
        </w:tc>
        <w:tc>
          <w:tcPr>
            <w:tcW w:w="0" w:type="auto"/>
            <w:vAlign w:val="center"/>
          </w:tcPr>
          <w:p>
            <w:pPr>
              <w:widowControl/>
              <w:spacing w:line="240" w:lineRule="auto"/>
              <w:ind w:firstLine="0" w:firstLineChars="0"/>
              <w:jc w:val="center"/>
              <w:rPr>
                <w:sz w:val="22"/>
                <w:szCs w:val="22"/>
              </w:rPr>
            </w:pPr>
            <w:r>
              <w:rPr>
                <w:rFonts w:hint="eastAsia"/>
                <w:sz w:val="22"/>
                <w:szCs w:val="22"/>
              </w:rPr>
              <w:t>本科或以上学历，有 10 年以上项目管理经验，3 年以上政务类信息化项目经验</w:t>
            </w:r>
            <w:r>
              <w:rPr>
                <w:rFonts w:hint="eastAsia"/>
                <w:sz w:val="22"/>
                <w:szCs w:val="22"/>
                <w:lang w:eastAsia="zh-CN"/>
              </w:rPr>
              <w:t>，</w:t>
            </w:r>
            <w:r>
              <w:rPr>
                <w:rFonts w:hint="eastAsia"/>
                <w:sz w:val="22"/>
                <w:szCs w:val="22"/>
              </w:rPr>
              <w:t>信息系统项目管理师（高级）证书</w:t>
            </w:r>
          </w:p>
        </w:tc>
        <w:tc>
          <w:tcPr>
            <w:tcW w:w="0" w:type="auto"/>
            <w:noWrap/>
            <w:vAlign w:val="center"/>
          </w:tcPr>
          <w:p>
            <w:pPr>
              <w:widowControl/>
              <w:spacing w:line="240" w:lineRule="auto"/>
              <w:ind w:firstLine="0" w:firstLineChars="0"/>
              <w:jc w:val="center"/>
              <w:rPr>
                <w:sz w:val="22"/>
                <w:szCs w:val="22"/>
              </w:rPr>
            </w:pPr>
            <w:r>
              <w:rPr>
                <w:rFonts w:hint="eastAsia"/>
                <w:sz w:val="22"/>
                <w:szCs w:val="22"/>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sz w:val="22"/>
                <w:szCs w:val="22"/>
              </w:rPr>
            </w:pPr>
            <w:r>
              <w:rPr>
                <w:rFonts w:hint="eastAsia"/>
                <w:sz w:val="22"/>
                <w:szCs w:val="22"/>
              </w:rPr>
              <w:t>技术经理</w:t>
            </w:r>
          </w:p>
        </w:tc>
        <w:tc>
          <w:tcPr>
            <w:tcW w:w="0" w:type="auto"/>
            <w:vAlign w:val="center"/>
          </w:tcPr>
          <w:p>
            <w:pPr>
              <w:widowControl/>
              <w:spacing w:line="240" w:lineRule="auto"/>
              <w:ind w:firstLine="0" w:firstLineChars="0"/>
              <w:jc w:val="center"/>
              <w:rPr>
                <w:sz w:val="22"/>
                <w:szCs w:val="22"/>
              </w:rPr>
            </w:pPr>
            <w:r>
              <w:rPr>
                <w:rFonts w:hint="eastAsia"/>
                <w:sz w:val="22"/>
                <w:szCs w:val="22"/>
              </w:rPr>
              <w:t>负责项目技术管理，项目需求评估、技术选型、系统架构设计等</w:t>
            </w:r>
          </w:p>
        </w:tc>
        <w:tc>
          <w:tcPr>
            <w:tcW w:w="0" w:type="auto"/>
            <w:noWrap/>
            <w:vAlign w:val="center"/>
          </w:tcPr>
          <w:p>
            <w:pPr>
              <w:widowControl/>
              <w:spacing w:line="240" w:lineRule="auto"/>
              <w:ind w:firstLine="0" w:firstLineChars="0"/>
              <w:jc w:val="center"/>
              <w:rPr>
                <w:sz w:val="22"/>
                <w:szCs w:val="22"/>
              </w:rPr>
            </w:pPr>
            <w:r>
              <w:rPr>
                <w:rFonts w:hint="eastAsia"/>
                <w:sz w:val="22"/>
                <w:szCs w:val="22"/>
              </w:rPr>
              <w:t>1人</w:t>
            </w:r>
          </w:p>
        </w:tc>
        <w:tc>
          <w:tcPr>
            <w:tcW w:w="0" w:type="auto"/>
            <w:vAlign w:val="center"/>
          </w:tcPr>
          <w:p>
            <w:pPr>
              <w:widowControl/>
              <w:spacing w:line="240" w:lineRule="auto"/>
              <w:ind w:firstLine="0" w:firstLineChars="0"/>
              <w:jc w:val="center"/>
              <w:rPr>
                <w:sz w:val="22"/>
                <w:szCs w:val="22"/>
              </w:rPr>
            </w:pPr>
            <w:r>
              <w:rPr>
                <w:rFonts w:hint="eastAsia"/>
                <w:sz w:val="22"/>
                <w:szCs w:val="22"/>
              </w:rPr>
              <w:t>信息技术类高级职称且</w:t>
            </w:r>
            <w:r>
              <w:rPr>
                <w:rFonts w:hint="eastAsia"/>
                <w:sz w:val="22"/>
                <w:szCs w:val="22"/>
                <w:lang w:eastAsia="zh-CN"/>
              </w:rPr>
              <w:t>、</w:t>
            </w:r>
            <w:r>
              <w:rPr>
                <w:rFonts w:hint="eastAsia"/>
                <w:sz w:val="22"/>
                <w:szCs w:val="22"/>
              </w:rPr>
              <w:t>计算机相关专业博士学位</w:t>
            </w:r>
          </w:p>
        </w:tc>
        <w:tc>
          <w:tcPr>
            <w:tcW w:w="0" w:type="auto"/>
            <w:noWrap/>
            <w:vAlign w:val="center"/>
          </w:tcPr>
          <w:p>
            <w:pPr>
              <w:widowControl/>
              <w:spacing w:line="240" w:lineRule="auto"/>
              <w:ind w:firstLine="0" w:firstLineChars="0"/>
              <w:jc w:val="center"/>
              <w:rPr>
                <w:sz w:val="22"/>
                <w:szCs w:val="22"/>
              </w:rPr>
            </w:pPr>
            <w:r>
              <w:rPr>
                <w:rFonts w:hint="eastAsia"/>
                <w:sz w:val="22"/>
                <w:szCs w:val="22"/>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sz w:val="22"/>
                <w:szCs w:val="22"/>
              </w:rPr>
            </w:pPr>
            <w:r>
              <w:rPr>
                <w:rFonts w:hint="eastAsia"/>
                <w:sz w:val="22"/>
                <w:szCs w:val="22"/>
              </w:rPr>
              <w:t>研发</w:t>
            </w:r>
          </w:p>
        </w:tc>
        <w:tc>
          <w:tcPr>
            <w:tcW w:w="0" w:type="auto"/>
            <w:noWrap/>
            <w:vAlign w:val="center"/>
          </w:tcPr>
          <w:p>
            <w:pPr>
              <w:widowControl/>
              <w:spacing w:line="240" w:lineRule="auto"/>
              <w:ind w:firstLine="0" w:firstLineChars="0"/>
              <w:jc w:val="center"/>
              <w:rPr>
                <w:sz w:val="22"/>
                <w:szCs w:val="22"/>
              </w:rPr>
            </w:pPr>
            <w:r>
              <w:rPr>
                <w:rFonts w:hint="eastAsia"/>
                <w:sz w:val="22"/>
                <w:szCs w:val="22"/>
              </w:rPr>
              <w:t>负责项目具体开发与实施</w:t>
            </w:r>
          </w:p>
        </w:tc>
        <w:tc>
          <w:tcPr>
            <w:tcW w:w="0" w:type="auto"/>
            <w:noWrap/>
            <w:vAlign w:val="center"/>
          </w:tcPr>
          <w:p>
            <w:pPr>
              <w:widowControl/>
              <w:spacing w:line="240" w:lineRule="auto"/>
              <w:ind w:firstLine="0" w:firstLineChars="0"/>
              <w:jc w:val="center"/>
              <w:rPr>
                <w:sz w:val="22"/>
                <w:szCs w:val="22"/>
              </w:rPr>
            </w:pPr>
            <w:r>
              <w:rPr>
                <w:rFonts w:hint="eastAsia"/>
                <w:sz w:val="22"/>
                <w:szCs w:val="22"/>
              </w:rPr>
              <w:t>7人</w:t>
            </w:r>
          </w:p>
        </w:tc>
        <w:tc>
          <w:tcPr>
            <w:tcW w:w="0" w:type="auto"/>
            <w:vAlign w:val="center"/>
          </w:tcPr>
          <w:p>
            <w:pPr>
              <w:widowControl/>
              <w:spacing w:line="240" w:lineRule="auto"/>
              <w:ind w:firstLine="0" w:firstLineChars="0"/>
              <w:jc w:val="center"/>
              <w:rPr>
                <w:rFonts w:hint="eastAsia" w:eastAsia="宋体"/>
                <w:sz w:val="22"/>
                <w:szCs w:val="22"/>
                <w:lang w:eastAsia="zh-CN"/>
              </w:rPr>
            </w:pPr>
            <w:r>
              <w:rPr>
                <w:rFonts w:hint="eastAsia"/>
                <w:sz w:val="22"/>
                <w:szCs w:val="22"/>
              </w:rPr>
              <w:t>本科及以上学历</w:t>
            </w:r>
            <w:r>
              <w:rPr>
                <w:rFonts w:hint="eastAsia"/>
                <w:sz w:val="22"/>
                <w:szCs w:val="22"/>
                <w:lang w:eastAsia="zh-CN"/>
              </w:rPr>
              <w:t>，信息系统项目管理师、注册信息安全专业人员、系统分析师、系统架构设计师</w:t>
            </w:r>
          </w:p>
        </w:tc>
        <w:tc>
          <w:tcPr>
            <w:tcW w:w="0" w:type="auto"/>
            <w:noWrap/>
            <w:vAlign w:val="center"/>
          </w:tcPr>
          <w:p>
            <w:pPr>
              <w:widowControl/>
              <w:spacing w:line="240" w:lineRule="auto"/>
              <w:ind w:firstLine="0" w:firstLineChars="0"/>
              <w:jc w:val="center"/>
              <w:rPr>
                <w:sz w:val="22"/>
                <w:szCs w:val="22"/>
              </w:rPr>
            </w:pPr>
            <w:r>
              <w:rPr>
                <w:rFonts w:hint="eastAsia"/>
                <w:sz w:val="22"/>
                <w:szCs w:val="22"/>
              </w:rPr>
              <w:t>不驻场</w:t>
            </w:r>
          </w:p>
        </w:tc>
      </w:tr>
    </w:tbl>
    <w:p>
      <w:r>
        <w:t>2）</w:t>
      </w:r>
      <w:r>
        <w:rPr>
          <w:rFonts w:hint="eastAsia"/>
          <w:lang w:eastAsia="zh-CN"/>
        </w:rPr>
        <w:t>供应商</w:t>
      </w:r>
      <w:r>
        <w:t>应针对本项目提供不少于</w:t>
      </w:r>
      <w:r>
        <w:rPr>
          <w:rFonts w:hint="eastAsia"/>
        </w:rPr>
        <w:t>3</w:t>
      </w:r>
      <w:r>
        <w:t>人的质保期间支撑团队（其中运维经理</w:t>
      </w:r>
      <w:r>
        <w:rPr>
          <w:rFonts w:hint="eastAsia"/>
        </w:rPr>
        <w:t>1</w:t>
      </w:r>
      <w:r>
        <w:t>人，运维工程师不少于</w:t>
      </w:r>
      <w:r>
        <w:rPr>
          <w:rFonts w:hint="eastAsia"/>
        </w:rPr>
        <w:t>2</w:t>
      </w:r>
      <w:r>
        <w:t>人）；</w:t>
      </w:r>
      <w:r>
        <w:rPr>
          <w:rFonts w:hint="eastAsia"/>
          <w:lang w:eastAsia="zh-CN"/>
        </w:rPr>
        <w:t>供应商</w:t>
      </w:r>
      <w:r>
        <w:t>的相关服务人员需具备相应的服务能力。</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368"/>
        <w:gridCol w:w="1180"/>
        <w:gridCol w:w="248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sz w:val="22"/>
                <w:szCs w:val="22"/>
              </w:rPr>
            </w:pPr>
            <w:r>
              <w:rPr>
                <w:sz w:val="22"/>
                <w:szCs w:val="22"/>
              </w:rPr>
              <w:t>运维</w:t>
            </w:r>
            <w:r>
              <w:rPr>
                <w:rFonts w:hint="eastAsia"/>
                <w:sz w:val="22"/>
                <w:szCs w:val="22"/>
              </w:rPr>
              <w:t>经理</w:t>
            </w:r>
          </w:p>
        </w:tc>
        <w:tc>
          <w:tcPr>
            <w:tcW w:w="0" w:type="auto"/>
            <w:vAlign w:val="center"/>
          </w:tcPr>
          <w:p>
            <w:pPr>
              <w:widowControl/>
              <w:spacing w:line="240" w:lineRule="auto"/>
              <w:ind w:firstLine="0" w:firstLineChars="0"/>
              <w:jc w:val="center"/>
              <w:rPr>
                <w:sz w:val="22"/>
                <w:szCs w:val="22"/>
              </w:rPr>
            </w:pPr>
            <w:r>
              <w:rPr>
                <w:rFonts w:hint="eastAsia"/>
                <w:sz w:val="22"/>
                <w:szCs w:val="22"/>
              </w:rPr>
              <w:t>负责项目质量和进度控制</w:t>
            </w:r>
          </w:p>
        </w:tc>
        <w:tc>
          <w:tcPr>
            <w:tcW w:w="0" w:type="auto"/>
            <w:noWrap/>
            <w:vAlign w:val="center"/>
          </w:tcPr>
          <w:p>
            <w:pPr>
              <w:widowControl/>
              <w:spacing w:line="240" w:lineRule="auto"/>
              <w:ind w:firstLine="0" w:firstLineChars="0"/>
              <w:jc w:val="center"/>
              <w:rPr>
                <w:sz w:val="22"/>
                <w:szCs w:val="22"/>
              </w:rPr>
            </w:pPr>
            <w:r>
              <w:rPr>
                <w:rFonts w:hint="eastAsia"/>
                <w:sz w:val="22"/>
                <w:szCs w:val="22"/>
              </w:rPr>
              <w:t>1人</w:t>
            </w:r>
          </w:p>
        </w:tc>
        <w:tc>
          <w:tcPr>
            <w:tcW w:w="0" w:type="auto"/>
            <w:vAlign w:val="center"/>
          </w:tcPr>
          <w:p>
            <w:pPr>
              <w:widowControl/>
              <w:spacing w:line="240" w:lineRule="auto"/>
              <w:ind w:firstLine="0" w:firstLineChars="0"/>
              <w:jc w:val="center"/>
              <w:rPr>
                <w:sz w:val="22"/>
                <w:szCs w:val="22"/>
              </w:rPr>
            </w:pPr>
            <w:r>
              <w:rPr>
                <w:rFonts w:hint="eastAsia"/>
                <w:sz w:val="22"/>
                <w:szCs w:val="22"/>
              </w:rPr>
              <w:t>本科及以上学历，具有项目经理经验</w:t>
            </w:r>
          </w:p>
        </w:tc>
        <w:tc>
          <w:tcPr>
            <w:tcW w:w="0" w:type="auto"/>
            <w:noWrap/>
            <w:vAlign w:val="center"/>
          </w:tcPr>
          <w:p>
            <w:pPr>
              <w:widowControl/>
              <w:spacing w:line="240" w:lineRule="auto"/>
              <w:ind w:firstLine="0" w:firstLineChars="0"/>
              <w:jc w:val="center"/>
              <w:rPr>
                <w:sz w:val="22"/>
                <w:szCs w:val="22"/>
              </w:rPr>
            </w:pPr>
            <w:r>
              <w:rPr>
                <w:rFonts w:hint="eastAsia"/>
                <w:sz w:val="22"/>
                <w:szCs w:val="22"/>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sz w:val="22"/>
                <w:szCs w:val="22"/>
              </w:rPr>
            </w:pPr>
            <w:r>
              <w:rPr>
                <w:sz w:val="22"/>
                <w:szCs w:val="22"/>
              </w:rPr>
              <w:t>运维</w:t>
            </w:r>
            <w:r>
              <w:rPr>
                <w:rFonts w:hint="eastAsia"/>
                <w:sz w:val="22"/>
                <w:szCs w:val="22"/>
              </w:rPr>
              <w:t>工程师</w:t>
            </w:r>
          </w:p>
        </w:tc>
        <w:tc>
          <w:tcPr>
            <w:tcW w:w="0" w:type="auto"/>
            <w:noWrap/>
            <w:vAlign w:val="center"/>
          </w:tcPr>
          <w:p>
            <w:pPr>
              <w:widowControl/>
              <w:spacing w:line="240" w:lineRule="auto"/>
              <w:ind w:firstLine="0" w:firstLineChars="0"/>
              <w:jc w:val="center"/>
              <w:rPr>
                <w:sz w:val="22"/>
                <w:szCs w:val="22"/>
              </w:rPr>
            </w:pPr>
            <w:r>
              <w:rPr>
                <w:rFonts w:hint="eastAsia"/>
                <w:sz w:val="22"/>
                <w:szCs w:val="22"/>
              </w:rPr>
              <w:t>负责项目运行维护</w:t>
            </w:r>
          </w:p>
        </w:tc>
        <w:tc>
          <w:tcPr>
            <w:tcW w:w="0" w:type="auto"/>
            <w:noWrap/>
            <w:vAlign w:val="center"/>
          </w:tcPr>
          <w:p>
            <w:pPr>
              <w:widowControl/>
              <w:spacing w:line="240" w:lineRule="auto"/>
              <w:ind w:firstLine="0" w:firstLineChars="0"/>
              <w:jc w:val="center"/>
              <w:rPr>
                <w:sz w:val="22"/>
                <w:szCs w:val="22"/>
              </w:rPr>
            </w:pPr>
            <w:r>
              <w:rPr>
                <w:rFonts w:hint="eastAsia"/>
                <w:sz w:val="22"/>
                <w:szCs w:val="22"/>
              </w:rPr>
              <w:t>2人</w:t>
            </w:r>
          </w:p>
        </w:tc>
        <w:tc>
          <w:tcPr>
            <w:tcW w:w="0" w:type="auto"/>
            <w:vAlign w:val="center"/>
          </w:tcPr>
          <w:p>
            <w:pPr>
              <w:widowControl/>
              <w:spacing w:line="240" w:lineRule="auto"/>
              <w:ind w:firstLine="0" w:firstLineChars="0"/>
              <w:jc w:val="center"/>
              <w:rPr>
                <w:sz w:val="22"/>
                <w:szCs w:val="22"/>
              </w:rPr>
            </w:pPr>
            <w:r>
              <w:rPr>
                <w:sz w:val="22"/>
                <w:szCs w:val="22"/>
              </w:rPr>
              <w:t>专科</w:t>
            </w:r>
            <w:r>
              <w:rPr>
                <w:rFonts w:hint="eastAsia"/>
                <w:sz w:val="22"/>
                <w:szCs w:val="22"/>
              </w:rPr>
              <w:t>及以上学历</w:t>
            </w:r>
          </w:p>
        </w:tc>
        <w:tc>
          <w:tcPr>
            <w:tcW w:w="0" w:type="auto"/>
            <w:noWrap/>
            <w:vAlign w:val="center"/>
          </w:tcPr>
          <w:p>
            <w:pPr>
              <w:widowControl/>
              <w:spacing w:line="240" w:lineRule="auto"/>
              <w:ind w:firstLine="0" w:firstLineChars="0"/>
              <w:jc w:val="center"/>
              <w:rPr>
                <w:sz w:val="22"/>
                <w:szCs w:val="22"/>
              </w:rPr>
            </w:pPr>
            <w:r>
              <w:rPr>
                <w:rFonts w:hint="eastAsia"/>
                <w:sz w:val="22"/>
                <w:szCs w:val="22"/>
              </w:rPr>
              <w:t>不驻场</w:t>
            </w:r>
          </w:p>
        </w:tc>
      </w:tr>
    </w:tbl>
    <w:p>
      <w:pPr>
        <w:pStyle w:val="3"/>
      </w:pPr>
      <w:bookmarkStart w:id="34" w:name="_Toc63785511"/>
      <w:r>
        <w:rPr>
          <w:rFonts w:hint="eastAsia"/>
          <w:lang w:eastAsia="zh-CN"/>
        </w:rPr>
        <w:t>企业能力</w:t>
      </w:r>
    </w:p>
    <w:p>
      <w:pPr>
        <w:pStyle w:val="35"/>
        <w:spacing w:line="360" w:lineRule="auto"/>
        <w:ind w:firstLine="240"/>
        <w:rPr>
          <w:rFonts w:hint="eastAsia"/>
          <w:sz w:val="24"/>
          <w:lang w:eastAsia="zh-CN"/>
        </w:rPr>
      </w:pPr>
      <w:r>
        <w:rPr>
          <w:rFonts w:hint="eastAsia"/>
          <w:sz w:val="24"/>
          <w:lang w:eastAsia="zh-CN"/>
        </w:rPr>
        <w:t>供应商具有ISO20000信息技术服务管理体系认证证书、拥有ISO27001信息安全管理体系认证证书、DCMM数据管理能力成熟度证书、CCRC信息安全服务资质的优先考虑。</w:t>
      </w:r>
    </w:p>
    <w:p>
      <w:pPr>
        <w:pStyle w:val="35"/>
        <w:spacing w:line="360" w:lineRule="auto"/>
        <w:ind w:firstLine="240"/>
        <w:rPr>
          <w:rFonts w:hint="eastAsia"/>
          <w:sz w:val="24"/>
        </w:rPr>
      </w:pPr>
      <w:r>
        <w:rPr>
          <w:rFonts w:hint="eastAsia"/>
          <w:sz w:val="24"/>
          <w:lang w:eastAsia="zh-CN"/>
        </w:rPr>
        <w:t>供应商具有“智慧立法”“语料数据加工”等与本项目功能相关的软件著作权证书的优先考虑。</w:t>
      </w:r>
    </w:p>
    <w:p>
      <w:pPr>
        <w:pStyle w:val="3"/>
      </w:pPr>
      <w:r>
        <w:t>等级保护要求</w:t>
      </w:r>
      <w:bookmarkEnd w:id="34"/>
    </w:p>
    <w:p>
      <w:r>
        <w:rPr>
          <w:rFonts w:hint="eastAsia"/>
        </w:rPr>
        <w:t>本项目参照等级保护三级要求建设。</w:t>
      </w:r>
    </w:p>
    <w:p>
      <w:pPr>
        <w:pStyle w:val="3"/>
      </w:pPr>
      <w:r>
        <w:rPr>
          <w:rFonts w:hint="eastAsia"/>
        </w:rPr>
        <w:t>商业密码应用需求</w:t>
      </w:r>
    </w:p>
    <w:p>
      <w:pPr>
        <w:pStyle w:val="35"/>
        <w:spacing w:after="0" w:line="360" w:lineRule="auto"/>
        <w:ind w:firstLine="240"/>
        <w:rPr>
          <w:sz w:val="24"/>
        </w:rPr>
      </w:pPr>
      <w:r>
        <w:rPr>
          <w:rFonts w:hint="eastAsia"/>
          <w:sz w:val="24"/>
        </w:rPr>
        <w:t>本项目拟参照等级保护第三级进行建设。依据GB/T39786—2021《信息安全技术信息系统密码应用基本要求》，本系统对密码应用安全需求的满足情况包括物理和环境安全、网络和通信安全、设备和计算安全、应用和数据安全。对照如下：</w:t>
      </w:r>
    </w:p>
    <w:tbl>
      <w:tblPr>
        <w:tblStyle w:val="36"/>
        <w:tblW w:w="909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745"/>
        <w:gridCol w:w="3142"/>
        <w:gridCol w:w="1730"/>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2" w:type="dxa"/>
            <w:vAlign w:val="center"/>
          </w:tcPr>
          <w:p>
            <w:pPr>
              <w:widowControl/>
              <w:ind w:firstLine="0" w:firstLineChars="0"/>
              <w:jc w:val="center"/>
              <w:rPr>
                <w:b/>
              </w:rPr>
            </w:pPr>
            <w:r>
              <w:rPr>
                <w:rFonts w:hint="eastAsia"/>
                <w:b/>
              </w:rPr>
              <w:t>指标要求</w:t>
            </w:r>
          </w:p>
        </w:tc>
        <w:tc>
          <w:tcPr>
            <w:tcW w:w="1745" w:type="dxa"/>
            <w:vAlign w:val="center"/>
          </w:tcPr>
          <w:p>
            <w:pPr>
              <w:widowControl/>
              <w:ind w:firstLine="0" w:firstLineChars="0"/>
              <w:jc w:val="center"/>
              <w:rPr>
                <w:b/>
              </w:rPr>
            </w:pPr>
            <w:r>
              <w:rPr>
                <w:rFonts w:hint="eastAsia"/>
                <w:b/>
              </w:rPr>
              <w:t>密码技术应用点</w:t>
            </w:r>
          </w:p>
        </w:tc>
        <w:tc>
          <w:tcPr>
            <w:tcW w:w="3142" w:type="dxa"/>
            <w:vAlign w:val="center"/>
          </w:tcPr>
          <w:p>
            <w:pPr>
              <w:widowControl/>
              <w:ind w:firstLine="0" w:firstLineChars="0"/>
              <w:jc w:val="center"/>
              <w:rPr>
                <w:b/>
              </w:rPr>
            </w:pPr>
            <w:r>
              <w:rPr>
                <w:rFonts w:hint="eastAsia"/>
                <w:b/>
              </w:rPr>
              <w:t>采取措施</w:t>
            </w:r>
          </w:p>
        </w:tc>
        <w:tc>
          <w:tcPr>
            <w:tcW w:w="1730" w:type="dxa"/>
            <w:vAlign w:val="center"/>
          </w:tcPr>
          <w:p>
            <w:pPr>
              <w:widowControl/>
              <w:ind w:firstLine="0" w:firstLineChars="0"/>
              <w:jc w:val="center"/>
              <w:rPr>
                <w:b/>
              </w:rPr>
            </w:pPr>
            <w:r>
              <w:rPr>
                <w:rFonts w:hint="eastAsia"/>
                <w:b/>
              </w:rPr>
              <w:t>标准符合性</w:t>
            </w:r>
          </w:p>
        </w:tc>
        <w:tc>
          <w:tcPr>
            <w:tcW w:w="1578" w:type="dxa"/>
            <w:vAlign w:val="center"/>
          </w:tcPr>
          <w:p>
            <w:pPr>
              <w:widowControl/>
              <w:ind w:firstLine="0" w:firstLineChars="0"/>
              <w:jc w:val="center"/>
              <w:rPr>
                <w:b/>
              </w:rPr>
            </w:pPr>
            <w:r>
              <w:rPr>
                <w:rFonts w:hint="eastAsia"/>
                <w:b/>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pPr>
              <w:widowControl/>
              <w:ind w:firstLine="0" w:firstLineChars="0"/>
              <w:jc w:val="center"/>
            </w:pPr>
            <w:r>
              <w:rPr>
                <w:rFonts w:hint="eastAsia"/>
                <w:sz w:val="22"/>
                <w:szCs w:val="22"/>
              </w:rPr>
              <w:t>网络和通信安全</w:t>
            </w: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身份鉴别</w:t>
            </w:r>
          </w:p>
        </w:tc>
        <w:tc>
          <w:tcPr>
            <w:tcW w:w="3142" w:type="dxa"/>
            <w:vAlign w:val="center"/>
          </w:tcPr>
          <w:p>
            <w:pPr>
              <w:pStyle w:val="142"/>
              <w:ind w:firstLine="0" w:firstLineChars="0"/>
              <w:rPr>
                <w:rFonts w:eastAsia="宋体"/>
                <w:kern w:val="2"/>
                <w:sz w:val="22"/>
                <w:szCs w:val="22"/>
              </w:rPr>
            </w:pPr>
            <w:r>
              <w:rPr>
                <w:rFonts w:eastAsia="宋体"/>
                <w:kern w:val="2"/>
                <w:sz w:val="22"/>
                <w:szCs w:val="22"/>
              </w:rPr>
              <w:t>在网络接入区部署了</w:t>
            </w:r>
            <w:r>
              <w:rPr>
                <w:rFonts w:hint="eastAsia" w:eastAsia="宋体"/>
                <w:kern w:val="2"/>
                <w:sz w:val="22"/>
                <w:szCs w:val="22"/>
              </w:rPr>
              <w:t>V</w:t>
            </w:r>
            <w:r>
              <w:rPr>
                <w:rFonts w:eastAsia="宋体"/>
                <w:kern w:val="2"/>
                <w:sz w:val="22"/>
                <w:szCs w:val="22"/>
              </w:rPr>
              <w:t>PN，通信双方进行身份鉴别</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通信数据完整性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在网络接入区部署了</w:t>
            </w:r>
            <w:r>
              <w:rPr>
                <w:rFonts w:hint="eastAsia" w:eastAsia="宋体"/>
                <w:kern w:val="2"/>
                <w:sz w:val="22"/>
                <w:szCs w:val="22"/>
              </w:rPr>
              <w:t>V</w:t>
            </w:r>
            <w:r>
              <w:rPr>
                <w:rFonts w:eastAsia="宋体"/>
                <w:kern w:val="2"/>
                <w:sz w:val="22"/>
                <w:szCs w:val="22"/>
              </w:rPr>
              <w:t>PN，通信双方进行身份鉴别</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通信过程中重要数据的机密性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在网络接入区部署了</w:t>
            </w:r>
            <w:r>
              <w:rPr>
                <w:rFonts w:hint="eastAsia" w:eastAsia="宋体"/>
                <w:kern w:val="2"/>
                <w:sz w:val="22"/>
                <w:szCs w:val="22"/>
              </w:rPr>
              <w:t>V</w:t>
            </w:r>
            <w:r>
              <w:rPr>
                <w:rFonts w:eastAsia="宋体"/>
                <w:kern w:val="2"/>
                <w:sz w:val="22"/>
                <w:szCs w:val="22"/>
              </w:rPr>
              <w:t>PN，通信双方进行身份鉴别</w:t>
            </w:r>
          </w:p>
        </w:tc>
        <w:tc>
          <w:tcPr>
            <w:tcW w:w="1730" w:type="dxa"/>
            <w:vMerge w:val="restart"/>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Merge w:val="restart"/>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hint="eastAsia" w:eastAsia="宋体"/>
                <w:kern w:val="2"/>
                <w:sz w:val="22"/>
                <w:szCs w:val="22"/>
              </w:rPr>
              <w:t>网络边界访问控制完整性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在网络接入区部署了</w:t>
            </w:r>
            <w:r>
              <w:rPr>
                <w:rFonts w:hint="eastAsia" w:eastAsia="宋体"/>
                <w:kern w:val="2"/>
                <w:sz w:val="22"/>
                <w:szCs w:val="22"/>
              </w:rPr>
              <w:t>V</w:t>
            </w:r>
            <w:r>
              <w:rPr>
                <w:rFonts w:eastAsia="宋体"/>
                <w:kern w:val="2"/>
                <w:sz w:val="22"/>
                <w:szCs w:val="22"/>
              </w:rPr>
              <w:t>PN，通信双方进行身份鉴别</w:t>
            </w:r>
          </w:p>
          <w:p>
            <w:pPr>
              <w:pStyle w:val="142"/>
              <w:ind w:firstLine="0" w:firstLineChars="0"/>
              <w:rPr>
                <w:rFonts w:eastAsia="宋体"/>
                <w:kern w:val="2"/>
                <w:sz w:val="22"/>
                <w:szCs w:val="22"/>
              </w:rPr>
            </w:pPr>
            <w:r>
              <w:rPr>
                <w:rFonts w:eastAsia="宋体"/>
                <w:kern w:val="2"/>
                <w:sz w:val="22"/>
                <w:szCs w:val="22"/>
              </w:rPr>
              <w:t>运维管理用户使用</w:t>
            </w:r>
            <w:r>
              <w:rPr>
                <w:rFonts w:hint="eastAsia" w:eastAsia="宋体"/>
                <w:kern w:val="2"/>
                <w:sz w:val="22"/>
                <w:szCs w:val="22"/>
              </w:rPr>
              <w:t>V</w:t>
            </w:r>
            <w:r>
              <w:rPr>
                <w:rFonts w:eastAsia="宋体"/>
                <w:kern w:val="2"/>
                <w:sz w:val="22"/>
                <w:szCs w:val="22"/>
              </w:rPr>
              <w:t>PN访问，访问控制信息记录在</w:t>
            </w:r>
            <w:r>
              <w:rPr>
                <w:rFonts w:hint="eastAsia" w:eastAsia="宋体"/>
                <w:kern w:val="2"/>
                <w:sz w:val="22"/>
                <w:szCs w:val="22"/>
              </w:rPr>
              <w:t>V</w:t>
            </w:r>
            <w:r>
              <w:rPr>
                <w:rFonts w:eastAsia="宋体"/>
                <w:kern w:val="2"/>
                <w:sz w:val="22"/>
                <w:szCs w:val="22"/>
              </w:rPr>
              <w:t>PN和堡垒机处</w:t>
            </w:r>
          </w:p>
          <w:p>
            <w:pPr>
              <w:pStyle w:val="142"/>
              <w:ind w:firstLine="0" w:firstLineChars="0"/>
              <w:rPr>
                <w:rFonts w:eastAsia="宋体"/>
                <w:kern w:val="2"/>
                <w:sz w:val="22"/>
                <w:szCs w:val="22"/>
              </w:rPr>
            </w:pPr>
            <w:r>
              <w:rPr>
                <w:rFonts w:eastAsia="宋体"/>
                <w:kern w:val="2"/>
                <w:sz w:val="22"/>
                <w:szCs w:val="22"/>
              </w:rPr>
              <w:t>普通管理用户使用</w:t>
            </w:r>
            <w:r>
              <w:rPr>
                <w:rFonts w:hint="eastAsia" w:eastAsia="宋体"/>
                <w:kern w:val="2"/>
                <w:sz w:val="22"/>
                <w:szCs w:val="22"/>
              </w:rPr>
              <w:t>S</w:t>
            </w:r>
            <w:r>
              <w:rPr>
                <w:rFonts w:eastAsia="宋体"/>
                <w:kern w:val="2"/>
                <w:sz w:val="22"/>
                <w:szCs w:val="22"/>
              </w:rPr>
              <w:t>SL证书访问安全认证网关，访问控制信息记录在信息系统数据库。</w:t>
            </w:r>
          </w:p>
          <w:p>
            <w:pPr>
              <w:pStyle w:val="142"/>
              <w:ind w:firstLine="0" w:firstLineChars="0"/>
              <w:rPr>
                <w:rFonts w:eastAsia="宋体"/>
                <w:kern w:val="2"/>
                <w:sz w:val="22"/>
                <w:szCs w:val="22"/>
              </w:rPr>
            </w:pPr>
            <w:r>
              <w:rPr>
                <w:rFonts w:eastAsia="宋体"/>
                <w:kern w:val="2"/>
                <w:sz w:val="22"/>
                <w:szCs w:val="22"/>
              </w:rPr>
              <w:t>普通用户使用浏览器访问安全认证网关，也记录在数据库。</w:t>
            </w:r>
          </w:p>
          <w:p>
            <w:pPr>
              <w:pStyle w:val="142"/>
              <w:ind w:firstLine="0" w:firstLineChars="0"/>
              <w:rPr>
                <w:rFonts w:eastAsia="宋体"/>
                <w:kern w:val="2"/>
                <w:sz w:val="22"/>
                <w:szCs w:val="22"/>
              </w:rPr>
            </w:pPr>
            <w:r>
              <w:rPr>
                <w:rFonts w:eastAsia="宋体"/>
                <w:kern w:val="2"/>
                <w:sz w:val="22"/>
                <w:szCs w:val="22"/>
              </w:rPr>
              <w:t>可将访问控制信息调用签名完成完整性保护</w:t>
            </w:r>
          </w:p>
        </w:tc>
        <w:tc>
          <w:tcPr>
            <w:tcW w:w="1730" w:type="dxa"/>
            <w:vMerge w:val="continue"/>
            <w:vAlign w:val="center"/>
          </w:tcPr>
          <w:p>
            <w:pPr>
              <w:pStyle w:val="141"/>
              <w:ind w:firstLine="0" w:firstLineChars="0"/>
              <w:rPr>
                <w:rFonts w:ascii="宋体" w:hAnsi="宋体" w:eastAsia="宋体" w:cs="Times New Roman"/>
                <w:kern w:val="2"/>
                <w:sz w:val="22"/>
                <w:szCs w:val="22"/>
              </w:rPr>
            </w:pPr>
          </w:p>
        </w:tc>
        <w:tc>
          <w:tcPr>
            <w:tcW w:w="1578" w:type="dxa"/>
            <w:vMerge w:val="continue"/>
            <w:vAlign w:val="center"/>
          </w:tcPr>
          <w:p>
            <w:pPr>
              <w:pStyle w:val="141"/>
              <w:ind w:firstLine="0" w:firstLineChars="0"/>
              <w:rPr>
                <w:rFonts w:ascii="宋体" w:hAnsi="宋体" w:eastAsia="宋体" w:cs="Times New Roman"/>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安全接入认证</w:t>
            </w:r>
          </w:p>
        </w:tc>
        <w:tc>
          <w:tcPr>
            <w:tcW w:w="3142"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不适用</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本系统无安全接入认证需求。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pPr>
              <w:widowControl/>
              <w:ind w:firstLine="0" w:firstLineChars="0"/>
              <w:jc w:val="center"/>
            </w:pPr>
            <w:r>
              <w:rPr>
                <w:rFonts w:hint="eastAsia"/>
                <w:sz w:val="22"/>
                <w:szCs w:val="22"/>
              </w:rPr>
              <w:t>设备和计算安全</w:t>
            </w: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身份鉴别</w:t>
            </w:r>
          </w:p>
        </w:tc>
        <w:tc>
          <w:tcPr>
            <w:tcW w:w="3142"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服务器虚拟机未采用密码技术实现身份鉴别。密码设备虚拟机采用基于数字证书的USBKey实现身份鉴别。</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部分符合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远程管理通道安全</w:t>
            </w:r>
          </w:p>
        </w:tc>
        <w:tc>
          <w:tcPr>
            <w:tcW w:w="3142"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服务器虚拟机未采用密码技术实现身份鉴别。密码设备虚拟机采用基于数字证书的USBKey实现身份鉴别。</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部分符合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系统资源访问控制信息完整性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调用密码资源区中的签名验签产品，使用密码技术对服务器、数据库等设备的系统资源访问控制信息进行完整性保护。密码设备访问控制信息的完整性保护由设备自身实现</w:t>
            </w:r>
          </w:p>
          <w:p>
            <w:pPr>
              <w:pStyle w:val="142"/>
              <w:ind w:firstLine="0" w:firstLineChars="0"/>
              <w:rPr>
                <w:rFonts w:eastAsia="宋体"/>
                <w:kern w:val="2"/>
                <w:sz w:val="22"/>
                <w:szCs w:val="22"/>
              </w:rPr>
            </w:pPr>
            <w:r>
              <w:rPr>
                <w:rFonts w:eastAsia="宋体"/>
                <w:kern w:val="2"/>
                <w:sz w:val="22"/>
                <w:szCs w:val="22"/>
              </w:rPr>
              <w:t>服务器：通过服务器上安装的操作系统（银河</w:t>
            </w:r>
            <w:r>
              <w:rPr>
                <w:rFonts w:hint="eastAsia" w:eastAsia="宋体"/>
                <w:kern w:val="2"/>
                <w:sz w:val="22"/>
                <w:szCs w:val="22"/>
              </w:rPr>
              <w:t>V</w:t>
            </w:r>
            <w:r>
              <w:rPr>
                <w:rFonts w:eastAsia="宋体"/>
                <w:kern w:val="2"/>
                <w:sz w:val="22"/>
                <w:szCs w:val="22"/>
              </w:rPr>
              <w:t>10）将访问日志定期传输到日志归集服务器，在日志归集服务器上定期将访问控制日志打包调用签名验签服务。</w:t>
            </w:r>
          </w:p>
          <w:p>
            <w:pPr>
              <w:pStyle w:val="142"/>
              <w:ind w:firstLine="0" w:firstLineChars="0"/>
              <w:rPr>
                <w:rFonts w:eastAsia="宋体"/>
                <w:kern w:val="2"/>
                <w:sz w:val="22"/>
                <w:szCs w:val="22"/>
              </w:rPr>
            </w:pPr>
            <w:r>
              <w:rPr>
                <w:rFonts w:eastAsia="宋体"/>
                <w:kern w:val="2"/>
                <w:sz w:val="22"/>
                <w:szCs w:val="22"/>
              </w:rPr>
              <w:t>数据库：通过数据库本身产生的访问日志，在数据库服务器上，从本机将数据库日志传输到日志归集服务器，和服务器访问控制日志一并纳入签名操作。</w:t>
            </w:r>
          </w:p>
        </w:tc>
        <w:tc>
          <w:tcPr>
            <w:tcW w:w="1730" w:type="dxa"/>
            <w:vAlign w:val="center"/>
          </w:tcPr>
          <w:p>
            <w:pPr>
              <w:pStyle w:val="142"/>
              <w:ind w:firstLine="0" w:firstLineChars="0"/>
              <w:rPr>
                <w:rFonts w:eastAsia="宋体"/>
                <w:kern w:val="2"/>
                <w:sz w:val="22"/>
                <w:szCs w:val="22"/>
              </w:rPr>
            </w:pPr>
            <w:r>
              <w:rPr>
                <w:rFonts w:eastAsia="宋体"/>
                <w:kern w:val="2"/>
                <w:sz w:val="22"/>
                <w:szCs w:val="22"/>
              </w:rPr>
              <w:t>符合</w:t>
            </w:r>
          </w:p>
        </w:tc>
        <w:tc>
          <w:tcPr>
            <w:tcW w:w="1578" w:type="dxa"/>
            <w:vAlign w:val="center"/>
          </w:tcPr>
          <w:p>
            <w:pPr>
              <w:pStyle w:val="142"/>
              <w:ind w:firstLine="0" w:firstLineChars="0"/>
              <w:rPr>
                <w:rFonts w:eastAsia="宋体"/>
                <w:kern w:val="2"/>
                <w:sz w:val="22"/>
                <w:szCs w:val="22"/>
              </w:rPr>
            </w:pPr>
            <w:r>
              <w:rPr>
                <w:rFonts w:hint="eastAsia" w:eastAsia="宋体"/>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重要信息资源安全标记的完整性</w:t>
            </w:r>
          </w:p>
        </w:tc>
        <w:tc>
          <w:tcPr>
            <w:tcW w:w="3142"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不适用</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本系统不涉及重要信息资源安全标记。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日志记录完整性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服务器、数据库：相关日志全部定期传输到日志归集服务器，日志归集服务器对各项日志分别调用签名验签服务。</w:t>
            </w:r>
          </w:p>
        </w:tc>
        <w:tc>
          <w:tcPr>
            <w:tcW w:w="1730" w:type="dxa"/>
            <w:vAlign w:val="center"/>
          </w:tcPr>
          <w:p>
            <w:pPr>
              <w:pStyle w:val="142"/>
              <w:ind w:firstLine="0" w:firstLineChars="0"/>
              <w:rPr>
                <w:rFonts w:eastAsia="宋体"/>
                <w:kern w:val="2"/>
                <w:sz w:val="22"/>
                <w:szCs w:val="22"/>
              </w:rPr>
            </w:pPr>
            <w:r>
              <w:rPr>
                <w:rFonts w:eastAsia="宋体"/>
                <w:kern w:val="2"/>
                <w:sz w:val="22"/>
                <w:szCs w:val="22"/>
              </w:rPr>
              <w:t>符合</w:t>
            </w:r>
          </w:p>
        </w:tc>
        <w:tc>
          <w:tcPr>
            <w:tcW w:w="1578" w:type="dxa"/>
            <w:vAlign w:val="center"/>
          </w:tcPr>
          <w:p>
            <w:pPr>
              <w:pStyle w:val="142"/>
              <w:ind w:firstLine="0" w:firstLineChars="0"/>
              <w:rPr>
                <w:rFonts w:eastAsia="宋体"/>
                <w:kern w:val="2"/>
                <w:sz w:val="22"/>
                <w:szCs w:val="22"/>
              </w:rPr>
            </w:pPr>
            <w:r>
              <w:rPr>
                <w:rFonts w:hint="eastAsia" w:eastAsia="宋体"/>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重要可执行程序完整性、来源真实性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无</w:t>
            </w:r>
          </w:p>
        </w:tc>
        <w:tc>
          <w:tcPr>
            <w:tcW w:w="1730" w:type="dxa"/>
            <w:vAlign w:val="center"/>
          </w:tcPr>
          <w:p>
            <w:pPr>
              <w:pStyle w:val="142"/>
              <w:ind w:firstLine="0" w:firstLineChars="0"/>
              <w:rPr>
                <w:rFonts w:eastAsia="宋体"/>
                <w:kern w:val="2"/>
                <w:sz w:val="22"/>
                <w:szCs w:val="22"/>
              </w:rPr>
            </w:pPr>
            <w:r>
              <w:rPr>
                <w:rFonts w:eastAsia="宋体"/>
                <w:kern w:val="2"/>
                <w:sz w:val="22"/>
                <w:szCs w:val="22"/>
              </w:rPr>
              <w:t>不适用</w:t>
            </w:r>
          </w:p>
        </w:tc>
        <w:tc>
          <w:tcPr>
            <w:tcW w:w="1578" w:type="dxa"/>
            <w:vAlign w:val="center"/>
          </w:tcPr>
          <w:p>
            <w:pPr>
              <w:pStyle w:val="142"/>
              <w:ind w:firstLine="0" w:firstLineChars="0"/>
              <w:rPr>
                <w:rFonts w:eastAsia="宋体"/>
                <w:kern w:val="2"/>
                <w:sz w:val="22"/>
                <w:szCs w:val="22"/>
              </w:rPr>
            </w:pPr>
            <w:r>
              <w:rPr>
                <w:rFonts w:eastAsia="宋体"/>
                <w:kern w:val="2"/>
                <w:sz w:val="22"/>
                <w:szCs w:val="22"/>
              </w:rPr>
              <w:t>数据库由政务云提供可信安装包，</w:t>
            </w:r>
            <w:r>
              <w:rPr>
                <w:rFonts w:hint="eastAsia" w:eastAsia="宋体"/>
                <w:kern w:val="2"/>
                <w:sz w:val="22"/>
                <w:szCs w:val="22"/>
              </w:rPr>
              <w:t>无其他涉及可执行程序的安装。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密码服务</w:t>
            </w:r>
          </w:p>
        </w:tc>
        <w:tc>
          <w:tcPr>
            <w:tcW w:w="3142" w:type="dxa"/>
            <w:vAlign w:val="center"/>
          </w:tcPr>
          <w:p>
            <w:pPr>
              <w:pStyle w:val="141"/>
              <w:ind w:firstLine="0" w:firstLineChars="0"/>
              <w:rPr>
                <w:rFonts w:ascii="宋体" w:hAnsi="宋体" w:eastAsia="宋体" w:cs="Times New Roman"/>
                <w:kern w:val="2"/>
                <w:sz w:val="22"/>
                <w:szCs w:val="22"/>
              </w:rPr>
            </w:pPr>
            <w:r>
              <w:rPr>
                <w:rFonts w:ascii="宋体" w:hAnsi="宋体" w:eastAsia="宋体" w:cs="Times New Roman"/>
                <w:kern w:val="2"/>
                <w:sz w:val="22"/>
                <w:szCs w:val="22"/>
              </w:rPr>
              <w:t>无</w:t>
            </w:r>
          </w:p>
        </w:tc>
        <w:tc>
          <w:tcPr>
            <w:tcW w:w="1730" w:type="dxa"/>
            <w:vAlign w:val="center"/>
          </w:tcPr>
          <w:p>
            <w:pPr>
              <w:pStyle w:val="141"/>
              <w:ind w:firstLine="0" w:firstLineChars="0"/>
              <w:rPr>
                <w:rFonts w:ascii="宋体" w:hAnsi="宋体" w:eastAsia="宋体" w:cs="Times New Roman"/>
                <w:kern w:val="2"/>
                <w:sz w:val="22"/>
                <w:szCs w:val="22"/>
              </w:rPr>
            </w:pPr>
            <w:r>
              <w:rPr>
                <w:rFonts w:ascii="宋体" w:hAnsi="宋体" w:eastAsia="宋体" w:cs="Times New Roman"/>
                <w:kern w:val="2"/>
                <w:sz w:val="22"/>
                <w:szCs w:val="22"/>
              </w:rPr>
              <w:t>不适用</w:t>
            </w:r>
          </w:p>
        </w:tc>
        <w:tc>
          <w:tcPr>
            <w:tcW w:w="1578" w:type="dxa"/>
            <w:vAlign w:val="center"/>
          </w:tcPr>
          <w:p>
            <w:pPr>
              <w:pStyle w:val="141"/>
              <w:ind w:firstLine="0" w:firstLineChars="0"/>
              <w:rPr>
                <w:rFonts w:ascii="宋体" w:hAnsi="宋体" w:eastAsia="宋体" w:cs="Times New Roman"/>
                <w:kern w:val="2"/>
                <w:sz w:val="22"/>
                <w:szCs w:val="22"/>
              </w:rPr>
            </w:pPr>
            <w:r>
              <w:rPr>
                <w:rFonts w:ascii="宋体" w:hAnsi="宋体" w:eastAsia="宋体" w:cs="Times New Roman"/>
                <w:kern w:val="2"/>
                <w:sz w:val="22"/>
                <w:szCs w:val="22"/>
              </w:rPr>
              <w:t>系统在该层面不需要采用密码服务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密码产品</w:t>
            </w:r>
          </w:p>
        </w:tc>
        <w:tc>
          <w:tcPr>
            <w:tcW w:w="3142" w:type="dxa"/>
            <w:vAlign w:val="center"/>
          </w:tcPr>
          <w:p>
            <w:pPr>
              <w:pStyle w:val="141"/>
              <w:ind w:firstLine="0" w:firstLineChars="0"/>
              <w:rPr>
                <w:rFonts w:ascii="宋体" w:hAnsi="宋体" w:eastAsia="宋体" w:cs="Times New Roman"/>
                <w:kern w:val="2"/>
                <w:sz w:val="22"/>
                <w:szCs w:val="22"/>
              </w:rPr>
            </w:pPr>
            <w:r>
              <w:rPr>
                <w:rFonts w:ascii="宋体" w:hAnsi="宋体" w:eastAsia="宋体" w:cs="Times New Roman"/>
                <w:kern w:val="2"/>
                <w:sz w:val="22"/>
                <w:szCs w:val="22"/>
              </w:rPr>
              <w:t>采用的签名验签产品智能密码钥匙达到GB/T 37092-2018二级密码要求</w:t>
            </w:r>
          </w:p>
        </w:tc>
        <w:tc>
          <w:tcPr>
            <w:tcW w:w="1730" w:type="dxa"/>
            <w:vAlign w:val="center"/>
          </w:tcPr>
          <w:p>
            <w:pPr>
              <w:pStyle w:val="141"/>
              <w:ind w:firstLine="0" w:firstLineChars="0"/>
              <w:rPr>
                <w:rFonts w:ascii="宋体" w:hAnsi="宋体" w:eastAsia="宋体" w:cs="Times New Roman"/>
                <w:kern w:val="2"/>
                <w:sz w:val="22"/>
                <w:szCs w:val="22"/>
              </w:rPr>
            </w:pPr>
            <w:r>
              <w:rPr>
                <w:rFonts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pPr>
              <w:widowControl/>
              <w:ind w:firstLine="0" w:firstLineChars="0"/>
              <w:jc w:val="center"/>
            </w:pPr>
            <w:r>
              <w:rPr>
                <w:rFonts w:hint="eastAsia"/>
                <w:sz w:val="22"/>
                <w:szCs w:val="22"/>
              </w:rPr>
              <w:t>应用和数据安全</w:t>
            </w:r>
          </w:p>
        </w:tc>
        <w:tc>
          <w:tcPr>
            <w:tcW w:w="1745" w:type="dxa"/>
            <w:vAlign w:val="center"/>
          </w:tcPr>
          <w:p>
            <w:pPr>
              <w:pStyle w:val="142"/>
              <w:ind w:firstLine="0" w:firstLineChars="0"/>
              <w:rPr>
                <w:rFonts w:eastAsia="宋体"/>
                <w:kern w:val="2"/>
                <w:sz w:val="22"/>
                <w:szCs w:val="22"/>
              </w:rPr>
            </w:pPr>
            <w:r>
              <w:rPr>
                <w:rFonts w:eastAsia="宋体"/>
                <w:kern w:val="2"/>
                <w:sz w:val="22"/>
                <w:szCs w:val="22"/>
              </w:rPr>
              <w:t>身份鉴别</w:t>
            </w:r>
          </w:p>
        </w:tc>
        <w:tc>
          <w:tcPr>
            <w:tcW w:w="3142" w:type="dxa"/>
            <w:vAlign w:val="center"/>
          </w:tcPr>
          <w:p>
            <w:pPr>
              <w:pStyle w:val="142"/>
              <w:ind w:firstLine="0" w:firstLineChars="0"/>
              <w:rPr>
                <w:rFonts w:eastAsia="宋体"/>
                <w:kern w:val="2"/>
                <w:sz w:val="22"/>
                <w:szCs w:val="22"/>
              </w:rPr>
            </w:pPr>
            <w:r>
              <w:rPr>
                <w:rFonts w:eastAsia="宋体"/>
                <w:kern w:val="2"/>
                <w:sz w:val="22"/>
                <w:szCs w:val="22"/>
              </w:rPr>
              <w:t>政务外网普通用户通过账户密码登录</w:t>
            </w:r>
            <w:r>
              <w:rPr>
                <w:rFonts w:hint="eastAsia" w:eastAsia="宋体"/>
                <w:kern w:val="2"/>
                <w:sz w:val="22"/>
                <w:szCs w:val="22"/>
              </w:rPr>
              <w:t>。</w:t>
            </w:r>
          </w:p>
        </w:tc>
        <w:tc>
          <w:tcPr>
            <w:tcW w:w="1730" w:type="dxa"/>
            <w:vAlign w:val="center"/>
          </w:tcPr>
          <w:p>
            <w:pPr>
              <w:pStyle w:val="142"/>
              <w:ind w:firstLine="0" w:firstLineChars="0"/>
              <w:rPr>
                <w:rFonts w:eastAsia="宋体"/>
                <w:kern w:val="2"/>
                <w:sz w:val="22"/>
                <w:szCs w:val="22"/>
              </w:rPr>
            </w:pPr>
            <w:r>
              <w:rPr>
                <w:rFonts w:eastAsia="宋体"/>
                <w:kern w:val="2"/>
                <w:sz w:val="22"/>
                <w:szCs w:val="22"/>
              </w:rPr>
              <w:t>部分符合</w:t>
            </w:r>
          </w:p>
        </w:tc>
        <w:tc>
          <w:tcPr>
            <w:tcW w:w="1578" w:type="dxa"/>
            <w:vAlign w:val="center"/>
          </w:tcPr>
          <w:p>
            <w:pPr>
              <w:pStyle w:val="142"/>
              <w:ind w:firstLine="0" w:firstLineChars="0"/>
              <w:rPr>
                <w:rFonts w:eastAsia="宋体"/>
                <w:kern w:val="2"/>
                <w:sz w:val="22"/>
                <w:szCs w:val="22"/>
              </w:rPr>
            </w:pPr>
            <w:r>
              <w:rPr>
                <w:rFonts w:hint="eastAsia" w:eastAsia="宋体"/>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访问控制信息完整性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系统后台将后台用户登录访问控制信息定期传输到日志归集服务器，定时调用签名验签服务。</w:t>
            </w:r>
          </w:p>
        </w:tc>
        <w:tc>
          <w:tcPr>
            <w:tcW w:w="1730" w:type="dxa"/>
            <w:vAlign w:val="center"/>
          </w:tcPr>
          <w:p>
            <w:pPr>
              <w:pStyle w:val="142"/>
              <w:ind w:firstLine="0" w:firstLineChars="0"/>
              <w:rPr>
                <w:rFonts w:eastAsia="宋体"/>
                <w:kern w:val="2"/>
                <w:sz w:val="22"/>
                <w:szCs w:val="22"/>
              </w:rPr>
            </w:pPr>
            <w:r>
              <w:rPr>
                <w:rFonts w:eastAsia="宋体"/>
                <w:kern w:val="2"/>
                <w:sz w:val="22"/>
                <w:szCs w:val="22"/>
              </w:rPr>
              <w:t>符合</w:t>
            </w:r>
          </w:p>
        </w:tc>
        <w:tc>
          <w:tcPr>
            <w:tcW w:w="1578" w:type="dxa"/>
            <w:vAlign w:val="center"/>
          </w:tcPr>
          <w:p>
            <w:pPr>
              <w:pStyle w:val="142"/>
              <w:ind w:firstLine="0" w:firstLineChars="0"/>
              <w:rPr>
                <w:rFonts w:eastAsia="宋体"/>
                <w:kern w:val="2"/>
                <w:sz w:val="22"/>
                <w:szCs w:val="22"/>
              </w:rPr>
            </w:pPr>
            <w:r>
              <w:rPr>
                <w:rFonts w:hint="eastAsia" w:eastAsia="宋体"/>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重要信息资源安全标记完整性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无</w:t>
            </w:r>
          </w:p>
        </w:tc>
        <w:tc>
          <w:tcPr>
            <w:tcW w:w="1730" w:type="dxa"/>
            <w:vAlign w:val="center"/>
          </w:tcPr>
          <w:p>
            <w:pPr>
              <w:pStyle w:val="142"/>
              <w:ind w:firstLine="0" w:firstLineChars="0"/>
              <w:rPr>
                <w:rFonts w:eastAsia="宋体"/>
                <w:kern w:val="2"/>
                <w:sz w:val="22"/>
                <w:szCs w:val="22"/>
              </w:rPr>
            </w:pPr>
            <w:r>
              <w:rPr>
                <w:rFonts w:eastAsia="宋体"/>
                <w:kern w:val="2"/>
                <w:sz w:val="22"/>
                <w:szCs w:val="22"/>
              </w:rPr>
              <w:t>不适用</w:t>
            </w:r>
          </w:p>
        </w:tc>
        <w:tc>
          <w:tcPr>
            <w:tcW w:w="1578" w:type="dxa"/>
            <w:vAlign w:val="center"/>
          </w:tcPr>
          <w:p>
            <w:pPr>
              <w:pStyle w:val="142"/>
              <w:ind w:firstLine="0" w:firstLineChars="0"/>
              <w:rPr>
                <w:rFonts w:eastAsia="宋体"/>
                <w:kern w:val="2"/>
                <w:sz w:val="22"/>
                <w:szCs w:val="22"/>
              </w:rPr>
            </w:pPr>
            <w:r>
              <w:rPr>
                <w:rFonts w:hint="eastAsia" w:eastAsia="宋体"/>
                <w:kern w:val="2"/>
                <w:sz w:val="22"/>
                <w:szCs w:val="22"/>
              </w:rPr>
              <w:t>无重要信息资源安全标记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重要数据传输机密性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用户和应用之间使用</w:t>
            </w:r>
            <w:r>
              <w:rPr>
                <w:rFonts w:hint="eastAsia" w:eastAsia="宋体"/>
                <w:kern w:val="2"/>
                <w:sz w:val="22"/>
                <w:szCs w:val="22"/>
              </w:rPr>
              <w:t>h</w:t>
            </w:r>
            <w:r>
              <w:rPr>
                <w:rFonts w:eastAsia="宋体"/>
                <w:kern w:val="2"/>
                <w:sz w:val="22"/>
                <w:szCs w:val="22"/>
              </w:rPr>
              <w:t>ttps通道。保护客户端到安全认证网关的加密传输</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重要数据存储机密性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系统采用市政务云提供的数据库加密进行结构化数据存储。</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重要数据传输完整性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政务外网侧，用户和管理员通过安全认证网关访问管理后台，传输过程中使用SM3密码算法保证完整性。</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2"/>
              <w:ind w:firstLine="0" w:firstLineChars="0"/>
              <w:rPr>
                <w:rFonts w:eastAsia="宋体"/>
                <w:kern w:val="2"/>
                <w:sz w:val="22"/>
                <w:szCs w:val="22"/>
              </w:rPr>
            </w:pPr>
            <w:r>
              <w:rPr>
                <w:rFonts w:eastAsia="宋体"/>
                <w:kern w:val="2"/>
                <w:sz w:val="22"/>
                <w:szCs w:val="22"/>
              </w:rPr>
              <w:t>重要数据存储完整性</w:t>
            </w:r>
          </w:p>
        </w:tc>
        <w:tc>
          <w:tcPr>
            <w:tcW w:w="3142" w:type="dxa"/>
            <w:vAlign w:val="center"/>
          </w:tcPr>
          <w:p>
            <w:pPr>
              <w:pStyle w:val="142"/>
              <w:ind w:firstLine="0" w:firstLineChars="0"/>
              <w:rPr>
                <w:rFonts w:eastAsia="宋体"/>
                <w:kern w:val="2"/>
                <w:sz w:val="22"/>
                <w:szCs w:val="22"/>
              </w:rPr>
            </w:pPr>
            <w:r>
              <w:rPr>
                <w:rFonts w:eastAsia="宋体"/>
                <w:kern w:val="2"/>
                <w:sz w:val="22"/>
                <w:szCs w:val="22"/>
              </w:rPr>
              <w:t>调用签名验签服务对存储在数据库的字段进行签名，使用算法为</w:t>
            </w:r>
            <w:r>
              <w:rPr>
                <w:rFonts w:hint="eastAsia" w:eastAsia="宋体"/>
                <w:kern w:val="2"/>
                <w:sz w:val="22"/>
                <w:szCs w:val="22"/>
              </w:rPr>
              <w:t>S</w:t>
            </w:r>
            <w:r>
              <w:rPr>
                <w:rFonts w:eastAsia="宋体"/>
                <w:kern w:val="2"/>
                <w:sz w:val="22"/>
                <w:szCs w:val="22"/>
              </w:rPr>
              <w:t>M2，将签名结果存储在数据库中。签名中选取的字段包含唯一值字段，每新增</w:t>
            </w:r>
            <w:r>
              <w:rPr>
                <w:rFonts w:hint="eastAsia" w:eastAsia="宋体"/>
                <w:kern w:val="2"/>
                <w:sz w:val="22"/>
                <w:szCs w:val="22"/>
              </w:rPr>
              <w:t>1条数据，可以实时、或异步的在签名验签服务上找到签名日志。可通过对日志上反应的签名值进行验签操作来验证完整性。</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符合</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pPr>
              <w:pStyle w:val="141"/>
              <w:ind w:firstLine="0" w:firstLineChars="0"/>
            </w:pPr>
          </w:p>
        </w:tc>
        <w:tc>
          <w:tcPr>
            <w:tcW w:w="1745"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不可否认性</w:t>
            </w:r>
          </w:p>
        </w:tc>
        <w:tc>
          <w:tcPr>
            <w:tcW w:w="3142"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无</w:t>
            </w:r>
          </w:p>
        </w:tc>
        <w:tc>
          <w:tcPr>
            <w:tcW w:w="1730"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不适用</w:t>
            </w:r>
          </w:p>
        </w:tc>
        <w:tc>
          <w:tcPr>
            <w:tcW w:w="1578" w:type="dxa"/>
            <w:vAlign w:val="center"/>
          </w:tcPr>
          <w:p>
            <w:pPr>
              <w:pStyle w:val="141"/>
              <w:ind w:firstLine="0" w:firstLineChars="0"/>
              <w:rPr>
                <w:rFonts w:ascii="宋体" w:hAnsi="宋体" w:eastAsia="宋体" w:cs="Times New Roman"/>
                <w:kern w:val="2"/>
                <w:sz w:val="22"/>
                <w:szCs w:val="22"/>
              </w:rPr>
            </w:pPr>
            <w:r>
              <w:rPr>
                <w:rFonts w:hint="eastAsia" w:ascii="宋体" w:hAnsi="宋体" w:eastAsia="宋体" w:cs="Times New Roman"/>
                <w:kern w:val="2"/>
                <w:sz w:val="22"/>
                <w:szCs w:val="22"/>
              </w:rPr>
              <w:t>信息系统无不可否认性应用需求。</w:t>
            </w:r>
          </w:p>
        </w:tc>
      </w:tr>
    </w:tbl>
    <w:p>
      <w:pPr>
        <w:pStyle w:val="3"/>
      </w:pPr>
      <w:bookmarkStart w:id="35" w:name="_Toc63785512"/>
      <w:r>
        <w:rPr>
          <w:rFonts w:hint="eastAsia"/>
        </w:rPr>
        <w:t>技术文件要求</w:t>
      </w:r>
    </w:p>
    <w:p>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r>
        <w:rPr>
          <w:rFonts w:hint="eastAsia"/>
        </w:rPr>
        <w:t>1.</w:t>
      </w:r>
      <w:r>
        <w:t>系统说明文件；</w:t>
      </w:r>
    </w:p>
    <w:p>
      <w:r>
        <w:rPr>
          <w:rFonts w:hint="eastAsia"/>
        </w:rPr>
        <w:t>2.</w:t>
      </w:r>
      <w:r>
        <w:t>技术手册(安装、测试、操作、维护、故障排除等)；</w:t>
      </w:r>
    </w:p>
    <w:p>
      <w:r>
        <w:rPr>
          <w:rFonts w:hint="eastAsia"/>
        </w:rPr>
        <w:t>3.</w:t>
      </w:r>
      <w:r>
        <w:t>项目文档，应该包括：</w:t>
      </w:r>
    </w:p>
    <w:p>
      <w:pPr>
        <w:ind w:left="360"/>
      </w:pPr>
      <w:r>
        <w:t>(1)</w:t>
      </w:r>
      <w:r>
        <w:rPr>
          <w:rFonts w:hint="eastAsia"/>
        </w:rPr>
        <w:t xml:space="preserve"> </w:t>
      </w:r>
      <w:r>
        <w:t>软件需求说明书</w:t>
      </w:r>
    </w:p>
    <w:p>
      <w:pPr>
        <w:ind w:left="360"/>
      </w:pPr>
      <w:r>
        <w:t>(2)</w:t>
      </w:r>
      <w:r>
        <w:rPr>
          <w:rFonts w:hint="eastAsia"/>
        </w:rPr>
        <w:t xml:space="preserve"> </w:t>
      </w:r>
      <w:r>
        <w:rPr>
          <w:szCs w:val="21"/>
        </w:rPr>
        <w:t>系统概要设计说明书</w:t>
      </w:r>
    </w:p>
    <w:p>
      <w:pPr>
        <w:ind w:left="360"/>
      </w:pPr>
      <w:r>
        <w:t>(</w:t>
      </w:r>
      <w:r>
        <w:rPr>
          <w:rFonts w:hint="eastAsia"/>
        </w:rPr>
        <w:t>3</w:t>
      </w:r>
      <w:r>
        <w:t>)</w:t>
      </w:r>
      <w:r>
        <w:rPr>
          <w:rFonts w:hint="eastAsia"/>
        </w:rPr>
        <w:t xml:space="preserve"> 系统详细设计说明书</w:t>
      </w:r>
    </w:p>
    <w:p>
      <w:pPr>
        <w:ind w:left="360"/>
      </w:pPr>
      <w:r>
        <w:t>(</w:t>
      </w:r>
      <w:r>
        <w:rPr>
          <w:rFonts w:hint="eastAsia"/>
        </w:rPr>
        <w:t>4</w:t>
      </w:r>
      <w:r>
        <w:t>)</w:t>
      </w:r>
      <w:r>
        <w:rPr>
          <w:rFonts w:hint="eastAsia"/>
        </w:rPr>
        <w:t xml:space="preserve"> 系统数据库设计说明书</w:t>
      </w:r>
    </w:p>
    <w:p>
      <w:pPr>
        <w:ind w:left="360"/>
      </w:pPr>
      <w:r>
        <w:t>(</w:t>
      </w:r>
      <w:r>
        <w:rPr>
          <w:rFonts w:hint="eastAsia"/>
        </w:rPr>
        <w:t>5</w:t>
      </w:r>
      <w:r>
        <w:t>)</w:t>
      </w:r>
      <w:r>
        <w:rPr>
          <w:rFonts w:hint="eastAsia"/>
        </w:rPr>
        <w:t xml:space="preserve"> 数字化项目批复建设情况对照表</w:t>
      </w:r>
    </w:p>
    <w:p>
      <w:pPr>
        <w:ind w:left="360"/>
      </w:pPr>
      <w:r>
        <w:t>(</w:t>
      </w:r>
      <w:r>
        <w:rPr>
          <w:rFonts w:hint="eastAsia"/>
        </w:rPr>
        <w:t>6</w:t>
      </w:r>
      <w:r>
        <w:t>)</w:t>
      </w:r>
      <w:r>
        <w:rPr>
          <w:rFonts w:hint="eastAsia"/>
        </w:rPr>
        <w:t xml:space="preserve"> </w:t>
      </w:r>
      <w:r>
        <w:t>应用软件功能清单</w:t>
      </w:r>
    </w:p>
    <w:p>
      <w:pPr>
        <w:ind w:left="360"/>
        <w:rPr>
          <w:szCs w:val="21"/>
        </w:rPr>
      </w:pPr>
      <w:r>
        <w:t>(</w:t>
      </w:r>
      <w:r>
        <w:rPr>
          <w:rFonts w:hint="eastAsia"/>
        </w:rPr>
        <w:t>7</w:t>
      </w:r>
      <w:r>
        <w:t>)</w:t>
      </w:r>
      <w:r>
        <w:rPr>
          <w:rFonts w:hint="eastAsia"/>
        </w:rPr>
        <w:t xml:space="preserve"> </w:t>
      </w:r>
      <w:r>
        <w:rPr>
          <w:rFonts w:hint="eastAsia"/>
          <w:szCs w:val="21"/>
        </w:rPr>
        <w:t>三方功能需求确认单</w:t>
      </w:r>
    </w:p>
    <w:p>
      <w:pPr>
        <w:ind w:left="360"/>
        <w:rPr>
          <w:szCs w:val="21"/>
        </w:rPr>
      </w:pPr>
      <w:r>
        <w:t>(</w:t>
      </w:r>
      <w:r>
        <w:rPr>
          <w:rFonts w:hint="eastAsia"/>
        </w:rPr>
        <w:t>8</w:t>
      </w:r>
      <w:r>
        <w:t>)</w:t>
      </w:r>
      <w:r>
        <w:rPr>
          <w:rFonts w:hint="eastAsia"/>
        </w:rPr>
        <w:t xml:space="preserve"> </w:t>
      </w:r>
      <w:r>
        <w:rPr>
          <w:szCs w:val="21"/>
        </w:rPr>
        <w:t>测试报告</w:t>
      </w:r>
    </w:p>
    <w:p>
      <w:pPr>
        <w:ind w:left="360"/>
      </w:pPr>
      <w:r>
        <w:t>(</w:t>
      </w:r>
      <w:r>
        <w:rPr>
          <w:rFonts w:hint="eastAsia"/>
        </w:rPr>
        <w:t>9</w:t>
      </w:r>
      <w:r>
        <w:t>)</w:t>
      </w:r>
      <w:r>
        <w:rPr>
          <w:rFonts w:hint="eastAsia"/>
        </w:rPr>
        <w:t xml:space="preserve"> </w:t>
      </w:r>
      <w:r>
        <w:rPr>
          <w:szCs w:val="21"/>
        </w:rPr>
        <w:t>用户使用手册</w:t>
      </w:r>
    </w:p>
    <w:p>
      <w:r>
        <w:rPr>
          <w:rFonts w:hint="eastAsia"/>
        </w:rPr>
        <w:t>提供全套技术文件纸介质</w:t>
      </w:r>
      <w:r>
        <w:t>3套以及电子文件1套。</w:t>
      </w:r>
    </w:p>
    <w:p>
      <w:pPr>
        <w:pStyle w:val="3"/>
      </w:pPr>
      <w:r>
        <w:rPr>
          <w:rFonts w:hint="eastAsia"/>
        </w:rPr>
        <w:t>数据要求</w:t>
      </w:r>
    </w:p>
    <w:p>
      <w:pPr>
        <w:pStyle w:val="107"/>
        <w:snapToGrid w:val="0"/>
        <w:spacing w:line="360" w:lineRule="auto"/>
        <w:ind w:firstLine="480"/>
        <w:rPr>
          <w:rFonts w:ascii="宋体" w:hAnsi="宋体"/>
          <w:sz w:val="24"/>
          <w:szCs w:val="24"/>
        </w:rPr>
      </w:pPr>
      <w:r>
        <w:rPr>
          <w:rFonts w:hint="eastAsia" w:ascii="宋体" w:hAnsi="宋体"/>
          <w:sz w:val="24"/>
          <w:szCs w:val="24"/>
        </w:rPr>
        <w:t>1、数据库设计文档中，原则上应包括所有二级功能模块对应的数据库表。</w:t>
      </w:r>
    </w:p>
    <w:p>
      <w:pPr>
        <w:pStyle w:val="107"/>
        <w:snapToGrid w:val="0"/>
        <w:spacing w:line="360" w:lineRule="auto"/>
        <w:ind w:firstLine="480"/>
        <w:rPr>
          <w:rFonts w:ascii="宋体" w:hAnsi="宋体"/>
          <w:sz w:val="24"/>
          <w:szCs w:val="24"/>
        </w:rPr>
      </w:pPr>
      <w:r>
        <w:rPr>
          <w:rFonts w:hint="eastAsia" w:ascii="宋体" w:hAnsi="宋体"/>
          <w:sz w:val="24"/>
          <w:szCs w:val="24"/>
        </w:rPr>
        <w:t>2、业务功能模块涉及的业务对象、业务结果的数据库表应完成数据编目上链。</w:t>
      </w:r>
    </w:p>
    <w:p>
      <w:pPr>
        <w:pStyle w:val="107"/>
        <w:snapToGrid w:val="0"/>
        <w:spacing w:line="360" w:lineRule="auto"/>
        <w:ind w:firstLine="480"/>
        <w:rPr>
          <w:rFonts w:ascii="宋体" w:hAnsi="宋体"/>
          <w:sz w:val="24"/>
          <w:szCs w:val="24"/>
        </w:rPr>
      </w:pPr>
      <w:r>
        <w:rPr>
          <w:rFonts w:hint="eastAsia" w:ascii="宋体" w:hAnsi="宋体"/>
          <w:sz w:val="24"/>
          <w:szCs w:val="24"/>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pStyle w:val="107"/>
        <w:snapToGrid w:val="0"/>
        <w:spacing w:line="360" w:lineRule="auto"/>
        <w:ind w:firstLine="480"/>
        <w:rPr>
          <w:rFonts w:ascii="宋体" w:hAnsi="宋体"/>
          <w:sz w:val="24"/>
          <w:szCs w:val="24"/>
        </w:rPr>
      </w:pPr>
      <w:r>
        <w:rPr>
          <w:rFonts w:hint="eastAsia" w:ascii="宋体" w:hAnsi="宋体"/>
          <w:sz w:val="24"/>
          <w:szCs w:val="24"/>
        </w:rPr>
        <w:t>4、系统应具备与分中心指定的数据中台对接并实现数据归集和共享的能力。</w:t>
      </w:r>
    </w:p>
    <w:p>
      <w:pPr>
        <w:pStyle w:val="107"/>
        <w:snapToGrid w:val="0"/>
        <w:spacing w:line="360" w:lineRule="auto"/>
        <w:ind w:firstLine="480"/>
        <w:rPr>
          <w:rFonts w:ascii="宋体" w:hAnsi="宋体"/>
          <w:sz w:val="24"/>
          <w:szCs w:val="24"/>
        </w:rPr>
      </w:pPr>
      <w:r>
        <w:rPr>
          <w:rFonts w:hint="eastAsia" w:ascii="宋体" w:hAnsi="宋体"/>
          <w:sz w:val="24"/>
          <w:szCs w:val="24"/>
        </w:rPr>
        <w:t>5、配合完成业务数据标准编制，并按照相关管理规则和技术规范完成数据归集。</w:t>
      </w:r>
    </w:p>
    <w:p>
      <w:pPr>
        <w:pStyle w:val="107"/>
        <w:snapToGrid w:val="0"/>
        <w:spacing w:line="360" w:lineRule="auto"/>
        <w:ind w:firstLine="480"/>
        <w:rPr>
          <w:rFonts w:ascii="宋体" w:hAnsi="宋体"/>
          <w:sz w:val="24"/>
          <w:szCs w:val="24"/>
        </w:rPr>
      </w:pPr>
      <w:r>
        <w:rPr>
          <w:rFonts w:hint="eastAsia" w:ascii="宋体" w:hAnsi="宋体"/>
          <w:sz w:val="24"/>
          <w:szCs w:val="24"/>
        </w:rPr>
        <w:t>6、在项目验收前按大数据中心要求完成数据资源编目上链，具体将以市大数据中心的数据资源管理要求和项目实际实施情况作调整。</w:t>
      </w:r>
    </w:p>
    <w:p>
      <w:pPr>
        <w:pStyle w:val="2"/>
      </w:pPr>
      <w:r>
        <w:rPr>
          <w:rFonts w:hint="eastAsia"/>
        </w:rPr>
        <w:t>供应商资质要求</w:t>
      </w:r>
    </w:p>
    <w:p>
      <w:r>
        <w:t>1、符合《中华人民共和国政府采购法》第二十二条规定的供应商。</w:t>
      </w:r>
    </w:p>
    <w:p>
      <w:r>
        <w:t>2、根据《上海市政府采购供应商登记及诚信管理办法》已登记入库的供应商。</w:t>
      </w:r>
    </w:p>
    <w:p>
      <w:r>
        <w:t>3、其他资格要求</w:t>
      </w:r>
      <w:r>
        <w:rPr>
          <w:rFonts w:hint="eastAsia"/>
        </w:rPr>
        <w:t>：</w:t>
      </w:r>
    </w:p>
    <w:p>
      <w:r>
        <w:t>3.</w:t>
      </w:r>
      <w:r>
        <w:rPr>
          <w:rFonts w:hint="eastAsia"/>
        </w:rPr>
        <w:t>1</w:t>
      </w:r>
      <w:r>
        <w:t>本项目面向大、中、小、微型等各类供应商采购。</w:t>
      </w:r>
    </w:p>
    <w:p>
      <w:r>
        <w:t>3.</w:t>
      </w:r>
      <w:r>
        <w:rPr>
          <w:rFonts w:hint="eastAsia"/>
        </w:rPr>
        <w:t>2</w:t>
      </w:r>
      <w:r>
        <w:t>未被列入“信用中国”网站(www.creditchina.gov.cn)失信被执行人名单、重大税收违法案件当事人名单和中国政府采购网(www.ccgp.gov.cn)政府采购严重违法失信行为记录名单。</w:t>
      </w:r>
    </w:p>
    <w:p>
      <w:pPr>
        <w:pStyle w:val="2"/>
      </w:pPr>
      <w:r>
        <w:rPr>
          <w:rFonts w:hint="eastAsia"/>
        </w:rPr>
        <w:t>供应商管理要求</w:t>
      </w:r>
      <w:bookmarkEnd w:id="35"/>
    </w:p>
    <w:p>
      <w:pPr>
        <w:pStyle w:val="94"/>
        <w:ind w:firstLine="480"/>
        <w:rPr>
          <w:sz w:val="24"/>
          <w:szCs w:val="24"/>
        </w:rPr>
      </w:pPr>
      <w:r>
        <w:rPr>
          <w:rFonts w:hint="eastAsia"/>
          <w:sz w:val="24"/>
          <w:szCs w:val="24"/>
        </w:rPr>
        <w:t>1、在项目实施期间，</w:t>
      </w:r>
      <w:r>
        <w:rPr>
          <w:rFonts w:hint="eastAsia"/>
          <w:sz w:val="24"/>
          <w:szCs w:val="24"/>
          <w:lang w:eastAsia="zh-CN"/>
        </w:rPr>
        <w:t>成交供应商</w:t>
      </w:r>
      <w:r>
        <w:rPr>
          <w:rFonts w:hint="eastAsia"/>
          <w:sz w:val="24"/>
          <w:szCs w:val="24"/>
        </w:rPr>
        <w:t>应严格执行国家、地方、行业有关本项目业务管理和安全作业的法律、法规和制度并按规定承担相应的费用。</w:t>
      </w:r>
      <w:r>
        <w:rPr>
          <w:rFonts w:hint="eastAsia"/>
          <w:sz w:val="24"/>
          <w:szCs w:val="24"/>
          <w:lang w:eastAsia="zh-CN"/>
        </w:rPr>
        <w:t>成交供应商</w:t>
      </w:r>
      <w:r>
        <w:rPr>
          <w:rFonts w:hint="eastAsia"/>
          <w:sz w:val="24"/>
          <w:szCs w:val="24"/>
        </w:rPr>
        <w:t>因违反规定等原因造成的一切损失和责任由</w:t>
      </w:r>
      <w:r>
        <w:rPr>
          <w:rFonts w:hint="eastAsia"/>
          <w:sz w:val="24"/>
          <w:szCs w:val="24"/>
          <w:lang w:eastAsia="zh-CN"/>
        </w:rPr>
        <w:t>成交供应商</w:t>
      </w:r>
      <w:r>
        <w:rPr>
          <w:rFonts w:hint="eastAsia"/>
          <w:sz w:val="24"/>
          <w:szCs w:val="24"/>
        </w:rPr>
        <w:t>自行承担。</w:t>
      </w:r>
    </w:p>
    <w:p>
      <w:pPr>
        <w:pStyle w:val="94"/>
        <w:ind w:firstLine="480"/>
        <w:rPr>
          <w:sz w:val="24"/>
          <w:szCs w:val="24"/>
        </w:rPr>
      </w:pPr>
      <w:r>
        <w:rPr>
          <w:rFonts w:hint="eastAsia"/>
          <w:sz w:val="24"/>
          <w:szCs w:val="24"/>
        </w:rPr>
        <w:t>2、</w:t>
      </w:r>
      <w:r>
        <w:rPr>
          <w:rFonts w:hint="eastAsia"/>
          <w:sz w:val="24"/>
          <w:szCs w:val="24"/>
          <w:lang w:eastAsia="zh-CN"/>
        </w:rPr>
        <w:t>成交供应商</w:t>
      </w:r>
      <w:r>
        <w:rPr>
          <w:rFonts w:hint="eastAsia"/>
          <w:sz w:val="24"/>
          <w:szCs w:val="24"/>
        </w:rPr>
        <w:t>在</w:t>
      </w:r>
      <w:r>
        <w:rPr>
          <w:rFonts w:hint="eastAsia"/>
          <w:sz w:val="24"/>
          <w:szCs w:val="24"/>
          <w:lang w:eastAsia="zh-CN"/>
        </w:rPr>
        <w:t>响应文件</w:t>
      </w:r>
      <w:r>
        <w:rPr>
          <w:rFonts w:hint="eastAsia"/>
          <w:sz w:val="24"/>
          <w:szCs w:val="24"/>
        </w:rPr>
        <w:t>中承诺并经</w:t>
      </w:r>
      <w:r>
        <w:rPr>
          <w:rFonts w:hint="eastAsia"/>
          <w:sz w:val="24"/>
          <w:szCs w:val="24"/>
          <w:lang w:eastAsia="zh-CN"/>
        </w:rPr>
        <w:t>采购人</w:t>
      </w:r>
      <w:r>
        <w:rPr>
          <w:rFonts w:hint="eastAsia"/>
          <w:sz w:val="24"/>
          <w:szCs w:val="24"/>
        </w:rPr>
        <w:t>认定的项目负责人及专业技术人员必须是本单位职工（在本单位缴纳社会保障金）和该项目实施的实际操作者，应具有类似本项目的实施经验。未经采购人同意，</w:t>
      </w:r>
      <w:r>
        <w:rPr>
          <w:rFonts w:hint="eastAsia"/>
          <w:sz w:val="24"/>
          <w:szCs w:val="24"/>
          <w:lang w:eastAsia="zh-CN"/>
        </w:rPr>
        <w:t>成交供应商</w:t>
      </w:r>
      <w:r>
        <w:rPr>
          <w:rFonts w:hint="eastAsia"/>
          <w:sz w:val="24"/>
          <w:szCs w:val="24"/>
        </w:rPr>
        <w:t>不得调换或撤离上述人员。如采购人认为有必要，可要求</w:t>
      </w:r>
      <w:r>
        <w:rPr>
          <w:rFonts w:hint="eastAsia"/>
          <w:sz w:val="24"/>
          <w:szCs w:val="24"/>
          <w:lang w:eastAsia="zh-CN"/>
        </w:rPr>
        <w:t>成交供应商</w:t>
      </w:r>
      <w:r>
        <w:rPr>
          <w:rFonts w:hint="eastAsia"/>
          <w:sz w:val="24"/>
          <w:szCs w:val="24"/>
        </w:rPr>
        <w:t>对上述人员中的部分人员作出更好的调整。</w:t>
      </w:r>
    </w:p>
    <w:p>
      <w:pPr>
        <w:pStyle w:val="94"/>
        <w:ind w:firstLine="480"/>
        <w:rPr>
          <w:sz w:val="24"/>
          <w:szCs w:val="24"/>
        </w:rPr>
      </w:pPr>
      <w:r>
        <w:rPr>
          <w:rFonts w:hint="eastAsia"/>
          <w:sz w:val="24"/>
          <w:szCs w:val="24"/>
        </w:rPr>
        <w:t>3、</w:t>
      </w:r>
      <w:r>
        <w:rPr>
          <w:rFonts w:hint="eastAsia"/>
          <w:sz w:val="24"/>
          <w:szCs w:val="24"/>
          <w:lang w:eastAsia="zh-CN"/>
        </w:rPr>
        <w:t>成交供应商</w:t>
      </w:r>
      <w:r>
        <w:rPr>
          <w:rFonts w:hint="eastAsia"/>
          <w:sz w:val="24"/>
          <w:szCs w:val="24"/>
        </w:rPr>
        <w:t>在项目实施期间，应按项目实际进度与环节落实所对应项目整体及各环节管理工作，按照规范做好项目实施期间相关管理与实施记录。</w:t>
      </w:r>
    </w:p>
    <w:p>
      <w:pPr>
        <w:pStyle w:val="94"/>
        <w:ind w:firstLine="480"/>
        <w:rPr>
          <w:sz w:val="24"/>
          <w:szCs w:val="24"/>
        </w:rPr>
      </w:pPr>
      <w:r>
        <w:rPr>
          <w:rFonts w:hint="eastAsia"/>
          <w:sz w:val="24"/>
          <w:szCs w:val="24"/>
        </w:rPr>
        <w:t>4、参与本项目的工作人员应严格遵循采购人的安全制度，保障采购人资料和设备的安全。</w:t>
      </w:r>
      <w:r>
        <w:rPr>
          <w:rFonts w:hint="eastAsia"/>
          <w:sz w:val="24"/>
          <w:szCs w:val="24"/>
          <w:lang w:eastAsia="zh-CN"/>
        </w:rPr>
        <w:t>成交供应商</w:t>
      </w:r>
      <w:r>
        <w:rPr>
          <w:rFonts w:hint="eastAsia"/>
          <w:sz w:val="24"/>
          <w:szCs w:val="24"/>
        </w:rPr>
        <w:t>如需进入采购人机房工作，只能在采购人规定的工作区域内对项目涉及的设备进行操作，严禁触动与项目无关的任何设备（包括任何操作行为），如需跨区操作必须得到采购人项目联系人确认。</w:t>
      </w:r>
    </w:p>
    <w:p>
      <w:pPr>
        <w:pStyle w:val="94"/>
        <w:ind w:firstLine="480"/>
        <w:rPr>
          <w:sz w:val="24"/>
          <w:szCs w:val="24"/>
        </w:rPr>
      </w:pPr>
      <w:r>
        <w:rPr>
          <w:rFonts w:hint="eastAsia"/>
          <w:sz w:val="24"/>
          <w:szCs w:val="24"/>
        </w:rPr>
        <w:t>5、</w:t>
      </w:r>
      <w:r>
        <w:rPr>
          <w:rFonts w:hint="eastAsia"/>
          <w:sz w:val="24"/>
          <w:szCs w:val="24"/>
          <w:lang w:eastAsia="zh-CN"/>
        </w:rPr>
        <w:t>成交供应商</w:t>
      </w:r>
      <w:r>
        <w:rPr>
          <w:rFonts w:hint="eastAsia"/>
          <w:sz w:val="24"/>
          <w:szCs w:val="24"/>
        </w:rPr>
        <w:t>在项目实施期间必须遵守采购人的规章制度并提供实施人员名单。</w:t>
      </w:r>
    </w:p>
    <w:p>
      <w:pPr>
        <w:pStyle w:val="94"/>
        <w:ind w:firstLine="480"/>
        <w:rPr>
          <w:sz w:val="24"/>
          <w:szCs w:val="24"/>
        </w:rPr>
      </w:pPr>
      <w:r>
        <w:rPr>
          <w:rFonts w:hint="eastAsia"/>
          <w:sz w:val="24"/>
          <w:szCs w:val="24"/>
        </w:rPr>
        <w:t>6、各</w:t>
      </w:r>
      <w:r>
        <w:rPr>
          <w:rFonts w:hint="eastAsia"/>
          <w:sz w:val="24"/>
          <w:szCs w:val="24"/>
          <w:lang w:eastAsia="zh-CN"/>
        </w:rPr>
        <w:t>供应商</w:t>
      </w:r>
      <w:r>
        <w:rPr>
          <w:rFonts w:hint="eastAsia"/>
          <w:sz w:val="24"/>
          <w:szCs w:val="24"/>
        </w:rPr>
        <w:t>在</w:t>
      </w:r>
      <w:r>
        <w:rPr>
          <w:rFonts w:hint="eastAsia"/>
          <w:sz w:val="24"/>
          <w:szCs w:val="24"/>
          <w:lang w:eastAsia="zh-CN"/>
        </w:rPr>
        <w:t>响应文件</w:t>
      </w:r>
      <w:r>
        <w:rPr>
          <w:rFonts w:hint="eastAsia"/>
          <w:sz w:val="24"/>
          <w:szCs w:val="24"/>
        </w:rPr>
        <w:t>中要结合本项目的特点和采购人上述的具体要求制定相应的管理措施，并在报价中列支相应的费用清单，</w:t>
      </w:r>
      <w:r>
        <w:rPr>
          <w:rFonts w:hint="eastAsia"/>
          <w:sz w:val="24"/>
          <w:szCs w:val="24"/>
          <w:lang w:eastAsia="zh-CN"/>
        </w:rPr>
        <w:t>供应商</w:t>
      </w:r>
      <w:r>
        <w:rPr>
          <w:rFonts w:hint="eastAsia"/>
          <w:sz w:val="24"/>
          <w:szCs w:val="24"/>
        </w:rPr>
        <w:t>报价中未列支上述费用清单的，上述费用视为已包含在</w:t>
      </w:r>
      <w:r>
        <w:rPr>
          <w:rFonts w:hint="eastAsia"/>
          <w:sz w:val="24"/>
          <w:szCs w:val="24"/>
          <w:lang w:eastAsia="zh-CN"/>
        </w:rPr>
        <w:t>供应商</w:t>
      </w:r>
      <w:r>
        <w:rPr>
          <w:rFonts w:hint="eastAsia"/>
          <w:sz w:val="24"/>
          <w:szCs w:val="24"/>
        </w:rPr>
        <w:t>的总报价中。</w:t>
      </w:r>
    </w:p>
    <w:p>
      <w:pPr>
        <w:pStyle w:val="94"/>
        <w:ind w:firstLine="480"/>
      </w:pPr>
      <w:r>
        <w:rPr>
          <w:rFonts w:hint="eastAsia"/>
          <w:sz w:val="24"/>
          <w:szCs w:val="24"/>
        </w:rPr>
        <w:t>7、本项目软件开发及调试将纳入采购人的管理范围，</w:t>
      </w:r>
      <w:r>
        <w:rPr>
          <w:rFonts w:hint="eastAsia"/>
          <w:sz w:val="24"/>
          <w:szCs w:val="24"/>
          <w:lang w:eastAsia="zh-CN"/>
        </w:rPr>
        <w:t>成交供应商</w:t>
      </w:r>
      <w:r>
        <w:rPr>
          <w:rFonts w:hint="eastAsia"/>
          <w:sz w:val="24"/>
          <w:szCs w:val="24"/>
        </w:rPr>
        <w:t>在此过程中须服从上述单位的管理协调。</w:t>
      </w:r>
    </w:p>
    <w:p>
      <w:pPr>
        <w:pStyle w:val="2"/>
      </w:pPr>
      <w:bookmarkStart w:id="36" w:name="_Toc63785513"/>
      <w:r>
        <w:rPr>
          <w:rFonts w:hint="eastAsia"/>
        </w:rPr>
        <w:t>关于转让和分包的规定</w:t>
      </w:r>
    </w:p>
    <w:p>
      <w:r>
        <w:rPr>
          <w:rFonts w:hint="eastAsia"/>
        </w:rPr>
        <w:t>本项目不得转让分包。</w:t>
      </w:r>
    </w:p>
    <w:p>
      <w:pPr>
        <w:pStyle w:val="2"/>
      </w:pPr>
      <w:r>
        <w:rPr>
          <w:rFonts w:hint="eastAsia"/>
        </w:rPr>
        <w:t>知识产权及保密要求</w:t>
      </w:r>
      <w:bookmarkEnd w:id="36"/>
    </w:p>
    <w:p>
      <w:pPr>
        <w:ind w:firstLine="482"/>
        <w:rPr>
          <w:b/>
        </w:rPr>
      </w:pPr>
      <w:r>
        <w:rPr>
          <w:b/>
        </w:rPr>
        <w:t>1、</w:t>
      </w:r>
      <w:r>
        <w:rPr>
          <w:rFonts w:hint="eastAsia"/>
          <w:b/>
          <w:lang w:eastAsia="zh-CN"/>
        </w:rPr>
        <w:t>成交供应商</w:t>
      </w:r>
      <w:r>
        <w:rPr>
          <w:b/>
        </w:rPr>
        <w:t>数据、文件、资料知识产权</w:t>
      </w:r>
    </w:p>
    <w:p>
      <w:r>
        <w:rPr>
          <w:rFonts w:hint="eastAsia"/>
          <w:lang w:eastAsia="zh-CN"/>
        </w:rPr>
        <w:t>成交供应商</w:t>
      </w:r>
      <w:r>
        <w:rPr>
          <w:rFonts w:hint="eastAsia"/>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lang w:eastAsia="zh-CN"/>
        </w:rPr>
        <w:t>成交供应商</w:t>
      </w:r>
      <w:r>
        <w:rPr>
          <w:rFonts w:hint="eastAsia"/>
        </w:rPr>
        <w:t>应负责与第三方解决纠纷，若因此导致采购人损失的，采购人有权要求</w:t>
      </w:r>
      <w:r>
        <w:rPr>
          <w:rFonts w:hint="eastAsia"/>
          <w:lang w:eastAsia="zh-CN"/>
        </w:rPr>
        <w:t>成交供应商</w:t>
      </w:r>
      <w:r>
        <w:rPr>
          <w:rFonts w:hint="eastAsia"/>
        </w:rPr>
        <w:t>赔偿采购人因此遭受的全部损失，包括但不限于直接损失、间接损失、诉讼费／仲裁费、律师费、公证费、鉴定费等。</w:t>
      </w:r>
    </w:p>
    <w:p>
      <w:r>
        <w:rPr>
          <w:rFonts w:hint="eastAsia"/>
          <w:lang w:eastAsia="zh-CN"/>
        </w:rPr>
        <w:t>成交供应商</w:t>
      </w:r>
      <w:r>
        <w:rPr>
          <w:rFonts w:hint="eastAsia"/>
        </w:rPr>
        <w:t>因履行本项目而产生的所有成果的知识产权等权利均归采购人所有，</w:t>
      </w:r>
      <w:r>
        <w:rPr>
          <w:rFonts w:hint="eastAsia"/>
          <w:lang w:eastAsia="zh-CN"/>
        </w:rPr>
        <w:t>成交供应商</w:t>
      </w:r>
      <w:r>
        <w:rPr>
          <w:rFonts w:hint="eastAsia"/>
        </w:rPr>
        <w:t>应配合采购人进行相关权利登记或申请。未经采购人书面同意，</w:t>
      </w:r>
      <w:r>
        <w:rPr>
          <w:rFonts w:hint="eastAsia"/>
          <w:lang w:eastAsia="zh-CN"/>
        </w:rPr>
        <w:t>成交供应商</w:t>
      </w:r>
      <w:r>
        <w:rPr>
          <w:rFonts w:hint="eastAsia"/>
        </w:rPr>
        <w:t>不得以任何形式使用或许可他人使用本项目成果的相关内容，不得擅自对外公开发表或向任何第三方透露。</w:t>
      </w:r>
    </w:p>
    <w:p>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pPr>
        <w:ind w:firstLine="482"/>
        <w:rPr>
          <w:b/>
        </w:rPr>
      </w:pPr>
      <w:r>
        <w:rPr>
          <w:b/>
        </w:rPr>
        <w:t>2、项目保密要求</w:t>
      </w:r>
    </w:p>
    <w:p>
      <w:r>
        <w:rPr>
          <w:rFonts w:hint="eastAsia"/>
          <w:lang w:eastAsia="zh-CN"/>
        </w:rPr>
        <w:t>成交供应商</w:t>
      </w:r>
      <w:r>
        <w:rPr>
          <w:rFonts w:hint="eastAsia"/>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lang w:eastAsia="zh-CN"/>
        </w:rPr>
        <w:t>成交供应商</w:t>
      </w:r>
      <w:r>
        <w:rPr>
          <w:rFonts w:hint="eastAsia"/>
        </w:rPr>
        <w:t>不得对外泄露采购人要求保密的信息，不得用于其他用途，否则</w:t>
      </w:r>
      <w:r>
        <w:rPr>
          <w:rFonts w:hint="eastAsia"/>
          <w:lang w:eastAsia="zh-CN"/>
        </w:rPr>
        <w:t>成交供应商</w:t>
      </w:r>
      <w:r>
        <w:rPr>
          <w:rFonts w:hint="eastAsia"/>
        </w:rPr>
        <w:t>需承担由此引起的法律责任和经济责任，包括但不限于直接损失、间接损失、律师费、诉讼费/仲裁费、调查费、公证费等。</w:t>
      </w:r>
    </w:p>
    <w:p>
      <w:r>
        <w:rPr>
          <w:rFonts w:hint="eastAsia"/>
          <w:lang w:eastAsia="zh-CN"/>
        </w:rPr>
        <w:t>成交供应商</w:t>
      </w:r>
      <w:r>
        <w:rPr>
          <w:rFonts w:hint="eastAsia"/>
        </w:rPr>
        <w:t>应采取必要的有效措施保证其参与本项目的人员（包括</w:t>
      </w:r>
      <w:r>
        <w:rPr>
          <w:rFonts w:hint="eastAsia"/>
          <w:lang w:eastAsia="zh-CN"/>
        </w:rPr>
        <w:t>成交供应商</w:t>
      </w:r>
      <w:r>
        <w:rPr>
          <w:rFonts w:hint="eastAsia"/>
        </w:rPr>
        <w:t>聘用的人员、借调的人员、实习的人员）无论是在职或离职后，以及</w:t>
      </w:r>
      <w:r>
        <w:rPr>
          <w:rFonts w:hint="eastAsia"/>
          <w:lang w:eastAsia="zh-CN"/>
        </w:rPr>
        <w:t>成交供应商</w:t>
      </w:r>
      <w:r>
        <w:rPr>
          <w:rFonts w:hint="eastAsia"/>
        </w:rPr>
        <w:t>的合作方无论是合作中或合作终止后，都能够履行本项目约定的保密义务。若</w:t>
      </w:r>
      <w:r>
        <w:rPr>
          <w:rFonts w:hint="eastAsia"/>
          <w:lang w:eastAsia="zh-CN"/>
        </w:rPr>
        <w:t>成交供应商</w:t>
      </w:r>
      <w:r>
        <w:rPr>
          <w:rFonts w:hint="eastAsia"/>
        </w:rPr>
        <w:t>人员或</w:t>
      </w:r>
      <w:r>
        <w:rPr>
          <w:rFonts w:hint="eastAsia"/>
          <w:lang w:eastAsia="zh-CN"/>
        </w:rPr>
        <w:t>成交供应商</w:t>
      </w:r>
      <w:r>
        <w:rPr>
          <w:rFonts w:hint="eastAsia"/>
        </w:rPr>
        <w:t>合作方违反保密规定，</w:t>
      </w:r>
      <w:r>
        <w:rPr>
          <w:rFonts w:hint="eastAsia"/>
          <w:lang w:eastAsia="zh-CN"/>
        </w:rPr>
        <w:t>成交供应商</w:t>
      </w:r>
      <w:r>
        <w:rPr>
          <w:rFonts w:hint="eastAsia"/>
        </w:rPr>
        <w:t>应承担连带责任。</w:t>
      </w:r>
    </w:p>
    <w:p>
      <w:r>
        <w:rPr>
          <w:rFonts w:hint="eastAsia"/>
          <w:lang w:eastAsia="zh-CN"/>
        </w:rPr>
        <w:t>成交供应商</w:t>
      </w:r>
      <w:r>
        <w:rPr>
          <w:rFonts w:hint="eastAsia"/>
        </w:rPr>
        <w:t>（含</w:t>
      </w:r>
      <w:r>
        <w:rPr>
          <w:rFonts w:hint="eastAsia"/>
          <w:lang w:eastAsia="zh-CN"/>
        </w:rPr>
        <w:t>成交供应商</w:t>
      </w:r>
      <w:r>
        <w:rPr>
          <w:rFonts w:hint="eastAsia"/>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r>
        <w:rPr>
          <w:rFonts w:hint="eastAsia"/>
        </w:rPr>
        <w:t>以上内容的保密期限自</w:t>
      </w:r>
      <w:r>
        <w:rPr>
          <w:rFonts w:hint="eastAsia"/>
          <w:lang w:eastAsia="zh-CN"/>
        </w:rPr>
        <w:t>成交供应商</w:t>
      </w:r>
      <w:r>
        <w:rPr>
          <w:rFonts w:hint="eastAsia"/>
        </w:rPr>
        <w:t>知悉保密信息起始至保密信息被合法公开之日止。</w:t>
      </w:r>
    </w:p>
    <w:p>
      <w:pPr>
        <w:ind w:firstLine="482"/>
        <w:rPr>
          <w:b/>
        </w:rPr>
      </w:pPr>
      <w:r>
        <w:rPr>
          <w:b/>
        </w:rPr>
        <w:t>3、临时账号等使用要求</w:t>
      </w:r>
    </w:p>
    <w:p>
      <w:r>
        <w:rPr>
          <w:rFonts w:hint="eastAsia"/>
          <w:lang w:eastAsia="zh-CN"/>
        </w:rPr>
        <w:t>成交供应商</w:t>
      </w:r>
      <w:r>
        <w:rPr>
          <w:rFonts w:hint="eastAsia"/>
        </w:rPr>
        <w:t>对采购人提拱的临时使用账号要保密，不得公开，对组件开发的账号密码需进行加密，避免信息安全的泄露。未经采购人的同意不得利用采购人的网络及平台进行短信、彩信、微信发送</w:t>
      </w:r>
      <w:r>
        <w:t>,造成的一切后果由</w:t>
      </w:r>
      <w:r>
        <w:rPr>
          <w:rFonts w:hint="eastAsia"/>
          <w:lang w:eastAsia="zh-CN"/>
        </w:rPr>
        <w:t>成交供应商</w:t>
      </w:r>
      <w:r>
        <w:t>负责。</w:t>
      </w:r>
    </w:p>
    <w:p>
      <w:pPr>
        <w:pStyle w:val="2"/>
      </w:pPr>
      <w:bookmarkStart w:id="37" w:name="_Toc65170093"/>
      <w:r>
        <w:t>项目的变更、解除和终止</w:t>
      </w:r>
    </w:p>
    <w:p>
      <w:r>
        <w:rPr>
          <w:rFonts w:hint="eastAsia"/>
        </w:rPr>
        <w:t>如果</w:t>
      </w:r>
      <w:r>
        <w:rPr>
          <w:rFonts w:hint="eastAsia"/>
          <w:lang w:eastAsia="zh-CN"/>
        </w:rPr>
        <w:t>成交供应商</w:t>
      </w:r>
      <w:r>
        <w:rPr>
          <w:rFonts w:hint="eastAsia"/>
        </w:rPr>
        <w:t>丧失履约能力、发生资不抵债或进入破产程序，采购人可在任何时候以书面形式通知</w:t>
      </w:r>
      <w:r>
        <w:rPr>
          <w:rFonts w:hint="eastAsia"/>
          <w:lang w:eastAsia="zh-CN"/>
        </w:rPr>
        <w:t>成交供应商</w:t>
      </w:r>
      <w:r>
        <w:rPr>
          <w:rFonts w:hint="eastAsia"/>
        </w:rPr>
        <w:t>终止本项目的执行而不给予</w:t>
      </w:r>
      <w:r>
        <w:rPr>
          <w:rFonts w:hint="eastAsia"/>
          <w:lang w:eastAsia="zh-CN"/>
        </w:rPr>
        <w:t>成交供应商</w:t>
      </w:r>
      <w:r>
        <w:rPr>
          <w:rFonts w:hint="eastAsia"/>
        </w:rPr>
        <w:t>补偿。该终止本项目将不损害或影响采购人已经采取或将要采取任何行动或补救措施的权利。</w:t>
      </w:r>
    </w:p>
    <w:p>
      <w:r>
        <w:rPr>
          <w:rFonts w:hint="eastAsia"/>
        </w:rPr>
        <w:t>如遇国家、行业管理部门等机构的有关标准和规定调整的，导致本项目内容须做相应调整时，双方应按照公平、合理的原则共同协商修改本项目对应的合同的相关条款。</w:t>
      </w:r>
    </w:p>
    <w:bookmarkEnd w:id="37"/>
    <w:p>
      <w:pPr>
        <w:pStyle w:val="2"/>
      </w:pPr>
      <w:bookmarkStart w:id="38" w:name="_Toc63785514"/>
      <w:r>
        <w:rPr>
          <w:rFonts w:hint="eastAsia"/>
        </w:rPr>
        <w:t>付款</w:t>
      </w:r>
      <w:bookmarkEnd w:id="38"/>
      <w:r>
        <w:rPr>
          <w:rFonts w:hint="eastAsia"/>
        </w:rPr>
        <w:t>方式</w:t>
      </w:r>
    </w:p>
    <w:p>
      <w:pPr>
        <w:rPr>
          <w:rFonts w:hint="eastAsia"/>
        </w:rPr>
      </w:pPr>
      <w:r>
        <w:rPr>
          <w:rFonts w:hint="eastAsia"/>
        </w:rPr>
        <w:t>本项目拟采用二期分期付款方式付款</w:t>
      </w:r>
    </w:p>
    <w:p>
      <w:pPr>
        <w:rPr>
          <w:rFonts w:hint="eastAsia"/>
        </w:rPr>
      </w:pPr>
      <w:r>
        <w:rPr>
          <w:rFonts w:hint="eastAsia"/>
        </w:rPr>
        <w:t>a.合同签订生效且收到发票后10个工作日内，支付合同总价款的 70 %；</w:t>
      </w:r>
    </w:p>
    <w:p>
      <w:pPr>
        <w:rPr>
          <w:rFonts w:hint="eastAsia"/>
        </w:rPr>
      </w:pPr>
      <w:r>
        <w:rPr>
          <w:rFonts w:hint="eastAsia"/>
        </w:rPr>
        <w:t>b.本项目通过最终验收且收到发票后10个工作日内，支付合同总价款的尾款。</w:t>
      </w:r>
    </w:p>
    <w:p>
      <w:pPr>
        <w:rPr>
          <w:rFonts w:hint="eastAsia" w:eastAsia="宋体"/>
          <w:lang w:eastAsia="zh-CN"/>
        </w:rPr>
      </w:pPr>
      <w:r>
        <w:rPr>
          <w:rFonts w:hint="eastAsia"/>
        </w:rPr>
        <w:t>付款条件备注：服务提供方应当在采购方每次付款前提前至少10个工作日向采购方提供有效发票</w:t>
      </w:r>
      <w:r>
        <w:rPr>
          <w:rFonts w:hint="eastAsia"/>
          <w:lang w:eastAsia="zh-CN"/>
        </w:rPr>
        <w:t>。</w:t>
      </w:r>
    </w:p>
    <w:p>
      <w:pPr>
        <w:pStyle w:val="2"/>
      </w:pPr>
      <w:r>
        <w:rPr>
          <w:rFonts w:hint="eastAsia"/>
        </w:rPr>
        <w:t>附录</w:t>
      </w:r>
    </w:p>
    <w:p>
      <w:pPr>
        <w:ind w:firstLine="0" w:firstLineChars="0"/>
      </w:pPr>
      <w:r>
        <w:rPr>
          <w:rFonts w:hint="eastAsia"/>
        </w:rPr>
        <w:t>1、</w:t>
      </w:r>
      <w:r>
        <w:t>《政务网络安全监测平台总体技术要求》</w:t>
      </w:r>
    </w:p>
    <w:p>
      <w:pPr>
        <w:ind w:firstLine="0" w:firstLineChars="0"/>
      </w:pPr>
      <w:r>
        <w:object>
          <v:shape id="_x0000_i1025" o:spt="75" type="#_x0000_t75" style="height:54.85pt;width:76.4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85pt;width:76.4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pStyle w:val="35"/>
        <w:ind w:firstLine="210"/>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Songti SC Regular">
    <w:altName w:val="华文新魏"/>
    <w:panose1 w:val="0201080004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CB54126"/>
    <w:multiLevelType w:val="multilevel"/>
    <w:tmpl w:val="6CB54126"/>
    <w:lvl w:ilvl="0" w:tentative="0">
      <w:start w:val="1"/>
      <w:numFmt w:val="chineseCountingThousand"/>
      <w:pStyle w:val="2"/>
      <w:suff w:val="nothing"/>
      <w:lvlText w:val="%1、"/>
      <w:lvlJc w:val="left"/>
      <w:pPr>
        <w:ind w:left="1440" w:hanging="425"/>
      </w:pPr>
      <w:rPr>
        <w:rFonts w:hint="eastAsia"/>
        <w:sz w:val="32"/>
        <w:szCs w:val="32"/>
      </w:rPr>
    </w:lvl>
    <w:lvl w:ilvl="1" w:tentative="0">
      <w:start w:val="1"/>
      <w:numFmt w:val="decimal"/>
      <w:pStyle w:val="3"/>
      <w:isLgl/>
      <w:suff w:val="nothing"/>
      <w:lvlText w:val="%1.%2、"/>
      <w:lvlJc w:val="left"/>
      <w:pPr>
        <w:ind w:left="480" w:hanging="567"/>
      </w:pPr>
      <w:rPr>
        <w:rFonts w:hint="eastAsia"/>
      </w:rPr>
    </w:lvl>
    <w:lvl w:ilvl="2" w:tentative="0">
      <w:start w:val="1"/>
      <w:numFmt w:val="decimal"/>
      <w:pStyle w:val="5"/>
      <w:isLgl/>
      <w:suff w:val="nothing"/>
      <w:lvlText w:val="%1.%2.%3、"/>
      <w:lvlJc w:val="left"/>
      <w:pPr>
        <w:ind w:left="1069" w:hanging="1069"/>
      </w:pPr>
      <w:rPr>
        <w:rFonts w:hint="eastAsia" w:ascii="宋体" w:hAnsi="宋体" w:eastAsia="宋体" w:cs="Arial"/>
      </w:rPr>
    </w:lvl>
    <w:lvl w:ilvl="3" w:tentative="0">
      <w:start w:val="1"/>
      <w:numFmt w:val="decimal"/>
      <w:pStyle w:val="6"/>
      <w:isLgl/>
      <w:suff w:val="nothing"/>
      <w:lvlText w:val="%1.%2.%3.%4、"/>
      <w:lvlJc w:val="left"/>
      <w:pPr>
        <w:ind w:left="3403" w:hanging="851"/>
      </w:pPr>
      <w:rPr>
        <w:rFonts w:hint="eastAsia"/>
      </w:r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5NTVlZjJjZjRmMTc1MjA1YjkxMGQ3NTA5YzI0OWYifQ=="/>
  </w:docVars>
  <w:rsids>
    <w:rsidRoot w:val="00172A27"/>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3CBC"/>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2A27"/>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B5D71"/>
    <w:rsid w:val="001B6C1F"/>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1EC9"/>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2B86"/>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2DF2"/>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0497"/>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0976"/>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2191"/>
    <w:rsid w:val="0052369D"/>
    <w:rsid w:val="005271DB"/>
    <w:rsid w:val="00530D2F"/>
    <w:rsid w:val="0053487C"/>
    <w:rsid w:val="005356E1"/>
    <w:rsid w:val="00536A8B"/>
    <w:rsid w:val="00540418"/>
    <w:rsid w:val="00541955"/>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A620E"/>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257B"/>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1FB8"/>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4A46"/>
    <w:rsid w:val="007057CC"/>
    <w:rsid w:val="007066F2"/>
    <w:rsid w:val="00706AE5"/>
    <w:rsid w:val="0070740A"/>
    <w:rsid w:val="00711F93"/>
    <w:rsid w:val="00712940"/>
    <w:rsid w:val="0071428C"/>
    <w:rsid w:val="00715A16"/>
    <w:rsid w:val="007164B0"/>
    <w:rsid w:val="007166FF"/>
    <w:rsid w:val="007260CC"/>
    <w:rsid w:val="00726543"/>
    <w:rsid w:val="0073353E"/>
    <w:rsid w:val="00736001"/>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A0494"/>
    <w:rsid w:val="007A3406"/>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58E"/>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5218"/>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41B3"/>
    <w:rsid w:val="009F54F2"/>
    <w:rsid w:val="00A0056B"/>
    <w:rsid w:val="00A01657"/>
    <w:rsid w:val="00A01C65"/>
    <w:rsid w:val="00A0213D"/>
    <w:rsid w:val="00A04C73"/>
    <w:rsid w:val="00A0679A"/>
    <w:rsid w:val="00A07A2B"/>
    <w:rsid w:val="00A11A4F"/>
    <w:rsid w:val="00A12375"/>
    <w:rsid w:val="00A125B8"/>
    <w:rsid w:val="00A13124"/>
    <w:rsid w:val="00A15370"/>
    <w:rsid w:val="00A156AB"/>
    <w:rsid w:val="00A16B8D"/>
    <w:rsid w:val="00A21293"/>
    <w:rsid w:val="00A2134B"/>
    <w:rsid w:val="00A21623"/>
    <w:rsid w:val="00A220EB"/>
    <w:rsid w:val="00A22302"/>
    <w:rsid w:val="00A25F1B"/>
    <w:rsid w:val="00A31117"/>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4418"/>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356"/>
    <w:rsid w:val="00A94556"/>
    <w:rsid w:val="00A966E2"/>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0E"/>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76F0"/>
    <w:rsid w:val="00B900FE"/>
    <w:rsid w:val="00B9064C"/>
    <w:rsid w:val="00BA0A14"/>
    <w:rsid w:val="00BA228D"/>
    <w:rsid w:val="00BA398D"/>
    <w:rsid w:val="00BA39D3"/>
    <w:rsid w:val="00BA5C56"/>
    <w:rsid w:val="00BA776F"/>
    <w:rsid w:val="00BB0C0D"/>
    <w:rsid w:val="00BB0D69"/>
    <w:rsid w:val="00BB11C8"/>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01B7"/>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4B4"/>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96AB0"/>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5646"/>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195C"/>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941"/>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105C"/>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09B"/>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3005"/>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4676"/>
    <w:rsid w:val="00FC4901"/>
    <w:rsid w:val="00FC6FE1"/>
    <w:rsid w:val="00FC7C09"/>
    <w:rsid w:val="00FD0C3D"/>
    <w:rsid w:val="00FD2F6B"/>
    <w:rsid w:val="00FE064A"/>
    <w:rsid w:val="00FE0B55"/>
    <w:rsid w:val="00FE1E98"/>
    <w:rsid w:val="00FE2452"/>
    <w:rsid w:val="00FE5469"/>
    <w:rsid w:val="00FE66C2"/>
    <w:rsid w:val="00FE684A"/>
    <w:rsid w:val="00FE6F23"/>
    <w:rsid w:val="00FF0F8C"/>
    <w:rsid w:val="00FF408B"/>
    <w:rsid w:val="00FF43E1"/>
    <w:rsid w:val="01C0753F"/>
    <w:rsid w:val="02315D47"/>
    <w:rsid w:val="03430854"/>
    <w:rsid w:val="039F5FA6"/>
    <w:rsid w:val="04B70785"/>
    <w:rsid w:val="07CCA4CB"/>
    <w:rsid w:val="07FE2B6F"/>
    <w:rsid w:val="080D690E"/>
    <w:rsid w:val="09305ADA"/>
    <w:rsid w:val="0933385C"/>
    <w:rsid w:val="099E49B0"/>
    <w:rsid w:val="0A5847B8"/>
    <w:rsid w:val="0CA13FCC"/>
    <w:rsid w:val="0E554B03"/>
    <w:rsid w:val="0E8013B7"/>
    <w:rsid w:val="10756397"/>
    <w:rsid w:val="10D604C6"/>
    <w:rsid w:val="11B515E0"/>
    <w:rsid w:val="12BE3627"/>
    <w:rsid w:val="13A53267"/>
    <w:rsid w:val="13F970D2"/>
    <w:rsid w:val="14AA4136"/>
    <w:rsid w:val="157A5E3B"/>
    <w:rsid w:val="163A420B"/>
    <w:rsid w:val="16777D74"/>
    <w:rsid w:val="16F503D3"/>
    <w:rsid w:val="17FD6265"/>
    <w:rsid w:val="193208CA"/>
    <w:rsid w:val="19413B26"/>
    <w:rsid w:val="19C31523"/>
    <w:rsid w:val="1BDFF898"/>
    <w:rsid w:val="1C126844"/>
    <w:rsid w:val="1C4A3ECF"/>
    <w:rsid w:val="1C6D3688"/>
    <w:rsid w:val="1C974DF7"/>
    <w:rsid w:val="1CC63D0A"/>
    <w:rsid w:val="1CF2F073"/>
    <w:rsid w:val="1DC2081A"/>
    <w:rsid w:val="1DD94266"/>
    <w:rsid w:val="1EC27FFB"/>
    <w:rsid w:val="1F9D0947"/>
    <w:rsid w:val="1FFB29C6"/>
    <w:rsid w:val="2039253E"/>
    <w:rsid w:val="210617F6"/>
    <w:rsid w:val="22AF3620"/>
    <w:rsid w:val="22E70AD4"/>
    <w:rsid w:val="24F1508D"/>
    <w:rsid w:val="26213C46"/>
    <w:rsid w:val="266F634F"/>
    <w:rsid w:val="26FF3C7D"/>
    <w:rsid w:val="28AE21DE"/>
    <w:rsid w:val="291059EA"/>
    <w:rsid w:val="29805CF7"/>
    <w:rsid w:val="2A97058D"/>
    <w:rsid w:val="2BBF12EC"/>
    <w:rsid w:val="2BC649D9"/>
    <w:rsid w:val="2D371E00"/>
    <w:rsid w:val="2F8D01B1"/>
    <w:rsid w:val="32156EAE"/>
    <w:rsid w:val="326A2BB8"/>
    <w:rsid w:val="338A3D64"/>
    <w:rsid w:val="34E247F7"/>
    <w:rsid w:val="3515160D"/>
    <w:rsid w:val="355F7E4E"/>
    <w:rsid w:val="38CFDC29"/>
    <w:rsid w:val="399BAE60"/>
    <w:rsid w:val="3ABA315B"/>
    <w:rsid w:val="3BD553B9"/>
    <w:rsid w:val="3C7D00D8"/>
    <w:rsid w:val="3CA06C0C"/>
    <w:rsid w:val="3D6ED294"/>
    <w:rsid w:val="3EA25851"/>
    <w:rsid w:val="3ED719A7"/>
    <w:rsid w:val="3F12422F"/>
    <w:rsid w:val="3F6C3757"/>
    <w:rsid w:val="3F7F23FA"/>
    <w:rsid w:val="3FEFB6A8"/>
    <w:rsid w:val="3FFB8824"/>
    <w:rsid w:val="405D6A10"/>
    <w:rsid w:val="40EF280A"/>
    <w:rsid w:val="410D345B"/>
    <w:rsid w:val="419C735C"/>
    <w:rsid w:val="41DA6594"/>
    <w:rsid w:val="42AB0C22"/>
    <w:rsid w:val="42D273E0"/>
    <w:rsid w:val="444C1A75"/>
    <w:rsid w:val="44A3526F"/>
    <w:rsid w:val="44B032F4"/>
    <w:rsid w:val="453942C3"/>
    <w:rsid w:val="457D25F7"/>
    <w:rsid w:val="468341CD"/>
    <w:rsid w:val="472C2589"/>
    <w:rsid w:val="476A7356"/>
    <w:rsid w:val="47BA7997"/>
    <w:rsid w:val="491A3E7A"/>
    <w:rsid w:val="499441BE"/>
    <w:rsid w:val="4A0008D3"/>
    <w:rsid w:val="4A760AEB"/>
    <w:rsid w:val="4B00551F"/>
    <w:rsid w:val="4B3F4822"/>
    <w:rsid w:val="4D926C66"/>
    <w:rsid w:val="4E9F782B"/>
    <w:rsid w:val="4F3162CA"/>
    <w:rsid w:val="4FF9D0D1"/>
    <w:rsid w:val="50257CAF"/>
    <w:rsid w:val="50D95873"/>
    <w:rsid w:val="526102AF"/>
    <w:rsid w:val="528444DA"/>
    <w:rsid w:val="52FB976B"/>
    <w:rsid w:val="537745D5"/>
    <w:rsid w:val="54091C4C"/>
    <w:rsid w:val="543F3462"/>
    <w:rsid w:val="54B164EC"/>
    <w:rsid w:val="552306F6"/>
    <w:rsid w:val="567B1032"/>
    <w:rsid w:val="56E352D5"/>
    <w:rsid w:val="57BB05B2"/>
    <w:rsid w:val="57E435FE"/>
    <w:rsid w:val="582D0655"/>
    <w:rsid w:val="59396B30"/>
    <w:rsid w:val="5951205C"/>
    <w:rsid w:val="59D079E8"/>
    <w:rsid w:val="59D40847"/>
    <w:rsid w:val="5A571245"/>
    <w:rsid w:val="5A8A5BCB"/>
    <w:rsid w:val="5A990BC8"/>
    <w:rsid w:val="5AE37F25"/>
    <w:rsid w:val="5B79457C"/>
    <w:rsid w:val="5C545A2F"/>
    <w:rsid w:val="5CB23D47"/>
    <w:rsid w:val="5D665A1A"/>
    <w:rsid w:val="5D8FB249"/>
    <w:rsid w:val="5DBB20BA"/>
    <w:rsid w:val="5E005E6E"/>
    <w:rsid w:val="5E3E28D2"/>
    <w:rsid w:val="5E76A482"/>
    <w:rsid w:val="5E976996"/>
    <w:rsid w:val="5EF332DD"/>
    <w:rsid w:val="5EFBDE15"/>
    <w:rsid w:val="5FAF09C4"/>
    <w:rsid w:val="5FF5703A"/>
    <w:rsid w:val="5FF73B2D"/>
    <w:rsid w:val="5FFF6559"/>
    <w:rsid w:val="5FFF69BC"/>
    <w:rsid w:val="604A33D1"/>
    <w:rsid w:val="608C4642"/>
    <w:rsid w:val="624327CD"/>
    <w:rsid w:val="62795572"/>
    <w:rsid w:val="62B00C3A"/>
    <w:rsid w:val="63F0428F"/>
    <w:rsid w:val="64DD6417"/>
    <w:rsid w:val="64DFCD0E"/>
    <w:rsid w:val="65BC08CD"/>
    <w:rsid w:val="66004745"/>
    <w:rsid w:val="66E33C0F"/>
    <w:rsid w:val="67F27B79"/>
    <w:rsid w:val="67FE36AA"/>
    <w:rsid w:val="68650D3A"/>
    <w:rsid w:val="69B648EA"/>
    <w:rsid w:val="6A2D73E2"/>
    <w:rsid w:val="6A3122CF"/>
    <w:rsid w:val="6A567F20"/>
    <w:rsid w:val="6A9C8388"/>
    <w:rsid w:val="6B376215"/>
    <w:rsid w:val="6BABA285"/>
    <w:rsid w:val="6CD97953"/>
    <w:rsid w:val="6D1D5DD3"/>
    <w:rsid w:val="6ED30FD7"/>
    <w:rsid w:val="6EFBB217"/>
    <w:rsid w:val="6F3D07B6"/>
    <w:rsid w:val="6FACCF09"/>
    <w:rsid w:val="6FFF2226"/>
    <w:rsid w:val="70C25B12"/>
    <w:rsid w:val="72303324"/>
    <w:rsid w:val="727D78FD"/>
    <w:rsid w:val="73520AC2"/>
    <w:rsid w:val="73CC655F"/>
    <w:rsid w:val="73F72320"/>
    <w:rsid w:val="75957445"/>
    <w:rsid w:val="75BE16D7"/>
    <w:rsid w:val="75D01AE1"/>
    <w:rsid w:val="76E92201"/>
    <w:rsid w:val="76EFED8F"/>
    <w:rsid w:val="77524363"/>
    <w:rsid w:val="778925D9"/>
    <w:rsid w:val="77B5FBF4"/>
    <w:rsid w:val="77B917B5"/>
    <w:rsid w:val="77D99B94"/>
    <w:rsid w:val="77E52291"/>
    <w:rsid w:val="77F0F9CA"/>
    <w:rsid w:val="78703975"/>
    <w:rsid w:val="79751DB5"/>
    <w:rsid w:val="79BF9620"/>
    <w:rsid w:val="79FABF6F"/>
    <w:rsid w:val="79FD150D"/>
    <w:rsid w:val="7A9FFC26"/>
    <w:rsid w:val="7B914152"/>
    <w:rsid w:val="7BE420FD"/>
    <w:rsid w:val="7BE5EE32"/>
    <w:rsid w:val="7CB47738"/>
    <w:rsid w:val="7CEFB421"/>
    <w:rsid w:val="7D0D296B"/>
    <w:rsid w:val="7D193212"/>
    <w:rsid w:val="7D4E0B54"/>
    <w:rsid w:val="7D503E78"/>
    <w:rsid w:val="7DE7E80B"/>
    <w:rsid w:val="7E0160D4"/>
    <w:rsid w:val="7EDCBBB0"/>
    <w:rsid w:val="7EF54464"/>
    <w:rsid w:val="7F6C5578"/>
    <w:rsid w:val="7FBB1950"/>
    <w:rsid w:val="7FE76CE2"/>
    <w:rsid w:val="7FF77FAE"/>
    <w:rsid w:val="7FFB6DB8"/>
    <w:rsid w:val="7FFD1501"/>
    <w:rsid w:val="7FFD552E"/>
    <w:rsid w:val="9F650190"/>
    <w:rsid w:val="AEDF5ED3"/>
    <w:rsid w:val="AF5F45FC"/>
    <w:rsid w:val="B9DF5A3E"/>
    <w:rsid w:val="BB779AB8"/>
    <w:rsid w:val="C76D6245"/>
    <w:rsid w:val="C78F72D8"/>
    <w:rsid w:val="CF3B61BD"/>
    <w:rsid w:val="CFD3C625"/>
    <w:rsid w:val="DEEFFDCA"/>
    <w:rsid w:val="DFBB2201"/>
    <w:rsid w:val="E568749B"/>
    <w:rsid w:val="E7BE5656"/>
    <w:rsid w:val="EB7FE364"/>
    <w:rsid w:val="EBBCB08B"/>
    <w:rsid w:val="EBEF827B"/>
    <w:rsid w:val="EFFA16E2"/>
    <w:rsid w:val="EFFE86E8"/>
    <w:rsid w:val="F1BE373A"/>
    <w:rsid w:val="F5DF454D"/>
    <w:rsid w:val="F5FFDAA5"/>
    <w:rsid w:val="F6FFE474"/>
    <w:rsid w:val="F77718E9"/>
    <w:rsid w:val="F77FBC64"/>
    <w:rsid w:val="F7B9CCC2"/>
    <w:rsid w:val="F7CDC357"/>
    <w:rsid w:val="F7E37223"/>
    <w:rsid w:val="F7EE6DED"/>
    <w:rsid w:val="F9FFA81F"/>
    <w:rsid w:val="FA5C86E6"/>
    <w:rsid w:val="FABF6FB4"/>
    <w:rsid w:val="FAF7D689"/>
    <w:rsid w:val="FB5ECC6B"/>
    <w:rsid w:val="FBFE87CD"/>
    <w:rsid w:val="FBFFD9E8"/>
    <w:rsid w:val="FBFFEBBD"/>
    <w:rsid w:val="FD7650FC"/>
    <w:rsid w:val="FD9D8005"/>
    <w:rsid w:val="FDBBEB8E"/>
    <w:rsid w:val="FDE7C439"/>
    <w:rsid w:val="FDEF5DB4"/>
    <w:rsid w:val="FDF71E00"/>
    <w:rsid w:val="FDFFB5CE"/>
    <w:rsid w:val="FE7FC429"/>
    <w:rsid w:val="FEDEDDA1"/>
    <w:rsid w:val="FEE5FD62"/>
    <w:rsid w:val="FEED3190"/>
    <w:rsid w:val="FEF8F655"/>
    <w:rsid w:val="FF797FBE"/>
    <w:rsid w:val="FF7EC12B"/>
    <w:rsid w:val="FF7F8634"/>
    <w:rsid w:val="FFBBA79D"/>
    <w:rsid w:val="FFE9C3B6"/>
    <w:rsid w:val="FFF7F9B7"/>
    <w:rsid w:val="FFFB9A0E"/>
    <w:rsid w:val="FFFCEFB3"/>
    <w:rsid w:val="FFFE9B29"/>
    <w:rsid w:val="FFFF1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44"/>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4"/>
    <w:link w:val="45"/>
    <w:autoRedefine/>
    <w:qFormat/>
    <w:uiPriority w:val="9"/>
    <w:pPr>
      <w:keepNext/>
      <w:keepLines/>
      <w:numPr>
        <w:ilvl w:val="1"/>
        <w:numId w:val="1"/>
      </w:numPr>
      <w:tabs>
        <w:tab w:val="left" w:pos="0"/>
      </w:tabs>
      <w:spacing w:before="120" w:after="120"/>
      <w:ind w:firstLine="0" w:firstLineChars="0"/>
      <w:outlineLvl w:val="1"/>
    </w:pPr>
    <w:rPr>
      <w:b/>
      <w:bCs/>
      <w:sz w:val="30"/>
      <w:szCs w:val="32"/>
    </w:rPr>
  </w:style>
  <w:style w:type="paragraph" w:styleId="5">
    <w:name w:val="heading 3"/>
    <w:basedOn w:val="1"/>
    <w:next w:val="1"/>
    <w:link w:val="46"/>
    <w:qFormat/>
    <w:uiPriority w:val="0"/>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47"/>
    <w:qFormat/>
    <w:uiPriority w:val="0"/>
    <w:pPr>
      <w:keepNext/>
      <w:keepLines/>
      <w:numPr>
        <w:ilvl w:val="3"/>
        <w:numId w:val="1"/>
      </w:numPr>
      <w:spacing w:before="120" w:after="120"/>
      <w:ind w:firstLine="0" w:firstLineChars="0"/>
      <w:outlineLvl w:val="3"/>
    </w:pPr>
    <w:rPr>
      <w:b/>
      <w:bCs/>
      <w:sz w:val="30"/>
      <w:szCs w:val="30"/>
    </w:rPr>
  </w:style>
  <w:style w:type="paragraph" w:styleId="7">
    <w:name w:val="heading 5"/>
    <w:basedOn w:val="1"/>
    <w:next w:val="1"/>
    <w:link w:val="48"/>
    <w:qFormat/>
    <w:uiPriority w:val="0"/>
    <w:pPr>
      <w:keepNext/>
      <w:keepLines/>
      <w:numPr>
        <w:ilvl w:val="4"/>
        <w:numId w:val="1"/>
      </w:numPr>
      <w:spacing w:before="120" w:after="120"/>
      <w:ind w:firstLine="0" w:firstLineChars="0"/>
      <w:outlineLvl w:val="4"/>
    </w:pPr>
    <w:rPr>
      <w:b/>
      <w:bCs/>
      <w:szCs w:val="28"/>
    </w:rPr>
  </w:style>
  <w:style w:type="paragraph" w:styleId="8">
    <w:name w:val="heading 6"/>
    <w:basedOn w:val="1"/>
    <w:next w:val="1"/>
    <w:link w:val="49"/>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50"/>
    <w:autoRedefine/>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51"/>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52"/>
    <w:autoRedefine/>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spacing w:line="240" w:lineRule="auto"/>
      <w:ind w:firstLine="420"/>
    </w:pPr>
    <w:rPr>
      <w:rFonts w:ascii="Calibri" w:hAnsi="Calibri"/>
      <w:sz w:val="21"/>
    </w:rPr>
  </w:style>
  <w:style w:type="paragraph" w:styleId="12">
    <w:name w:val="toc 7"/>
    <w:basedOn w:val="1"/>
    <w:next w:val="1"/>
    <w:autoRedefine/>
    <w:unhideWhenUsed/>
    <w:qFormat/>
    <w:uiPriority w:val="39"/>
    <w:pPr>
      <w:ind w:left="2520" w:leftChars="1200"/>
    </w:pPr>
    <w:rPr>
      <w:rFonts w:ascii="等线" w:hAnsi="等线" w:eastAsia="等线"/>
      <w:szCs w:val="22"/>
    </w:rPr>
  </w:style>
  <w:style w:type="paragraph" w:styleId="13">
    <w:name w:val="caption"/>
    <w:basedOn w:val="1"/>
    <w:next w:val="1"/>
    <w:link w:val="53"/>
    <w:qFormat/>
    <w:uiPriority w:val="0"/>
    <w:pPr>
      <w:spacing w:afterLines="50"/>
      <w:ind w:firstLine="200"/>
    </w:pPr>
    <w:rPr>
      <w:rFonts w:ascii="Arial" w:hAnsi="Arial" w:eastAsia="黑体"/>
      <w:sz w:val="20"/>
      <w:szCs w:val="20"/>
    </w:rPr>
  </w:style>
  <w:style w:type="paragraph" w:styleId="14">
    <w:name w:val="Document Map"/>
    <w:basedOn w:val="1"/>
    <w:link w:val="54"/>
    <w:autoRedefine/>
    <w:qFormat/>
    <w:uiPriority w:val="0"/>
    <w:rPr>
      <w:rFonts w:hAnsi="Times New Roman"/>
      <w:sz w:val="18"/>
      <w:szCs w:val="18"/>
    </w:rPr>
  </w:style>
  <w:style w:type="paragraph" w:styleId="15">
    <w:name w:val="annotation text"/>
    <w:basedOn w:val="1"/>
    <w:link w:val="55"/>
    <w:autoRedefine/>
    <w:qFormat/>
    <w:uiPriority w:val="99"/>
    <w:pPr>
      <w:jc w:val="left"/>
    </w:pPr>
    <w:rPr>
      <w:rFonts w:ascii="Times New Roman" w:hAnsi="Times New Roman" w:eastAsia="仿宋"/>
      <w:sz w:val="28"/>
    </w:rPr>
  </w:style>
  <w:style w:type="paragraph" w:styleId="16">
    <w:name w:val="Body Text"/>
    <w:basedOn w:val="1"/>
    <w:link w:val="43"/>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56"/>
    <w:autoRedefine/>
    <w:qFormat/>
    <w:uiPriority w:val="0"/>
    <w:pPr>
      <w:spacing w:after="120"/>
      <w:ind w:firstLine="200"/>
    </w:pPr>
    <w:rPr>
      <w:rFonts w:ascii="Times New Roman" w:hAnsi="Times New Roman"/>
      <w:sz w:val="21"/>
      <w:szCs w:val="20"/>
    </w:rPr>
  </w:style>
  <w:style w:type="paragraph" w:styleId="18">
    <w:name w:val="toc 5"/>
    <w:basedOn w:val="1"/>
    <w:next w:val="1"/>
    <w:autoRedefine/>
    <w:unhideWhenUsed/>
    <w:qFormat/>
    <w:uiPriority w:val="39"/>
    <w:pPr>
      <w:ind w:left="1680" w:leftChars="800"/>
    </w:pPr>
    <w:rPr>
      <w:rFonts w:ascii="等线" w:hAnsi="等线" w:eastAsia="等线"/>
      <w:szCs w:val="22"/>
    </w:rPr>
  </w:style>
  <w:style w:type="paragraph" w:styleId="19">
    <w:name w:val="toc 3"/>
    <w:basedOn w:val="1"/>
    <w:next w:val="1"/>
    <w:autoRedefine/>
    <w:qFormat/>
    <w:uiPriority w:val="39"/>
    <w:pPr>
      <w:tabs>
        <w:tab w:val="right" w:leader="dot" w:pos="8302"/>
      </w:tabs>
      <w:ind w:left="840" w:leftChars="400"/>
    </w:pPr>
  </w:style>
  <w:style w:type="paragraph" w:styleId="20">
    <w:name w:val="Plain Text"/>
    <w:basedOn w:val="1"/>
    <w:link w:val="57"/>
    <w:qFormat/>
    <w:uiPriority w:val="0"/>
    <w:pPr>
      <w:spacing w:line="240" w:lineRule="auto"/>
      <w:ind w:firstLine="0" w:firstLineChars="0"/>
    </w:pPr>
    <w:rPr>
      <w:rFonts w:hAnsi="Courier New"/>
      <w:sz w:val="21"/>
      <w:szCs w:val="20"/>
    </w:rPr>
  </w:style>
  <w:style w:type="paragraph" w:styleId="21">
    <w:name w:val="toc 8"/>
    <w:basedOn w:val="1"/>
    <w:next w:val="1"/>
    <w:autoRedefine/>
    <w:unhideWhenUsed/>
    <w:qFormat/>
    <w:uiPriority w:val="39"/>
    <w:pPr>
      <w:ind w:left="2940" w:leftChars="1400"/>
    </w:pPr>
    <w:rPr>
      <w:rFonts w:ascii="等线" w:hAnsi="等线" w:eastAsia="等线"/>
      <w:szCs w:val="22"/>
    </w:rPr>
  </w:style>
  <w:style w:type="paragraph" w:styleId="22">
    <w:name w:val="Date"/>
    <w:basedOn w:val="1"/>
    <w:next w:val="1"/>
    <w:link w:val="58"/>
    <w:autoRedefine/>
    <w:qFormat/>
    <w:uiPriority w:val="0"/>
    <w:pPr>
      <w:ind w:left="100" w:leftChars="2500"/>
    </w:pPr>
    <w:rPr>
      <w:rFonts w:ascii="Times New Roman" w:hAnsi="Times New Roman"/>
      <w:sz w:val="21"/>
    </w:rPr>
  </w:style>
  <w:style w:type="paragraph" w:styleId="23">
    <w:name w:val="Balloon Text"/>
    <w:basedOn w:val="1"/>
    <w:link w:val="59"/>
    <w:autoRedefine/>
    <w:qFormat/>
    <w:uiPriority w:val="0"/>
    <w:rPr>
      <w:rFonts w:ascii="Times New Roman" w:hAnsi="Times New Roman"/>
      <w:sz w:val="18"/>
      <w:szCs w:val="18"/>
    </w:rPr>
  </w:style>
  <w:style w:type="paragraph" w:styleId="24">
    <w:name w:val="footer"/>
    <w:basedOn w:val="1"/>
    <w:link w:val="60"/>
    <w:autoRedefine/>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61"/>
    <w:autoRedefine/>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autoRedefine/>
    <w:unhideWhenUsed/>
    <w:qFormat/>
    <w:uiPriority w:val="39"/>
    <w:pPr>
      <w:ind w:left="1260" w:leftChars="600"/>
    </w:pPr>
    <w:rPr>
      <w:rFonts w:ascii="等线" w:hAnsi="等线" w:eastAsia="等线"/>
      <w:szCs w:val="22"/>
    </w:rPr>
  </w:style>
  <w:style w:type="paragraph" w:styleId="28">
    <w:name w:val="Subtitle"/>
    <w:basedOn w:val="1"/>
    <w:next w:val="1"/>
    <w:link w:val="62"/>
    <w:autoRedefine/>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autoRedefine/>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autoRedefine/>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63"/>
    <w:autoRedefine/>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64"/>
    <w:qFormat/>
    <w:uiPriority w:val="0"/>
    <w:rPr>
      <w:b/>
      <w:bCs/>
      <w:sz w:val="21"/>
    </w:rPr>
  </w:style>
  <w:style w:type="paragraph" w:styleId="35">
    <w:name w:val="Body Text First Indent"/>
    <w:basedOn w:val="16"/>
    <w:qFormat/>
    <w:uiPriority w:val="99"/>
    <w:pPr>
      <w:ind w:firstLine="420" w:firstLineChars="100"/>
    </w:p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正文文本 字符"/>
    <w:link w:val="16"/>
    <w:qFormat/>
    <w:uiPriority w:val="0"/>
    <w:rPr>
      <w:kern w:val="2"/>
      <w:sz w:val="21"/>
      <w:szCs w:val="24"/>
    </w:rPr>
  </w:style>
  <w:style w:type="character" w:customStyle="1" w:styleId="44">
    <w:name w:val="标题 1 字符1"/>
    <w:link w:val="2"/>
    <w:qFormat/>
    <w:uiPriority w:val="0"/>
    <w:rPr>
      <w:rFonts w:ascii="宋体" w:hAnsi="宋体" w:eastAsia="黑体"/>
      <w:b/>
      <w:bCs/>
      <w:kern w:val="44"/>
      <w:sz w:val="32"/>
      <w:szCs w:val="28"/>
    </w:rPr>
  </w:style>
  <w:style w:type="character" w:customStyle="1" w:styleId="45">
    <w:name w:val="标题 2 字符1"/>
    <w:link w:val="3"/>
    <w:qFormat/>
    <w:uiPriority w:val="9"/>
    <w:rPr>
      <w:rFonts w:ascii="宋体" w:hAnsi="宋体" w:eastAsia="宋体"/>
      <w:b/>
      <w:bCs/>
      <w:kern w:val="2"/>
      <w:sz w:val="30"/>
      <w:szCs w:val="32"/>
    </w:rPr>
  </w:style>
  <w:style w:type="character" w:customStyle="1" w:styleId="46">
    <w:name w:val="标题 3 字符2"/>
    <w:link w:val="5"/>
    <w:qFormat/>
    <w:uiPriority w:val="0"/>
    <w:rPr>
      <w:rFonts w:ascii="宋体" w:hAnsi="宋体"/>
      <w:b/>
      <w:bCs/>
      <w:kern w:val="2"/>
      <w:sz w:val="28"/>
      <w:szCs w:val="28"/>
    </w:rPr>
  </w:style>
  <w:style w:type="character" w:customStyle="1" w:styleId="47">
    <w:name w:val="标题 4 字符1"/>
    <w:link w:val="6"/>
    <w:qFormat/>
    <w:uiPriority w:val="0"/>
    <w:rPr>
      <w:rFonts w:ascii="宋体" w:hAnsi="宋体"/>
      <w:b/>
      <w:bCs/>
      <w:kern w:val="2"/>
      <w:sz w:val="30"/>
      <w:szCs w:val="30"/>
    </w:rPr>
  </w:style>
  <w:style w:type="character" w:customStyle="1" w:styleId="48">
    <w:name w:val="标题 5 字符1"/>
    <w:link w:val="7"/>
    <w:qFormat/>
    <w:uiPriority w:val="0"/>
    <w:rPr>
      <w:rFonts w:ascii="宋体" w:hAnsi="宋体"/>
      <w:b/>
      <w:bCs/>
      <w:kern w:val="2"/>
      <w:sz w:val="24"/>
      <w:szCs w:val="28"/>
    </w:rPr>
  </w:style>
  <w:style w:type="character" w:customStyle="1" w:styleId="49">
    <w:name w:val="标题 6 字符1"/>
    <w:link w:val="8"/>
    <w:qFormat/>
    <w:uiPriority w:val="0"/>
    <w:rPr>
      <w:rFonts w:ascii="Cambria" w:hAnsi="Cambria"/>
      <w:b/>
      <w:bCs/>
      <w:kern w:val="2"/>
      <w:sz w:val="24"/>
      <w:szCs w:val="24"/>
    </w:rPr>
  </w:style>
  <w:style w:type="character" w:customStyle="1" w:styleId="50">
    <w:name w:val="标题 7 字符"/>
    <w:link w:val="9"/>
    <w:qFormat/>
    <w:uiPriority w:val="9"/>
    <w:rPr>
      <w:b/>
      <w:bCs/>
      <w:kern w:val="2"/>
      <w:sz w:val="21"/>
      <w:szCs w:val="24"/>
    </w:rPr>
  </w:style>
  <w:style w:type="character" w:customStyle="1" w:styleId="51">
    <w:name w:val="标题 8 字符"/>
    <w:link w:val="10"/>
    <w:qFormat/>
    <w:uiPriority w:val="9"/>
    <w:rPr>
      <w:rFonts w:ascii="Cambria" w:hAnsi="Cambria"/>
      <w:kern w:val="2"/>
      <w:sz w:val="21"/>
      <w:szCs w:val="24"/>
    </w:rPr>
  </w:style>
  <w:style w:type="character" w:customStyle="1" w:styleId="52">
    <w:name w:val="标题 9 字符"/>
    <w:link w:val="11"/>
    <w:qFormat/>
    <w:uiPriority w:val="9"/>
    <w:rPr>
      <w:rFonts w:ascii="Cambria" w:hAnsi="Cambria"/>
      <w:kern w:val="2"/>
      <w:sz w:val="21"/>
      <w:szCs w:val="21"/>
    </w:rPr>
  </w:style>
  <w:style w:type="character" w:customStyle="1" w:styleId="53">
    <w:name w:val="题注 字符"/>
    <w:link w:val="13"/>
    <w:qFormat/>
    <w:locked/>
    <w:uiPriority w:val="0"/>
    <w:rPr>
      <w:rFonts w:ascii="Arial" w:hAnsi="Arial" w:eastAsia="黑体"/>
      <w:kern w:val="2"/>
    </w:rPr>
  </w:style>
  <w:style w:type="character" w:customStyle="1" w:styleId="54">
    <w:name w:val="文档结构图 字符1"/>
    <w:link w:val="14"/>
    <w:qFormat/>
    <w:uiPriority w:val="0"/>
    <w:rPr>
      <w:rFonts w:ascii="宋体"/>
      <w:kern w:val="2"/>
      <w:sz w:val="18"/>
      <w:szCs w:val="18"/>
    </w:rPr>
  </w:style>
  <w:style w:type="character" w:customStyle="1" w:styleId="55">
    <w:name w:val="批注文字 字符1"/>
    <w:link w:val="15"/>
    <w:qFormat/>
    <w:uiPriority w:val="99"/>
    <w:rPr>
      <w:rFonts w:eastAsia="仿宋"/>
      <w:kern w:val="2"/>
      <w:sz w:val="28"/>
      <w:szCs w:val="24"/>
    </w:rPr>
  </w:style>
  <w:style w:type="character" w:customStyle="1" w:styleId="56">
    <w:name w:val="正文文本缩进 字符1"/>
    <w:link w:val="17"/>
    <w:qFormat/>
    <w:uiPriority w:val="0"/>
    <w:rPr>
      <w:kern w:val="2"/>
      <w:sz w:val="21"/>
    </w:rPr>
  </w:style>
  <w:style w:type="character" w:customStyle="1" w:styleId="57">
    <w:name w:val="纯文本 字符1"/>
    <w:link w:val="20"/>
    <w:qFormat/>
    <w:locked/>
    <w:uiPriority w:val="0"/>
    <w:rPr>
      <w:rFonts w:ascii="宋体" w:hAnsi="Courier New"/>
      <w:kern w:val="2"/>
      <w:sz w:val="21"/>
    </w:rPr>
  </w:style>
  <w:style w:type="character" w:customStyle="1" w:styleId="58">
    <w:name w:val="日期 字符1"/>
    <w:link w:val="22"/>
    <w:qFormat/>
    <w:uiPriority w:val="0"/>
    <w:rPr>
      <w:kern w:val="2"/>
      <w:sz w:val="21"/>
      <w:szCs w:val="24"/>
    </w:rPr>
  </w:style>
  <w:style w:type="character" w:customStyle="1" w:styleId="59">
    <w:name w:val="批注框文本 字符1"/>
    <w:link w:val="23"/>
    <w:qFormat/>
    <w:uiPriority w:val="0"/>
    <w:rPr>
      <w:kern w:val="2"/>
      <w:sz w:val="18"/>
      <w:szCs w:val="18"/>
    </w:rPr>
  </w:style>
  <w:style w:type="character" w:customStyle="1" w:styleId="60">
    <w:name w:val="页脚 字符1"/>
    <w:link w:val="24"/>
    <w:autoRedefine/>
    <w:qFormat/>
    <w:uiPriority w:val="99"/>
    <w:rPr>
      <w:kern w:val="2"/>
      <w:sz w:val="18"/>
      <w:szCs w:val="18"/>
    </w:rPr>
  </w:style>
  <w:style w:type="character" w:customStyle="1" w:styleId="61">
    <w:name w:val="页眉 字符1"/>
    <w:link w:val="25"/>
    <w:autoRedefine/>
    <w:qFormat/>
    <w:uiPriority w:val="99"/>
    <w:rPr>
      <w:kern w:val="2"/>
      <w:sz w:val="18"/>
      <w:szCs w:val="18"/>
    </w:rPr>
  </w:style>
  <w:style w:type="character" w:customStyle="1" w:styleId="62">
    <w:name w:val="副标题 字符1"/>
    <w:link w:val="28"/>
    <w:autoRedefine/>
    <w:qFormat/>
    <w:uiPriority w:val="0"/>
    <w:rPr>
      <w:rFonts w:ascii="Calibri Light" w:hAnsi="Calibri Light"/>
      <w:b/>
      <w:bCs/>
      <w:kern w:val="28"/>
      <w:sz w:val="32"/>
      <w:szCs w:val="32"/>
    </w:rPr>
  </w:style>
  <w:style w:type="character" w:customStyle="1" w:styleId="63">
    <w:name w:val="标题 字符1"/>
    <w:link w:val="33"/>
    <w:autoRedefine/>
    <w:qFormat/>
    <w:uiPriority w:val="0"/>
    <w:rPr>
      <w:rFonts w:ascii="Cambria" w:hAnsi="Cambria" w:eastAsia="黑体"/>
      <w:b/>
      <w:bCs/>
      <w:kern w:val="2"/>
      <w:sz w:val="52"/>
      <w:szCs w:val="32"/>
    </w:rPr>
  </w:style>
  <w:style w:type="character" w:customStyle="1" w:styleId="64">
    <w:name w:val="批注主题 字符1"/>
    <w:link w:val="34"/>
    <w:autoRedefine/>
    <w:qFormat/>
    <w:uiPriority w:val="0"/>
    <w:rPr>
      <w:rFonts w:eastAsia="仿宋"/>
      <w:b/>
      <w:bCs/>
      <w:kern w:val="2"/>
      <w:sz w:val="21"/>
      <w:szCs w:val="24"/>
    </w:rPr>
  </w:style>
  <w:style w:type="character" w:customStyle="1" w:styleId="65">
    <w:name w:val="标题 1 字符"/>
    <w:qFormat/>
    <w:uiPriority w:val="9"/>
    <w:rPr>
      <w:rFonts w:ascii="宋体" w:hAnsi="宋体"/>
      <w:b/>
      <w:bCs/>
      <w:kern w:val="44"/>
      <w:sz w:val="44"/>
      <w:szCs w:val="44"/>
    </w:rPr>
  </w:style>
  <w:style w:type="character" w:customStyle="1" w:styleId="66">
    <w:name w:val="标题 3 字符"/>
    <w:semiHidden/>
    <w:qFormat/>
    <w:uiPriority w:val="9"/>
    <w:rPr>
      <w:rFonts w:ascii="宋体" w:hAnsi="宋体"/>
      <w:b/>
      <w:bCs/>
      <w:kern w:val="2"/>
      <w:sz w:val="32"/>
      <w:szCs w:val="32"/>
    </w:rPr>
  </w:style>
  <w:style w:type="character" w:customStyle="1" w:styleId="67">
    <w:name w:val="标题 3 字符1"/>
    <w:autoRedefine/>
    <w:qFormat/>
    <w:uiPriority w:val="0"/>
    <w:rPr>
      <w:rFonts w:ascii="宋体" w:hAnsi="宋体"/>
      <w:b/>
      <w:bCs/>
      <w:kern w:val="2"/>
      <w:sz w:val="28"/>
      <w:szCs w:val="28"/>
    </w:rPr>
  </w:style>
  <w:style w:type="character" w:customStyle="1" w:styleId="68">
    <w:name w:val="首行缩进正文 Char"/>
    <w:link w:val="69"/>
    <w:autoRedefine/>
    <w:qFormat/>
    <w:uiPriority w:val="0"/>
    <w:rPr>
      <w:kern w:val="2"/>
      <w:sz w:val="24"/>
    </w:rPr>
  </w:style>
  <w:style w:type="paragraph" w:customStyle="1" w:styleId="69">
    <w:name w:val="首行缩进正文"/>
    <w:basedOn w:val="1"/>
    <w:link w:val="68"/>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0">
    <w:name w:val="日期 字符"/>
    <w:autoRedefine/>
    <w:semiHidden/>
    <w:qFormat/>
    <w:uiPriority w:val="99"/>
    <w:rPr>
      <w:rFonts w:ascii="宋体" w:hAnsi="宋体"/>
      <w:kern w:val="2"/>
      <w:sz w:val="24"/>
      <w:szCs w:val="24"/>
    </w:rPr>
  </w:style>
  <w:style w:type="character" w:customStyle="1" w:styleId="71">
    <w:name w:val="未处理的提及1"/>
    <w:unhideWhenUsed/>
    <w:qFormat/>
    <w:uiPriority w:val="99"/>
    <w:rPr>
      <w:color w:val="605E5C"/>
      <w:shd w:val="clear" w:color="auto" w:fill="E1DFDD"/>
    </w:rPr>
  </w:style>
  <w:style w:type="character" w:customStyle="1" w:styleId="72">
    <w:name w:val="页脚 字符"/>
    <w:autoRedefine/>
    <w:qFormat/>
    <w:uiPriority w:val="99"/>
  </w:style>
  <w:style w:type="character" w:customStyle="1" w:styleId="73">
    <w:name w:val="标题 5 字符"/>
    <w:semiHidden/>
    <w:qFormat/>
    <w:uiPriority w:val="9"/>
    <w:rPr>
      <w:rFonts w:ascii="宋体" w:hAnsi="宋体"/>
      <w:b/>
      <w:bCs/>
      <w:kern w:val="2"/>
      <w:sz w:val="28"/>
      <w:szCs w:val="28"/>
    </w:rPr>
  </w:style>
  <w:style w:type="character" w:customStyle="1" w:styleId="74">
    <w:name w:val="标题 2 字符"/>
    <w:autoRedefine/>
    <w:semiHidden/>
    <w:qFormat/>
    <w:uiPriority w:val="9"/>
    <w:rPr>
      <w:rFonts w:ascii="等线 Light" w:hAnsi="等线 Light" w:eastAsia="等线 Light" w:cs="Times New Roman"/>
      <w:b/>
      <w:bCs/>
      <w:kern w:val="2"/>
      <w:sz w:val="32"/>
      <w:szCs w:val="32"/>
    </w:rPr>
  </w:style>
  <w:style w:type="character" w:customStyle="1" w:styleId="75">
    <w:name w:val="纯文本 字符"/>
    <w:autoRedefine/>
    <w:qFormat/>
    <w:uiPriority w:val="0"/>
    <w:rPr>
      <w:rFonts w:ascii="宋体" w:hAnsi="Courier New" w:cs="Courier New"/>
      <w:kern w:val="2"/>
      <w:sz w:val="21"/>
      <w:szCs w:val="21"/>
    </w:rPr>
  </w:style>
  <w:style w:type="character" w:customStyle="1" w:styleId="76">
    <w:name w:val="列表段落 字符"/>
    <w:autoRedefine/>
    <w:qFormat/>
    <w:uiPriority w:val="34"/>
    <w:rPr>
      <w:kern w:val="2"/>
      <w:sz w:val="21"/>
      <w:szCs w:val="22"/>
    </w:rPr>
  </w:style>
  <w:style w:type="character" w:customStyle="1" w:styleId="77">
    <w:name w:val="列表段落 字符1"/>
    <w:link w:val="78"/>
    <w:autoRedefine/>
    <w:qFormat/>
    <w:uiPriority w:val="34"/>
    <w:rPr>
      <w:kern w:val="2"/>
      <w:sz w:val="21"/>
      <w:szCs w:val="24"/>
    </w:rPr>
  </w:style>
  <w:style w:type="paragraph" w:styleId="78">
    <w:name w:val="List Paragraph"/>
    <w:basedOn w:val="1"/>
    <w:link w:val="77"/>
    <w:autoRedefine/>
    <w:qFormat/>
    <w:uiPriority w:val="34"/>
    <w:pPr>
      <w:ind w:firstLine="420"/>
    </w:pPr>
    <w:rPr>
      <w:rFonts w:ascii="Times New Roman" w:hAnsi="Times New Roman"/>
      <w:sz w:val="21"/>
    </w:rPr>
  </w:style>
  <w:style w:type="character" w:customStyle="1" w:styleId="79">
    <w:name w:val="font21"/>
    <w:qFormat/>
    <w:uiPriority w:val="0"/>
    <w:rPr>
      <w:rFonts w:ascii="Calibri" w:hAnsi="Calibri" w:cs="Calibri"/>
      <w:color w:val="000000"/>
      <w:sz w:val="21"/>
      <w:szCs w:val="21"/>
      <w:u w:val="none"/>
    </w:rPr>
  </w:style>
  <w:style w:type="character" w:customStyle="1" w:styleId="80">
    <w:name w:val="*正文 Char"/>
    <w:link w:val="81"/>
    <w:autoRedefine/>
    <w:qFormat/>
    <w:uiPriority w:val="0"/>
    <w:rPr>
      <w:rFonts w:ascii="time" w:hAnsi="time"/>
      <w:sz w:val="24"/>
      <w:szCs w:val="24"/>
      <w:lang w:bidi="en-US"/>
    </w:rPr>
  </w:style>
  <w:style w:type="paragraph" w:customStyle="1" w:styleId="81">
    <w:name w:val="*正文"/>
    <w:basedOn w:val="1"/>
    <w:link w:val="80"/>
    <w:qFormat/>
    <w:uiPriority w:val="0"/>
    <w:pPr>
      <w:widowControl/>
      <w:ind w:firstLine="200"/>
      <w:contextualSpacing/>
    </w:pPr>
    <w:rPr>
      <w:rFonts w:ascii="time" w:hAnsi="time"/>
      <w:kern w:val="0"/>
      <w:lang w:bidi="en-US"/>
    </w:rPr>
  </w:style>
  <w:style w:type="character" w:customStyle="1" w:styleId="82">
    <w:name w:val="正文文本缩进 字符"/>
    <w:semiHidden/>
    <w:qFormat/>
    <w:uiPriority w:val="99"/>
    <w:rPr>
      <w:rFonts w:ascii="宋体" w:hAnsi="宋体"/>
      <w:kern w:val="2"/>
      <w:sz w:val="24"/>
      <w:szCs w:val="24"/>
    </w:rPr>
  </w:style>
  <w:style w:type="character" w:customStyle="1" w:styleId="83">
    <w:name w:val="my正文 Char"/>
    <w:link w:val="84"/>
    <w:autoRedefine/>
    <w:qFormat/>
    <w:uiPriority w:val="0"/>
    <w:rPr>
      <w:kern w:val="2"/>
      <w:sz w:val="21"/>
      <w:szCs w:val="24"/>
    </w:rPr>
  </w:style>
  <w:style w:type="paragraph" w:customStyle="1" w:styleId="84">
    <w:name w:val="my正文"/>
    <w:basedOn w:val="1"/>
    <w:link w:val="83"/>
    <w:autoRedefine/>
    <w:qFormat/>
    <w:uiPriority w:val="0"/>
    <w:pPr>
      <w:spacing w:line="240" w:lineRule="auto"/>
      <w:ind w:firstLine="0" w:firstLineChars="0"/>
    </w:pPr>
    <w:rPr>
      <w:rFonts w:ascii="Times New Roman" w:hAnsi="Times New Roman"/>
      <w:sz w:val="21"/>
    </w:rPr>
  </w:style>
  <w:style w:type="character" w:customStyle="1" w:styleId="85">
    <w:name w:val="正文2 字符"/>
    <w:link w:val="86"/>
    <w:autoRedefine/>
    <w:qFormat/>
    <w:uiPriority w:val="0"/>
    <w:rPr>
      <w:kern w:val="2"/>
      <w:sz w:val="21"/>
      <w:szCs w:val="24"/>
    </w:rPr>
  </w:style>
  <w:style w:type="paragraph" w:customStyle="1" w:styleId="86">
    <w:name w:val="正文2"/>
    <w:basedOn w:val="1"/>
    <w:link w:val="85"/>
    <w:autoRedefine/>
    <w:qFormat/>
    <w:uiPriority w:val="0"/>
    <w:pPr>
      <w:ind w:firstLine="420"/>
    </w:pPr>
    <w:rPr>
      <w:rFonts w:ascii="Times New Roman" w:hAnsi="Times New Roman"/>
      <w:sz w:val="21"/>
    </w:rPr>
  </w:style>
  <w:style w:type="character" w:customStyle="1" w:styleId="87">
    <w:name w:val="font41"/>
    <w:qFormat/>
    <w:uiPriority w:val="0"/>
    <w:rPr>
      <w:rFonts w:hint="eastAsia" w:ascii="宋体" w:hAnsi="宋体" w:eastAsia="宋体" w:cs="宋体"/>
      <w:color w:val="000000"/>
      <w:sz w:val="21"/>
      <w:szCs w:val="21"/>
      <w:u w:val="none"/>
    </w:rPr>
  </w:style>
  <w:style w:type="character" w:customStyle="1" w:styleId="88">
    <w:name w:val="批注框文本 字符"/>
    <w:semiHidden/>
    <w:qFormat/>
    <w:uiPriority w:val="99"/>
    <w:rPr>
      <w:rFonts w:ascii="宋体" w:hAnsi="宋体"/>
      <w:kern w:val="2"/>
      <w:sz w:val="18"/>
      <w:szCs w:val="18"/>
    </w:rPr>
  </w:style>
  <w:style w:type="character" w:customStyle="1" w:styleId="89">
    <w:name w:val="副标题 Char1"/>
    <w:autoRedefine/>
    <w:qFormat/>
    <w:uiPriority w:val="0"/>
    <w:rPr>
      <w:rFonts w:ascii="Calibri Light" w:hAnsi="Calibri Light" w:cs="Times New Roman"/>
      <w:b/>
      <w:bCs/>
      <w:kern w:val="28"/>
      <w:sz w:val="32"/>
      <w:szCs w:val="32"/>
    </w:rPr>
  </w:style>
  <w:style w:type="character" w:customStyle="1" w:styleId="90">
    <w:name w:val="批注文字 字符"/>
    <w:autoRedefine/>
    <w:qFormat/>
    <w:uiPriority w:val="99"/>
    <w:rPr>
      <w:rFonts w:ascii="宋体" w:hAnsi="宋体"/>
      <w:kern w:val="2"/>
      <w:sz w:val="24"/>
      <w:szCs w:val="24"/>
    </w:rPr>
  </w:style>
  <w:style w:type="character" w:customStyle="1" w:styleId="91">
    <w:name w:val="文档结构图 字符"/>
    <w:semiHidden/>
    <w:qFormat/>
    <w:uiPriority w:val="99"/>
    <w:rPr>
      <w:rFonts w:ascii="Microsoft YaHei UI" w:hAnsi="宋体" w:eastAsia="Microsoft YaHei UI"/>
      <w:kern w:val="2"/>
      <w:sz w:val="18"/>
      <w:szCs w:val="18"/>
    </w:rPr>
  </w:style>
  <w:style w:type="character" w:customStyle="1" w:styleId="92">
    <w:name w:val="标题 6 字符"/>
    <w:autoRedefine/>
    <w:semiHidden/>
    <w:qFormat/>
    <w:uiPriority w:val="9"/>
    <w:rPr>
      <w:rFonts w:ascii="等线 Light" w:hAnsi="等线 Light" w:eastAsia="等线 Light" w:cs="Times New Roman"/>
      <w:b/>
      <w:bCs/>
      <w:kern w:val="2"/>
      <w:sz w:val="24"/>
      <w:szCs w:val="24"/>
    </w:rPr>
  </w:style>
  <w:style w:type="character" w:customStyle="1" w:styleId="93">
    <w:name w:val="正文正文2 Char"/>
    <w:link w:val="94"/>
    <w:qFormat/>
    <w:uiPriority w:val="0"/>
    <w:rPr>
      <w:rFonts w:ascii="宋体" w:hAnsi="宋体"/>
      <w:kern w:val="2"/>
      <w:sz w:val="21"/>
      <w:szCs w:val="21"/>
    </w:rPr>
  </w:style>
  <w:style w:type="paragraph" w:customStyle="1" w:styleId="94">
    <w:name w:val="正文正文2"/>
    <w:basedOn w:val="1"/>
    <w:link w:val="93"/>
    <w:qFormat/>
    <w:uiPriority w:val="0"/>
    <w:pPr>
      <w:ind w:firstLine="460"/>
    </w:pPr>
    <w:rPr>
      <w:sz w:val="21"/>
      <w:szCs w:val="21"/>
    </w:rPr>
  </w:style>
  <w:style w:type="character" w:customStyle="1" w:styleId="95">
    <w:name w:val="标题 4 字符"/>
    <w:semiHidden/>
    <w:qFormat/>
    <w:uiPriority w:val="9"/>
    <w:rPr>
      <w:rFonts w:ascii="等线 Light" w:hAnsi="等线 Light" w:eastAsia="等线 Light" w:cs="Times New Roman"/>
      <w:b/>
      <w:bCs/>
      <w:kern w:val="2"/>
      <w:sz w:val="28"/>
      <w:szCs w:val="28"/>
    </w:rPr>
  </w:style>
  <w:style w:type="character" w:customStyle="1" w:styleId="96">
    <w:name w:val="页眉 字符"/>
    <w:semiHidden/>
    <w:qFormat/>
    <w:uiPriority w:val="99"/>
    <w:rPr>
      <w:rFonts w:ascii="宋体" w:hAnsi="宋体"/>
      <w:kern w:val="2"/>
      <w:sz w:val="18"/>
      <w:szCs w:val="18"/>
    </w:rPr>
  </w:style>
  <w:style w:type="character" w:customStyle="1" w:styleId="97">
    <w:name w:val="批注主题 字符"/>
    <w:autoRedefine/>
    <w:semiHidden/>
    <w:qFormat/>
    <w:uiPriority w:val="99"/>
    <w:rPr>
      <w:rFonts w:ascii="宋体" w:hAnsi="宋体"/>
      <w:b/>
      <w:bCs/>
      <w:kern w:val="2"/>
      <w:sz w:val="24"/>
      <w:szCs w:val="24"/>
    </w:rPr>
  </w:style>
  <w:style w:type="character" w:customStyle="1" w:styleId="98">
    <w:name w:val="font31"/>
    <w:qFormat/>
    <w:uiPriority w:val="0"/>
    <w:rPr>
      <w:rFonts w:hint="eastAsia" w:ascii="宋体" w:hAnsi="宋体" w:eastAsia="宋体" w:cs="宋体"/>
      <w:color w:val="000000"/>
      <w:sz w:val="21"/>
      <w:szCs w:val="21"/>
      <w:u w:val="none"/>
    </w:rPr>
  </w:style>
  <w:style w:type="character" w:customStyle="1" w:styleId="99">
    <w:name w:val="标准正文 Char"/>
    <w:link w:val="100"/>
    <w:qFormat/>
    <w:uiPriority w:val="0"/>
    <w:rPr>
      <w:rFonts w:ascii="Arial" w:hAnsi="Arial"/>
      <w:kern w:val="2"/>
      <w:sz w:val="24"/>
    </w:rPr>
  </w:style>
  <w:style w:type="paragraph" w:customStyle="1" w:styleId="100">
    <w:name w:val="标准正文"/>
    <w:basedOn w:val="17"/>
    <w:link w:val="99"/>
    <w:qFormat/>
    <w:uiPriority w:val="0"/>
    <w:pPr>
      <w:spacing w:before="60" w:after="60"/>
      <w:ind w:firstLine="482" w:firstLineChars="0"/>
    </w:pPr>
    <w:rPr>
      <w:rFonts w:ascii="Arial" w:hAnsi="Arial"/>
      <w:sz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autoRedefine/>
    <w:qFormat/>
    <w:uiPriority w:val="0"/>
    <w:pPr>
      <w:ind w:firstLine="150" w:firstLineChars="150"/>
    </w:pPr>
  </w:style>
  <w:style w:type="paragraph" w:customStyle="1" w:styleId="111">
    <w:name w:val="msonormal"/>
    <w:basedOn w:val="1"/>
    <w:autoRedefine/>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autoRedefine/>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autoRedefine/>
    <w:qFormat/>
    <w:uiPriority w:val="0"/>
    <w:pPr>
      <w:ind w:firstLine="200"/>
    </w:pPr>
    <w:rPr>
      <w:rFonts w:ascii="Times New Roman" w:hAnsi="Times New Roman" w:eastAsia="仿宋_GB2312"/>
      <w:color w:val="000000"/>
      <w:szCs w:val="28"/>
    </w:rPr>
  </w:style>
  <w:style w:type="paragraph" w:customStyle="1" w:styleId="127">
    <w:name w:val="xl6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autoRedefine/>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6"/>
    <w:autoRedefine/>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autoRedefine/>
    <w:qFormat/>
    <w:uiPriority w:val="0"/>
    <w:rPr>
      <w:rFonts w:ascii="宋体" w:hAnsi="宋体" w:eastAsia="黑体"/>
      <w:b/>
      <w:bCs/>
      <w:kern w:val="44"/>
      <w:sz w:val="32"/>
      <w:szCs w:val="28"/>
    </w:rPr>
  </w:style>
  <w:style w:type="character" w:customStyle="1" w:styleId="134">
    <w:name w:val="纯文本 Char2"/>
    <w:autoRedefine/>
    <w:qFormat/>
    <w:uiPriority w:val="0"/>
    <w:rPr>
      <w:rFonts w:ascii="宋体" w:hAnsi="宋体" w:eastAsia="宋体" w:cs="Times New Roman"/>
      <w:color w:val="000000"/>
      <w:kern w:val="0"/>
      <w:sz w:val="24"/>
      <w:szCs w:val="24"/>
    </w:rPr>
  </w:style>
  <w:style w:type="paragraph" w:customStyle="1" w:styleId="135">
    <w:name w:val="列出段落1"/>
    <w:basedOn w:val="1"/>
    <w:autoRedefine/>
    <w:qFormat/>
    <w:uiPriority w:val="34"/>
    <w:pPr>
      <w:spacing w:line="240" w:lineRule="auto"/>
      <w:ind w:firstLine="420"/>
    </w:pPr>
    <w:rPr>
      <w:rFonts w:ascii="Calibri" w:hAnsi="Calibri"/>
      <w:sz w:val="21"/>
      <w:szCs w:val="22"/>
    </w:rPr>
  </w:style>
  <w:style w:type="paragraph" w:customStyle="1" w:styleId="136">
    <w:name w:val="B-表正文"/>
    <w:autoRedefine/>
    <w:unhideWhenUsed/>
    <w:qFormat/>
    <w:uiPriority w:val="0"/>
    <w:rPr>
      <w:rFonts w:hint="eastAsia" w:ascii="Times New Roman" w:hAnsi="Times New Roman" w:eastAsia="Times New Roman" w:cs="Times New Roman"/>
      <w:kern w:val="2"/>
      <w:sz w:val="21"/>
      <w:szCs w:val="24"/>
      <w:lang w:val="en-US" w:eastAsia="zh-CN" w:bidi="ar-SA"/>
    </w:rPr>
  </w:style>
  <w:style w:type="paragraph" w:customStyle="1" w:styleId="137">
    <w:name w:val="表正文"/>
    <w:autoRedefine/>
    <w:qFormat/>
    <w:uiPriority w:val="0"/>
    <w:rPr>
      <w:rFonts w:ascii="Times New Roman" w:hAnsi="Times New Roman" w:eastAsia="仿宋" w:cs="Times New Roman"/>
      <w:kern w:val="2"/>
      <w:sz w:val="21"/>
      <w:szCs w:val="24"/>
      <w:lang w:val="en-US" w:eastAsia="zh-CN" w:bidi="ar-SA"/>
    </w:rPr>
  </w:style>
  <w:style w:type="paragraph" w:customStyle="1" w:styleId="138">
    <w:name w:val="样式2"/>
    <w:basedOn w:val="1"/>
    <w:autoRedefine/>
    <w:qFormat/>
    <w:uiPriority w:val="0"/>
    <w:rPr>
      <w:lang w:eastAsia="en-US"/>
    </w:rPr>
  </w:style>
  <w:style w:type="paragraph" w:customStyle="1" w:styleId="139">
    <w:name w:val="可研正文"/>
    <w:basedOn w:val="1"/>
    <w:autoRedefine/>
    <w:qFormat/>
    <w:uiPriority w:val="0"/>
    <w:rPr>
      <w:rFonts w:hAnsi="仿宋" w:cs="仿宋"/>
    </w:rPr>
  </w:style>
  <w:style w:type="paragraph" w:customStyle="1" w:styleId="140">
    <w:name w:val="修订2"/>
    <w:hidden/>
    <w:unhideWhenUsed/>
    <w:qFormat/>
    <w:uiPriority w:val="99"/>
    <w:rPr>
      <w:rFonts w:ascii="宋体" w:hAnsi="宋体" w:eastAsia="宋体" w:cs="Times New Roman"/>
      <w:kern w:val="2"/>
      <w:sz w:val="24"/>
      <w:szCs w:val="24"/>
      <w:lang w:val="en-US" w:eastAsia="zh-CN" w:bidi="ar-SA"/>
    </w:rPr>
  </w:style>
  <w:style w:type="paragraph" w:customStyle="1" w:styleId="141">
    <w:name w:val="0表格"/>
    <w:basedOn w:val="1"/>
    <w:qFormat/>
    <w:uiPriority w:val="0"/>
    <w:pPr>
      <w:widowControl/>
      <w:spacing w:line="263" w:lineRule="atLeast"/>
      <w:jc w:val="left"/>
    </w:pPr>
    <w:rPr>
      <w:rFonts w:ascii="仿宋" w:hAnsi="仿宋" w:eastAsia="仿宋" w:cs="Calibri"/>
      <w:kern w:val="0"/>
      <w:szCs w:val="21"/>
    </w:rPr>
  </w:style>
  <w:style w:type="paragraph" w:customStyle="1" w:styleId="142">
    <w:name w:val="0table"/>
    <w:basedOn w:val="1"/>
    <w:qFormat/>
    <w:uiPriority w:val="0"/>
    <w:pPr>
      <w:spacing w:line="276" w:lineRule="auto"/>
    </w:pPr>
    <w:rPr>
      <w:rFonts w:eastAsia="仿宋"/>
      <w:kern w:val="0"/>
      <w:szCs w:val="21"/>
    </w:rPr>
  </w:style>
  <w:style w:type="paragraph" w:customStyle="1" w:styleId="143">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12347</Words>
  <Characters>12528</Characters>
  <Lines>147</Lines>
  <Paragraphs>41</Paragraphs>
  <TotalTime>69</TotalTime>
  <ScaleCrop>false</ScaleCrop>
  <LinksUpToDate>false</LinksUpToDate>
  <CharactersWithSpaces>12528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2025-12-21T02:22:00Z</dcterms:created>
  <dc:creator>gtig_tzb</dc:creator>
  <cp:lastModifiedBy>user</cp:lastModifiedBy>
  <cp:lastPrinted>2020-08-22T04:08:00Z</cp:lastPrinted>
  <dcterms:modified xsi:type="dcterms:W3CDTF">2026-01-15T13:55:46Z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6EEB2C404182E63514E24469FCCE52CF_43</vt:lpwstr>
  </property>
  <property fmtid="{D5CDD505-2E9C-101B-9397-08002B2CF9AE}" pid="4" name="KSOTemplateDocerSaveRecord">
    <vt:lpwstr>eyJoZGlkIjoiNDI1NGQ4MDY4NjMxYWVlMzc3ODM2NDE0MmU1ODUxYzYiLCJ1c2VySWQiOiI2Mzc2ODI5MTMifQ==</vt:lpwstr>
  </property>
</Properties>
</file>