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B42A4">
      <w:pPr>
        <w:ind w:firstLine="0" w:firstLineChars="0"/>
        <w:jc w:val="center"/>
        <w:rPr>
          <w:rFonts w:ascii="黑体" w:hAnsi="黑体" w:eastAsia="黑体"/>
          <w:sz w:val="48"/>
          <w:szCs w:val="48"/>
          <w:highlight w:val="none"/>
        </w:rPr>
      </w:pPr>
    </w:p>
    <w:p w14:paraId="02EC432D">
      <w:pPr>
        <w:ind w:firstLine="0" w:firstLineChars="0"/>
        <w:jc w:val="center"/>
        <w:rPr>
          <w:rFonts w:ascii="黑体" w:hAnsi="黑体" w:eastAsia="黑体"/>
          <w:sz w:val="48"/>
          <w:szCs w:val="48"/>
          <w:highlight w:val="none"/>
        </w:rPr>
      </w:pPr>
    </w:p>
    <w:p w14:paraId="4BA45B36">
      <w:pPr>
        <w:ind w:firstLine="0" w:firstLineChars="0"/>
        <w:jc w:val="center"/>
        <w:rPr>
          <w:rFonts w:ascii="黑体" w:hAnsi="黑体" w:eastAsia="黑体"/>
          <w:sz w:val="52"/>
          <w:szCs w:val="52"/>
          <w:highlight w:val="none"/>
        </w:rPr>
      </w:pPr>
      <w:r>
        <w:rPr>
          <w:rFonts w:ascii="黑体" w:hAnsi="黑体" w:eastAsia="黑体"/>
          <w:sz w:val="52"/>
          <w:szCs w:val="52"/>
          <w:highlight w:val="none"/>
        </w:rPr>
        <w:t>市商务委公共服务系统建设项目(2026年升级改造)</w:t>
      </w:r>
    </w:p>
    <w:p w14:paraId="501E8AB8">
      <w:pPr>
        <w:ind w:firstLine="0" w:firstLineChars="0"/>
        <w:jc w:val="center"/>
        <w:rPr>
          <w:rFonts w:ascii="黑体" w:hAnsi="黑体" w:eastAsia="黑体"/>
          <w:sz w:val="52"/>
          <w:szCs w:val="52"/>
          <w:highlight w:val="none"/>
        </w:rPr>
      </w:pPr>
      <w:r>
        <w:rPr>
          <w:rFonts w:hint="eastAsia" w:ascii="黑体" w:hAnsi="黑体" w:eastAsia="黑体"/>
          <w:sz w:val="52"/>
          <w:szCs w:val="52"/>
          <w:highlight w:val="none"/>
        </w:rPr>
        <w:t>采购需求</w:t>
      </w:r>
    </w:p>
    <w:p w14:paraId="42E06615">
      <w:pPr>
        <w:ind w:firstLine="0" w:firstLineChars="0"/>
        <w:jc w:val="center"/>
        <w:rPr>
          <w:rFonts w:ascii="黑体" w:hAnsi="黑体" w:eastAsia="黑体"/>
          <w:sz w:val="72"/>
          <w:szCs w:val="72"/>
          <w:highlight w:val="none"/>
        </w:rPr>
      </w:pPr>
    </w:p>
    <w:p w14:paraId="46D045FB">
      <w:pPr>
        <w:ind w:firstLine="0" w:firstLineChars="0"/>
        <w:jc w:val="center"/>
        <w:rPr>
          <w:rFonts w:ascii="黑体" w:hAnsi="黑体" w:eastAsia="黑体"/>
          <w:sz w:val="48"/>
          <w:szCs w:val="48"/>
          <w:highlight w:val="none"/>
        </w:rPr>
      </w:pPr>
    </w:p>
    <w:p w14:paraId="18EF4F55">
      <w:pPr>
        <w:ind w:firstLine="0" w:firstLineChars="0"/>
        <w:jc w:val="center"/>
        <w:rPr>
          <w:rFonts w:ascii="黑体" w:hAnsi="黑体" w:eastAsia="黑体"/>
          <w:sz w:val="52"/>
          <w:szCs w:val="52"/>
          <w:highlight w:val="none"/>
        </w:rPr>
      </w:pPr>
    </w:p>
    <w:p w14:paraId="744FC9E4">
      <w:pPr>
        <w:ind w:firstLine="1040"/>
        <w:rPr>
          <w:rFonts w:ascii="黑体" w:hAnsi="黑体" w:eastAsia="黑体"/>
          <w:sz w:val="52"/>
          <w:szCs w:val="52"/>
          <w:highlight w:val="none"/>
        </w:rPr>
      </w:pPr>
    </w:p>
    <w:p w14:paraId="3FC6C7EC">
      <w:pPr>
        <w:rPr>
          <w:highlight w:val="none"/>
        </w:rPr>
      </w:pPr>
    </w:p>
    <w:p w14:paraId="53A66EF4">
      <w:pPr>
        <w:rPr>
          <w:highlight w:val="none"/>
        </w:rPr>
      </w:pPr>
    </w:p>
    <w:p w14:paraId="77B62C0A">
      <w:pPr>
        <w:rPr>
          <w:highlight w:val="none"/>
        </w:rPr>
      </w:pPr>
    </w:p>
    <w:p w14:paraId="28C02CAA">
      <w:pPr>
        <w:rPr>
          <w:highlight w:val="none"/>
        </w:rPr>
      </w:pPr>
    </w:p>
    <w:p w14:paraId="1DCEC456">
      <w:pPr>
        <w:rPr>
          <w:highlight w:val="none"/>
        </w:rPr>
      </w:pPr>
    </w:p>
    <w:p w14:paraId="1BE3315B">
      <w:pPr>
        <w:ind w:firstLine="1040"/>
        <w:rPr>
          <w:rFonts w:ascii="黑体" w:hAnsi="黑体" w:eastAsia="黑体"/>
          <w:sz w:val="52"/>
          <w:szCs w:val="52"/>
          <w:highlight w:val="none"/>
        </w:rPr>
      </w:pPr>
    </w:p>
    <w:p w14:paraId="68C6F791">
      <w:pPr>
        <w:jc w:val="center"/>
        <w:rPr>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24489AA3">
      <w:pPr>
        <w:pStyle w:val="2"/>
        <w:rPr>
          <w:highlight w:val="none"/>
        </w:rPr>
      </w:pPr>
      <w:bookmarkStart w:id="0" w:name="_Toc63785461"/>
      <w:r>
        <w:rPr>
          <w:rFonts w:hint="eastAsia"/>
          <w:highlight w:val="none"/>
        </w:rPr>
        <w:t>项目概况</w:t>
      </w:r>
      <w:bookmarkEnd w:id="0"/>
    </w:p>
    <w:p w14:paraId="06D043CA">
      <w:pPr>
        <w:ind w:firstLine="480" w:firstLineChars="200"/>
        <w:rPr>
          <w:highlight w:val="none"/>
        </w:rPr>
      </w:pPr>
      <w:r>
        <w:rPr>
          <w:rFonts w:hint="eastAsia"/>
          <w:highlight w:val="none"/>
        </w:rPr>
        <w:t>项目背景：为贯彻落实《上海市聚焦提升企业感受持续打造国际一流营商环境行动方案》《上海市优化惠企政策全流程服务实施办法》《上海市加快“人工智能+政务服务”改革推动“高效办成一件事”实施方案》，推进直达快享，免审即享等相关工作要求，建设一网通办综合管理平台，将商务委公开申报类政策统一通过管理平台纳入一网通办系统，加强全系统周期管理，推进商务委申报类事项网办进程，简化企业申报流程，实现直达快享，免审即享。</w:t>
      </w:r>
    </w:p>
    <w:p w14:paraId="2FE56D21">
      <w:pPr>
        <w:rPr>
          <w:highlight w:val="none"/>
        </w:rPr>
      </w:pPr>
      <w:r>
        <w:rPr>
          <w:rFonts w:hint="eastAsia"/>
          <w:highlight w:val="none"/>
        </w:rPr>
        <w:t>2024年，为进一步贯彻落实党中央国务院和上海市委市政府关于对外投资合作工作的系列决策部署，引导企业科学理性高质量对外投资合作，创新对外投资、对外承包工程模式，发挥境外经贸合作区作用，支持企业开展人民币国际结算，借助境外重点展会助力企业开拓国际市场，加速上海产品、品牌、技术、服务、标准“走出去”，提升全球资源配置能力，为构建新发展格局提供有力支撑，商务委联合财政局设立了国家外经贸发展专项资金（促进外贸转型升级和创新发展）,上海市促进对外投资合作扶持资金,国家外经贸发展专项资金（服务贸易）、上海市商务高质量发展专项资金（外贸专项）、上海市外经贸发展专项资金(中央资金加大吸引外资部分)等专项资金，用于主要用于支持本市对外投资合作项目以及推进上海市外经外贸发展。</w:t>
      </w:r>
    </w:p>
    <w:p w14:paraId="14A6BA57">
      <w:pPr>
        <w:rPr>
          <w:highlight w:val="none"/>
        </w:rPr>
      </w:pPr>
      <w:r>
        <w:rPr>
          <w:rFonts w:hint="eastAsia"/>
          <w:highlight w:val="none"/>
        </w:rPr>
        <w:t>以一网通办惠企服务为大背景，政府亟需通过更加精准、高效、可持续的扶持机制，助力企业增强抗风险能力、拓展海外布局渠道，同时引导企业加快产品结构升级、渠道创新和数字化转型，充分释放国内消费潜能。这不仅需要政策层面的有效引导，更需要依托现代化信息系统，对财政专项资金项目进行全过程管理、全流程监控和全方位服务。</w:t>
      </w:r>
    </w:p>
    <w:p w14:paraId="7CADA70B">
      <w:pPr>
        <w:rPr>
          <w:highlight w:val="none"/>
        </w:rPr>
      </w:pPr>
      <w:r>
        <w:rPr>
          <w:rFonts w:hint="eastAsia"/>
          <w:highlight w:val="none"/>
        </w:rPr>
        <w:t>本次项目规划面向“市商务委公共服务系统”中“市商务委一网通办综合建设项目”，在现有应用基础上，增加事项基础管理和标准化服务能力，同时规划“市商务委行业通管系统”中的“市商务委财政支持项目管理系统”迁移纳入“市商务委公共服务系统”，实现对外统一事项服务能力升级。</w:t>
      </w:r>
    </w:p>
    <w:p w14:paraId="36B292C5">
      <w:pPr>
        <w:rPr>
          <w:highlight w:val="none"/>
        </w:rPr>
      </w:pPr>
      <w:r>
        <w:rPr>
          <w:rFonts w:hint="eastAsia"/>
          <w:highlight w:val="none"/>
        </w:rPr>
        <w:t>项目现状：上海市商务委员会现有的财政专项资金管理平台自2015年上线运行以来，虽满足了企业项目申报、资格审核的基本管理需求，但随着政策管理要求的提高和技术的发展，原系统存在的政策落实碎片化、信息共享壁垒大、审批流程冗长、监管手段滞后等问题，制约了政策效能的发挥。亟需对系统进行升级改造，以构建一个以“智能化、标准化、协同化”为导向的财政专项资金管理系统，为优化营商环境、稳定市场主体预期、推动高质量发展提供重要保障。当前公共服务大系统具备了一网通办、商业地产运行监测、对外投资管理、重要产品追溯、对外经济和会展服务、平台经济和再生资源、财政支持项目管理等业务管理能力。需在此基础上对相关子系统和模块进行升级改造，满足对财政支持项目和一网通办事项的进一步管理优化和效能升级。</w:t>
      </w:r>
    </w:p>
    <w:p w14:paraId="1E27B0F4">
      <w:pPr>
        <w:rPr>
          <w:rFonts w:hint="default" w:eastAsia="宋体"/>
          <w:highlight w:val="none"/>
          <w:lang w:val="en-US" w:eastAsia="zh-CN"/>
        </w:rPr>
      </w:pPr>
      <w:r>
        <w:rPr>
          <w:rFonts w:hint="eastAsia"/>
          <w:highlight w:val="none"/>
        </w:rPr>
        <w:t>建设期限：自合同签订之日起至20</w:t>
      </w:r>
      <w:r>
        <w:rPr>
          <w:highlight w:val="none"/>
        </w:rPr>
        <w:t>26</w:t>
      </w:r>
      <w:r>
        <w:rPr>
          <w:rFonts w:hint="eastAsia"/>
          <w:highlight w:val="none"/>
        </w:rPr>
        <w:t>年</w:t>
      </w:r>
      <w:r>
        <w:rPr>
          <w:highlight w:val="none"/>
        </w:rPr>
        <w:t>1</w:t>
      </w:r>
      <w:r>
        <w:rPr>
          <w:rFonts w:hint="eastAsia"/>
          <w:highlight w:val="none"/>
          <w:lang w:val="en-US" w:eastAsia="zh-CN"/>
        </w:rPr>
        <w:t>1</w:t>
      </w:r>
      <w:r>
        <w:rPr>
          <w:rFonts w:hint="eastAsia"/>
          <w:highlight w:val="none"/>
        </w:rPr>
        <w:t>月3</w:t>
      </w:r>
      <w:r>
        <w:rPr>
          <w:highlight w:val="none"/>
        </w:rPr>
        <w:t>0</w:t>
      </w:r>
      <w:r>
        <w:rPr>
          <w:rFonts w:hint="eastAsia"/>
          <w:highlight w:val="none"/>
        </w:rPr>
        <w:t>日</w:t>
      </w:r>
      <w:r>
        <w:rPr>
          <w:rFonts w:hint="eastAsia"/>
          <w:highlight w:val="none"/>
          <w:lang w:val="en-US" w:eastAsia="zh-CN"/>
        </w:rPr>
        <w:t>前完成</w:t>
      </w:r>
    </w:p>
    <w:p w14:paraId="0E09A3E3">
      <w:pPr>
        <w:rPr>
          <w:highlight w:val="none"/>
        </w:rPr>
      </w:pPr>
      <w:r>
        <w:rPr>
          <w:rFonts w:hint="eastAsia"/>
          <w:highlight w:val="none"/>
        </w:rPr>
        <w:t>建设地点：</w:t>
      </w:r>
      <w:r>
        <w:rPr>
          <w:highlight w:val="none"/>
        </w:rPr>
        <w:t>上海市浦东新区世博村路300号</w:t>
      </w:r>
    </w:p>
    <w:p w14:paraId="5E807C77">
      <w:pPr>
        <w:rPr>
          <w:highlight w:val="none"/>
        </w:rPr>
      </w:pPr>
      <w:r>
        <w:rPr>
          <w:rFonts w:hint="eastAsia"/>
          <w:highlight w:val="none"/>
        </w:rPr>
        <w:t>预算金额：</w:t>
      </w:r>
      <w:r>
        <w:rPr>
          <w:highlight w:val="none"/>
        </w:rPr>
        <w:t>2</w:t>
      </w:r>
      <w:r>
        <w:rPr>
          <w:rFonts w:hint="eastAsia"/>
          <w:highlight w:val="none"/>
        </w:rPr>
        <w:t>,</w:t>
      </w:r>
      <w:r>
        <w:rPr>
          <w:highlight w:val="none"/>
        </w:rPr>
        <w:t>612</w:t>
      </w:r>
      <w:r>
        <w:rPr>
          <w:rFonts w:hint="eastAsia"/>
          <w:highlight w:val="none"/>
        </w:rPr>
        <w:t>,</w:t>
      </w:r>
      <w:r>
        <w:rPr>
          <w:highlight w:val="none"/>
        </w:rPr>
        <w:t>500</w:t>
      </w:r>
      <w:r>
        <w:rPr>
          <w:rFonts w:hint="eastAsia"/>
          <w:highlight w:val="none"/>
        </w:rPr>
        <w:t>元</w:t>
      </w:r>
    </w:p>
    <w:p w14:paraId="4C910625">
      <w:pPr>
        <w:rPr>
          <w:highlight w:val="none"/>
        </w:rPr>
      </w:pPr>
      <w:r>
        <w:rPr>
          <w:rFonts w:hint="eastAsia" w:cs="宋体"/>
          <w:highlight w:val="none"/>
        </w:rPr>
        <w:t>当年度预算金额：</w:t>
      </w:r>
      <w:r>
        <w:rPr>
          <w:highlight w:val="none"/>
        </w:rPr>
        <w:t>2</w:t>
      </w:r>
      <w:r>
        <w:rPr>
          <w:rFonts w:hint="eastAsia"/>
          <w:highlight w:val="none"/>
        </w:rPr>
        <w:t>,</w:t>
      </w:r>
      <w:r>
        <w:rPr>
          <w:highlight w:val="none"/>
        </w:rPr>
        <w:t>612</w:t>
      </w:r>
      <w:r>
        <w:rPr>
          <w:rFonts w:hint="eastAsia"/>
          <w:highlight w:val="none"/>
        </w:rPr>
        <w:t>,</w:t>
      </w:r>
      <w:r>
        <w:rPr>
          <w:highlight w:val="none"/>
        </w:rPr>
        <w:t>500</w:t>
      </w:r>
      <w:r>
        <w:rPr>
          <w:rFonts w:hint="eastAsia"/>
          <w:highlight w:val="none"/>
        </w:rPr>
        <w:t>元</w:t>
      </w:r>
    </w:p>
    <w:p w14:paraId="150C4417">
      <w:pPr>
        <w:rPr>
          <w:highlight w:val="none"/>
        </w:rPr>
      </w:pPr>
      <w:r>
        <w:rPr>
          <w:rFonts w:hint="eastAsia"/>
          <w:highlight w:val="none"/>
        </w:rPr>
        <w:t>采购金额（最高限价）：</w:t>
      </w:r>
      <w:r>
        <w:rPr>
          <w:highlight w:val="none"/>
        </w:rPr>
        <w:t>2</w:t>
      </w:r>
      <w:r>
        <w:rPr>
          <w:rFonts w:hint="eastAsia"/>
          <w:highlight w:val="none"/>
        </w:rPr>
        <w:t>,</w:t>
      </w:r>
      <w:r>
        <w:rPr>
          <w:highlight w:val="none"/>
        </w:rPr>
        <w:t>612</w:t>
      </w:r>
      <w:r>
        <w:rPr>
          <w:rFonts w:hint="eastAsia"/>
          <w:highlight w:val="none"/>
        </w:rPr>
        <w:t>,</w:t>
      </w:r>
      <w:r>
        <w:rPr>
          <w:highlight w:val="none"/>
        </w:rPr>
        <w:t>500</w:t>
      </w:r>
      <w:r>
        <w:rPr>
          <w:rFonts w:hint="eastAsia"/>
          <w:highlight w:val="none"/>
        </w:rPr>
        <w:t>元</w:t>
      </w:r>
    </w:p>
    <w:p w14:paraId="4DCA8B94">
      <w:pPr>
        <w:rPr>
          <w:highlight w:val="none"/>
        </w:rPr>
      </w:pPr>
      <w:r>
        <w:rPr>
          <w:rFonts w:hint="eastAsia"/>
          <w:highlight w:val="none"/>
        </w:rPr>
        <w:t>组织形式：集中采购</w:t>
      </w:r>
    </w:p>
    <w:p w14:paraId="77A22FA4">
      <w:pPr>
        <w:rPr>
          <w:highlight w:val="none"/>
        </w:rPr>
      </w:pPr>
      <w:r>
        <w:rPr>
          <w:rFonts w:hint="eastAsia"/>
          <w:highlight w:val="none"/>
        </w:rPr>
        <w:t>采购方式：竞争性磋商</w:t>
      </w:r>
    </w:p>
    <w:p w14:paraId="695EA579">
      <w:pPr>
        <w:rPr>
          <w:highlight w:val="none"/>
        </w:rPr>
      </w:pPr>
      <w:r>
        <w:rPr>
          <w:rFonts w:hint="eastAsia"/>
          <w:highlight w:val="none"/>
        </w:rPr>
        <w:t>是否接受联合体：否</w:t>
      </w:r>
    </w:p>
    <w:p w14:paraId="16692197">
      <w:pPr>
        <w:rPr>
          <w:highlight w:val="none"/>
        </w:rPr>
      </w:pPr>
      <w:r>
        <w:rPr>
          <w:highlight w:val="none"/>
        </w:rPr>
        <w:t>是否按</w:t>
      </w:r>
      <w:r>
        <w:rPr>
          <w:rFonts w:hint="eastAsia"/>
          <w:highlight w:val="none"/>
          <w:lang w:eastAsia="zh-CN"/>
        </w:rPr>
        <w:t>XC</w:t>
      </w:r>
      <w:r>
        <w:rPr>
          <w:highlight w:val="none"/>
        </w:rPr>
        <w:t>要求建设：是</w:t>
      </w:r>
    </w:p>
    <w:p w14:paraId="64613828">
      <w:pPr>
        <w:pStyle w:val="137"/>
        <w:spacing w:line="500" w:lineRule="exact"/>
        <w:rPr>
          <w:rFonts w:hint="eastAsia" w:cs="宋体"/>
          <w:highlight w:val="none"/>
          <w:lang w:eastAsia="zh-CN"/>
        </w:rPr>
      </w:pPr>
      <w:r>
        <w:rPr>
          <w:rFonts w:hint="eastAsia" w:cs="宋体"/>
          <w:highlight w:val="none"/>
          <w:lang w:eastAsia="zh-CN"/>
        </w:rPr>
        <w:t>是否采用低代码建设：否</w:t>
      </w:r>
    </w:p>
    <w:p w14:paraId="34DBE9DB">
      <w:pPr>
        <w:rPr>
          <w:highlight w:val="none"/>
        </w:rPr>
      </w:pPr>
      <w:r>
        <w:rPr>
          <w:rFonts w:hint="eastAsia"/>
          <w:highlight w:val="none"/>
        </w:rPr>
        <w:t>运维后所属大系统：</w:t>
      </w:r>
      <w:r>
        <w:rPr>
          <w:rFonts w:hint="eastAsia"/>
          <w:highlight w:val="none"/>
          <w:lang w:val="en-US" w:eastAsia="zh-CN"/>
        </w:rPr>
        <w:t>市商务委</w:t>
      </w:r>
      <w:r>
        <w:rPr>
          <w:rFonts w:hint="eastAsia"/>
          <w:highlight w:val="none"/>
        </w:rPr>
        <w:t>公共服务系统</w:t>
      </w:r>
    </w:p>
    <w:p w14:paraId="581598A1">
      <w:pPr>
        <w:pStyle w:val="2"/>
        <w:rPr>
          <w:highlight w:val="none"/>
        </w:rPr>
      </w:pPr>
      <w:bookmarkStart w:id="1" w:name="_Toc47537134"/>
      <w:bookmarkEnd w:id="1"/>
      <w:bookmarkStart w:id="2" w:name="_Toc47533256"/>
      <w:bookmarkEnd w:id="2"/>
      <w:bookmarkStart w:id="3" w:name="_Toc47536644"/>
      <w:bookmarkEnd w:id="3"/>
      <w:bookmarkStart w:id="4" w:name="_Toc47531634"/>
      <w:bookmarkEnd w:id="4"/>
      <w:bookmarkStart w:id="5" w:name="_Toc47532891"/>
      <w:bookmarkEnd w:id="5"/>
      <w:bookmarkStart w:id="6" w:name="_Toc47536272"/>
      <w:bookmarkEnd w:id="6"/>
      <w:bookmarkStart w:id="7" w:name="_Toc47532255"/>
      <w:bookmarkEnd w:id="7"/>
      <w:bookmarkStart w:id="8" w:name="_Toc47539070"/>
      <w:bookmarkEnd w:id="8"/>
      <w:bookmarkStart w:id="9" w:name="_Toc48223882"/>
      <w:bookmarkStart w:id="10" w:name="_Toc63785463"/>
      <w:r>
        <w:rPr>
          <w:rFonts w:hint="eastAsia"/>
          <w:highlight w:val="none"/>
        </w:rPr>
        <w:t>建设目标</w:t>
      </w:r>
      <w:bookmarkEnd w:id="9"/>
      <w:bookmarkEnd w:id="10"/>
    </w:p>
    <w:p w14:paraId="569FB4C4">
      <w:pPr>
        <w:rPr>
          <w:highlight w:val="none"/>
        </w:rPr>
      </w:pPr>
      <w:r>
        <w:rPr>
          <w:rFonts w:hint="eastAsia"/>
          <w:highlight w:val="none"/>
        </w:rPr>
        <w:t>为实现市商务委公开申报类政策统一通过委公共服务系统进行办理，简化企业申报流程，实现直达快享、免审即享，规划面向“市商务委公共服务系统”中“市商务委一网通办综合建设项目”升级改造，增加事项基础管理和标准化服务能力，同时规划“市商务委行业通管系统”中的“市商务委财政支持项目管理系统”迁移纳入“市商务委公共服务系统”，提供平台基础能力建设、标准化通办管理、以及财政专项资金管理。</w:t>
      </w:r>
    </w:p>
    <w:p w14:paraId="7CAD30B4">
      <w:pPr>
        <w:rPr>
          <w:highlight w:val="none"/>
        </w:rPr>
      </w:pPr>
      <w:r>
        <w:rPr>
          <w:rFonts w:hint="eastAsia"/>
          <w:highlight w:val="none"/>
        </w:rPr>
        <w:t>1、构建“政策找企业”的智能服务体系，提升企业获取扶持政策的精准性与便捷性</w:t>
      </w:r>
    </w:p>
    <w:p w14:paraId="4F7905A0">
      <w:pPr>
        <w:rPr>
          <w:highlight w:val="none"/>
        </w:rPr>
      </w:pPr>
      <w:r>
        <w:rPr>
          <w:rFonts w:hint="eastAsia"/>
          <w:highlight w:val="none"/>
        </w:rPr>
        <w:t>为解决企业“找政策难、看不懂、不会报”的普遍痛点，系统将打造一个面向企业的智能服务平台，为企业提供申报指南、进度提醒、材料校验等智能辅助工具，帮助企业清晰了解自身适配政策，提高申报效率和成功率。重点解决“企业不知报、不会报、少报错报”等核心问题，促进政策的精准投放。</w:t>
      </w:r>
    </w:p>
    <w:p w14:paraId="1E72C0A7">
      <w:pPr>
        <w:rPr>
          <w:highlight w:val="none"/>
        </w:rPr>
      </w:pPr>
      <w:r>
        <w:rPr>
          <w:rFonts w:hint="eastAsia"/>
          <w:highlight w:val="none"/>
        </w:rPr>
        <w:t>2、构建“全链条闭环”的项目申报与监管平台，提升政策运行的透明度与合规性</w:t>
      </w:r>
    </w:p>
    <w:p w14:paraId="2B37CD37">
      <w:pPr>
        <w:rPr>
          <w:highlight w:val="none"/>
        </w:rPr>
      </w:pPr>
      <w:r>
        <w:rPr>
          <w:rFonts w:hint="eastAsia"/>
          <w:highlight w:val="none"/>
        </w:rPr>
        <w:t>针对传统管理中“重审批轻执行”、“重材料轻监管”的问题，系统将建设从申报立项、材料审核、审批流转、资金拨付的全过程、闭环管理流程。通过流程引擎与规则驱动，系统实现政策获取、项目申报统一入口、标准化流程与规范化材料管理。切实提升商务委在政策落实合规性、透明度方面的管理能力。</w:t>
      </w:r>
    </w:p>
    <w:p w14:paraId="14CB362A">
      <w:pPr>
        <w:rPr>
          <w:highlight w:val="none"/>
        </w:rPr>
      </w:pPr>
      <w:r>
        <w:rPr>
          <w:rFonts w:hint="eastAsia"/>
          <w:highlight w:val="none"/>
        </w:rPr>
        <w:t>3、构建“数据驱动+智能决策”的分析辅助体系，支撑政府科学施策与资源最优配置</w:t>
      </w:r>
    </w:p>
    <w:p w14:paraId="6ED5403E">
      <w:pPr>
        <w:rPr>
          <w:highlight w:val="none"/>
        </w:rPr>
      </w:pPr>
      <w:r>
        <w:rPr>
          <w:rFonts w:hint="eastAsia"/>
          <w:highlight w:val="none"/>
        </w:rPr>
        <w:t>在大数据背景下，系统将建设以数据沉淀与分析为核心的数据分析功能，打通企业基本信息、信用记录、历史申报、政策享受等多源数据，形成商委主导的业务数据看板，辅助开展年度政策制定、重点企业筛选、资金预算合理安排等决策工作，进一步增强商务委“看得见全局、拿得出方案、调得动资源”的综合治理能力，是推动商务委高质量数字化转型的重要支柱。</w:t>
      </w:r>
    </w:p>
    <w:p w14:paraId="4F05D1F1">
      <w:pPr>
        <w:rPr>
          <w:highlight w:val="none"/>
        </w:rPr>
      </w:pPr>
      <w:r>
        <w:rPr>
          <w:rFonts w:hint="eastAsia"/>
          <w:highlight w:val="none"/>
        </w:rPr>
        <w:t>项目建设所需达到的成效考核目标如下：</w:t>
      </w:r>
    </w:p>
    <w:tbl>
      <w:tblPr>
        <w:tblStyle w:val="35"/>
        <w:tblW w:w="922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68"/>
        <w:gridCol w:w="1560"/>
        <w:gridCol w:w="1559"/>
        <w:gridCol w:w="1539"/>
        <w:gridCol w:w="2126"/>
        <w:gridCol w:w="1575"/>
      </w:tblGrid>
      <w:tr w14:paraId="16190A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1A775AD5">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序号</w:t>
            </w:r>
          </w:p>
        </w:tc>
        <w:tc>
          <w:tcPr>
            <w:tcW w:w="1560" w:type="dxa"/>
            <w:shd w:val="clear" w:color="auto" w:fill="auto"/>
            <w:vAlign w:val="center"/>
          </w:tcPr>
          <w:p w14:paraId="2F9C762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一级指标</w:t>
            </w:r>
          </w:p>
        </w:tc>
        <w:tc>
          <w:tcPr>
            <w:tcW w:w="1559" w:type="dxa"/>
            <w:shd w:val="clear" w:color="auto" w:fill="auto"/>
            <w:vAlign w:val="center"/>
          </w:tcPr>
          <w:p w14:paraId="00B9E6C6">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二级指标</w:t>
            </w:r>
          </w:p>
        </w:tc>
        <w:tc>
          <w:tcPr>
            <w:tcW w:w="1539" w:type="dxa"/>
            <w:shd w:val="clear" w:color="auto" w:fill="auto"/>
            <w:vAlign w:val="center"/>
          </w:tcPr>
          <w:p w14:paraId="4FAC2FF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三级指标</w:t>
            </w:r>
          </w:p>
        </w:tc>
        <w:tc>
          <w:tcPr>
            <w:tcW w:w="2126" w:type="dxa"/>
          </w:tcPr>
          <w:p w14:paraId="33AF0E2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四级指标</w:t>
            </w:r>
          </w:p>
        </w:tc>
        <w:tc>
          <w:tcPr>
            <w:tcW w:w="1575" w:type="dxa"/>
            <w:shd w:val="clear" w:color="auto" w:fill="auto"/>
            <w:vAlign w:val="center"/>
          </w:tcPr>
          <w:p w14:paraId="1FAE9FAA">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指标值</w:t>
            </w:r>
          </w:p>
        </w:tc>
      </w:tr>
      <w:tr w14:paraId="525184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50D7E9E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1</w:t>
            </w:r>
          </w:p>
        </w:tc>
        <w:tc>
          <w:tcPr>
            <w:tcW w:w="1560" w:type="dxa"/>
            <w:vMerge w:val="restart"/>
            <w:shd w:val="clear" w:color="auto" w:fill="auto"/>
            <w:vAlign w:val="center"/>
          </w:tcPr>
          <w:p w14:paraId="5D840ED4">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通用指标</w:t>
            </w:r>
          </w:p>
        </w:tc>
        <w:tc>
          <w:tcPr>
            <w:tcW w:w="1559" w:type="dxa"/>
            <w:vMerge w:val="restart"/>
            <w:shd w:val="clear" w:color="auto" w:fill="auto"/>
            <w:vAlign w:val="center"/>
          </w:tcPr>
          <w:p w14:paraId="2241F43E">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产出指标</w:t>
            </w:r>
          </w:p>
        </w:tc>
        <w:tc>
          <w:tcPr>
            <w:tcW w:w="1539" w:type="dxa"/>
            <w:shd w:val="clear" w:color="auto" w:fill="auto"/>
            <w:vAlign w:val="center"/>
          </w:tcPr>
          <w:p w14:paraId="00C888EE">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产出数量</w:t>
            </w:r>
          </w:p>
        </w:tc>
        <w:tc>
          <w:tcPr>
            <w:tcW w:w="2126" w:type="dxa"/>
          </w:tcPr>
          <w:p w14:paraId="0AE38495">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软件开发完成率</w:t>
            </w:r>
          </w:p>
        </w:tc>
        <w:tc>
          <w:tcPr>
            <w:tcW w:w="1575" w:type="dxa"/>
            <w:shd w:val="clear" w:color="auto" w:fill="auto"/>
            <w:vAlign w:val="center"/>
          </w:tcPr>
          <w:p w14:paraId="2BEFE08A">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1</w:t>
            </w:r>
            <w:r>
              <w:rPr>
                <w:rFonts w:ascii="宋体" w:hAnsi="宋体" w:eastAsia="宋体"/>
                <w:szCs w:val="21"/>
                <w:highlight w:val="none"/>
              </w:rPr>
              <w:t>00</w:t>
            </w:r>
            <w:r>
              <w:rPr>
                <w:rFonts w:hint="eastAsia" w:ascii="宋体" w:hAnsi="宋体" w:eastAsia="宋体"/>
                <w:szCs w:val="21"/>
                <w:highlight w:val="none"/>
              </w:rPr>
              <w:t>%</w:t>
            </w:r>
          </w:p>
        </w:tc>
      </w:tr>
      <w:tr w14:paraId="4617E6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2CD27840">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2</w:t>
            </w:r>
          </w:p>
        </w:tc>
        <w:tc>
          <w:tcPr>
            <w:tcW w:w="1560" w:type="dxa"/>
            <w:vMerge w:val="continue"/>
            <w:shd w:val="clear" w:color="auto" w:fill="auto"/>
            <w:vAlign w:val="center"/>
          </w:tcPr>
          <w:p w14:paraId="2FAF47AC">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33BF1122">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6F12AB00">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7897C6FC">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一次性验收合格率</w:t>
            </w:r>
          </w:p>
        </w:tc>
        <w:tc>
          <w:tcPr>
            <w:tcW w:w="1575" w:type="dxa"/>
            <w:shd w:val="clear" w:color="auto" w:fill="auto"/>
            <w:vAlign w:val="center"/>
          </w:tcPr>
          <w:p w14:paraId="04645F58">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1</w:t>
            </w:r>
            <w:r>
              <w:rPr>
                <w:rFonts w:ascii="宋体" w:hAnsi="宋体" w:eastAsia="宋体"/>
                <w:szCs w:val="21"/>
                <w:highlight w:val="none"/>
              </w:rPr>
              <w:t>00</w:t>
            </w:r>
            <w:r>
              <w:rPr>
                <w:rFonts w:hint="eastAsia" w:ascii="宋体" w:hAnsi="宋体" w:eastAsia="宋体"/>
                <w:szCs w:val="21"/>
                <w:highlight w:val="none"/>
              </w:rPr>
              <w:t>%</w:t>
            </w:r>
          </w:p>
        </w:tc>
      </w:tr>
      <w:tr w14:paraId="1F3755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700E9909">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3</w:t>
            </w:r>
          </w:p>
        </w:tc>
        <w:tc>
          <w:tcPr>
            <w:tcW w:w="1560" w:type="dxa"/>
            <w:vMerge w:val="continue"/>
            <w:shd w:val="clear" w:color="auto" w:fill="auto"/>
            <w:vAlign w:val="center"/>
          </w:tcPr>
          <w:p w14:paraId="11D9C7F0">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06C71877">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37C20F38">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3B99430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软件测试达标</w:t>
            </w:r>
          </w:p>
        </w:tc>
        <w:tc>
          <w:tcPr>
            <w:tcW w:w="1575" w:type="dxa"/>
            <w:shd w:val="clear" w:color="auto" w:fill="auto"/>
            <w:vAlign w:val="center"/>
          </w:tcPr>
          <w:p w14:paraId="560AB7FD">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通过测评达标</w:t>
            </w:r>
          </w:p>
        </w:tc>
      </w:tr>
      <w:tr w14:paraId="782C36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699972BD">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4</w:t>
            </w:r>
          </w:p>
        </w:tc>
        <w:tc>
          <w:tcPr>
            <w:tcW w:w="1560" w:type="dxa"/>
            <w:vMerge w:val="continue"/>
            <w:shd w:val="clear" w:color="auto" w:fill="auto"/>
            <w:vAlign w:val="center"/>
          </w:tcPr>
          <w:p w14:paraId="4E5B7C33">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5F495420">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1BAD9A7B">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640129B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密码测试达标</w:t>
            </w:r>
          </w:p>
        </w:tc>
        <w:tc>
          <w:tcPr>
            <w:tcW w:w="1575" w:type="dxa"/>
            <w:shd w:val="clear" w:color="auto" w:fill="auto"/>
            <w:vAlign w:val="center"/>
          </w:tcPr>
          <w:p w14:paraId="062AF55E">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通过测评达标</w:t>
            </w:r>
          </w:p>
        </w:tc>
      </w:tr>
      <w:tr w14:paraId="3F133E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868" w:type="dxa"/>
            <w:shd w:val="clear" w:color="auto" w:fill="auto"/>
            <w:vAlign w:val="center"/>
          </w:tcPr>
          <w:p w14:paraId="336FC5C2">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5</w:t>
            </w:r>
          </w:p>
        </w:tc>
        <w:tc>
          <w:tcPr>
            <w:tcW w:w="1560" w:type="dxa"/>
            <w:vMerge w:val="continue"/>
            <w:shd w:val="clear" w:color="auto" w:fill="auto"/>
            <w:vAlign w:val="center"/>
          </w:tcPr>
          <w:p w14:paraId="5BDD9C04">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23760694">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22AA938D">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413DE3DE">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安全测试达标</w:t>
            </w:r>
          </w:p>
        </w:tc>
        <w:tc>
          <w:tcPr>
            <w:tcW w:w="1575" w:type="dxa"/>
            <w:shd w:val="clear" w:color="auto" w:fill="auto"/>
            <w:vAlign w:val="center"/>
          </w:tcPr>
          <w:p w14:paraId="03B419E8">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通过测评达标</w:t>
            </w:r>
          </w:p>
        </w:tc>
      </w:tr>
      <w:tr w14:paraId="55AD3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06A55C9D">
            <w:pPr>
              <w:pStyle w:val="138"/>
              <w:widowControl w:val="0"/>
              <w:spacing w:line="360" w:lineRule="auto"/>
              <w:jc w:val="center"/>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6</w:t>
            </w:r>
          </w:p>
        </w:tc>
        <w:tc>
          <w:tcPr>
            <w:tcW w:w="1560" w:type="dxa"/>
            <w:vMerge w:val="continue"/>
            <w:shd w:val="clear" w:color="auto" w:fill="auto"/>
            <w:vAlign w:val="center"/>
          </w:tcPr>
          <w:p w14:paraId="32C28A96">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30B8E422">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56BCEFD4">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0E42815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安全事件发生次数</w:t>
            </w:r>
          </w:p>
        </w:tc>
        <w:tc>
          <w:tcPr>
            <w:tcW w:w="1575" w:type="dxa"/>
            <w:shd w:val="clear" w:color="auto" w:fill="auto"/>
            <w:vAlign w:val="center"/>
          </w:tcPr>
          <w:p w14:paraId="59623208">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0次</w:t>
            </w:r>
          </w:p>
        </w:tc>
      </w:tr>
      <w:tr w14:paraId="272F66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8" w:type="dxa"/>
            <w:shd w:val="clear" w:color="auto" w:fill="auto"/>
            <w:vAlign w:val="center"/>
          </w:tcPr>
          <w:p w14:paraId="32955EB1">
            <w:pPr>
              <w:pStyle w:val="138"/>
              <w:widowControl w:val="0"/>
              <w:spacing w:line="360" w:lineRule="auto"/>
              <w:jc w:val="center"/>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7</w:t>
            </w:r>
          </w:p>
        </w:tc>
        <w:tc>
          <w:tcPr>
            <w:tcW w:w="1560" w:type="dxa"/>
            <w:vMerge w:val="continue"/>
            <w:shd w:val="clear" w:color="auto" w:fill="auto"/>
            <w:vAlign w:val="center"/>
          </w:tcPr>
          <w:p w14:paraId="2DA6485B">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72531A87">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6E820E30">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742263F3">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网络安全等级保护</w:t>
            </w:r>
          </w:p>
        </w:tc>
        <w:tc>
          <w:tcPr>
            <w:tcW w:w="1575" w:type="dxa"/>
            <w:shd w:val="clear" w:color="auto" w:fill="auto"/>
            <w:vAlign w:val="center"/>
          </w:tcPr>
          <w:p w14:paraId="402B892B">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三级</w:t>
            </w:r>
          </w:p>
        </w:tc>
      </w:tr>
      <w:tr w14:paraId="6C7497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8" w:type="dxa"/>
            <w:shd w:val="clear" w:color="auto" w:fill="auto"/>
            <w:vAlign w:val="center"/>
          </w:tcPr>
          <w:p w14:paraId="310B95E8">
            <w:pPr>
              <w:pStyle w:val="138"/>
              <w:widowControl w:val="0"/>
              <w:spacing w:line="360" w:lineRule="auto"/>
              <w:jc w:val="center"/>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8</w:t>
            </w:r>
          </w:p>
        </w:tc>
        <w:tc>
          <w:tcPr>
            <w:tcW w:w="1560" w:type="dxa"/>
            <w:vMerge w:val="continue"/>
            <w:shd w:val="clear" w:color="auto" w:fill="auto"/>
            <w:vAlign w:val="center"/>
          </w:tcPr>
          <w:p w14:paraId="74FC16C8">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2269B2D4">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0093CD66">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产出质量</w:t>
            </w:r>
          </w:p>
        </w:tc>
        <w:tc>
          <w:tcPr>
            <w:tcW w:w="2126" w:type="dxa"/>
          </w:tcPr>
          <w:p w14:paraId="4C97B210">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系统可靠性</w:t>
            </w:r>
          </w:p>
        </w:tc>
        <w:tc>
          <w:tcPr>
            <w:tcW w:w="1575" w:type="dxa"/>
            <w:shd w:val="clear" w:color="auto" w:fill="auto"/>
            <w:vAlign w:val="center"/>
          </w:tcPr>
          <w:p w14:paraId="1DCCD4EC">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100%</w:t>
            </w:r>
          </w:p>
        </w:tc>
      </w:tr>
      <w:tr w14:paraId="020AF3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868" w:type="dxa"/>
            <w:shd w:val="clear" w:color="auto" w:fill="auto"/>
            <w:vAlign w:val="center"/>
          </w:tcPr>
          <w:p w14:paraId="6F66539F">
            <w:pPr>
              <w:pStyle w:val="138"/>
              <w:widowControl w:val="0"/>
              <w:spacing w:line="360" w:lineRule="auto"/>
              <w:jc w:val="center"/>
              <w:rPr>
                <w:rFonts w:hint="eastAsia" w:ascii="宋体" w:hAnsi="宋体" w:eastAsia="宋体"/>
                <w:szCs w:val="21"/>
                <w:highlight w:val="none"/>
                <w:lang w:eastAsia="zh-CN"/>
              </w:rPr>
            </w:pPr>
            <w:r>
              <w:rPr>
                <w:rFonts w:hint="eastAsia" w:ascii="宋体" w:hAnsi="宋体" w:eastAsia="宋体" w:cs="Times New Roman"/>
                <w:szCs w:val="21"/>
                <w:highlight w:val="none"/>
                <w:lang w:val="en-US" w:eastAsia="zh-CN"/>
              </w:rPr>
              <w:t>9</w:t>
            </w:r>
          </w:p>
        </w:tc>
        <w:tc>
          <w:tcPr>
            <w:tcW w:w="1560" w:type="dxa"/>
            <w:vMerge w:val="continue"/>
            <w:shd w:val="clear" w:color="auto" w:fill="auto"/>
            <w:vAlign w:val="center"/>
          </w:tcPr>
          <w:p w14:paraId="248D4559">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1B368EAF">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3C1D8FF5">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产出时效</w:t>
            </w:r>
          </w:p>
        </w:tc>
        <w:tc>
          <w:tcPr>
            <w:tcW w:w="2126" w:type="dxa"/>
          </w:tcPr>
          <w:p w14:paraId="7FEF4EA9">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项目建设周期</w:t>
            </w:r>
          </w:p>
        </w:tc>
        <w:tc>
          <w:tcPr>
            <w:tcW w:w="1575" w:type="dxa"/>
            <w:shd w:val="clear" w:color="auto" w:fill="auto"/>
            <w:vAlign w:val="center"/>
          </w:tcPr>
          <w:p w14:paraId="5AABC142">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lang w:val="en-US" w:eastAsia="zh-CN"/>
              </w:rPr>
              <w:t>9</w:t>
            </w:r>
            <w:r>
              <w:rPr>
                <w:rFonts w:hint="eastAsia" w:ascii="宋体" w:hAnsi="宋体" w:eastAsia="宋体"/>
                <w:szCs w:val="21"/>
                <w:highlight w:val="none"/>
              </w:rPr>
              <w:t>个月</w:t>
            </w:r>
          </w:p>
        </w:tc>
      </w:tr>
      <w:tr w14:paraId="7659A9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7B6BAF0A">
            <w:pPr>
              <w:pStyle w:val="138"/>
              <w:widowControl w:val="0"/>
              <w:spacing w:line="360" w:lineRule="auto"/>
              <w:jc w:val="center"/>
              <w:rPr>
                <w:rFonts w:hint="default" w:ascii="宋体" w:hAnsi="宋体" w:eastAsia="宋体"/>
                <w:szCs w:val="21"/>
                <w:highlight w:val="none"/>
                <w:lang w:val="en-US" w:eastAsia="zh-CN"/>
              </w:rPr>
            </w:pPr>
            <w:r>
              <w:rPr>
                <w:rFonts w:hint="eastAsia" w:ascii="宋体" w:hAnsi="宋体" w:eastAsia="宋体" w:cs="Times New Roman"/>
                <w:szCs w:val="21"/>
                <w:highlight w:val="none"/>
                <w:lang w:val="en-US" w:eastAsia="zh-CN"/>
              </w:rPr>
              <w:t>10</w:t>
            </w:r>
          </w:p>
        </w:tc>
        <w:tc>
          <w:tcPr>
            <w:tcW w:w="1560" w:type="dxa"/>
            <w:vMerge w:val="continue"/>
            <w:shd w:val="clear" w:color="auto" w:fill="auto"/>
            <w:vAlign w:val="center"/>
          </w:tcPr>
          <w:p w14:paraId="33C2A374">
            <w:pPr>
              <w:pStyle w:val="138"/>
              <w:widowControl w:val="0"/>
              <w:spacing w:line="360" w:lineRule="auto"/>
              <w:jc w:val="center"/>
              <w:rPr>
                <w:rFonts w:ascii="宋体" w:hAnsi="宋体" w:eastAsia="宋体"/>
                <w:szCs w:val="21"/>
                <w:highlight w:val="none"/>
              </w:rPr>
            </w:pPr>
          </w:p>
        </w:tc>
        <w:tc>
          <w:tcPr>
            <w:tcW w:w="1559" w:type="dxa"/>
            <w:vMerge w:val="restart"/>
            <w:shd w:val="clear" w:color="auto" w:fill="auto"/>
            <w:vAlign w:val="center"/>
          </w:tcPr>
          <w:p w14:paraId="6E906548">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效益指标</w:t>
            </w:r>
          </w:p>
        </w:tc>
        <w:tc>
          <w:tcPr>
            <w:tcW w:w="1539" w:type="dxa"/>
            <w:shd w:val="clear" w:color="auto" w:fill="auto"/>
            <w:vAlign w:val="center"/>
          </w:tcPr>
          <w:p w14:paraId="59E64E31">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应用效益</w:t>
            </w:r>
          </w:p>
        </w:tc>
        <w:tc>
          <w:tcPr>
            <w:tcW w:w="2126" w:type="dxa"/>
          </w:tcPr>
          <w:p w14:paraId="3BE40F9E">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完成一网通办平台综合建设项目基础能力建设、标准化通办管理、财政专项资金管理的升级改造工作</w:t>
            </w:r>
          </w:p>
        </w:tc>
        <w:tc>
          <w:tcPr>
            <w:tcW w:w="1575" w:type="dxa"/>
            <w:shd w:val="clear" w:color="auto" w:fill="auto"/>
            <w:vAlign w:val="center"/>
          </w:tcPr>
          <w:p w14:paraId="04B83687">
            <w:pPr>
              <w:pStyle w:val="138"/>
              <w:widowControl w:val="0"/>
              <w:spacing w:line="360" w:lineRule="auto"/>
              <w:jc w:val="center"/>
              <w:rPr>
                <w:rFonts w:ascii="宋体" w:hAnsi="宋体" w:eastAsia="宋体"/>
                <w:szCs w:val="21"/>
                <w:highlight w:val="none"/>
              </w:rPr>
            </w:pPr>
            <w:r>
              <w:rPr>
                <w:rFonts w:ascii="宋体" w:hAnsi="宋体" w:eastAsia="宋体"/>
                <w:szCs w:val="21"/>
                <w:highlight w:val="none"/>
              </w:rPr>
              <w:t>3</w:t>
            </w:r>
            <w:r>
              <w:rPr>
                <w:rFonts w:hint="eastAsia" w:ascii="宋体" w:hAnsi="宋体" w:eastAsia="宋体"/>
                <w:szCs w:val="21"/>
                <w:highlight w:val="none"/>
              </w:rPr>
              <w:t>项</w:t>
            </w:r>
          </w:p>
        </w:tc>
      </w:tr>
      <w:tr w14:paraId="270F75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0B32E09F">
            <w:pPr>
              <w:pStyle w:val="138"/>
              <w:widowControl w:val="0"/>
              <w:spacing w:line="360" w:lineRule="auto"/>
              <w:jc w:val="center"/>
              <w:rPr>
                <w:rFonts w:hint="default" w:ascii="宋体" w:hAnsi="宋体" w:eastAsia="宋体"/>
                <w:szCs w:val="21"/>
                <w:highlight w:val="none"/>
                <w:lang w:val="en-US" w:eastAsia="zh-CN"/>
              </w:rPr>
            </w:pPr>
            <w:r>
              <w:rPr>
                <w:rFonts w:hint="eastAsia" w:ascii="宋体" w:hAnsi="宋体" w:eastAsia="宋体" w:cs="Times New Roman"/>
                <w:szCs w:val="21"/>
                <w:highlight w:val="none"/>
                <w:lang w:val="en-US" w:eastAsia="zh-CN"/>
              </w:rPr>
              <w:t>11</w:t>
            </w:r>
          </w:p>
        </w:tc>
        <w:tc>
          <w:tcPr>
            <w:tcW w:w="1560" w:type="dxa"/>
            <w:vMerge w:val="continue"/>
            <w:shd w:val="clear" w:color="auto" w:fill="auto"/>
            <w:vAlign w:val="center"/>
          </w:tcPr>
          <w:p w14:paraId="198565F9">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3403FBAA">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68498D95">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应用效益</w:t>
            </w:r>
          </w:p>
        </w:tc>
        <w:tc>
          <w:tcPr>
            <w:tcW w:w="2126" w:type="dxa"/>
          </w:tcPr>
          <w:p w14:paraId="79C31082">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业务应用年访问量</w:t>
            </w:r>
          </w:p>
        </w:tc>
        <w:tc>
          <w:tcPr>
            <w:tcW w:w="1575" w:type="dxa"/>
            <w:shd w:val="clear" w:color="auto" w:fill="auto"/>
            <w:vAlign w:val="center"/>
          </w:tcPr>
          <w:p w14:paraId="6A60168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w:t>
            </w:r>
            <w:r>
              <w:rPr>
                <w:rFonts w:ascii="宋体" w:hAnsi="宋体" w:eastAsia="宋体"/>
                <w:szCs w:val="21"/>
                <w:highlight w:val="none"/>
              </w:rPr>
              <w:t>1000</w:t>
            </w:r>
            <w:r>
              <w:rPr>
                <w:rFonts w:hint="eastAsia" w:ascii="宋体" w:hAnsi="宋体" w:eastAsia="宋体"/>
                <w:szCs w:val="21"/>
                <w:highlight w:val="none"/>
              </w:rPr>
              <w:t>人次</w:t>
            </w:r>
          </w:p>
        </w:tc>
      </w:tr>
      <w:tr w14:paraId="6C0580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5EB30103">
            <w:pPr>
              <w:pStyle w:val="138"/>
              <w:widowControl w:val="0"/>
              <w:spacing w:line="360" w:lineRule="auto"/>
              <w:jc w:val="center"/>
              <w:rPr>
                <w:rFonts w:hint="default" w:ascii="宋体" w:hAnsi="宋体" w:eastAsia="宋体"/>
                <w:szCs w:val="21"/>
                <w:highlight w:val="none"/>
                <w:lang w:val="en-US" w:eastAsia="zh-CN"/>
              </w:rPr>
            </w:pPr>
            <w:r>
              <w:rPr>
                <w:rFonts w:hint="eastAsia" w:ascii="宋体" w:hAnsi="宋体" w:eastAsia="宋体" w:cs="Times New Roman"/>
                <w:szCs w:val="21"/>
                <w:highlight w:val="none"/>
                <w:lang w:val="en-US" w:eastAsia="zh-CN"/>
              </w:rPr>
              <w:t>12</w:t>
            </w:r>
          </w:p>
        </w:tc>
        <w:tc>
          <w:tcPr>
            <w:tcW w:w="1560" w:type="dxa"/>
            <w:vMerge w:val="continue"/>
            <w:shd w:val="clear" w:color="auto" w:fill="auto"/>
            <w:vAlign w:val="center"/>
          </w:tcPr>
          <w:p w14:paraId="3BE42C36">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788D02EB">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49BF3F9F">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应用效益</w:t>
            </w:r>
          </w:p>
        </w:tc>
        <w:tc>
          <w:tcPr>
            <w:tcW w:w="2126" w:type="dxa"/>
          </w:tcPr>
          <w:p w14:paraId="65B24F84">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年度业务总使用量</w:t>
            </w:r>
          </w:p>
        </w:tc>
        <w:tc>
          <w:tcPr>
            <w:tcW w:w="1575" w:type="dxa"/>
            <w:shd w:val="clear" w:color="auto" w:fill="auto"/>
            <w:vAlign w:val="center"/>
          </w:tcPr>
          <w:p w14:paraId="2D55EADA">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w:t>
            </w:r>
            <w:r>
              <w:rPr>
                <w:rFonts w:ascii="宋体" w:hAnsi="宋体" w:eastAsia="宋体"/>
                <w:szCs w:val="21"/>
                <w:highlight w:val="none"/>
              </w:rPr>
              <w:t>1000</w:t>
            </w:r>
            <w:r>
              <w:rPr>
                <w:rFonts w:hint="eastAsia" w:ascii="宋体" w:hAnsi="宋体" w:eastAsia="宋体"/>
                <w:szCs w:val="21"/>
                <w:highlight w:val="none"/>
              </w:rPr>
              <w:t>笔</w:t>
            </w:r>
          </w:p>
        </w:tc>
      </w:tr>
      <w:tr w14:paraId="65B52F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7100914E">
            <w:pPr>
              <w:pStyle w:val="138"/>
              <w:widowControl w:val="0"/>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13</w:t>
            </w:r>
          </w:p>
        </w:tc>
        <w:tc>
          <w:tcPr>
            <w:tcW w:w="1560" w:type="dxa"/>
            <w:vMerge w:val="restart"/>
            <w:shd w:val="clear" w:color="auto" w:fill="auto"/>
            <w:vAlign w:val="center"/>
          </w:tcPr>
          <w:p w14:paraId="2B5A7BF5">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业务指标</w:t>
            </w:r>
          </w:p>
        </w:tc>
        <w:tc>
          <w:tcPr>
            <w:tcW w:w="1559" w:type="dxa"/>
            <w:shd w:val="clear" w:color="auto" w:fill="auto"/>
            <w:vAlign w:val="center"/>
          </w:tcPr>
          <w:p w14:paraId="4BAE9441">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产出指标</w:t>
            </w:r>
          </w:p>
        </w:tc>
        <w:tc>
          <w:tcPr>
            <w:tcW w:w="1539" w:type="dxa"/>
            <w:shd w:val="clear" w:color="auto" w:fill="auto"/>
            <w:vAlign w:val="center"/>
          </w:tcPr>
          <w:p w14:paraId="0391125E">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产出数量</w:t>
            </w:r>
          </w:p>
        </w:tc>
        <w:tc>
          <w:tcPr>
            <w:tcW w:w="2126" w:type="dxa"/>
          </w:tcPr>
          <w:p w14:paraId="780A3AF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专项资金资助组织架构对象</w:t>
            </w:r>
          </w:p>
        </w:tc>
        <w:tc>
          <w:tcPr>
            <w:tcW w:w="1575" w:type="dxa"/>
            <w:shd w:val="clear" w:color="auto" w:fill="auto"/>
            <w:vAlign w:val="center"/>
          </w:tcPr>
          <w:p w14:paraId="21CB5A0D">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≥2</w:t>
            </w:r>
            <w:r>
              <w:rPr>
                <w:rFonts w:ascii="宋体" w:hAnsi="宋体" w:eastAsia="宋体"/>
                <w:szCs w:val="21"/>
                <w:highlight w:val="none"/>
              </w:rPr>
              <w:t>00</w:t>
            </w:r>
          </w:p>
        </w:tc>
      </w:tr>
      <w:tr w14:paraId="6EE1D4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38974C05">
            <w:pPr>
              <w:pStyle w:val="138"/>
              <w:widowControl w:val="0"/>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14</w:t>
            </w:r>
          </w:p>
        </w:tc>
        <w:tc>
          <w:tcPr>
            <w:tcW w:w="1560" w:type="dxa"/>
            <w:vMerge w:val="continue"/>
            <w:shd w:val="clear" w:color="auto" w:fill="auto"/>
            <w:vAlign w:val="center"/>
          </w:tcPr>
          <w:p w14:paraId="559B53C5">
            <w:pPr>
              <w:pStyle w:val="138"/>
              <w:widowControl w:val="0"/>
              <w:spacing w:line="360" w:lineRule="auto"/>
              <w:jc w:val="center"/>
              <w:rPr>
                <w:rFonts w:ascii="宋体" w:hAnsi="宋体" w:eastAsia="宋体"/>
                <w:szCs w:val="21"/>
                <w:highlight w:val="none"/>
              </w:rPr>
            </w:pPr>
          </w:p>
        </w:tc>
        <w:tc>
          <w:tcPr>
            <w:tcW w:w="1559" w:type="dxa"/>
            <w:vMerge w:val="restart"/>
            <w:shd w:val="clear" w:color="auto" w:fill="auto"/>
            <w:vAlign w:val="center"/>
          </w:tcPr>
          <w:p w14:paraId="114A68F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效益指标</w:t>
            </w:r>
          </w:p>
        </w:tc>
        <w:tc>
          <w:tcPr>
            <w:tcW w:w="1539" w:type="dxa"/>
            <w:shd w:val="clear" w:color="auto" w:fill="auto"/>
            <w:vAlign w:val="center"/>
          </w:tcPr>
          <w:p w14:paraId="27BCDD17">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社会效益</w:t>
            </w:r>
          </w:p>
        </w:tc>
        <w:tc>
          <w:tcPr>
            <w:tcW w:w="2126" w:type="dxa"/>
          </w:tcPr>
          <w:p w14:paraId="73A5DB02">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事项通过系统进行线上申报率</w:t>
            </w:r>
          </w:p>
        </w:tc>
        <w:tc>
          <w:tcPr>
            <w:tcW w:w="1575" w:type="dxa"/>
            <w:shd w:val="clear" w:color="auto" w:fill="auto"/>
            <w:vAlign w:val="center"/>
          </w:tcPr>
          <w:p w14:paraId="6506AF3C">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w:t>
            </w:r>
            <w:r>
              <w:rPr>
                <w:rFonts w:ascii="宋体" w:hAnsi="宋体" w:eastAsia="宋体"/>
                <w:szCs w:val="21"/>
                <w:highlight w:val="none"/>
              </w:rPr>
              <w:t>50</w:t>
            </w:r>
            <w:r>
              <w:rPr>
                <w:rFonts w:hint="eastAsia" w:ascii="宋体" w:hAnsi="宋体" w:eastAsia="宋体"/>
                <w:szCs w:val="21"/>
                <w:highlight w:val="none"/>
              </w:rPr>
              <w:t>%</w:t>
            </w:r>
          </w:p>
        </w:tc>
      </w:tr>
      <w:tr w14:paraId="0F1C80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73A4303B">
            <w:pPr>
              <w:pStyle w:val="138"/>
              <w:widowControl w:val="0"/>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15</w:t>
            </w:r>
          </w:p>
        </w:tc>
        <w:tc>
          <w:tcPr>
            <w:tcW w:w="1560" w:type="dxa"/>
            <w:vMerge w:val="continue"/>
            <w:shd w:val="clear" w:color="auto" w:fill="auto"/>
            <w:vAlign w:val="center"/>
          </w:tcPr>
          <w:p w14:paraId="0B997A2C">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7736666C">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5E2700DC">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社会效益</w:t>
            </w:r>
          </w:p>
        </w:tc>
        <w:tc>
          <w:tcPr>
            <w:tcW w:w="2126" w:type="dxa"/>
          </w:tcPr>
          <w:p w14:paraId="5596373D">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事项的通知和办理工作通过线上实现，免去申报人线下填报</w:t>
            </w:r>
          </w:p>
        </w:tc>
        <w:tc>
          <w:tcPr>
            <w:tcW w:w="1575" w:type="dxa"/>
            <w:shd w:val="clear" w:color="auto" w:fill="auto"/>
            <w:vAlign w:val="center"/>
          </w:tcPr>
          <w:p w14:paraId="1F74ECA4">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w:t>
            </w:r>
            <w:r>
              <w:rPr>
                <w:rFonts w:ascii="宋体" w:hAnsi="宋体" w:eastAsia="宋体"/>
                <w:szCs w:val="21"/>
                <w:highlight w:val="none"/>
              </w:rPr>
              <w:t>50</w:t>
            </w:r>
            <w:r>
              <w:rPr>
                <w:rFonts w:hint="eastAsia" w:ascii="宋体" w:hAnsi="宋体" w:eastAsia="宋体"/>
                <w:szCs w:val="21"/>
                <w:highlight w:val="none"/>
              </w:rPr>
              <w:t>%</w:t>
            </w:r>
          </w:p>
        </w:tc>
      </w:tr>
      <w:tr w14:paraId="25413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14:paraId="75F80524">
            <w:pPr>
              <w:pStyle w:val="138"/>
              <w:widowControl w:val="0"/>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16</w:t>
            </w:r>
          </w:p>
        </w:tc>
        <w:tc>
          <w:tcPr>
            <w:tcW w:w="1560" w:type="dxa"/>
            <w:vMerge w:val="continue"/>
            <w:shd w:val="clear" w:color="auto" w:fill="auto"/>
            <w:vAlign w:val="center"/>
          </w:tcPr>
          <w:p w14:paraId="09787D7D">
            <w:pPr>
              <w:pStyle w:val="138"/>
              <w:widowControl w:val="0"/>
              <w:spacing w:line="360" w:lineRule="auto"/>
              <w:jc w:val="center"/>
              <w:rPr>
                <w:rFonts w:ascii="宋体" w:hAnsi="宋体" w:eastAsia="宋体"/>
                <w:szCs w:val="21"/>
                <w:highlight w:val="none"/>
              </w:rPr>
            </w:pPr>
          </w:p>
        </w:tc>
        <w:tc>
          <w:tcPr>
            <w:tcW w:w="1559" w:type="dxa"/>
            <w:vMerge w:val="continue"/>
            <w:shd w:val="clear" w:color="auto" w:fill="auto"/>
            <w:vAlign w:val="center"/>
          </w:tcPr>
          <w:p w14:paraId="14C5A681">
            <w:pPr>
              <w:pStyle w:val="138"/>
              <w:widowControl w:val="0"/>
              <w:spacing w:line="360" w:lineRule="auto"/>
              <w:jc w:val="center"/>
              <w:rPr>
                <w:rFonts w:ascii="宋体" w:hAnsi="宋体" w:eastAsia="宋体"/>
                <w:szCs w:val="21"/>
                <w:highlight w:val="none"/>
              </w:rPr>
            </w:pPr>
          </w:p>
        </w:tc>
        <w:tc>
          <w:tcPr>
            <w:tcW w:w="1539" w:type="dxa"/>
            <w:shd w:val="clear" w:color="auto" w:fill="auto"/>
            <w:vAlign w:val="center"/>
          </w:tcPr>
          <w:p w14:paraId="2344B8D6">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社会效益</w:t>
            </w:r>
          </w:p>
        </w:tc>
        <w:tc>
          <w:tcPr>
            <w:tcW w:w="2126" w:type="dxa"/>
          </w:tcPr>
          <w:p w14:paraId="166CBFAC">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满足专项资金相关事项纳入市级办件库管理</w:t>
            </w:r>
          </w:p>
        </w:tc>
        <w:tc>
          <w:tcPr>
            <w:tcW w:w="1575" w:type="dxa"/>
            <w:shd w:val="clear" w:color="auto" w:fill="auto"/>
            <w:vAlign w:val="center"/>
          </w:tcPr>
          <w:p w14:paraId="5DF7273F">
            <w:pPr>
              <w:pStyle w:val="138"/>
              <w:widowControl w:val="0"/>
              <w:spacing w:line="360" w:lineRule="auto"/>
              <w:jc w:val="center"/>
              <w:rPr>
                <w:rFonts w:ascii="宋体" w:hAnsi="宋体" w:eastAsia="宋体"/>
                <w:szCs w:val="21"/>
                <w:highlight w:val="none"/>
              </w:rPr>
            </w:pPr>
            <w:r>
              <w:rPr>
                <w:rFonts w:hint="eastAsia" w:ascii="宋体" w:hAnsi="宋体" w:eastAsia="宋体"/>
                <w:szCs w:val="21"/>
                <w:highlight w:val="none"/>
              </w:rPr>
              <w:t>满足</w:t>
            </w:r>
          </w:p>
        </w:tc>
      </w:tr>
    </w:tbl>
    <w:p w14:paraId="7292E42B">
      <w:pPr>
        <w:pStyle w:val="2"/>
        <w:rPr>
          <w:highlight w:val="none"/>
        </w:rPr>
      </w:pPr>
      <w:bookmarkStart w:id="11" w:name="_Toc47539102"/>
      <w:bookmarkEnd w:id="11"/>
      <w:bookmarkStart w:id="12" w:name="_Toc47537166"/>
      <w:bookmarkEnd w:id="12"/>
      <w:bookmarkStart w:id="13" w:name="_Toc47533288"/>
      <w:bookmarkEnd w:id="13"/>
      <w:bookmarkStart w:id="14" w:name="_Toc47536304"/>
      <w:bookmarkEnd w:id="14"/>
      <w:bookmarkStart w:id="15" w:name="_Toc47532923"/>
      <w:bookmarkEnd w:id="15"/>
      <w:bookmarkStart w:id="16" w:name="_Toc47536676"/>
      <w:bookmarkEnd w:id="16"/>
      <w:r>
        <w:rPr>
          <w:rFonts w:hint="eastAsia"/>
          <w:highlight w:val="none"/>
        </w:rPr>
        <w:t>项目建设内容</w:t>
      </w:r>
    </w:p>
    <w:p w14:paraId="52424AA4">
      <w:pPr>
        <w:pStyle w:val="3"/>
        <w:rPr>
          <w:highlight w:val="none"/>
        </w:rPr>
      </w:pPr>
      <w:r>
        <w:rPr>
          <w:rFonts w:hint="eastAsia"/>
          <w:highlight w:val="none"/>
        </w:rPr>
        <w:t>建设内容概述</w:t>
      </w:r>
    </w:p>
    <w:p w14:paraId="5FBC2AEC">
      <w:pPr>
        <w:rPr>
          <w:highlight w:val="none"/>
        </w:rPr>
      </w:pPr>
      <w:r>
        <w:rPr>
          <w:rFonts w:hint="eastAsia"/>
          <w:highlight w:val="none"/>
        </w:rPr>
        <w:t>为实现市商务委公开申报类政策统一通过委公共服务系统进行办理，规划升级“市商务委公共服务系统”的“市商务委一网通办综合建设项目”，并整合“市商务委行业通管系统”的“市商务委财政支持项目管理系统”，提供平台基础能力建设、标准化通办管理、以及财政专项资金管理，满足面向企业/自然人申报用户、大厅服务中心和管理处室的便捷使用和高效管理目标，本次项目主要建设内容如下：</w:t>
      </w:r>
    </w:p>
    <w:p w14:paraId="495B6E8E">
      <w:pPr>
        <w:rPr>
          <w:highlight w:val="none"/>
        </w:rPr>
      </w:pPr>
      <w:r>
        <w:rPr>
          <w:rFonts w:hint="eastAsia"/>
          <w:highlight w:val="none"/>
        </w:rPr>
        <w:t>（一）基础能力建设</w:t>
      </w:r>
    </w:p>
    <w:p w14:paraId="18B9CDD8">
      <w:pPr>
        <w:rPr>
          <w:highlight w:val="none"/>
        </w:rPr>
      </w:pPr>
      <w:r>
        <w:rPr>
          <w:rFonts w:hint="eastAsia"/>
          <w:highlight w:val="none"/>
        </w:rPr>
        <w:t>对平台进行基础管理和服务能力的升级，增挂</w:t>
      </w:r>
      <w:r>
        <w:rPr>
          <w:highlight w:val="none"/>
        </w:rPr>
        <w:t>内部与外部应用接入统一管理、统一流程配置与管控、事项信息管理、综合消息中心、物流管理、电子证照管理、归档管理、接口资源统一管理</w:t>
      </w:r>
      <w:r>
        <w:rPr>
          <w:rFonts w:hint="eastAsia"/>
          <w:highlight w:val="none"/>
        </w:rPr>
        <w:t>、以及接口建设内容，为完善委内事项基础管理能力和与市平台标准化对接提供支撑保障。</w:t>
      </w:r>
    </w:p>
    <w:p w14:paraId="58D0706B">
      <w:pPr>
        <w:rPr>
          <w:highlight w:val="none"/>
        </w:rPr>
      </w:pPr>
      <w:r>
        <w:rPr>
          <w:rFonts w:hint="eastAsia"/>
          <w:highlight w:val="none"/>
        </w:rPr>
        <w:t>（二）标准化通办管理</w:t>
      </w:r>
    </w:p>
    <w:p w14:paraId="5B84C7D0">
      <w:pPr>
        <w:rPr>
          <w:highlight w:val="none"/>
        </w:rPr>
      </w:pPr>
      <w:r>
        <w:rPr>
          <w:rFonts w:hint="eastAsia"/>
          <w:highlight w:val="none"/>
        </w:rPr>
        <w:t>基于基础管理能力，对委内事项标准化通办、大厅事项管理、处室审批流转等进行建设，增挂</w:t>
      </w:r>
      <w:r>
        <w:rPr>
          <w:highlight w:val="none"/>
        </w:rPr>
        <w:t>社会消费品零售企业奖励免申即享管理、标准化申报管理、标准化收件管理、标准化审批管理、标准化电子证照制证管理、标准化线上线下发证管理、好差评管理、实体服务大厅窗口管理、大厅办事凭证管理</w:t>
      </w:r>
      <w:r>
        <w:rPr>
          <w:rFonts w:hint="eastAsia"/>
          <w:highlight w:val="none"/>
        </w:rPr>
        <w:t>功能，支撑委内事项的全面数字化覆盖管理。</w:t>
      </w:r>
    </w:p>
    <w:p w14:paraId="51ADE86F">
      <w:pPr>
        <w:rPr>
          <w:highlight w:val="none"/>
        </w:rPr>
      </w:pPr>
      <w:r>
        <w:rPr>
          <w:rFonts w:hint="eastAsia"/>
          <w:highlight w:val="none"/>
        </w:rPr>
        <w:t>（三）财政专项资金管理</w:t>
      </w:r>
    </w:p>
    <w:p w14:paraId="01F447AB">
      <w:pPr>
        <w:rPr>
          <w:highlight w:val="none"/>
        </w:rPr>
      </w:pPr>
      <w:r>
        <w:rPr>
          <w:rFonts w:hint="eastAsia"/>
          <w:highlight w:val="none"/>
        </w:rPr>
        <w:t>1、原有系统功能升级改造</w:t>
      </w:r>
    </w:p>
    <w:p w14:paraId="0FDF580D">
      <w:pPr>
        <w:rPr>
          <w:highlight w:val="none"/>
        </w:rPr>
      </w:pPr>
      <w:r>
        <w:rPr>
          <w:rFonts w:hint="eastAsia"/>
          <w:highlight w:val="none"/>
        </w:rPr>
        <w:t>（1）项目在线申报管理功能升级改造，其中升级企业智能预填功能、新建申报开发设置、企业动态信息管理、企业申报情况查询功能。</w:t>
      </w:r>
    </w:p>
    <w:p w14:paraId="68CE1AE3">
      <w:pPr>
        <w:rPr>
          <w:highlight w:val="none"/>
        </w:rPr>
      </w:pPr>
      <w:r>
        <w:rPr>
          <w:rFonts w:hint="eastAsia"/>
          <w:highlight w:val="none"/>
        </w:rPr>
        <w:t>（2）项目在线审核管理功能升级改造，包括企业申报核定信息批量管理。</w:t>
      </w:r>
    </w:p>
    <w:p w14:paraId="32563357">
      <w:pPr>
        <w:rPr>
          <w:highlight w:val="none"/>
        </w:rPr>
      </w:pPr>
      <w:r>
        <w:rPr>
          <w:rFonts w:hint="eastAsia"/>
          <w:highlight w:val="none"/>
        </w:rPr>
        <w:t>（3）资金管理升级改造，其中包括资金预算管理升级、项目公示升级、新建企业资金拨付申请生成、政府购买服务类企业资金拨付管理、公示异议管理、资金拨付申请回单确认功能。</w:t>
      </w:r>
    </w:p>
    <w:p w14:paraId="77093A1F">
      <w:pPr>
        <w:rPr>
          <w:highlight w:val="none"/>
        </w:rPr>
      </w:pPr>
      <w:r>
        <w:rPr>
          <w:rFonts w:hint="eastAsia"/>
          <w:highlight w:val="none"/>
        </w:rPr>
        <w:t>（4）政策管理升级改造，升级政策发布管理功能。</w:t>
      </w:r>
    </w:p>
    <w:p w14:paraId="1BB6FBC2">
      <w:pPr>
        <w:rPr>
          <w:highlight w:val="none"/>
        </w:rPr>
      </w:pPr>
      <w:r>
        <w:rPr>
          <w:rFonts w:hint="eastAsia"/>
          <w:highlight w:val="none"/>
        </w:rPr>
        <w:t>2、系统功能模块新建</w:t>
      </w:r>
    </w:p>
    <w:p w14:paraId="6C2ECF6A">
      <w:pPr>
        <w:rPr>
          <w:highlight w:val="none"/>
        </w:rPr>
      </w:pPr>
      <w:r>
        <w:rPr>
          <w:rFonts w:hint="eastAsia"/>
          <w:highlight w:val="none"/>
        </w:rPr>
        <w:t>旨在进一步提升企业服务能力与水平，包括项目受理与初步审核、企业信用管理、专项资金项目申报表单自定义管理、专项资金项目申报流程自定义管理、专项资金项目数据看板</w:t>
      </w:r>
      <w:r>
        <w:rPr>
          <w:rFonts w:hint="eastAsia"/>
          <w:highlight w:val="none"/>
          <w:lang w:eastAsia="zh-CN"/>
        </w:rPr>
        <w:t>、查询分析管理</w:t>
      </w:r>
      <w:r>
        <w:rPr>
          <w:rFonts w:hint="eastAsia"/>
          <w:highlight w:val="none"/>
        </w:rPr>
        <w:t>。</w:t>
      </w:r>
    </w:p>
    <w:p w14:paraId="32D54143">
      <w:pPr>
        <w:pStyle w:val="3"/>
        <w:rPr>
          <w:highlight w:val="none"/>
        </w:rPr>
      </w:pPr>
      <w:r>
        <w:rPr>
          <w:rFonts w:hint="eastAsia"/>
          <w:highlight w:val="none"/>
        </w:rPr>
        <w:t>技术路线要求</w:t>
      </w:r>
    </w:p>
    <w:p w14:paraId="751E992D">
      <w:pPr>
        <w:rPr>
          <w:highlight w:val="none"/>
        </w:rPr>
      </w:pPr>
      <w:r>
        <w:rPr>
          <w:rFonts w:hint="eastAsia"/>
          <w:highlight w:val="none"/>
        </w:rPr>
        <w:t>本项目是在市商务委公共服务系统原业务及功能基础上，叠加相关职能处室的业务管理要求，从而对系统功能进行升级改造，因此要求</w:t>
      </w:r>
      <w:r>
        <w:rPr>
          <w:rFonts w:hint="eastAsia"/>
          <w:highlight w:val="none"/>
          <w:lang w:eastAsia="zh-CN"/>
        </w:rPr>
        <w:t>供应商</w:t>
      </w:r>
      <w:r>
        <w:rPr>
          <w:rFonts w:hint="eastAsia"/>
          <w:highlight w:val="none"/>
        </w:rPr>
        <w:t>所采用的开发语言和技术路线需与原系统保持一致。</w:t>
      </w:r>
    </w:p>
    <w:p w14:paraId="1CBB9268">
      <w:pPr>
        <w:numPr>
          <w:ilvl w:val="0"/>
          <w:numId w:val="3"/>
        </w:numPr>
        <w:rPr>
          <w:rFonts w:hint="eastAsia"/>
          <w:highlight w:val="none"/>
        </w:rPr>
      </w:pPr>
      <w:r>
        <w:rPr>
          <w:rFonts w:hint="eastAsia"/>
          <w:highlight w:val="none"/>
        </w:rPr>
        <w:t>本次项目按照市信息技术创新要求进行建设，应用Java语言以及J2EE技术架构进行搭建，按政务云资源的统一技术路线要求进行部署和安装。</w:t>
      </w:r>
    </w:p>
    <w:p w14:paraId="18C46E01">
      <w:pPr>
        <w:numPr>
          <w:ilvl w:val="0"/>
          <w:numId w:val="3"/>
        </w:numPr>
        <w:rPr>
          <w:highlight w:val="none"/>
        </w:rPr>
      </w:pPr>
      <w:r>
        <w:rPr>
          <w:highlight w:val="none"/>
        </w:rPr>
        <w:t>采用基于B/S模式的三层/多层架构；</w:t>
      </w:r>
    </w:p>
    <w:p w14:paraId="58C38217">
      <w:pPr>
        <w:rPr>
          <w:highlight w:val="none"/>
        </w:rPr>
      </w:pPr>
      <w:r>
        <w:rPr>
          <w:highlight w:val="none"/>
        </w:rPr>
        <w:t>（3）基于SOA理念，采用面向服务和基于总线的架构进行系统建设</w:t>
      </w:r>
      <w:r>
        <w:rPr>
          <w:rFonts w:hint="eastAsia"/>
          <w:highlight w:val="none"/>
        </w:rPr>
        <w:t>。</w:t>
      </w:r>
    </w:p>
    <w:p w14:paraId="08E1AA59">
      <w:pPr>
        <w:pStyle w:val="3"/>
        <w:rPr>
          <w:highlight w:val="none"/>
        </w:rPr>
      </w:pPr>
      <w:r>
        <w:rPr>
          <w:rFonts w:hint="eastAsia"/>
          <w:highlight w:val="none"/>
        </w:rPr>
        <w:t>部署环境要求</w:t>
      </w:r>
    </w:p>
    <w:p w14:paraId="18187224">
      <w:pPr>
        <w:rPr>
          <w:highlight w:val="none"/>
        </w:rPr>
      </w:pPr>
      <w:r>
        <w:rPr>
          <w:rFonts w:hint="eastAsia"/>
          <w:highlight w:val="none"/>
        </w:rPr>
        <w:t>本项目要求</w:t>
      </w:r>
      <w:r>
        <w:rPr>
          <w:rFonts w:ascii="Times New Roman" w:hAnsi="Times New Roman"/>
          <w:highlight w:val="none"/>
        </w:rPr>
        <w:t>能适配国产化环境</w:t>
      </w:r>
      <w:r>
        <w:rPr>
          <w:rFonts w:hint="eastAsia"/>
          <w:highlight w:val="none"/>
        </w:rPr>
        <w:t>，整体系统平台需满足能在</w:t>
      </w:r>
      <w:r>
        <w:rPr>
          <w:rFonts w:hint="eastAsia"/>
          <w:highlight w:val="none"/>
          <w:lang w:eastAsia="zh-CN"/>
        </w:rPr>
        <w:t>XC</w:t>
      </w:r>
      <w:r>
        <w:rPr>
          <w:rFonts w:hint="eastAsia"/>
          <w:highlight w:val="none"/>
        </w:rPr>
        <w:t>环境下运行。</w:t>
      </w:r>
    </w:p>
    <w:p w14:paraId="661024CC">
      <w:pPr>
        <w:rPr>
          <w:rFonts w:hint="eastAsia" w:eastAsia="宋体"/>
          <w:highlight w:val="none"/>
          <w:lang w:eastAsia="zh-CN"/>
        </w:rPr>
      </w:pPr>
      <w:r>
        <w:rPr>
          <w:rFonts w:hint="eastAsia"/>
          <w:highlight w:val="none"/>
        </w:rPr>
        <w:t>数据库服务器部署在上海市电子政务云平台政务外网区，应用服务器部署于上海市电子政务云平台互联网区，系统软件布置方案由业主方协调、由云平台统一提供，</w:t>
      </w:r>
      <w:r>
        <w:rPr>
          <w:rFonts w:hint="eastAsia"/>
          <w:highlight w:val="none"/>
          <w:lang w:eastAsia="zh-CN"/>
        </w:rPr>
        <w:t>供应商</w:t>
      </w:r>
      <w:r>
        <w:rPr>
          <w:rFonts w:hint="eastAsia"/>
          <w:highlight w:val="none"/>
        </w:rPr>
        <w:t>需要将应用系统部署在业主方指定的基础环境中进行适配和调试，保障应用系统正常使用</w:t>
      </w:r>
      <w:r>
        <w:rPr>
          <w:rFonts w:hint="eastAsia"/>
          <w:highlight w:val="none"/>
          <w:lang w:eastAsia="zh-CN"/>
        </w:rPr>
        <w:t>。</w:t>
      </w:r>
    </w:p>
    <w:p w14:paraId="0EDAF27A">
      <w:pPr>
        <w:rPr>
          <w:highlight w:val="none"/>
        </w:rPr>
      </w:pPr>
      <w:r>
        <w:rPr>
          <w:rFonts w:hint="eastAsia"/>
          <w:highlight w:val="none"/>
        </w:rPr>
        <w:br w:type="page"/>
      </w:r>
    </w:p>
    <w:p w14:paraId="3BBF312D">
      <w:pPr>
        <w:pStyle w:val="3"/>
        <w:rPr>
          <w:highlight w:val="none"/>
        </w:rPr>
      </w:pPr>
      <w:r>
        <w:rPr>
          <w:rFonts w:hint="eastAsia"/>
          <w:highlight w:val="none"/>
        </w:rPr>
        <w:t>软件开发清单</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815"/>
        <w:gridCol w:w="2464"/>
        <w:gridCol w:w="4591"/>
      </w:tblGrid>
      <w:tr w14:paraId="6ED1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5" w:type="pct"/>
            <w:shd w:val="clear" w:color="auto" w:fill="auto"/>
            <w:noWrap/>
            <w:vAlign w:val="center"/>
          </w:tcPr>
          <w:p w14:paraId="2EE12C2C">
            <w:pPr>
              <w:widowControl/>
              <w:ind w:firstLine="0" w:firstLineChars="0"/>
              <w:jc w:val="center"/>
              <w:rPr>
                <w:rFonts w:asciiTheme="minorEastAsia" w:hAnsiTheme="minorEastAsia" w:eastAsiaTheme="minorEastAsia"/>
                <w:b/>
                <w:bCs/>
                <w:kern w:val="0"/>
                <w:sz w:val="21"/>
                <w:szCs w:val="21"/>
                <w:highlight w:val="none"/>
              </w:rPr>
            </w:pPr>
            <w:r>
              <w:rPr>
                <w:rFonts w:hint="eastAsia" w:asciiTheme="minorEastAsia" w:hAnsiTheme="minorEastAsia" w:eastAsiaTheme="minorEastAsia"/>
                <w:b/>
                <w:bCs/>
                <w:kern w:val="0"/>
                <w:sz w:val="21"/>
                <w:szCs w:val="21"/>
                <w:highlight w:val="none"/>
              </w:rPr>
              <w:t>序号</w:t>
            </w:r>
          </w:p>
        </w:tc>
        <w:tc>
          <w:tcPr>
            <w:tcW w:w="477" w:type="pct"/>
            <w:shd w:val="clear" w:color="auto" w:fill="auto"/>
            <w:noWrap/>
            <w:vAlign w:val="center"/>
          </w:tcPr>
          <w:p w14:paraId="40C0CB69">
            <w:pPr>
              <w:widowControl/>
              <w:ind w:firstLine="0" w:firstLineChars="0"/>
              <w:jc w:val="center"/>
              <w:rPr>
                <w:rFonts w:asciiTheme="minorEastAsia" w:hAnsiTheme="minorEastAsia" w:eastAsiaTheme="minorEastAsia"/>
                <w:b/>
                <w:bCs/>
                <w:kern w:val="0"/>
                <w:sz w:val="21"/>
                <w:szCs w:val="21"/>
                <w:highlight w:val="none"/>
              </w:rPr>
            </w:pPr>
            <w:r>
              <w:rPr>
                <w:rFonts w:hint="eastAsia" w:asciiTheme="minorEastAsia" w:hAnsiTheme="minorEastAsia" w:eastAsiaTheme="minorEastAsia"/>
                <w:b/>
                <w:bCs/>
                <w:kern w:val="0"/>
                <w:sz w:val="21"/>
                <w:szCs w:val="21"/>
                <w:highlight w:val="none"/>
              </w:rPr>
              <w:t>应用系统名称</w:t>
            </w:r>
          </w:p>
        </w:tc>
        <w:tc>
          <w:tcPr>
            <w:tcW w:w="1444" w:type="pct"/>
            <w:shd w:val="clear" w:color="auto" w:fill="auto"/>
            <w:noWrap/>
            <w:vAlign w:val="center"/>
          </w:tcPr>
          <w:p w14:paraId="75F98A93">
            <w:pPr>
              <w:widowControl/>
              <w:ind w:firstLine="0" w:firstLineChars="0"/>
              <w:jc w:val="center"/>
              <w:rPr>
                <w:rFonts w:asciiTheme="minorEastAsia" w:hAnsiTheme="minorEastAsia" w:eastAsiaTheme="minorEastAsia"/>
                <w:b/>
                <w:bCs/>
                <w:kern w:val="0"/>
                <w:sz w:val="21"/>
                <w:szCs w:val="21"/>
                <w:highlight w:val="none"/>
              </w:rPr>
            </w:pPr>
            <w:r>
              <w:rPr>
                <w:rFonts w:hint="eastAsia" w:asciiTheme="minorEastAsia" w:hAnsiTheme="minorEastAsia" w:eastAsiaTheme="minorEastAsia"/>
                <w:b/>
                <w:bCs/>
                <w:kern w:val="0"/>
                <w:sz w:val="21"/>
                <w:szCs w:val="21"/>
                <w:highlight w:val="none"/>
              </w:rPr>
              <w:t>模块名称</w:t>
            </w:r>
          </w:p>
        </w:tc>
        <w:tc>
          <w:tcPr>
            <w:tcW w:w="2691" w:type="pct"/>
            <w:shd w:val="clear" w:color="auto" w:fill="auto"/>
            <w:vAlign w:val="center"/>
          </w:tcPr>
          <w:p w14:paraId="39E29F52">
            <w:pPr>
              <w:widowControl/>
              <w:ind w:firstLine="0" w:firstLineChars="0"/>
              <w:jc w:val="center"/>
              <w:rPr>
                <w:rFonts w:asciiTheme="minorEastAsia" w:hAnsiTheme="minorEastAsia" w:eastAsiaTheme="minorEastAsia"/>
                <w:b/>
                <w:bCs/>
                <w:kern w:val="0"/>
                <w:sz w:val="21"/>
                <w:szCs w:val="21"/>
                <w:highlight w:val="none"/>
              </w:rPr>
            </w:pPr>
            <w:r>
              <w:rPr>
                <w:rFonts w:hint="eastAsia" w:asciiTheme="minorEastAsia" w:hAnsiTheme="minorEastAsia" w:eastAsiaTheme="minorEastAsia"/>
                <w:b/>
                <w:bCs/>
                <w:kern w:val="0"/>
                <w:sz w:val="21"/>
                <w:szCs w:val="21"/>
                <w:highlight w:val="none"/>
              </w:rPr>
              <w:t>模块描述</w:t>
            </w:r>
          </w:p>
        </w:tc>
      </w:tr>
      <w:tr w14:paraId="7D2C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385" w:type="pct"/>
            <w:shd w:val="clear" w:color="auto" w:fill="auto"/>
            <w:vAlign w:val="center"/>
          </w:tcPr>
          <w:p w14:paraId="57926F7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restart"/>
            <w:shd w:val="clear" w:color="auto" w:fill="auto"/>
            <w:vAlign w:val="center"/>
          </w:tcPr>
          <w:p w14:paraId="3DEA15FA">
            <w:pPr>
              <w:widowControl/>
              <w:spacing w:line="240" w:lineRule="auto"/>
              <w:ind w:firstLine="0" w:firstLineChars="0"/>
              <w:jc w:val="center"/>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基础能力建设</w:t>
            </w:r>
          </w:p>
        </w:tc>
        <w:tc>
          <w:tcPr>
            <w:tcW w:w="1444" w:type="pct"/>
            <w:shd w:val="clear" w:color="auto" w:fill="auto"/>
            <w:vAlign w:val="center"/>
          </w:tcPr>
          <w:p w14:paraId="45A7149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内部与外部应用接入统一管理-自然人/法人/公务员实名用户管理</w:t>
            </w:r>
          </w:p>
        </w:tc>
        <w:tc>
          <w:tcPr>
            <w:tcW w:w="2691" w:type="pct"/>
            <w:shd w:val="clear" w:color="auto" w:fill="auto"/>
            <w:vAlign w:val="center"/>
          </w:tcPr>
          <w:p w14:paraId="4D8EE3C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包含委用户、法人、自然人用户实名用户账号管理库</w:t>
            </w:r>
          </w:p>
        </w:tc>
      </w:tr>
      <w:tr w14:paraId="378C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 w:hRule="atLeast"/>
          <w:jc w:val="center"/>
        </w:trPr>
        <w:tc>
          <w:tcPr>
            <w:tcW w:w="385" w:type="pct"/>
            <w:shd w:val="clear" w:color="auto" w:fill="auto"/>
            <w:vAlign w:val="center"/>
          </w:tcPr>
          <w:p w14:paraId="2DDBF790">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F04726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4450D2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内部与外部应用接入统一管理-委内应用登录令牌和单点登录管理</w:t>
            </w:r>
          </w:p>
        </w:tc>
        <w:tc>
          <w:tcPr>
            <w:tcW w:w="2691" w:type="pct"/>
            <w:shd w:val="clear" w:color="auto" w:fill="auto"/>
            <w:vAlign w:val="center"/>
          </w:tcPr>
          <w:p w14:paraId="7CF86A5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面向委内应用实现三类用户不同渠道统一登录、身份验证接口对接；</w:t>
            </w:r>
          </w:p>
        </w:tc>
      </w:tr>
      <w:tr w14:paraId="76AC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 w:hRule="atLeast"/>
          <w:jc w:val="center"/>
        </w:trPr>
        <w:tc>
          <w:tcPr>
            <w:tcW w:w="385" w:type="pct"/>
            <w:shd w:val="clear" w:color="auto" w:fill="auto"/>
            <w:vAlign w:val="center"/>
          </w:tcPr>
          <w:p w14:paraId="715479C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65C417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643D30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内部与外部应用接入统一管理-委内鉴权中心及资源授权管理</w:t>
            </w:r>
          </w:p>
        </w:tc>
        <w:tc>
          <w:tcPr>
            <w:tcW w:w="2691" w:type="pct"/>
            <w:shd w:val="clear" w:color="auto" w:fill="auto"/>
            <w:vAlign w:val="center"/>
          </w:tcPr>
          <w:p w14:paraId="0488416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包含角色管理、资源管理、角色资源绑定、用户角色绑定管理功能</w:t>
            </w:r>
          </w:p>
        </w:tc>
      </w:tr>
      <w:tr w14:paraId="142C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 w:hRule="atLeast"/>
          <w:jc w:val="center"/>
        </w:trPr>
        <w:tc>
          <w:tcPr>
            <w:tcW w:w="385" w:type="pct"/>
            <w:shd w:val="clear" w:color="auto" w:fill="auto"/>
            <w:vAlign w:val="center"/>
          </w:tcPr>
          <w:p w14:paraId="139BFBA0">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3435CB5">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68E796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内部与外部应用接入统一管理-统一接入日志管理</w:t>
            </w:r>
          </w:p>
        </w:tc>
        <w:tc>
          <w:tcPr>
            <w:tcW w:w="2691" w:type="pct"/>
            <w:shd w:val="clear" w:color="auto" w:fill="auto"/>
            <w:vAlign w:val="center"/>
          </w:tcPr>
          <w:p w14:paraId="582BDC5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包括系统登录日志、用户各类操作日志信息</w:t>
            </w:r>
          </w:p>
        </w:tc>
      </w:tr>
      <w:tr w14:paraId="4746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 w:hRule="atLeast"/>
          <w:jc w:val="center"/>
        </w:trPr>
        <w:tc>
          <w:tcPr>
            <w:tcW w:w="385" w:type="pct"/>
            <w:shd w:val="clear" w:color="auto" w:fill="auto"/>
            <w:vAlign w:val="center"/>
          </w:tcPr>
          <w:p w14:paraId="7E727970">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D11B7F5">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82944E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内部与外部应用接入统一管理-窗口信息管理及节假日管理</w:t>
            </w:r>
          </w:p>
        </w:tc>
        <w:tc>
          <w:tcPr>
            <w:tcW w:w="2691" w:type="pct"/>
            <w:shd w:val="clear" w:color="auto" w:fill="auto"/>
            <w:vAlign w:val="center"/>
          </w:tcPr>
          <w:p w14:paraId="608491D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1、窗口信息管理：用</w:t>
            </w:r>
            <w:r>
              <w:rPr>
                <w:rFonts w:hint="eastAsia" w:cs="Tahoma" w:asciiTheme="minorEastAsia" w:hAnsiTheme="minorEastAsia" w:eastAsiaTheme="minorEastAsia"/>
                <w:color w:val="000000"/>
                <w:kern w:val="0"/>
                <w:sz w:val="21"/>
                <w:szCs w:val="21"/>
                <w:highlight w:val="none"/>
                <w:lang w:val="en-US" w:eastAsia="zh-CN"/>
              </w:rPr>
              <w:t>于</w:t>
            </w:r>
            <w:r>
              <w:rPr>
                <w:rFonts w:hint="eastAsia" w:cs="Tahoma" w:asciiTheme="minorEastAsia" w:hAnsiTheme="minorEastAsia" w:eastAsiaTheme="minorEastAsia"/>
                <w:color w:val="000000"/>
                <w:kern w:val="0"/>
                <w:sz w:val="21"/>
                <w:szCs w:val="21"/>
                <w:highlight w:val="none"/>
              </w:rPr>
              <w:t>委线下大厅窗口基础信息的管理。</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2、节假日管理：包括与国家标准节假日数据接口同步，以及特殊节假日设置功能。</w:t>
            </w:r>
          </w:p>
        </w:tc>
      </w:tr>
      <w:tr w14:paraId="18D4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 w:hRule="atLeast"/>
          <w:jc w:val="center"/>
        </w:trPr>
        <w:tc>
          <w:tcPr>
            <w:tcW w:w="385" w:type="pct"/>
            <w:shd w:val="clear" w:color="auto" w:fill="auto"/>
            <w:vAlign w:val="center"/>
          </w:tcPr>
          <w:p w14:paraId="011022A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82CBD94">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D065FE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内部与外部应用接入统一管理-业务应用注册与接入交互管理</w:t>
            </w:r>
          </w:p>
        </w:tc>
        <w:tc>
          <w:tcPr>
            <w:tcW w:w="2691" w:type="pct"/>
            <w:shd w:val="clear" w:color="auto" w:fill="auto"/>
            <w:vAlign w:val="center"/>
          </w:tcPr>
          <w:p w14:paraId="45F9DA1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管理委使用本平台接口服务交互的第三方平台信息的管理；针对平台生成唯一密钥的管理；平台允许使用接口管理；第三方平台的ip白名单管理</w:t>
            </w:r>
          </w:p>
        </w:tc>
      </w:tr>
      <w:tr w14:paraId="2544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 w:hRule="atLeast"/>
          <w:jc w:val="center"/>
        </w:trPr>
        <w:tc>
          <w:tcPr>
            <w:tcW w:w="385" w:type="pct"/>
            <w:shd w:val="clear" w:color="auto" w:fill="auto"/>
            <w:vAlign w:val="center"/>
          </w:tcPr>
          <w:p w14:paraId="39E6C1CD">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91AE61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887B316">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统一流程配置与管控-事项流程/时效配置和流程版本管理</w:t>
            </w:r>
          </w:p>
        </w:tc>
        <w:tc>
          <w:tcPr>
            <w:tcW w:w="2691" w:type="pct"/>
            <w:shd w:val="clear" w:color="auto" w:fill="auto"/>
            <w:vAlign w:val="center"/>
          </w:tcPr>
          <w:p w14:paraId="44B969C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包括事项的审批流程设置、流程版本控制、流程整体时效性管理配置</w:t>
            </w:r>
          </w:p>
        </w:tc>
      </w:tr>
      <w:tr w14:paraId="40A0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 w:hRule="atLeast"/>
          <w:jc w:val="center"/>
        </w:trPr>
        <w:tc>
          <w:tcPr>
            <w:tcW w:w="385" w:type="pct"/>
            <w:shd w:val="clear" w:color="auto" w:fill="auto"/>
            <w:vAlign w:val="center"/>
          </w:tcPr>
          <w:p w14:paraId="4A1BB47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8B29F4C">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1F6B05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统一流程配置与管控-流程任务节点/特殊表单/与市级对接设置</w:t>
            </w:r>
          </w:p>
        </w:tc>
        <w:tc>
          <w:tcPr>
            <w:tcW w:w="2691" w:type="pct"/>
            <w:shd w:val="clear" w:color="auto" w:fill="auto"/>
            <w:vAlign w:val="center"/>
          </w:tcPr>
          <w:p w14:paraId="6216015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1、环节设置：包括任务环节所属流程配置；任务环节对应特殊表单管理设置；任务环节对应审批时效要求设置；任务环节对应市办件库环节设置；任务环节是否对市级公开配置。</w:t>
            </w:r>
          </w:p>
        </w:tc>
      </w:tr>
      <w:tr w14:paraId="0BA4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 w:hRule="atLeast"/>
          <w:jc w:val="center"/>
        </w:trPr>
        <w:tc>
          <w:tcPr>
            <w:tcW w:w="385" w:type="pct"/>
            <w:shd w:val="clear" w:color="auto" w:fill="auto"/>
            <w:vAlign w:val="center"/>
          </w:tcPr>
          <w:p w14:paraId="43D547E3">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A61D54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1CCAA8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统一流程配置与管控-流程任务事项操作及权限配置管理</w:t>
            </w:r>
          </w:p>
        </w:tc>
        <w:tc>
          <w:tcPr>
            <w:tcW w:w="2691" w:type="pct"/>
            <w:shd w:val="clear" w:color="auto" w:fill="auto"/>
            <w:vAlign w:val="center"/>
          </w:tcPr>
          <w:p w14:paraId="0581937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2、环节操作设置：包括操作与任务环节对应关系配置；与市办件库办件结果对应关系设置；审批流转配置。</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3、环节经办人设置：包括经办人所属任务环节配置；</w:t>
            </w:r>
          </w:p>
        </w:tc>
      </w:tr>
      <w:tr w14:paraId="5AF3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85" w:type="pct"/>
            <w:shd w:val="clear" w:color="auto" w:fill="auto"/>
            <w:vAlign w:val="center"/>
          </w:tcPr>
          <w:p w14:paraId="6AE3128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05CA4F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E6646A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统一流程配置与管控-流程提醒消息模板/触发/推送管理</w:t>
            </w:r>
          </w:p>
        </w:tc>
        <w:tc>
          <w:tcPr>
            <w:tcW w:w="2691" w:type="pct"/>
            <w:shd w:val="clear" w:color="auto" w:fill="auto"/>
            <w:vAlign w:val="center"/>
          </w:tcPr>
          <w:p w14:paraId="74FA6C6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4、环节消息提醒设置：包括消息提醒对应环节配置；消息提醒对象配置；消息提醒对应提醒模板设置；消息提醒对应触发条件设置；消息提醒对应特殊对象设置；</w:t>
            </w:r>
          </w:p>
        </w:tc>
      </w:tr>
      <w:tr w14:paraId="6842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E10FB6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65ED90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3AC87B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统一流程配置与管控-事项流程制证/文书对接</w:t>
            </w:r>
          </w:p>
        </w:tc>
        <w:tc>
          <w:tcPr>
            <w:tcW w:w="2691" w:type="pct"/>
            <w:shd w:val="clear" w:color="auto" w:fill="auto"/>
            <w:vAlign w:val="center"/>
          </w:tcPr>
          <w:p w14:paraId="6A44812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5、环节制证信息设置：针对环节可以对接制证管理模块，配置对应的制证名称（包括证照、法律文书等）；应对不予受理发不予受理通知书，办结通过制证等内容。</w:t>
            </w:r>
          </w:p>
        </w:tc>
      </w:tr>
      <w:tr w14:paraId="11E9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707D63B">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E74EB9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52A728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统一流程配置与管控-流程任务环节审批标准表单编制</w:t>
            </w:r>
          </w:p>
        </w:tc>
        <w:tc>
          <w:tcPr>
            <w:tcW w:w="2691" w:type="pct"/>
            <w:shd w:val="clear" w:color="auto" w:fill="auto"/>
            <w:vAlign w:val="center"/>
          </w:tcPr>
          <w:p w14:paraId="52DC35F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包括申请信息展示；审批信息展示；审批意见编制；审批操作执行</w:t>
            </w:r>
          </w:p>
        </w:tc>
      </w:tr>
      <w:tr w14:paraId="36C5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6A25EB3">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68A7D2D">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311EB0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统一流程配置与管控-流程实例监控</w:t>
            </w:r>
          </w:p>
        </w:tc>
        <w:tc>
          <w:tcPr>
            <w:tcW w:w="2691" w:type="pct"/>
            <w:shd w:val="clear" w:color="auto" w:fill="auto"/>
            <w:vAlign w:val="center"/>
          </w:tcPr>
          <w:p w14:paraId="3D93C1C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可以查看各流程任务实例；查看各流程审批内容；查看各流程审批环节及意见；</w:t>
            </w:r>
          </w:p>
        </w:tc>
      </w:tr>
      <w:tr w14:paraId="2626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83CD38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CAA362C">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0EAD8D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事项信息管理</w:t>
            </w:r>
          </w:p>
        </w:tc>
        <w:tc>
          <w:tcPr>
            <w:tcW w:w="2691" w:type="pct"/>
            <w:shd w:val="clear" w:color="auto" w:fill="auto"/>
            <w:vAlign w:val="center"/>
          </w:tcPr>
          <w:p w14:paraId="7F84AC1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1、事项信息同步管理：可以查看事项库同步过来的市级事项库相关数据；提供事项信息变化情况监控功能；市级事项库不包含的事项提供本地事项维护功能。</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2、事项标签管理：建立事项标签库,提供所有事项信息按委实际情况打标签分类的功能</w:t>
            </w:r>
          </w:p>
        </w:tc>
      </w:tr>
      <w:tr w14:paraId="2059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221B706">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1C3F87C">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2D3F4D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综合消息中心-消息模板/推送脚本管理</w:t>
            </w:r>
          </w:p>
        </w:tc>
        <w:tc>
          <w:tcPr>
            <w:tcW w:w="2691" w:type="pct"/>
            <w:shd w:val="clear" w:color="auto" w:fill="auto"/>
            <w:vAlign w:val="center"/>
          </w:tcPr>
          <w:p w14:paraId="2D0C5D5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消息模板配置管理；脚本管理，用于解决本系统业消息对应的数据库查询，可以生成复杂推送内容；</w:t>
            </w:r>
          </w:p>
        </w:tc>
      </w:tr>
      <w:tr w14:paraId="195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06C9E5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1345BB7">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15AEF5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综合消息中心-消息推送及监控管理</w:t>
            </w:r>
          </w:p>
        </w:tc>
        <w:tc>
          <w:tcPr>
            <w:tcW w:w="2691" w:type="pct"/>
            <w:shd w:val="clear" w:color="auto" w:fill="auto"/>
            <w:vAlign w:val="center"/>
          </w:tcPr>
          <w:p w14:paraId="6479A49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推送业务消息管理，用于形成提供第三方消息提醒的标准设置；消息推送情况监控，用于监控消息的实际发送情况，以及是否发送成功；</w:t>
            </w:r>
          </w:p>
        </w:tc>
      </w:tr>
      <w:tr w14:paraId="5EDF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1D3180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80F517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ED5C8C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物流管理-物流申请管理</w:t>
            </w:r>
          </w:p>
        </w:tc>
        <w:tc>
          <w:tcPr>
            <w:tcW w:w="2691" w:type="pct"/>
            <w:shd w:val="clear" w:color="auto" w:fill="auto"/>
            <w:vAlign w:val="center"/>
          </w:tcPr>
          <w:p w14:paraId="6887162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1、配送信息管理：申报人配送需求填写管理；经办人配送服务填报功能；提供寄件人信息管理功能；提供收件人信息管理功能。</w:t>
            </w:r>
          </w:p>
        </w:tc>
      </w:tr>
      <w:tr w14:paraId="5FE5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2BD76D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50CCD7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F96E79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物流管理-物流订单管理</w:t>
            </w:r>
          </w:p>
        </w:tc>
        <w:tc>
          <w:tcPr>
            <w:tcW w:w="2691" w:type="pct"/>
            <w:shd w:val="clear" w:color="auto" w:fill="auto"/>
            <w:vAlign w:val="center"/>
          </w:tcPr>
          <w:p w14:paraId="146B374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2、物流配送订单管理：系统提供物流配送订单管理功能，当所有审批完成并生成最终的审批结果材料后，审批人员填写物流配送订单，由物流公司上门取件。</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3、物流状态管理：审批人员选择物流配送后，系统默认状态为未配送，当快递人员上门取件后，审批人员将状态修改为已配送。</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4、物流信息查看：快递发送后系统将自动生成快递电子单号，并通过短信平台将单号推送给收件人，提醒用户注意查收。</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5、物流收件确认：申报人在收到快递公司递送的材料后，在线选择物流已接收，完成物流收件确认工作。（默认7天后自动完成确认工作）。</w:t>
            </w:r>
          </w:p>
        </w:tc>
      </w:tr>
      <w:tr w14:paraId="03AF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3D6FF9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17B8F1C">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0C0B38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物流管理-物流管控</w:t>
            </w:r>
          </w:p>
        </w:tc>
        <w:tc>
          <w:tcPr>
            <w:tcW w:w="2691" w:type="pct"/>
            <w:shd w:val="clear" w:color="auto" w:fill="auto"/>
            <w:vAlign w:val="center"/>
          </w:tcPr>
          <w:p w14:paraId="27DD098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6、物流订单终止：系统提供物流订单取消功能，在物流未发送前，申报人可以选择终止物流订单，如果订单已发送将无法终止订单。</w:t>
            </w:r>
          </w:p>
        </w:tc>
      </w:tr>
      <w:tr w14:paraId="319B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B2546CB">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8D8DF8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1C78FA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物流管理-统一物流服务接口对接</w:t>
            </w:r>
          </w:p>
        </w:tc>
        <w:tc>
          <w:tcPr>
            <w:tcW w:w="2691" w:type="pct"/>
            <w:shd w:val="clear" w:color="auto" w:fill="auto"/>
            <w:vAlign w:val="center"/>
          </w:tcPr>
          <w:p w14:paraId="0FE6A34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与物流平台订单、流转、送达、状态等对接的8项接口建设，本次项目将通过应用对接的方式实现部门业务系统与统一物流平台的无缝对接，物流下单均通过统一物流平台提供的接口完成。包括：下单信息接口、获取订单信息接口、启动物流接口、确认送达接口、终止订单接口、直接下单并提交接口</w:t>
            </w:r>
          </w:p>
        </w:tc>
      </w:tr>
      <w:tr w14:paraId="31C9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8184E1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0037CD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F4389C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物流管理-物流应用情况查看与分析</w:t>
            </w:r>
          </w:p>
        </w:tc>
        <w:tc>
          <w:tcPr>
            <w:tcW w:w="2691" w:type="pct"/>
            <w:shd w:val="clear" w:color="auto" w:fill="auto"/>
            <w:vAlign w:val="center"/>
          </w:tcPr>
          <w:p w14:paraId="42B1FF4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管理员可以按部门、发货日期、物流状态等条件，对物流信息情况进行查询操作</w:t>
            </w:r>
          </w:p>
        </w:tc>
      </w:tr>
      <w:tr w14:paraId="5685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66C7E8C">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E59EDC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9F23A1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电子证照管理-证照免于提交和电子用证管理</w:t>
            </w:r>
          </w:p>
        </w:tc>
        <w:tc>
          <w:tcPr>
            <w:tcW w:w="2691" w:type="pct"/>
            <w:shd w:val="clear" w:color="auto" w:fill="auto"/>
            <w:vAlign w:val="center"/>
          </w:tcPr>
          <w:p w14:paraId="2E7EBF9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实现事项办理过程中对于电子证照的免于提交和快速应用，整理形成委用证清单台账；分析用证事项范围；从事项角度分析事项材料用证免交率；</w:t>
            </w:r>
          </w:p>
        </w:tc>
      </w:tr>
      <w:tr w14:paraId="4039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110C4F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4458AF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BC2435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电子证照管理-电子制证管理</w:t>
            </w:r>
          </w:p>
        </w:tc>
        <w:tc>
          <w:tcPr>
            <w:tcW w:w="2691" w:type="pct"/>
            <w:shd w:val="clear" w:color="auto" w:fill="auto"/>
            <w:vAlign w:val="center"/>
          </w:tcPr>
          <w:p w14:paraId="5670EFC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管理形成委制证证照库清单；提供证照模板制作功能；提供照面信息定义功能；</w:t>
            </w:r>
          </w:p>
        </w:tc>
      </w:tr>
      <w:tr w14:paraId="07F6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14934C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2F3C71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0110EE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电子证照管理-制证流程管理</w:t>
            </w:r>
          </w:p>
        </w:tc>
        <w:tc>
          <w:tcPr>
            <w:tcW w:w="2691" w:type="pct"/>
            <w:shd w:val="clear" w:color="auto" w:fill="auto"/>
            <w:vAlign w:val="center"/>
          </w:tcPr>
          <w:p w14:paraId="27A4D06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实现制证业务信息管理、制证接口对接、电子签章接口对接、证照信息对接接口、证照状态变更接口、电子证照管理以及与部委对接等。</w:t>
            </w:r>
          </w:p>
        </w:tc>
      </w:tr>
      <w:tr w14:paraId="6C3B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CF3401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5863DEA">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89CABD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归档管理-归档文件收集</w:t>
            </w:r>
          </w:p>
        </w:tc>
        <w:tc>
          <w:tcPr>
            <w:tcW w:w="2691" w:type="pct"/>
            <w:shd w:val="clear" w:color="auto" w:fill="auto"/>
            <w:vAlign w:val="center"/>
          </w:tcPr>
          <w:p w14:paraId="305F1F8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查看事项归档类别为可归档的事项管理；提供业务查询功能：提供企业申报填报内容的查询；提供企业上报材料的查询及下载；提供企业事项审批流程的查询；提供修改保管年限的功能；提供收集确认操作，同时支持批量收集的功能，收集确认后生成档案编号同时流转到整理组件环节</w:t>
            </w:r>
          </w:p>
        </w:tc>
      </w:tr>
      <w:tr w14:paraId="357D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BA46E9B">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4C73E9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064E08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归档管理-整理组件</w:t>
            </w:r>
          </w:p>
        </w:tc>
        <w:tc>
          <w:tcPr>
            <w:tcW w:w="2691" w:type="pct"/>
            <w:shd w:val="clear" w:color="auto" w:fill="auto"/>
            <w:vAlign w:val="center"/>
          </w:tcPr>
          <w:p w14:paraId="0EB3587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以办件事项为基本单位进行归档</w:t>
            </w:r>
            <w:r>
              <w:rPr>
                <w:rFonts w:hint="eastAsia" w:cs="Tahoma" w:asciiTheme="minorEastAsia" w:hAnsiTheme="minorEastAsia" w:eastAsiaTheme="minorEastAsia"/>
                <w:color w:val="000000"/>
                <w:kern w:val="0"/>
                <w:sz w:val="21"/>
                <w:szCs w:val="21"/>
                <w:highlight w:val="none"/>
                <w:lang w:val="en-US" w:eastAsia="zh-CN"/>
              </w:rPr>
              <w:t>整理</w:t>
            </w:r>
            <w:r>
              <w:rPr>
                <w:rFonts w:hint="eastAsia" w:cs="Tahoma" w:asciiTheme="minorEastAsia" w:hAnsiTheme="minorEastAsia" w:eastAsiaTheme="minorEastAsia"/>
                <w:color w:val="000000"/>
                <w:kern w:val="0"/>
                <w:sz w:val="21"/>
                <w:szCs w:val="21"/>
                <w:highlight w:val="none"/>
              </w:rPr>
              <w:t>，对已收集的文件采用自动整理方式；事项中部分文件数据线下完成，则采用人工线上补入方式来整理完成</w:t>
            </w:r>
          </w:p>
        </w:tc>
      </w:tr>
      <w:tr w14:paraId="5CED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10C623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4D61B6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1BAFA8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归档管理-数据封装与固化</w:t>
            </w:r>
          </w:p>
        </w:tc>
        <w:tc>
          <w:tcPr>
            <w:tcW w:w="2691" w:type="pct"/>
            <w:shd w:val="clear" w:color="auto" w:fill="auto"/>
            <w:vAlign w:val="center"/>
          </w:tcPr>
          <w:p w14:paraId="7F86A23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1、数据封装：支持对归档电子文件材料以ZIP压缩打包的方式进行封装，形成归档信息包；支持归档信息包的查看、下载；提供归档事项批量封装功能，封装完成后进入数据固化环节。</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2、数据固化：归档数据封装完成后，提供数据固化功能，修改封装完成的压缩包的最后更新时间为数据固化确认时间，同时将该时间记录到归档平台中，用于后续归档监测中真实性校验使用。</w:t>
            </w:r>
          </w:p>
        </w:tc>
      </w:tr>
      <w:tr w14:paraId="4051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1B9E97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E89755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32D01F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归档管理-归档检测与登记</w:t>
            </w:r>
          </w:p>
        </w:tc>
        <w:tc>
          <w:tcPr>
            <w:tcW w:w="2691" w:type="pct"/>
            <w:shd w:val="clear" w:color="auto" w:fill="auto"/>
            <w:vAlign w:val="center"/>
          </w:tcPr>
          <w:p w14:paraId="5290DB2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1、归档检测：提供归档材料及数据的问题排查功能，按国标要求针对真实性、完整性、可用性、安全性相关的41项检测要求，委归档适用检测逻辑，按实际情况调整。</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2、归档登记：选择已符合归档要求的事项包，做归档登记工作，并填写归档登记表。</w:t>
            </w:r>
          </w:p>
        </w:tc>
      </w:tr>
      <w:tr w14:paraId="2390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FE3A21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83E8A3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CB4FE3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归档管理-接收检测与登记</w:t>
            </w:r>
          </w:p>
        </w:tc>
        <w:tc>
          <w:tcPr>
            <w:tcW w:w="2691" w:type="pct"/>
            <w:shd w:val="clear" w:color="auto" w:fill="auto"/>
            <w:vAlign w:val="center"/>
          </w:tcPr>
          <w:p w14:paraId="219A1D0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1、接收检测：提供归档材料及数据的问题排查功能，按国标要求针对真实性、完整性、可用性、安全性相关的39项检测要求，委接收适用检测逻辑，按实际情况调整。</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2、接收登记：通过接收流程，填写归档登记表，同时，选择的批量事项包，形成归档目录清单。</w:t>
            </w:r>
          </w:p>
        </w:tc>
      </w:tr>
      <w:tr w14:paraId="0ADF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54E179D">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76E22E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C00AE0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归档管理-接收入库</w:t>
            </w:r>
          </w:p>
        </w:tc>
        <w:tc>
          <w:tcPr>
            <w:tcW w:w="2691" w:type="pct"/>
            <w:shd w:val="clear" w:color="auto" w:fill="auto"/>
            <w:vAlign w:val="center"/>
          </w:tcPr>
          <w:p w14:paraId="74DF417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支持对于符合要求的归档信息包执行接收解包操作，接收之后的电子档案元数据存入电子档案管理系统的数据表中，内容数据置于对应的存储位置；退回检测不通过的归档信息包; 提供符合规范的Web Service归档数据推送接口，允许归档功能调用；提供符合归档数据上报的电子文件导出功能，提供用户线下上报档案数据</w:t>
            </w:r>
          </w:p>
        </w:tc>
      </w:tr>
      <w:tr w14:paraId="0EEF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903865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DB6C9D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521A1F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归档管理-入库情况和档案信息查询</w:t>
            </w:r>
          </w:p>
        </w:tc>
        <w:tc>
          <w:tcPr>
            <w:tcW w:w="2691" w:type="pct"/>
            <w:shd w:val="clear" w:color="auto" w:fill="auto"/>
            <w:vAlign w:val="center"/>
          </w:tcPr>
          <w:p w14:paraId="5BA4911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提供入库维度的查询功能，可以查看归档登记表以及归档目录清单，提供按入库维度的归档内容打包下载功能；</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可以按年份分类查询档案（已归档的数据）；提供按事项归档包文件下载功能</w:t>
            </w:r>
          </w:p>
        </w:tc>
      </w:tr>
      <w:tr w14:paraId="3AA5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C3515F1">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5B496F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DEECE2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归档管理-档案监管</w:t>
            </w:r>
          </w:p>
        </w:tc>
        <w:tc>
          <w:tcPr>
            <w:tcW w:w="2691" w:type="pct"/>
            <w:shd w:val="clear" w:color="auto" w:fill="auto"/>
            <w:vAlign w:val="center"/>
          </w:tcPr>
          <w:p w14:paraId="2FB51F7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查看归档各环节档案数据（归档处理中的数据）；可以查看各环节档案的数量，点击数量可查看具体环节中的档案信息。</w:t>
            </w:r>
          </w:p>
        </w:tc>
      </w:tr>
      <w:tr w14:paraId="3C9C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3CD019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93D091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4162B8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接口资源统一管理</w:t>
            </w:r>
          </w:p>
        </w:tc>
        <w:tc>
          <w:tcPr>
            <w:tcW w:w="2691" w:type="pct"/>
            <w:shd w:val="clear" w:color="auto" w:fill="auto"/>
            <w:vAlign w:val="center"/>
          </w:tcPr>
          <w:p w14:paraId="25694AB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接口平台管理，记录接口所属平台相关信息；记录提供接口信息管理，包括：源端接口管理，管理源端接口信息；对外提供接口管理，记录实际对外接口管理；记录第三方平台</w:t>
            </w:r>
          </w:p>
        </w:tc>
      </w:tr>
      <w:tr w14:paraId="1110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CE99BAF">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50C793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97E163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中心办件库接口对接</w:t>
            </w:r>
          </w:p>
        </w:tc>
        <w:tc>
          <w:tcPr>
            <w:tcW w:w="2691" w:type="pct"/>
            <w:shd w:val="clear" w:color="auto" w:fill="auto"/>
            <w:vAlign w:val="center"/>
          </w:tcPr>
          <w:p w14:paraId="2E7DC946">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用于与市办件库信息对接，包括：获取安全令牌、保存办件信息、上传办件材料、提交申报信息、线上补充材料、线上状态变化、预检、预审、收件、补正、受理、办理、办件特殊处理接口、上传办件结果文书或收件、 受理凭证</w:t>
            </w:r>
          </w:p>
        </w:tc>
      </w:tr>
      <w:tr w14:paraId="5CAD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B1F459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FCBDAA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B942DA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中心短信平台接口对接</w:t>
            </w:r>
          </w:p>
        </w:tc>
        <w:tc>
          <w:tcPr>
            <w:tcW w:w="2691" w:type="pct"/>
            <w:shd w:val="clear" w:color="auto" w:fill="auto"/>
            <w:vAlign w:val="center"/>
          </w:tcPr>
          <w:p w14:paraId="0CF7EC3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主要用于与短信平台对接，包括：发送短信、获取状态报告、接收短信接口</w:t>
            </w:r>
          </w:p>
        </w:tc>
      </w:tr>
      <w:tr w14:paraId="3B9A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9D8089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C6C74A5">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97092F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审改办事项库接口对接</w:t>
            </w:r>
          </w:p>
        </w:tc>
        <w:tc>
          <w:tcPr>
            <w:tcW w:w="2691" w:type="pct"/>
            <w:shd w:val="clear" w:color="auto" w:fill="auto"/>
            <w:vAlign w:val="center"/>
          </w:tcPr>
          <w:p w14:paraId="0EE27AB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主要用于与市级事项数据对接，包括：请求组织机构数据、请求办事指南列表数据、请求组织机构列表数据、请求办事指南单条数据接口</w:t>
            </w:r>
          </w:p>
        </w:tc>
      </w:tr>
      <w:tr w14:paraId="69A1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68FAF4B">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DAA179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7EF55E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ca电子签章平台接口对接</w:t>
            </w:r>
          </w:p>
        </w:tc>
        <w:tc>
          <w:tcPr>
            <w:tcW w:w="2691" w:type="pct"/>
            <w:shd w:val="clear" w:color="auto" w:fill="auto"/>
            <w:vAlign w:val="center"/>
          </w:tcPr>
          <w:p w14:paraId="6335FDF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主要与ca电子签章平台电子签章接口对接，包括：创建法人电子文档、下载签署后电子文档、获取电照用户可用签章、验签、合同状态查询接口</w:t>
            </w:r>
          </w:p>
        </w:tc>
      </w:tr>
      <w:tr w14:paraId="381D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476B0E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288446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E3DE16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中心电子证照库接口对接</w:t>
            </w:r>
          </w:p>
        </w:tc>
        <w:tc>
          <w:tcPr>
            <w:tcW w:w="2691" w:type="pct"/>
            <w:shd w:val="clear" w:color="auto" w:fill="auto"/>
            <w:vAlign w:val="center"/>
          </w:tcPr>
          <w:p w14:paraId="10DB7BA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主要与用证、制证、发证业务所需市接口对接，包括：应用接入认证接口、制证接口、证照共享接口</w:t>
            </w:r>
          </w:p>
        </w:tc>
      </w:tr>
      <w:tr w14:paraId="0B11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7515C3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BBD6A7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F274D6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数据资源平台数据接口对接</w:t>
            </w:r>
          </w:p>
        </w:tc>
        <w:tc>
          <w:tcPr>
            <w:tcW w:w="2691" w:type="pct"/>
            <w:shd w:val="clear" w:color="auto" w:fill="auto"/>
            <w:vAlign w:val="center"/>
          </w:tcPr>
          <w:p w14:paraId="0A70F41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主要用于与市资源目录数据信息对接，包括：法人目录数据、人社局的参保人员信息、发改委的失信名单</w:t>
            </w:r>
          </w:p>
        </w:tc>
      </w:tr>
      <w:tr w14:paraId="0190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01EEA2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8D2A24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D5E08B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免申即享类办件库接口对接</w:t>
            </w:r>
          </w:p>
        </w:tc>
        <w:tc>
          <w:tcPr>
            <w:tcW w:w="2691" w:type="pct"/>
            <w:shd w:val="clear" w:color="auto" w:fill="auto"/>
            <w:vAlign w:val="center"/>
          </w:tcPr>
          <w:p w14:paraId="00B1911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主要用于与市办件库中的免申即享业务信息的对接，包括：保存预办件、提交申报信息、部门确认、申请人确认、兑付、公示</w:t>
            </w:r>
          </w:p>
        </w:tc>
      </w:tr>
      <w:tr w14:paraId="164C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285E34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6B8C40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250A70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财政支付接口改造</w:t>
            </w:r>
          </w:p>
        </w:tc>
        <w:tc>
          <w:tcPr>
            <w:tcW w:w="2691" w:type="pct"/>
            <w:shd w:val="clear" w:color="auto" w:fill="auto"/>
            <w:vAlign w:val="center"/>
          </w:tcPr>
          <w:p w14:paraId="42D9562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与财政预算管理一体化系统对接，将系统的企业批量发放数据导入至预算管理一体化系统授权支付-批量支付系统中完成企业资金的拨付</w:t>
            </w:r>
          </w:p>
        </w:tc>
      </w:tr>
      <w:tr w14:paraId="52F9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C6CB2E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FF5945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0ACBA1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市级支持资金申请“一件事”接口</w:t>
            </w:r>
          </w:p>
        </w:tc>
        <w:tc>
          <w:tcPr>
            <w:tcW w:w="2691" w:type="pct"/>
            <w:shd w:val="clear" w:color="auto" w:fill="auto"/>
            <w:vAlign w:val="center"/>
          </w:tcPr>
          <w:p w14:paraId="534083D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在项目关键节点（如保存、提交、受理、办结、终止等），系统需调用或配合调用一网通办指定的办件推送接口，提交项目对应的办件信息，包括状态、事项编码、申报人信息、处理环节等。</w:t>
            </w:r>
          </w:p>
        </w:tc>
      </w:tr>
      <w:tr w14:paraId="69C8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7F45BA3">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38078CA">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2FBA2C6">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市级专项资金基础平台接口-接入跳转处理机制</w:t>
            </w:r>
          </w:p>
        </w:tc>
        <w:tc>
          <w:tcPr>
            <w:tcW w:w="2691" w:type="pct"/>
            <w:shd w:val="clear" w:color="auto" w:fill="auto"/>
            <w:vAlign w:val="center"/>
          </w:tcPr>
          <w:p w14:paraId="1F1FA38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系统需支持从一网通办页面跳转进入申报系统，能够接收平台传入的 proId 参数，并根据是否为首次跳转判断创建新项目或加载历史数据进行编辑，确保用户可从平台直接进入对应事项办理环节，跳转链接需支持新增与编辑两类场景的兼容。</w:t>
            </w:r>
          </w:p>
        </w:tc>
      </w:tr>
      <w:tr w14:paraId="1411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C423C2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A601493">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1B88CC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市级专项资金基础平台接口-对接企业信息获取接口</w:t>
            </w:r>
          </w:p>
        </w:tc>
        <w:tc>
          <w:tcPr>
            <w:tcW w:w="2691" w:type="pct"/>
            <w:shd w:val="clear" w:color="auto" w:fill="auto"/>
            <w:vAlign w:val="center"/>
          </w:tcPr>
          <w:p w14:paraId="62DFA0A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在企业进入申报页面时，系统需调用基础平台提供的企业信息接口，自动获取企业的注册名称、统一社会信用代码、法人代表、行业类别等基础数据，减少手动填写，提高数据准确性；如平台无返回，系统支持企业补充录入，并配置是否允许继续提交。</w:t>
            </w:r>
          </w:p>
        </w:tc>
      </w:tr>
      <w:tr w14:paraId="400C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719424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569B11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359018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市级专项资金基础平台接口-完成项目数据提交功能</w:t>
            </w:r>
          </w:p>
        </w:tc>
        <w:tc>
          <w:tcPr>
            <w:tcW w:w="2691" w:type="pct"/>
            <w:shd w:val="clear" w:color="auto" w:fill="auto"/>
            <w:vAlign w:val="center"/>
          </w:tcPr>
          <w:p w14:paraId="6F182F4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在申报项目正式提交时，系统需将项目名称、项目内容、所属专项、申报主体等完整的项目信息按平台要求封装为标准数据结构，通过接口统一提交至平台，实现项目数据归集与备案。</w:t>
            </w:r>
          </w:p>
        </w:tc>
      </w:tr>
      <w:tr w14:paraId="51A4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CC90C8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8DD8B0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BA6E69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市级专项资金基础平台接口-完成材料清单与附件提交功能</w:t>
            </w:r>
          </w:p>
        </w:tc>
        <w:tc>
          <w:tcPr>
            <w:tcW w:w="2691" w:type="pct"/>
            <w:shd w:val="clear" w:color="auto" w:fill="auto"/>
            <w:vAlign w:val="center"/>
          </w:tcPr>
          <w:p w14:paraId="48F5B40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系统需将申报材料通过FTP方式上传至平台指定路径，并对每份材料建立上传记录，提交材料名称、编码与文件名至平台接口，确保平台可以准确识别与调用附件；同时支持材料补传、历史记录查看及异常处理。</w:t>
            </w:r>
          </w:p>
        </w:tc>
      </w:tr>
      <w:tr w14:paraId="2E27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1538121">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F2BF14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4A99E1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市级专项资金基础平台接口-完成项目状态同步机制</w:t>
            </w:r>
          </w:p>
        </w:tc>
        <w:tc>
          <w:tcPr>
            <w:tcW w:w="2691" w:type="pct"/>
            <w:shd w:val="clear" w:color="auto" w:fill="auto"/>
            <w:vAlign w:val="center"/>
          </w:tcPr>
          <w:p w14:paraId="1D1D2CF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系统在项目关键节点（如提交、受理、退回、立项、验收等）需主动调用平台状态更新接口，同步项目的处理进度，平台状态需与系统内部状态进行对应映射，确保平台端状态展示准确、及时。</w:t>
            </w:r>
          </w:p>
        </w:tc>
      </w:tr>
      <w:tr w14:paraId="6D32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AF8DB1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A816BBD">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81596A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市级专项资金基础平台接口-提供项目详情外链</w:t>
            </w:r>
          </w:p>
        </w:tc>
        <w:tc>
          <w:tcPr>
            <w:tcW w:w="2691" w:type="pct"/>
            <w:shd w:val="clear" w:color="auto" w:fill="auto"/>
            <w:vAlign w:val="center"/>
          </w:tcPr>
          <w:p w14:paraId="2D1955C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系统需生成支持外部访问的项目详情页面链接，用于一网通办平台的专家评审或财政监管查看，该页面需实现只读展示，并通过平台提供的Token进行访问控制，确保数据安全且便于跨平台引用。</w:t>
            </w:r>
          </w:p>
        </w:tc>
      </w:tr>
      <w:tr w14:paraId="31F5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8D82D61">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8455C2B">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037E01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市级专项资金基础平台接口-对接联办件与事项编码查询功能</w:t>
            </w:r>
          </w:p>
        </w:tc>
        <w:tc>
          <w:tcPr>
            <w:tcW w:w="2691" w:type="pct"/>
            <w:shd w:val="clear" w:color="auto" w:fill="auto"/>
            <w:vAlign w:val="center"/>
          </w:tcPr>
          <w:p w14:paraId="03D7DC7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系统需支持通过 proId 查询联办件编号及子事项审批编码，平台返回的多个子事项需在系统内进行结构化保存，用于后续状态对账、归集备案等操作，保障申报项目在多事项协同下的完整性。</w:t>
            </w:r>
          </w:p>
        </w:tc>
      </w:tr>
      <w:tr w14:paraId="6637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D199CD0">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BFE0B04">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07DD0E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接口调用日志管理</w:t>
            </w:r>
          </w:p>
        </w:tc>
        <w:tc>
          <w:tcPr>
            <w:tcW w:w="2691" w:type="pct"/>
            <w:shd w:val="clear" w:color="auto" w:fill="auto"/>
            <w:vAlign w:val="center"/>
          </w:tcPr>
          <w:p w14:paraId="1C22556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记录平台与外部接口交互时的日志分析管理功能</w:t>
            </w:r>
          </w:p>
        </w:tc>
      </w:tr>
      <w:tr w14:paraId="0B40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B5C2B7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restart"/>
            <w:shd w:val="clear" w:color="auto" w:fill="auto"/>
            <w:vAlign w:val="center"/>
          </w:tcPr>
          <w:p w14:paraId="1383A453">
            <w:pPr>
              <w:widowControl/>
              <w:spacing w:line="240" w:lineRule="auto"/>
              <w:ind w:firstLine="0" w:firstLineChars="0"/>
              <w:jc w:val="center"/>
              <w:rPr>
                <w:rFonts w:ascii="Tahoma" w:hAnsi="Tahoma" w:cs="Tahoma"/>
                <w:color w:val="000000"/>
                <w:kern w:val="0"/>
                <w:sz w:val="22"/>
                <w:szCs w:val="22"/>
                <w:highlight w:val="none"/>
              </w:rPr>
            </w:pPr>
            <w:r>
              <w:rPr>
                <w:rFonts w:hint="eastAsia" w:ascii="Tahoma" w:hAnsi="Tahoma" w:cs="Tahoma"/>
                <w:color w:val="000000"/>
                <w:kern w:val="0"/>
                <w:sz w:val="22"/>
                <w:szCs w:val="22"/>
                <w:highlight w:val="none"/>
              </w:rPr>
              <w:t>标准化通办管理</w:t>
            </w:r>
          </w:p>
        </w:tc>
        <w:tc>
          <w:tcPr>
            <w:tcW w:w="1444" w:type="pct"/>
            <w:shd w:val="clear" w:color="auto" w:fill="auto"/>
            <w:vAlign w:val="center"/>
          </w:tcPr>
          <w:p w14:paraId="25CC359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社会消费品零售企业奖励免申即享管理-拟奖励企业白名单和信息库管理</w:t>
            </w:r>
          </w:p>
        </w:tc>
        <w:tc>
          <w:tcPr>
            <w:tcW w:w="2691" w:type="pct"/>
            <w:shd w:val="clear" w:color="auto" w:fill="auto"/>
            <w:vAlign w:val="center"/>
          </w:tcPr>
          <w:p w14:paraId="06B7D87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与统计及其他权威数据来源系统的对接功能，实现对本市符合社零企业奖励条件的企业法人信息的初始化导入，实现系统对奖励企业白名单的管理功能，在系统内搭建本市拟奖励企业信息区库，管理拟奖励企业的名单。</w:t>
            </w:r>
          </w:p>
        </w:tc>
      </w:tr>
      <w:tr w14:paraId="1DD0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57E141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240B8F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DEF73A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社会消费品零售企业奖励免申即享管理-兑付批次和企业奖励执行批次管理</w:t>
            </w:r>
          </w:p>
        </w:tc>
        <w:tc>
          <w:tcPr>
            <w:tcW w:w="2691" w:type="pct"/>
            <w:shd w:val="clear" w:color="auto" w:fill="auto"/>
            <w:vAlign w:val="center"/>
          </w:tcPr>
          <w:p w14:paraId="1795677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提供对奖励兑付和企业奖励批次管理功能，支持对批次企业信息的维护、导入、批次设定等管理功能。</w:t>
            </w:r>
          </w:p>
        </w:tc>
      </w:tr>
      <w:tr w14:paraId="754D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4911FE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174BB84">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B03D66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社会消费品零售企业奖励免申即享管理-在线通知与确认审核</w:t>
            </w:r>
          </w:p>
        </w:tc>
        <w:tc>
          <w:tcPr>
            <w:tcW w:w="2691" w:type="pct"/>
            <w:shd w:val="clear" w:color="auto" w:fill="auto"/>
            <w:vAlign w:val="center"/>
          </w:tcPr>
          <w:p w14:paraId="0839C88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企业法人对拟奖励批次的通知以及在线确认核实管理</w:t>
            </w:r>
          </w:p>
        </w:tc>
      </w:tr>
      <w:tr w14:paraId="4A8A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10C1CB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F3807AA">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AD6F08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社会消费品零售企业奖励免申即享管理-兑付管理</w:t>
            </w:r>
          </w:p>
        </w:tc>
        <w:tc>
          <w:tcPr>
            <w:tcW w:w="2691" w:type="pct"/>
            <w:shd w:val="clear" w:color="auto" w:fill="auto"/>
            <w:vAlign w:val="center"/>
          </w:tcPr>
          <w:p w14:paraId="43E732D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1、兑付确认登记：奖励兑付金额的支付情况管理。</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2、兑付情况公示：批次审批通过的奖励企业名单的汇聚和公示对接。</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3、奖励发放情况备案导出：对各批次奖励企业的名录、奖励金额、兑付情况等信息进行导出。</w:t>
            </w:r>
          </w:p>
        </w:tc>
      </w:tr>
      <w:tr w14:paraId="42F1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3D8A5E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BC9AE6D">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35E319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标准化申报管理-事项申报和填报管理</w:t>
            </w:r>
          </w:p>
        </w:tc>
        <w:tc>
          <w:tcPr>
            <w:tcW w:w="2691" w:type="pct"/>
            <w:shd w:val="clear" w:color="auto" w:fill="auto"/>
            <w:vAlign w:val="center"/>
          </w:tcPr>
          <w:p w14:paraId="600B3F6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用于维护事项申报时填写的内容管理。对标市办件库申报字段要求，形成标准化字段设置；针对快速申报事项，提供个性化字段配置功能，支持字符、数字、日期类型的字段增加；</w:t>
            </w:r>
          </w:p>
        </w:tc>
      </w:tr>
      <w:tr w14:paraId="56F5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9E3091F">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F3B14DF">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3B4558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标准化申报管理-事项材料清单/样例和附件申报比对</w:t>
            </w:r>
          </w:p>
        </w:tc>
        <w:tc>
          <w:tcPr>
            <w:tcW w:w="2691" w:type="pct"/>
            <w:shd w:val="clear" w:color="auto" w:fill="auto"/>
            <w:vAlign w:val="center"/>
          </w:tcPr>
          <w:p w14:paraId="5BEDE58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用于维护事项申报时上传的材料附件管理。对标市办件库申报附件要求，提供模板下载、样表下载功能；提供免提交用证配置功能；提供与办事指南中附件材料要求比对功能</w:t>
            </w:r>
          </w:p>
        </w:tc>
      </w:tr>
      <w:tr w14:paraId="0871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60D9A9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8B54D3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6B9CBA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标准化申报管理-事项委内申报及与市平台同步</w:t>
            </w:r>
          </w:p>
        </w:tc>
        <w:tc>
          <w:tcPr>
            <w:tcW w:w="2691" w:type="pct"/>
            <w:shd w:val="clear" w:color="auto" w:fill="auto"/>
            <w:vAlign w:val="center"/>
          </w:tcPr>
          <w:p w14:paraId="425A9D0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提供生成与市立即办理按钮对应申报链接的功能；按市申报页面统一ui标准完成申报页面的建设开发；提供自动生成办件编号、页面相关数据暂存和提交功能；提供补正再申报功能</w:t>
            </w:r>
          </w:p>
        </w:tc>
      </w:tr>
      <w:tr w14:paraId="3E9A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A9B5A9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1B00F9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68FE53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标准化申报管理-申报数据业务协作</w:t>
            </w:r>
          </w:p>
        </w:tc>
        <w:tc>
          <w:tcPr>
            <w:tcW w:w="2691" w:type="pct"/>
            <w:shd w:val="clear" w:color="auto" w:fill="auto"/>
            <w:vAlign w:val="center"/>
          </w:tcPr>
          <w:p w14:paraId="02E4598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提供与办件库对应申报环节数据交互功能；在线申报时，提供与市好差评对接交互的功能；在线申报时，提供与市办不成事对接交互的功能</w:t>
            </w:r>
          </w:p>
        </w:tc>
      </w:tr>
      <w:tr w14:paraId="750C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E6A310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4203AE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2D89C2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标准化收件管理-网上收件管理</w:t>
            </w:r>
          </w:p>
        </w:tc>
        <w:tc>
          <w:tcPr>
            <w:tcW w:w="2691" w:type="pct"/>
            <w:shd w:val="clear" w:color="auto" w:fill="auto"/>
            <w:vAlign w:val="center"/>
          </w:tcPr>
          <w:p w14:paraId="265AC6D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通过标准化申报管理-事项在线申报提交成功后的事项，通过本模块来完成收件确认工作。如果材料不符合受理要求，提供线上补正操作，退回给申报人员进行线上补正；提供按照收件时效性要求的逾期提醒显示；对于超期完成网上收件的任务提供申诉功能</w:t>
            </w:r>
          </w:p>
        </w:tc>
      </w:tr>
      <w:tr w14:paraId="03AF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91AB7EC">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09916BD">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F964E5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标准化收件管理-实体大厅窗口收件管理</w:t>
            </w:r>
          </w:p>
        </w:tc>
        <w:tc>
          <w:tcPr>
            <w:tcW w:w="2691" w:type="pct"/>
            <w:shd w:val="clear" w:color="auto" w:fill="auto"/>
            <w:vAlign w:val="center"/>
          </w:tcPr>
          <w:p w14:paraId="5257F06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通过办事大厅窗口，提供线下收件确认工作。允许窗口人员通过系统登记申报基本信息，允许窗口人员核对材料，确认申报材料合规信息；如果材料不符合受理要求，提供补正凭证打印功能；提供收件需补正类事项的窗口二次收件功能；对于超期完成窗口收件的任务提供申诉功能</w:t>
            </w:r>
          </w:p>
        </w:tc>
      </w:tr>
      <w:tr w14:paraId="635D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8204A5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9EB8C2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C01E41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标准化审批管理-任务管理-待办任务流转管理和统一提醒</w:t>
            </w:r>
          </w:p>
        </w:tc>
        <w:tc>
          <w:tcPr>
            <w:tcW w:w="2691" w:type="pct"/>
            <w:shd w:val="clear" w:color="auto" w:fill="auto"/>
            <w:vAlign w:val="center"/>
          </w:tcPr>
          <w:p w14:paraId="6FD3ED8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待办任务流转管理和统一提醒：提供通过标准化收件管理通过后的事项审批管理工作。提供待办任务列表查询；待办任务当前审批环节时效性要求提醒功能；提供按照流程管理中提供的标准审批模板进行任务审批处理的功能；提供审批操作与市办件库即时交互功能，</w:t>
            </w:r>
          </w:p>
        </w:tc>
      </w:tr>
      <w:tr w14:paraId="4390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A375B9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199BBCB">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7B102B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标准化审批管理-任务管理-已办任务跟踪和申诉管理</w:t>
            </w:r>
          </w:p>
        </w:tc>
        <w:tc>
          <w:tcPr>
            <w:tcW w:w="2691" w:type="pct"/>
            <w:shd w:val="clear" w:color="auto" w:fill="auto"/>
            <w:vAlign w:val="center"/>
          </w:tcPr>
          <w:p w14:paraId="559EB2B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已办任务跟踪和申诉管理：提供查看历史已完成审批的相关环节任务信息。可以查看实际完成时效情况。可以对超期已办任务进行申诉功能。可以查看审批任务详细信息。</w:t>
            </w:r>
          </w:p>
        </w:tc>
      </w:tr>
      <w:tr w14:paraId="5FF6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220001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EF7527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92EB60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标准化电子证照制证管理-事项制证/情形制证/离线制证功能</w:t>
            </w:r>
          </w:p>
        </w:tc>
        <w:tc>
          <w:tcPr>
            <w:tcW w:w="2691" w:type="pct"/>
            <w:shd w:val="clear" w:color="auto" w:fill="auto"/>
            <w:vAlign w:val="center"/>
          </w:tcPr>
          <w:p w14:paraId="57C3BF3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审批环节中，涉及制证环节审批事项的制证功能，在审批环节中进行线上制证；提供不走办件库的电子证照制证功能，可以选择事项情形线上制证；提供事项离线制证功能，可以通过事项情形，选择对应的证照上传离线证照。</w:t>
            </w:r>
          </w:p>
        </w:tc>
      </w:tr>
      <w:tr w14:paraId="3020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FF5EEB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01042C3">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5AA600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标准化电子证照制证管理-证照要素/签章/市库对接功能</w:t>
            </w:r>
          </w:p>
        </w:tc>
        <w:tc>
          <w:tcPr>
            <w:tcW w:w="2691" w:type="pct"/>
            <w:shd w:val="clear" w:color="auto" w:fill="auto"/>
            <w:vAlign w:val="center"/>
          </w:tcPr>
          <w:p w14:paraId="3E25931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提供照面要素填写功能；提供未盖章电子证照生成功能；提供证照用印功能；提供与证照库交互数据功能</w:t>
            </w:r>
          </w:p>
        </w:tc>
      </w:tr>
      <w:tr w14:paraId="1D09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0DC5E5B">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F2CCF8F">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C9DF46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标准化线上线下发证管理</w:t>
            </w:r>
          </w:p>
        </w:tc>
        <w:tc>
          <w:tcPr>
            <w:tcW w:w="2691" w:type="pct"/>
            <w:shd w:val="clear" w:color="auto" w:fill="auto"/>
            <w:vAlign w:val="center"/>
          </w:tcPr>
          <w:p w14:paraId="76811E2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1、电子证照：提供电子签章生成电子证照功能；与市电子证照库平台对接，完成电子证照数据的交互。</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2、纸质证照：提供纸质证照发证完成依据，完成证照扫描上传功能。</w:t>
            </w:r>
          </w:p>
        </w:tc>
      </w:tr>
      <w:tr w14:paraId="7A0B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BDB6B0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86841FA">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796798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好差评管理-PAD端事项展示和实时评价功能</w:t>
            </w:r>
          </w:p>
        </w:tc>
        <w:tc>
          <w:tcPr>
            <w:tcW w:w="2691" w:type="pct"/>
            <w:shd w:val="clear" w:color="auto" w:fill="auto"/>
            <w:vAlign w:val="center"/>
          </w:tcPr>
          <w:p w14:paraId="52B50E9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通过pad端提供窗口信息、窗口服务人员信息、窗口当前服务状态信息展示功能；通过管理端设置pad与窗口绑定功能、设置窗口当前服务人员功能、设置当前窗口服务状态功能</w:t>
            </w:r>
          </w:p>
        </w:tc>
      </w:tr>
      <w:tr w14:paraId="56A3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13111E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9B0274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5238C3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好差评管理-评价情况反馈和量化分析</w:t>
            </w:r>
          </w:p>
        </w:tc>
        <w:tc>
          <w:tcPr>
            <w:tcW w:w="2691" w:type="pct"/>
            <w:shd w:val="clear" w:color="auto" w:fill="auto"/>
            <w:vAlign w:val="center"/>
          </w:tcPr>
          <w:p w14:paraId="2ABD3BA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提供管理端窗口收件、窗口审批、窗口发证环节的办件信息好差评评价功能；提供pad端按市级页面模式对接评价功能；提供pad端本地事项办件信息及评价内容展示功能；提供pad端相关评价结果反馈功能，用于量化分析</w:t>
            </w:r>
          </w:p>
        </w:tc>
      </w:tr>
      <w:tr w14:paraId="06A3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AC2456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90D1B5D">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3774E5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实体服务大厅窗口管理-人员上岗和窗口服务情况管理</w:t>
            </w:r>
          </w:p>
        </w:tc>
        <w:tc>
          <w:tcPr>
            <w:tcW w:w="2691" w:type="pct"/>
            <w:shd w:val="clear" w:color="auto" w:fill="auto"/>
            <w:vAlign w:val="center"/>
          </w:tcPr>
          <w:p w14:paraId="2C2785C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1、工作人员上岗管理：对窗口的开设和工作人员的上岗情况状态的管理，支持窗口的可用状态、人员上岗/离岗时间的跟踪。</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2、窗口办件服务情况管理：对窗口工作人员办件情况的登记，支持对具体办理人、办理时间、办理事项编号信息的登记。</w:t>
            </w:r>
          </w:p>
        </w:tc>
      </w:tr>
      <w:tr w14:paraId="6472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1AF9BB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72E42E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DDB739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实体服务大厅窗口管理-窗口/工作人员工作绩效和满意度分析</w:t>
            </w:r>
          </w:p>
        </w:tc>
        <w:tc>
          <w:tcPr>
            <w:tcW w:w="2691" w:type="pct"/>
            <w:shd w:val="clear" w:color="auto" w:fill="auto"/>
            <w:vAlign w:val="center"/>
          </w:tcPr>
          <w:p w14:paraId="54D3F3E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1、工作饱和度及质量情况分析：对办件数据分析，查看窗口人员各事项的办件量、办件时长、逾期办结量。并可以点击统计数字查看对应具体办件信息。</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2、办件满意度情况分析：对好差评数据分析，查看窗口人员各事项满意度反馈情况的反馈统计，以及各等第的数量汇总。</w:t>
            </w:r>
          </w:p>
        </w:tc>
      </w:tr>
      <w:tr w14:paraId="2CE0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70AFA8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8EE930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BF5BB5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实体服务大厅窗口管理-事项办件查询</w:t>
            </w:r>
          </w:p>
        </w:tc>
        <w:tc>
          <w:tcPr>
            <w:tcW w:w="2691" w:type="pct"/>
            <w:shd w:val="clear" w:color="auto" w:fill="auto"/>
            <w:vAlign w:val="center"/>
          </w:tcPr>
          <w:p w14:paraId="2C05486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各事项办件信息查询，可以查看事项申报信息，查看事项审批信息、事项审批状态</w:t>
            </w:r>
          </w:p>
        </w:tc>
      </w:tr>
      <w:tr w14:paraId="1758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197BAC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E409187">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F6803E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大厅办事凭证管理</w:t>
            </w:r>
          </w:p>
        </w:tc>
        <w:tc>
          <w:tcPr>
            <w:tcW w:w="2691" w:type="pct"/>
            <w:shd w:val="clear" w:color="auto" w:fill="auto"/>
            <w:vAlign w:val="center"/>
          </w:tcPr>
          <w:p w14:paraId="75A3EBF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完成收件凭证、受理凭证、补正材料通知书、容缺受理承诺书、容缺候补通知书、送达回执6类凭证标准的建设，可以在对应标准通办环节中提供凭证生成、查看以及打印功能</w:t>
            </w:r>
          </w:p>
        </w:tc>
      </w:tr>
      <w:tr w14:paraId="1BC7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5D4DD4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restart"/>
            <w:shd w:val="clear" w:color="auto" w:fill="auto"/>
            <w:vAlign w:val="center"/>
          </w:tcPr>
          <w:p w14:paraId="5A64C027">
            <w:pPr>
              <w:widowControl/>
              <w:spacing w:line="240" w:lineRule="auto"/>
              <w:ind w:firstLine="0" w:firstLineChars="0"/>
              <w:jc w:val="center"/>
              <w:rPr>
                <w:rFonts w:ascii="Tahoma" w:hAnsi="Tahoma" w:cs="Tahoma"/>
                <w:color w:val="000000"/>
                <w:kern w:val="0"/>
                <w:sz w:val="22"/>
                <w:szCs w:val="22"/>
                <w:highlight w:val="none"/>
              </w:rPr>
            </w:pPr>
            <w:r>
              <w:rPr>
                <w:rFonts w:hint="eastAsia" w:ascii="Tahoma" w:hAnsi="Tahoma" w:cs="Tahoma"/>
                <w:color w:val="000000"/>
                <w:kern w:val="0"/>
                <w:sz w:val="22"/>
                <w:szCs w:val="22"/>
                <w:highlight w:val="none"/>
              </w:rPr>
              <w:t>财政专项资金管理</w:t>
            </w:r>
          </w:p>
        </w:tc>
        <w:tc>
          <w:tcPr>
            <w:tcW w:w="1444" w:type="pct"/>
            <w:shd w:val="clear" w:color="auto" w:fill="auto"/>
            <w:vAlign w:val="center"/>
          </w:tcPr>
          <w:p w14:paraId="2C6DE8F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项目在线申报管理-项目申报开放时段与开放名单设置</w:t>
            </w:r>
          </w:p>
        </w:tc>
        <w:tc>
          <w:tcPr>
            <w:tcW w:w="2691" w:type="pct"/>
            <w:shd w:val="clear" w:color="auto" w:fill="auto"/>
            <w:vAlign w:val="center"/>
          </w:tcPr>
          <w:p w14:paraId="101C19E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包括开放时段设置、开放名单设置。定义每个政策的申报开放时间以及开放名单，开放时间精确设置至具体的日期、小时与分钟，开放名单可定向白名单企业清单，提升政策精准投放能力。</w:t>
            </w:r>
          </w:p>
        </w:tc>
      </w:tr>
      <w:tr w14:paraId="3705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E03F9E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70165F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B3BEAD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项目在线申报管理-企业智能预填</w:t>
            </w:r>
          </w:p>
        </w:tc>
        <w:tc>
          <w:tcPr>
            <w:tcW w:w="2691" w:type="pct"/>
            <w:shd w:val="clear" w:color="auto" w:fill="auto"/>
            <w:vAlign w:val="center"/>
          </w:tcPr>
          <w:p w14:paraId="7D4501D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智能数据填报、智能校验规则管理、填报进度保存、申报表赋水印打印。企业可在申报时下载申报模板，填写项目申报表时，系统智能调用申报表单的数据接口，将企业注册信息、经营状态、纳税数据、参保情况等数据内容自动填报至申报表单对应申报内容中，实现企业申报表单“少填/不填”的目标。</w:t>
            </w:r>
          </w:p>
        </w:tc>
      </w:tr>
      <w:tr w14:paraId="777E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BF0850F">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59805EF">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312408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项目在线申报管理-企业智能填报引导</w:t>
            </w:r>
          </w:p>
        </w:tc>
        <w:tc>
          <w:tcPr>
            <w:tcW w:w="2691" w:type="pct"/>
            <w:shd w:val="clear" w:color="auto" w:fill="auto"/>
            <w:vAlign w:val="center"/>
          </w:tcPr>
          <w:p w14:paraId="28E9295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企业在进行项目申报时，系统可按照政策申报要求导引企业进行申报模板下载、申报内容填报示例查看以及申报流程的指导</w:t>
            </w:r>
          </w:p>
        </w:tc>
      </w:tr>
      <w:tr w14:paraId="47B9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2F4DC9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F7508B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A8E896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项目在线申报管理-企业申报数据智能预审</w:t>
            </w:r>
          </w:p>
        </w:tc>
        <w:tc>
          <w:tcPr>
            <w:tcW w:w="2691" w:type="pct"/>
            <w:shd w:val="clear" w:color="auto" w:fill="auto"/>
            <w:vAlign w:val="center"/>
          </w:tcPr>
          <w:p w14:paraId="3E539BA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通过申报数据智能预审，结合政策申报要求，对企业填报的数据进行初步预审，保障企业填报的数据符合初步的要求。</w:t>
            </w:r>
          </w:p>
        </w:tc>
      </w:tr>
      <w:tr w14:paraId="1B76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A617BA7">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1DEDFE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BDBE53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项目在线申报管理-企业填报进度暂存、情况查询与申报表赋水印打印</w:t>
            </w:r>
          </w:p>
        </w:tc>
        <w:tc>
          <w:tcPr>
            <w:tcW w:w="2691" w:type="pct"/>
            <w:shd w:val="clear" w:color="auto" w:fill="auto"/>
            <w:vAlign w:val="center"/>
          </w:tcPr>
          <w:p w14:paraId="6291B1F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通过填报进度暂存、以及赋水印打印功能，进一步减轻企业申报的工作量，提升企业申报效率，同时满足商委的管理诉求。</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企业可实时查询申报的审批情况，包括每个环节的审批时间与审批意见</w:t>
            </w:r>
          </w:p>
        </w:tc>
      </w:tr>
      <w:tr w14:paraId="4E5E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85" w:type="pct"/>
            <w:shd w:val="clear" w:color="auto" w:fill="auto"/>
            <w:vAlign w:val="center"/>
          </w:tcPr>
          <w:p w14:paraId="74DB3D2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7FEBBD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A1B34D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项目在线申报管理-企业动态信息管理</w:t>
            </w:r>
          </w:p>
        </w:tc>
        <w:tc>
          <w:tcPr>
            <w:tcW w:w="2691" w:type="pct"/>
            <w:shd w:val="clear" w:color="auto" w:fill="auto"/>
            <w:vAlign w:val="center"/>
          </w:tcPr>
          <w:p w14:paraId="245FAE7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企业信息变更申请、企业信息变更审核、企业信息动态变更、企业信息历史版本对比。通过企业动态信息管理，发起企业信息变更申请，选定需修改内容，提交后流转至原申报业务处室审核，审核通过后，系统更新企业最新的基础信息。系统提供变更前后对比、修改原因填写与审批日志跟踪，支持变更记录审核及退回修改功能。</w:t>
            </w:r>
          </w:p>
        </w:tc>
      </w:tr>
      <w:tr w14:paraId="0247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534FF9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0FF588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BDB176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项目受理与初步审核-项目申报查重预警规则与数据策略管理</w:t>
            </w:r>
          </w:p>
        </w:tc>
        <w:tc>
          <w:tcPr>
            <w:tcW w:w="2691" w:type="pct"/>
            <w:shd w:val="clear" w:color="auto" w:fill="auto"/>
            <w:vAlign w:val="center"/>
          </w:tcPr>
          <w:p w14:paraId="50BF6B6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允许用户定义项目查重规则以及规则对应的数据策略与逻辑，如:“互斥政策对”（如统一企业不能同时申报A、B两项政策）关系，设定规则生效起止时间、覆盖范围（企业维度/政策维度），实现政策互斥策略的灵活控制。</w:t>
            </w:r>
          </w:p>
        </w:tc>
      </w:tr>
      <w:tr w14:paraId="5477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32938E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C4E575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04D378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项目受理与初步审核-项目申报全平台同政策/跨政策查重及预警</w:t>
            </w:r>
          </w:p>
        </w:tc>
        <w:tc>
          <w:tcPr>
            <w:tcW w:w="2691" w:type="pct"/>
            <w:shd w:val="clear" w:color="auto" w:fill="auto"/>
            <w:vAlign w:val="center"/>
          </w:tcPr>
          <w:p w14:paraId="797AD79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政策申报查重，实现同政策申报查重以及跨政策申报互斥查重功能：</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（1）同政策申报查重预警</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系统在企业提交申报表单时实时校验该企业是否在同一政策、同一年度下已有项目申报。若发现重复，立即提示并终止提交，同时支持审核环节再次校验，避免绕过系统前端限制。</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（2）跨政策申报互斥查重预警</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企业申报阶段即根据系统后台配置政策间互斥规则（如A与B政策不能同时申报），触发检测，发现互斥申报，则提示并生成重复政策互斥申报日志。</w:t>
            </w:r>
          </w:p>
        </w:tc>
      </w:tr>
      <w:tr w14:paraId="6DA2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0FFEB6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A4B2B9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39D2BDC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项目受理与初步审核-区商委在线申报受理</w:t>
            </w:r>
          </w:p>
        </w:tc>
        <w:tc>
          <w:tcPr>
            <w:tcW w:w="2691" w:type="pct"/>
            <w:shd w:val="clear" w:color="auto" w:fill="auto"/>
            <w:vAlign w:val="center"/>
          </w:tcPr>
          <w:p w14:paraId="1ED0B9F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区商委对企业申报信息与上报材料进行受理，并对企业资质以及申报材料进行初步审核，对不符合政策要求的企业申请进行驳回，对于申报材料不完整的企业，可以要求企业补充申报材料后，再进行审核。</w:t>
            </w:r>
          </w:p>
        </w:tc>
      </w:tr>
      <w:tr w14:paraId="73E3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5E384FA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B38487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659014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项目受理与初步审核-第三方机构初步审核</w:t>
            </w:r>
          </w:p>
        </w:tc>
        <w:tc>
          <w:tcPr>
            <w:tcW w:w="2691" w:type="pct"/>
            <w:shd w:val="clear" w:color="auto" w:fill="auto"/>
            <w:vAlign w:val="center"/>
          </w:tcPr>
          <w:p w14:paraId="1BA4076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由商务委委托的第三方机构对企业申报材料进行初步审核，进一步保障申报材料的真实性与完整性。同时，根据本次企业申报材料，核定本次企业申报的核定金额、核定比例以及审核金额。</w:t>
            </w:r>
          </w:p>
        </w:tc>
      </w:tr>
      <w:tr w14:paraId="7FC4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62C4EE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32A1D7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D4D849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项目在线审核管理-企业申报核定信息批量管理</w:t>
            </w:r>
          </w:p>
        </w:tc>
        <w:tc>
          <w:tcPr>
            <w:tcW w:w="2691" w:type="pct"/>
            <w:shd w:val="clear" w:color="auto" w:fill="auto"/>
            <w:vAlign w:val="center"/>
          </w:tcPr>
          <w:p w14:paraId="419EF65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包括审核金额批量管理、审核意见批量管理、核定金额批量管理。项目对通过初审的企业项目申报申请的资金比例、审核金额、核定金额以及审批意见进行批量调整。</w:t>
            </w:r>
          </w:p>
        </w:tc>
      </w:tr>
      <w:tr w14:paraId="287F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ABBF23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625E63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5CBB07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资金管理-政策资金预算类型与指标管理</w:t>
            </w:r>
          </w:p>
        </w:tc>
        <w:tc>
          <w:tcPr>
            <w:tcW w:w="2691" w:type="pct"/>
            <w:shd w:val="clear" w:color="auto" w:fill="auto"/>
            <w:vAlign w:val="center"/>
          </w:tcPr>
          <w:p w14:paraId="3118F06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资金预算类型管理:系统支持将财政资金预算按类型进行管理，可按照中央/地方资金、内贸/外贸等类型进行资金预算的分层管理。</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资金预算指标管理:系统支持导入财政批复的各政策预算批复数据形成资金预算指标，并可以在导入指标的基础上，按照预算类型进行分解。在项目审批通过节点系统自动扣减对应政策的金额，扣减信息同步更新到政策资金预算台账中。</w:t>
            </w:r>
          </w:p>
        </w:tc>
      </w:tr>
      <w:tr w14:paraId="198E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795604C">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C5278F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1C463B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资金管理-政策资金预算调整管理</w:t>
            </w:r>
          </w:p>
        </w:tc>
        <w:tc>
          <w:tcPr>
            <w:tcW w:w="2691" w:type="pct"/>
            <w:shd w:val="clear" w:color="auto" w:fill="auto"/>
            <w:vAlign w:val="center"/>
          </w:tcPr>
          <w:p w14:paraId="00833056">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资金预算调整管理:业务部门可发起预算调整申请（追加或缩减），系统支持定义审批流转路径（如处室负责人→财务→领导小组）。调整完成后自动更新台账与执行记录，生成调整单并支持追溯原始额度。</w:t>
            </w:r>
          </w:p>
        </w:tc>
      </w:tr>
      <w:tr w14:paraId="32C1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129392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817D68A">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50AD99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资金管理-政策资金预算台账管理</w:t>
            </w:r>
          </w:p>
        </w:tc>
        <w:tc>
          <w:tcPr>
            <w:tcW w:w="2691" w:type="pct"/>
            <w:shd w:val="clear" w:color="auto" w:fill="auto"/>
            <w:vAlign w:val="center"/>
          </w:tcPr>
          <w:p w14:paraId="23C06FB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预算台账:系统支持将财政资金预算按类型（中央/地方资金）、年度、政策进行分层查询，展示每层结构下的年初预算、调整预算、已使用预算、剩余预算。政策资金预算台账支持按照政策、处室进行多维度查询。</w:t>
            </w:r>
          </w:p>
        </w:tc>
      </w:tr>
      <w:tr w14:paraId="4B77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3DA21E3">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C3D0140">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E4AF15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资金管理-项目公示管理与信息归档</w:t>
            </w:r>
          </w:p>
        </w:tc>
        <w:tc>
          <w:tcPr>
            <w:tcW w:w="2691" w:type="pct"/>
            <w:shd w:val="clear" w:color="auto" w:fill="auto"/>
            <w:vAlign w:val="center"/>
          </w:tcPr>
          <w:p w14:paraId="3DAED04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公示信息生成与发布:根据通过复核的企业申报信息，生成批次公示信息并发布至网站指定栏目。</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项目公示期管理:为每轮项目申报结果配置公示起始与终止时间，在公示期内可随时登录系统查看项目申报结果信息。</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公示信息归档与查询:为公示信息提供数据授权查看功能，对于正在公示或者公示完毕的历史公示数据提供分级授权功能，可选择“完全公开/内部公开”等授权模式。</w:t>
            </w:r>
          </w:p>
        </w:tc>
      </w:tr>
      <w:tr w14:paraId="78A7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1A05041">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F760393">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19113B3">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资金管理-公示异议与回复管理</w:t>
            </w:r>
          </w:p>
        </w:tc>
        <w:tc>
          <w:tcPr>
            <w:tcW w:w="2691" w:type="pct"/>
            <w:shd w:val="clear" w:color="auto" w:fill="auto"/>
            <w:vAlign w:val="center"/>
          </w:tcPr>
          <w:p w14:paraId="48A9B12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公示异议信息填报、公示异议信息审核、公示异议信息回复、公示异议信息查看功能。当企业对项目公示信息存在异议时，可进行异议信息的填报与相关材料的上传，商委业务部门对公示异议信息进行审核与回复。</w:t>
            </w:r>
          </w:p>
        </w:tc>
      </w:tr>
      <w:tr w14:paraId="09A1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255087C">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9EFD95D">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217883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资金管理-企业资金拨付申请生成</w:t>
            </w:r>
          </w:p>
        </w:tc>
        <w:tc>
          <w:tcPr>
            <w:tcW w:w="2691" w:type="pct"/>
            <w:shd w:val="clear" w:color="auto" w:fill="auto"/>
            <w:vAlign w:val="center"/>
          </w:tcPr>
          <w:p w14:paraId="2CEE8DC6">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商委财务处专管员根据企业申报终审的最终核定金额，生成资金拨付申请，包括企业、摘要、收款人信息、行别、金额等资金拨付申请要素信息。</w:t>
            </w:r>
          </w:p>
        </w:tc>
      </w:tr>
      <w:tr w14:paraId="618F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B82537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470D9F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BE94D3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资金管理-政府购买服务类企业资金拨付管理</w:t>
            </w:r>
          </w:p>
        </w:tc>
        <w:tc>
          <w:tcPr>
            <w:tcW w:w="2691" w:type="pct"/>
            <w:shd w:val="clear" w:color="auto" w:fill="auto"/>
            <w:vAlign w:val="center"/>
          </w:tcPr>
          <w:p w14:paraId="5E586BD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拨付清单导入、拨付清单审核。对于使用各类政策资金进行的政府购买服务类企业的资金拨付进行规范化导入管理，支持拨付清单数据的一键导入，导入的清单数据包括：企业名称、信用代码、政策名称、收款人姓名、收款人账户、开户银行、银行行别、摘要、资金年度、对公对私、结算方式、拨付金额等。</w:t>
            </w:r>
          </w:p>
        </w:tc>
      </w:tr>
      <w:tr w14:paraId="719D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6D6144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3DE4C9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C7F8EC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资金管理-资金拨付申请回单确认</w:t>
            </w:r>
          </w:p>
        </w:tc>
        <w:tc>
          <w:tcPr>
            <w:tcW w:w="2691" w:type="pct"/>
            <w:shd w:val="clear" w:color="auto" w:fill="auto"/>
            <w:vAlign w:val="center"/>
          </w:tcPr>
          <w:p w14:paraId="7368320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财政平台支付成功后，根据支付回单进行资金拨付申请的回单确定，登记资金清算时间，并在系统中发送待办信息告知企业资金已拨付成功。</w:t>
            </w:r>
          </w:p>
        </w:tc>
      </w:tr>
      <w:tr w14:paraId="36DA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5BB049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F86B70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5A50044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政策管理-政策发布管理</w:t>
            </w:r>
          </w:p>
        </w:tc>
        <w:tc>
          <w:tcPr>
            <w:tcW w:w="2691" w:type="pct"/>
            <w:shd w:val="clear" w:color="auto" w:fill="auto"/>
            <w:vAlign w:val="center"/>
          </w:tcPr>
          <w:p w14:paraId="6674BAF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对发布范围、批次进行管理。实现政策发布范围与批次的管控。政策发布时，可定义政策发布后可查阅企业的范围。同时通过发布批次管理可灵活定义政策的发布批次。</w:t>
            </w:r>
          </w:p>
        </w:tc>
      </w:tr>
      <w:tr w14:paraId="78F4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C907908">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16E8365">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3FDBA4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企业信用管理-企业信用信息管理</w:t>
            </w:r>
          </w:p>
        </w:tc>
        <w:tc>
          <w:tcPr>
            <w:tcW w:w="2691" w:type="pct"/>
            <w:shd w:val="clear" w:color="auto" w:fill="auto"/>
            <w:vAlign w:val="center"/>
          </w:tcPr>
          <w:p w14:paraId="4984FA3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根据发改委企业信用数据以及企业以前年度项目申报数据，形成商委企业信用清单。包括：企业名称、统一信用代码、企业纳税信用等级、信用承诺情况。</w:t>
            </w:r>
          </w:p>
        </w:tc>
      </w:tr>
      <w:tr w14:paraId="5298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04447BB">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7E1DEC71">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C3031F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企业信用管理-企业信用黑名单管理</w:t>
            </w:r>
          </w:p>
        </w:tc>
        <w:tc>
          <w:tcPr>
            <w:tcW w:w="2691" w:type="pct"/>
            <w:shd w:val="clear" w:color="auto" w:fill="auto"/>
            <w:vAlign w:val="center"/>
          </w:tcPr>
          <w:p w14:paraId="046C9BB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根据发改委失信企业名单以及企业以前年度虚假申报情况，形成商委企业信用黑名单。对处于黑名单中的信用存在问题的企业，在申报审批环节一票否决。</w:t>
            </w:r>
          </w:p>
        </w:tc>
      </w:tr>
      <w:tr w14:paraId="2C6E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C15D203">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51A4E3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72A93F8">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企业信用管理-企业信用申诉管理</w:t>
            </w:r>
          </w:p>
        </w:tc>
        <w:tc>
          <w:tcPr>
            <w:tcW w:w="2691" w:type="pct"/>
            <w:shd w:val="clear" w:color="auto" w:fill="auto"/>
            <w:vAlign w:val="center"/>
          </w:tcPr>
          <w:p w14:paraId="69B215E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包括信用异议申诉信息填报、信用异议信息审核、信用异议信息回复、信用异议信息查看。企业如对其信用状态存在异议，可在线提交申诉材料（包含申诉说明、证据材料等）。系统自动分派至对应业务部门，审核后可维持或修正信用等级。所有申诉记录与处理结果均归档留痕，形成闭环管理。</w:t>
            </w:r>
          </w:p>
        </w:tc>
      </w:tr>
      <w:tr w14:paraId="0D51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FFEE3A2">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625423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72F53C3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专项资金项目申报表单自定义管理-表单设计器</w:t>
            </w:r>
          </w:p>
        </w:tc>
        <w:tc>
          <w:tcPr>
            <w:tcW w:w="2691" w:type="pct"/>
            <w:shd w:val="clear" w:color="auto" w:fill="auto"/>
            <w:vAlign w:val="center"/>
          </w:tcPr>
          <w:p w14:paraId="236F5EE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1、表单分区与响应式设计单据分区与响应式展示用于提升表单的可读性和用户体验，系统支持将表单划分为多个逻辑分区，每个分区可以包含相关的字段组。用户可以为每个分区设置标题、说明、图标等辅助信息，帮助用户更好地理解和填写表单内容。此外，系统支持响应式设计，表单在不同的设备上能够自适应布局，确保在各种终端上的良好展示效果。</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2、表单预览与角色建模：在表单设计完成后，用户可以通过预览功能查看表单的实际展示效果。系统支持角色建模功能，允许用户以不同角色的身份预览表单，验证字段的显示和编辑权限是否符合预期。该功能帮助设计人员在表单发布前发现和修正潜在的问题，确保表单在实际使用中的正确性和安全性。</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3、表单字段配置与校验规则管理：系统允许用户为每个字段配置详细的属性和校验规则，确保数据的准确性和完整性。用户可以设置字段的数据类型（如文本、数字、日期等）、输入限制（如最大长度、数值范围）、格式校验（如邮箱、手机号格式）等。系统内置多种常用的校验规则，同时支持用户自定义校验逻辑，通过表达式或脚本实现复杂的校验需求。此外，字段的显示和编辑权限也可以根据用户角色或表单状态进行配置，确保数据的安全性和合规性。</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4、表单字段联动逻辑设计：字段联动逻辑设计器提供可视化的界面，允许用户定义字段之间的联动关系，实现动态表单行为。用户可以设置当某个字段的值发生变化时，其他字段的显示、隐藏、启用、禁用或赋值等操作。联动逻辑可以基于简单的条件判断，也可以通过复杂的表达式或脚本实现多级联动和跨字段计算。该功能用于增强表单的交互性和智能性，提升用户体验，适用于各种复杂的业务场景。</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5、表单附件申报字段配置：系统支持在表单中添加附件字段，允许用户上传和管理各类文件，如文档、图片、音视频等。用户可以为附件字段配置文件类型、大小限制、上传数量等参数，确保上传文件的合规性和安全性。附件字段支持多种展示方式，如列表、缩略图等，进一步提升用户的使用体验。</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6、表单附件预览与下载以及完整性校验配置：系统提供了文件预览和下载功能，允许用户在浏览器中直接查看上传的文件内容，无需下载到本地。支持多种文件格式的在线预览，如PDF、Word、Excel、图片等，提升文件的可访问性和使用效率。用户也可以根据权限下载文件，满足不同的业务需求。同时，为确保表单上传文件的完整性和安全性，系统支持附件的完整性校验功能。可按照不同申报项目的要求定义不同的上传附件校验逻辑，进一步提升企业填报附件的完整性。</w:t>
            </w:r>
          </w:p>
        </w:tc>
      </w:tr>
      <w:tr w14:paraId="616C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AB95DA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018A16B">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DD3B50E">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专项资金项目申报表单自定义管理-表单版本管理与变更审计</w:t>
            </w:r>
          </w:p>
        </w:tc>
        <w:tc>
          <w:tcPr>
            <w:tcW w:w="2691" w:type="pct"/>
            <w:shd w:val="clear" w:color="auto" w:fill="auto"/>
            <w:vAlign w:val="center"/>
          </w:tcPr>
          <w:p w14:paraId="740346C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版本控制与变更审计:为满足表单模板的迭代和管理需求，系统支持表单模板的版本控制功能。每次对表单模板的修改都会生成一个新的版本，系统记录每个版本的变更内容、修改人和修改时间，形成完整的变更审计日志。用户可以查看历史版本的详情，比较不同版本之间的差异，必要时可以回滚到某个历史版本，确保表单模板的稳定性和可追溯性。</w:t>
            </w:r>
          </w:p>
        </w:tc>
      </w:tr>
      <w:tr w14:paraId="2B20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349B8A4">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6140B3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2EB0C4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专项资金项目申报表单自定义管理-表单草稿与恢复管理</w:t>
            </w:r>
          </w:p>
        </w:tc>
        <w:tc>
          <w:tcPr>
            <w:tcW w:w="2691" w:type="pct"/>
            <w:shd w:val="clear" w:color="auto" w:fill="auto"/>
            <w:vAlign w:val="center"/>
          </w:tcPr>
          <w:p w14:paraId="52CC76A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草稿保存与恢复机制:系统提供单据草稿保存功能，允许用户在填写表单过程中随时保存当前的输入内容，防止因网络中断或其他原因导致的数据丢失。草稿可以自动保存，也可以由用户手动触发保存操作。用户在重新进入表单时，可以选择恢复之前的草稿内容继续编辑，进一步提升表单填写的便利性和可靠性。</w:t>
            </w:r>
          </w:p>
        </w:tc>
      </w:tr>
      <w:tr w14:paraId="1861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8819F56">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16D7CAD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BB48FC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专项资金项目申报表单自定义管理-表单数据管理与接口集成</w:t>
            </w:r>
          </w:p>
        </w:tc>
        <w:tc>
          <w:tcPr>
            <w:tcW w:w="2691" w:type="pct"/>
            <w:shd w:val="clear" w:color="auto" w:fill="auto"/>
            <w:vAlign w:val="center"/>
          </w:tcPr>
          <w:p w14:paraId="6976DF5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业务数据建模:系统支持业务对象管理与业务数据建模，允许用户定义和管理业务对象及其属性。用户可以创建业务对象，定义字段类型、数据关系、约束条件等，实现业务数据的结构化管理。业务对象可以与表单、流程、报表等模块集成，形成完整的业务数据管理体系。</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数据接口配置与绑定:表单支持与系统内部的数据接口集成，允许用户配置和绑定数据接口，实现模板数据的导入、导出和同步。用户可以通过配置方式定义接口的请求方式、参数、返回数据映射等，无需编写代码即可完成与内部系统的数据交互。该功能支持多种数据格式和协议，满足不同系统集成的需求。</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接口编排与数据流转:系统提供了接口编排功能，允许用户将多个数据接口组合成一个完整的业务流程，实现数据的自动流转和处理。用户可以定义接口的调用顺序、条件判断、数据转换等逻辑，实现复杂的数据处理流程。接口编排支持可视化配置和调试功能，提升了系统的灵活性和可维护性。</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表单数据集成与结转:系统支持表单数据的继承和结转功能，允许用户在新建表单时自动带入已有表单的数据，减少重复输入。用户可以配置数据的继承规则和映射关系，实现数据的自动填充和转换，进一步提高业务单据填报的效率和准确性。</w:t>
            </w:r>
          </w:p>
        </w:tc>
      </w:tr>
      <w:tr w14:paraId="050E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DE925B9">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63FBC394">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E881A72">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专项资金项目申报表单自定义管理-表单权限与角色控制管理</w:t>
            </w:r>
          </w:p>
        </w:tc>
        <w:tc>
          <w:tcPr>
            <w:tcW w:w="2691" w:type="pct"/>
            <w:shd w:val="clear" w:color="auto" w:fill="auto"/>
            <w:vAlign w:val="center"/>
          </w:tcPr>
          <w:p w14:paraId="676100AB">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字段权限与行为权限管理:系统支持细粒度的权限控制，允许用户为每个字段配置不同角色或用户的访问权限，包括可见、只读、可编辑等状态。用户还可以配置表单的操作权限，如创建、编辑、提交、审批、撤回、删除等，确保系统的安全性和合规性。权限配置支持基于角色、组织结构。</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角色权限配置与授权机制:系统提供灵活的角色权限管理机制，支持基于角色的访问控制。系统管理员可以创建多个角色并分配给不同用户，每个角色可配置其可访问的表单、流程节点、字段权限、菜单、功能按钮等。系统还支持继承机制和多角色并存机制，满足组织中复杂的权限需求。</w:t>
            </w:r>
          </w:p>
        </w:tc>
      </w:tr>
      <w:tr w14:paraId="74F3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647F3EBD">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1F600D8">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2FC337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专项资金项目申报表单自定义管理-表单打印模板管理</w:t>
            </w:r>
          </w:p>
        </w:tc>
        <w:tc>
          <w:tcPr>
            <w:tcW w:w="2691" w:type="pct"/>
            <w:shd w:val="clear" w:color="auto" w:fill="auto"/>
            <w:vAlign w:val="center"/>
          </w:tcPr>
          <w:p w14:paraId="3D52894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打印模板设计器:打印模板设计器是一个支持所见即所得的打印模板可视化设计工具，允许用户以图形化界面设计表单的打印布局。用户可将表单字段以拖拽方式放置于打印区域中，并自定义字段位置、字体样式、字号、对齐方式、页眉页脚等打印样式。</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打印区域与分页规则配置:在打印模板的内容设计中，用户可根据业务需要设置内容分页规则，例如：每个审批节点内容单独分页、每行数据分页、附表内容独立分页等。系统支持配置纸张大小（A4、A3、自定义尺寸）、页边距、打印方向（横向或纵向）等参数，确保打印输出与文档存档要求相匹配。同时，系统还支持设置打印区域页眉页脚内容，如页码、打印时间、制表人信息等，实现标准化打印格式的输出。</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动态字段与数据绑定:打印模板中的所有字段均可绑定表单内已定义的字段，包括主表字段与子表（明细表）数据。用户可快速定义打印模板的业务字段变量，同时可设置字段显示格式（如千分位、日期格式、金额大写、换行符转换等）。</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条件打印与模板选择逻辑:系统支持配置“打印模板选择规则”，根据表单数据、用户角色、流程状态等条件动态选择对应的打印模板。例如，若审批流程尚未完成则使用“初审版”模板，流程完成后则切换至“正式版”模板；同时，支持用户在打印时手动选择可用模板，或通过流程节点内嵌控制强制指定模板，实现模板使用的灵活控制与流程联动。</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打印预览与PDF导出:在打印前，用户可通过打印预览功能实时查看渲染结果，系统支持加载表单实际数据并套用所选模板生成完整预览图。预览效果与实际打印保持高度一致，确保排版、字段值、分页位置符合预期。打印模板可一键导出为PDF文件。</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打印权限管理:打印权限管理为打印操作配置专属权限策略，支持按角色、组织、流程节点等维度配置是否允许打印、导出PDF、查看预览等操作。例如，仅当流程达到特定节点（如“审批完成”）后才能允许用户打印正式文档，或限定只有系统管理员能导出模板PDF供盖章使用。</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打印模板版本管理:每个打印模板均具备版本控制能力，每次编辑保存都会记录为一个新的版本，包含修改记录、变更人、变更时间等信息。打印模板支持导入导出为JSON或XML格式，便于在模板库中进行统一管理。</w:t>
            </w:r>
          </w:p>
        </w:tc>
      </w:tr>
      <w:tr w14:paraId="5942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1F7F311">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B915C6A">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27DA68D9">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专项资金项目申报流程自定义管理-流程设计管理</w:t>
            </w:r>
          </w:p>
        </w:tc>
        <w:tc>
          <w:tcPr>
            <w:tcW w:w="2691" w:type="pct"/>
            <w:shd w:val="clear" w:color="auto" w:fill="auto"/>
            <w:vAlign w:val="center"/>
          </w:tcPr>
          <w:p w14:paraId="506D981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可视化流程设计器:通过可视化流程设计器，采用所见即所得设计方式，用户可通过图形化界面设计业务流程，拖拽添加流程节点，并以连线方式定义流程路径。节点类型支持：起始节点、审批节点、条件分支、并行分支、汇聚节点、通知节点、结束节点等。每个节点支持配置操作人、审批方式（会签、或签、自定义脚本）、字段权限、业务规则等。可视化流程设计器通过简洁的图形界面，无需编码即可完成复杂业务审批流程的构建，满足业务快速响应的需求。</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流程节点与动态路由配置:系统支持对流程中每一个节点的行为进行精细化配置，包括审批人来源（指定用户、角色、组织机构、发起人上级）、操作按钮（同意、驳回、转审、自定义操作）、字段权限控制（可见、可编辑、必填、只读）以及通知设置。对于条件节点或并行汇聚节点，可配置多条件判断规则（基于表单业务数据、用户属性等），实现动态路由控制，即流程将根据业务条件自动分支或跳转到不同的节点。通过动态路由配置保证了流程的智能化与高度灵活性，能够适配政策申报审批中的复杂的业务场景。</w:t>
            </w:r>
          </w:p>
        </w:tc>
      </w:tr>
      <w:tr w14:paraId="2294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26B83093">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930A646">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DD9D7F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专项资金项目申报流程自定义管理-流程权限与角色管理</w:t>
            </w:r>
          </w:p>
        </w:tc>
        <w:tc>
          <w:tcPr>
            <w:tcW w:w="2691" w:type="pct"/>
            <w:shd w:val="clear" w:color="auto" w:fill="auto"/>
            <w:vAlign w:val="center"/>
          </w:tcPr>
          <w:p w14:paraId="1F0CD32D">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流程发起权限与操作权限管理:流程自定义系统允许管理员配置流程的发起权限，包括特定用户、角色可以看到流程入口并发起实例。支持按用户、角色、组织树、表单字段（如表单内选择的“申请类型”）进行条件授权。系统还支持流程执行过程中的权限控制，例如：某些节点只允许业务部门负责人审批，或只有财务角色可见资金拨付明细字段。通过角色与权限的灵活控制，系统可实现高安全性、高可控性的流程权限管理，保障数据和业务流程的规范执行。</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节点字段权限与可见性控制:在流程执行过程中，用户对于表单的操作权限可以依据节点进行精细控制。系统支持在每个节点配置字段的显示权限（可见、隐藏）、操作权限（只读、可编辑、必填）及校验规则。权限支持静态配置和动态表达式配置（如当“资金拨付金额＞50000元”时，强制“拨付明细”字段为必填）。该机制保证了用户在每个环节只能看到和处理与其职责相关的内容，防止误操作或信息泄露，也让表单在流程中表现出高度的动态适应性，真正实现“不同节点、不同视图、不同规则”。</w:t>
            </w:r>
          </w:p>
        </w:tc>
      </w:tr>
      <w:tr w14:paraId="4A06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3E07913E">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3B37095E">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A47D14F">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专项资金项目申报流程自定义管理-流程逻辑与规则管理</w:t>
            </w:r>
          </w:p>
        </w:tc>
        <w:tc>
          <w:tcPr>
            <w:tcW w:w="2691" w:type="pct"/>
            <w:shd w:val="clear" w:color="auto" w:fill="auto"/>
            <w:vAlign w:val="center"/>
          </w:tcPr>
          <w:p w14:paraId="138AD6D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条件判断与流程分支配置:系统支持图形化配置流程条件分支逻辑。用户可通过条件表达式（如表单字段值、流程变量、用户角色等）设置流程走向，实现“内贸政策项目审批由外贸发展处审批”等条件控制逻辑。系统内置条件编辑器，支持与表单数据联动，通过下拉选择和表达式构建器快速定义规则，避免用户编写复杂代码。多个条件可以组合成复合逻辑，也支持优先级和默认分支配置，确保流程能在任何情况下正确运行。通过灵活的流程分支，系统能自动适配多种业务路径与流程模式。</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自定义操作与流程跳转机制:系统提供在流程节点中配置“自定义按钮”的功能，用户可定义流程节点除“同意/驳回”外的操作，如“加签”、“转审”、“退回指定节点”、“修改后提交”等。每个操作按钮都可绑定流程跳转规则与表单操作逻辑。流程跳转机制还支持“流程暂停”、“流程中止”等状态控制，充分满足灵活应急处理、复杂审批路径调整等业务场景。</w:t>
            </w:r>
          </w:p>
        </w:tc>
      </w:tr>
      <w:tr w14:paraId="0A6D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7445E2AC">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3D6166F">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1069423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专项资金项目申报流程自定义管理-流程版本与发布</w:t>
            </w:r>
          </w:p>
        </w:tc>
        <w:tc>
          <w:tcPr>
            <w:tcW w:w="2691" w:type="pct"/>
            <w:shd w:val="clear" w:color="auto" w:fill="auto"/>
            <w:vAlign w:val="center"/>
          </w:tcPr>
          <w:p w14:paraId="0A35170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流程版本管理:系统支持对每一条流程配置进行版本管理，每次修改后保存为新版本。用户可以在同一个流程下管理多个历史版本，并可一键回滚、复制、对比不同版本的差异，避免因误改造成流程异常。</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流程发布管理:流程设计完毕后，可进行流程发布操作，只有标记为“已发布”的流程版本才可被正式使用，从而确保流程变更的可控性与上线安全性。</w:t>
            </w:r>
          </w:p>
        </w:tc>
      </w:tr>
      <w:tr w14:paraId="50F3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9865275">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07FDE353">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6B31FB0">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专项资金项目申报流程自定义管理-流程通知与消息管理</w:t>
            </w:r>
          </w:p>
        </w:tc>
        <w:tc>
          <w:tcPr>
            <w:tcW w:w="2691" w:type="pct"/>
            <w:shd w:val="clear" w:color="auto" w:fill="auto"/>
            <w:vAlign w:val="center"/>
          </w:tcPr>
          <w:p w14:paraId="4B64A4F5">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审批提醒与待办推送:系统提供完善的消息通知机制，确保流程中关键事件可及时传达至相关人员。每个流程节点可配置触发通知的场景（如节点开始、审批完成、退回、超时等），并选择通知方式（系统消息）。系统还支持按照流程的“待办任务”列表模块，自动收集用户需处理的流程实例，支持按优先级、到期时间排序，并支持一键跳转至处理界面。</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逾期提醒与流程催办推送:为确保流程高效运行，系统内置“逾期提醒机制”。管理员可针对流程整体或单个节点设置处理时限（如48小时内必须处理），并配置催办规则。催办方式包括自动系统催办（如每日提醒一次）、上级催办、节点负责人主动催办等。逾期提醒机制可有效防止流程阻塞与“踢皮球”现象，保障业务持续推进。</w:t>
            </w:r>
          </w:p>
        </w:tc>
      </w:tr>
      <w:tr w14:paraId="1449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09B567BA">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5524A042">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083BFCC7">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专项资金项目申报流程自定义管理-流程审核意见库管理</w:t>
            </w:r>
          </w:p>
        </w:tc>
        <w:tc>
          <w:tcPr>
            <w:tcW w:w="2691" w:type="pct"/>
            <w:shd w:val="clear" w:color="auto" w:fill="auto"/>
            <w:vAlign w:val="center"/>
          </w:tcPr>
          <w:p w14:paraId="20552F94">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审核意见模板库管理:系统提供统一的“审核意见模板库”管理功能，允许管理员根据业务类型、流程节点、角色类别等分类维护常用的审批意见模板。每条意见模板可以配置名称、适用节点、适用角色、意见内容、是否默认显示等属性。支持多级分类，如“政策申请流程-业务专管员节点”、“政策申请流程-财务审核节点”等。用户在实际审批时可通过下拉选择快速引用模板，提升审批效率，避免频繁重复输入。同时流程审核时也支持配置“默认意见”，在用户无修改时可自动填充，提高流程节点处理速度，并提升审批记录规范性。</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个人审核意见管理:系统支持用户自行维护其“个人常用审核意见”，独立于全局模板库，满足个性化审批语境的需求。用户可在审批时将当前输入的意见一键“保存为常用意见”，并支持在个人设置中编辑、删除、排序自己的意见集合。在后续审批中，系统将在输入框提供常用意见快捷选择菜单，点击即可插入，避免重复书写。个人快捷意见与模板库相辅相成，既提供组织统一意见标准，又允许用户根据实际业务灵活操作，增强系统的易用性与智能性。</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审批意见内容规范管理:为确保流程中审批意见内容的规范性与安全性，系统提供“审批意见内容过滤与校验”功能。管理员可配置敏感词库、禁用词库、关键字提醒规则等，例如限制使用“已处理完毕”等模糊用语，或禁止输入不文明语言。系统可在用户提交审批意见时进行实时检测，对包含敏感词的意见予以提示、要求修改或直接禁止提交。此外，支持配置意见字数上限、禁止粘贴图片/外部链接等限制，提升意见质量。该机制能有效避免不当内容进入流程记录，同时保证审批文档合规、审计可查。</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审批意见嵌入打印模板与归档:在流程归档、流程打印或提交等场景下，系统支持将审批意见内容自动嵌入打印模板中，形成统一格式的审批流程报告。用户可选择是否展示所有节点意见、仅展示有修改意见的节点、是否展示意见时间与人员信息等格式参数，提升打印灵活性与排版美观。</w:t>
            </w:r>
          </w:p>
        </w:tc>
      </w:tr>
      <w:tr w14:paraId="228E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1D1A24FC">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42A26395">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47A5BE3A">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专项资金项目数据看板-专项资金项目总体数据/申报企业数据/政策数据看板</w:t>
            </w:r>
          </w:p>
        </w:tc>
        <w:tc>
          <w:tcPr>
            <w:tcW w:w="2691" w:type="pct"/>
            <w:shd w:val="clear" w:color="auto" w:fill="auto"/>
            <w:vAlign w:val="center"/>
          </w:tcPr>
          <w:p w14:paraId="71F26F56">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总体数据看板通过图表、仪表盘等多种形式呈现总体关键数据指标的实时数据动态，如：各类政策发布情况、资金分配情况、企业申报情况、审批情况、资金拨付情况等各业务版块的关键指标数据，并可按年度/月度维度灵活切换查看，全面提升商务委对政策开展情况的宏观掌控与精细化治理能力。</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从总体数据看板的企业申报情况可下钻至企业申报数据看板，对企业申报数据的关键数据指标进行实时查看。如：总体企业申报情况、各类政策申报情况、企业审批通过情况、审批风险预警数量等。</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从总体数据看板的政策发布情况可下钻至政策数据看板，围绕商委发布的各项政策，按照行业分类、政策方向（如外贸、内贸等）、申报对象、申报条件、资金额度、实施周期、企业申报情况、政策资金执行情况等形成全面的政策数据看板。</w:t>
            </w:r>
          </w:p>
        </w:tc>
      </w:tr>
      <w:tr w14:paraId="5B0A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jc w:val="center"/>
        </w:trPr>
        <w:tc>
          <w:tcPr>
            <w:tcW w:w="385" w:type="pct"/>
            <w:shd w:val="clear" w:color="auto" w:fill="auto"/>
            <w:vAlign w:val="center"/>
          </w:tcPr>
          <w:p w14:paraId="4A2D8226">
            <w:pPr>
              <w:pStyle w:val="61"/>
              <w:widowControl/>
              <w:numPr>
                <w:ilvl w:val="0"/>
                <w:numId w:val="4"/>
              </w:numPr>
              <w:spacing w:line="240" w:lineRule="auto"/>
              <w:ind w:left="660" w:leftChars="0" w:hanging="526" w:firstLineChars="0"/>
              <w:jc w:val="center"/>
              <w:rPr>
                <w:rFonts w:cs="Tahoma" w:asciiTheme="minorEastAsia" w:hAnsiTheme="minorEastAsia" w:eastAsiaTheme="minorEastAsia"/>
                <w:color w:val="000000"/>
                <w:kern w:val="0"/>
                <w:szCs w:val="21"/>
                <w:highlight w:val="none"/>
              </w:rPr>
            </w:pPr>
          </w:p>
        </w:tc>
        <w:tc>
          <w:tcPr>
            <w:tcW w:w="477" w:type="pct"/>
            <w:vMerge w:val="continue"/>
            <w:shd w:val="clear" w:color="auto" w:fill="auto"/>
            <w:vAlign w:val="center"/>
          </w:tcPr>
          <w:p w14:paraId="29A8E2D9">
            <w:pPr>
              <w:widowControl/>
              <w:spacing w:line="240" w:lineRule="auto"/>
              <w:ind w:firstLine="0" w:firstLineChars="0"/>
              <w:jc w:val="center"/>
              <w:rPr>
                <w:rFonts w:ascii="Tahoma" w:hAnsi="Tahoma" w:cs="Tahoma"/>
                <w:color w:val="000000"/>
                <w:kern w:val="0"/>
                <w:sz w:val="22"/>
                <w:szCs w:val="22"/>
                <w:highlight w:val="none"/>
              </w:rPr>
            </w:pPr>
          </w:p>
        </w:tc>
        <w:tc>
          <w:tcPr>
            <w:tcW w:w="1444" w:type="pct"/>
            <w:shd w:val="clear" w:color="auto" w:fill="auto"/>
            <w:vAlign w:val="center"/>
          </w:tcPr>
          <w:p w14:paraId="6A24DEEC">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查询分析管理</w:t>
            </w:r>
          </w:p>
        </w:tc>
        <w:tc>
          <w:tcPr>
            <w:tcW w:w="2691" w:type="pct"/>
            <w:shd w:val="clear" w:color="auto" w:fill="auto"/>
            <w:vAlign w:val="center"/>
          </w:tcPr>
          <w:p w14:paraId="483823B1">
            <w:pPr>
              <w:widowControl/>
              <w:spacing w:line="240" w:lineRule="auto"/>
              <w:ind w:firstLine="0" w:firstLineChars="0"/>
              <w:jc w:val="both"/>
              <w:rPr>
                <w:rFonts w:cs="Tahoma" w:asciiTheme="minorEastAsia" w:hAnsiTheme="minorEastAsia" w:eastAsiaTheme="minorEastAsia"/>
                <w:color w:val="000000"/>
                <w:kern w:val="0"/>
                <w:sz w:val="21"/>
                <w:szCs w:val="21"/>
                <w:highlight w:val="none"/>
              </w:rPr>
            </w:pPr>
            <w:r>
              <w:rPr>
                <w:rFonts w:hint="eastAsia" w:cs="Tahoma" w:asciiTheme="minorEastAsia" w:hAnsiTheme="minorEastAsia" w:eastAsiaTheme="minorEastAsia"/>
                <w:color w:val="000000"/>
                <w:kern w:val="0"/>
                <w:sz w:val="21"/>
                <w:szCs w:val="21"/>
                <w:highlight w:val="none"/>
              </w:rPr>
              <w:t>政策申报情况查询:可以按政策、按项目、按企业对政策的申报情况进行查询与分析。</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企业申请审批进度查询:可以按政策、按项目、按企业对企业申请的审批进度进行查询与分析。</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企业资金拨付进度查询:可以按政策、按项目、按企业对企业资金的拨付进行查询与分析，包括政策名称、企业名称、拨付金额、拨付时间、资金拨付进度（审核中、已拨付、已回单）。</w:t>
            </w:r>
            <w:r>
              <w:rPr>
                <w:rFonts w:hint="eastAsia" w:cs="Tahoma" w:asciiTheme="minorEastAsia" w:hAnsiTheme="minorEastAsia" w:eastAsiaTheme="minorEastAsia"/>
                <w:color w:val="000000"/>
                <w:kern w:val="0"/>
                <w:sz w:val="21"/>
                <w:szCs w:val="21"/>
                <w:highlight w:val="none"/>
              </w:rPr>
              <w:br w:type="textWrapping"/>
            </w:r>
            <w:r>
              <w:rPr>
                <w:rFonts w:hint="eastAsia" w:cs="Tahoma" w:asciiTheme="minorEastAsia" w:hAnsiTheme="minorEastAsia" w:eastAsiaTheme="minorEastAsia"/>
                <w:color w:val="000000"/>
                <w:kern w:val="0"/>
                <w:sz w:val="21"/>
                <w:szCs w:val="21"/>
                <w:highlight w:val="none"/>
              </w:rPr>
              <w:t>政策资金预算执行情况查询:可以按类型、按政策、按项目对商委政策资金的预算执行情况进行查询与分析，包括政策名称、资金预算、资金使用情况、剩余资金情况等。</w:t>
            </w:r>
          </w:p>
        </w:tc>
      </w:tr>
    </w:tbl>
    <w:p w14:paraId="78D7BE29">
      <w:pPr>
        <w:rPr>
          <w:highlight w:val="none"/>
        </w:rPr>
      </w:pPr>
    </w:p>
    <w:p w14:paraId="7135B1C4">
      <w:pPr>
        <w:pStyle w:val="2"/>
        <w:rPr>
          <w:highlight w:val="none"/>
        </w:rPr>
      </w:pPr>
      <w:bookmarkStart w:id="17" w:name="_Toc63785503"/>
      <w:r>
        <w:rPr>
          <w:rFonts w:hint="eastAsia"/>
          <w:highlight w:val="none"/>
        </w:rPr>
        <w:t>其他工作要求</w:t>
      </w:r>
      <w:bookmarkEnd w:id="17"/>
    </w:p>
    <w:p w14:paraId="276C8A15">
      <w:pPr>
        <w:pStyle w:val="3"/>
        <w:rPr>
          <w:highlight w:val="none"/>
        </w:rPr>
      </w:pPr>
      <w:bookmarkStart w:id="18" w:name="_Toc63585480"/>
      <w:bookmarkEnd w:id="18"/>
      <w:bookmarkStart w:id="19" w:name="_Toc63785504"/>
      <w:bookmarkEnd w:id="19"/>
      <w:bookmarkStart w:id="20" w:name="_Toc62219358"/>
      <w:bookmarkEnd w:id="20"/>
      <w:bookmarkStart w:id="21" w:name="_Toc62209488"/>
      <w:bookmarkEnd w:id="21"/>
      <w:bookmarkStart w:id="22" w:name="_Toc63785439"/>
      <w:bookmarkEnd w:id="22"/>
      <w:bookmarkStart w:id="23" w:name="_Toc61968111"/>
      <w:bookmarkEnd w:id="23"/>
      <w:bookmarkStart w:id="24" w:name="_Toc63151871"/>
      <w:bookmarkEnd w:id="24"/>
      <w:bookmarkStart w:id="25" w:name="_Toc63762370"/>
      <w:bookmarkEnd w:id="25"/>
      <w:bookmarkStart w:id="26" w:name="_Toc63785505"/>
      <w:r>
        <w:rPr>
          <w:rFonts w:hint="eastAsia"/>
          <w:highlight w:val="none"/>
        </w:rPr>
        <w:t>售后服务要求</w:t>
      </w:r>
      <w:bookmarkEnd w:id="26"/>
    </w:p>
    <w:p w14:paraId="0C24B149">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本项目从系统验收通过之日起1年内提供</w:t>
      </w:r>
      <w:r>
        <w:rPr>
          <w:rFonts w:ascii="宋体" w:hAnsi="宋体"/>
          <w:sz w:val="24"/>
          <w:szCs w:val="24"/>
          <w:highlight w:val="none"/>
        </w:rPr>
        <w:t>7*24小时免费技术支持</w:t>
      </w:r>
      <w:r>
        <w:rPr>
          <w:rFonts w:hint="eastAsia" w:ascii="宋体" w:hAnsi="宋体"/>
          <w:sz w:val="24"/>
          <w:szCs w:val="24"/>
          <w:highlight w:val="none"/>
        </w:rPr>
        <w:t>和售后服务，1年后进入有偿维护期。</w:t>
      </w:r>
    </w:p>
    <w:p w14:paraId="2F57B158">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在质量保证期内，供应商将按照售后服务的承诺提供保修和运行维护服务，如果厂商对信息系统中软件设备等产品中的部分保修期超过上述期限的，则按照厂商的规定进行免费保修。</w:t>
      </w:r>
    </w:p>
    <w:p w14:paraId="7C6A6621">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在质量保证期内，供应商负责信息系统的运行维护工作，确保信息系统安全、稳定、可靠地运行。本项目涉及的运行维护工作范围为：基础能力建设、标准化通办管理、财政专项资金管理。</w:t>
      </w:r>
    </w:p>
    <w:p w14:paraId="7B6C91A5">
      <w:pPr>
        <w:pStyle w:val="3"/>
        <w:rPr>
          <w:highlight w:val="none"/>
        </w:rPr>
      </w:pPr>
      <w:bookmarkStart w:id="27" w:name="_Toc63785506"/>
      <w:r>
        <w:rPr>
          <w:rFonts w:hint="eastAsia"/>
          <w:highlight w:val="none"/>
        </w:rPr>
        <w:t>应急响应要求</w:t>
      </w:r>
      <w:bookmarkEnd w:id="27"/>
    </w:p>
    <w:p w14:paraId="16271FF7">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14:paraId="27DE56D6">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具体故障级别及对应的应急响应要求如下：</w:t>
      </w:r>
    </w:p>
    <w:p w14:paraId="3FC73F06">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14:paraId="5162EA9C">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14:paraId="4FAE3949">
      <w:pPr>
        <w:pStyle w:val="106"/>
        <w:snapToGrid w:val="0"/>
        <w:spacing w:line="360" w:lineRule="auto"/>
        <w:ind w:firstLine="480"/>
        <w:rPr>
          <w:rFonts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p>
    <w:p w14:paraId="63F291E2">
      <w:pPr>
        <w:spacing w:line="600" w:lineRule="exact"/>
        <w:rPr>
          <w:highlight w:val="none"/>
        </w:rPr>
      </w:pPr>
      <w:r>
        <w:rPr>
          <w:rFonts w:hint="eastAsia"/>
          <w:highlight w:val="none"/>
        </w:rPr>
        <w:t>依据故障时间及故障范围划分故障级别，故障级别分为四级，依次为Ⅰ级（紧急）、Ⅱ级（严重）、Ⅲ级（较大）和Ⅳ级（一般），分别定义如下：</w:t>
      </w:r>
    </w:p>
    <w:p w14:paraId="11327460">
      <w:pPr>
        <w:spacing w:line="600" w:lineRule="exact"/>
        <w:rPr>
          <w:highlight w:val="none"/>
        </w:rPr>
      </w:pPr>
      <w:r>
        <w:rPr>
          <w:rFonts w:hint="eastAsia"/>
          <w:highlight w:val="none"/>
        </w:rPr>
        <w:t>Ⅰ级（紧急）故障为工作时间段（8:30——17:30）内大范围故障；</w:t>
      </w:r>
    </w:p>
    <w:p w14:paraId="2D8562E1">
      <w:pPr>
        <w:spacing w:line="600" w:lineRule="exact"/>
        <w:rPr>
          <w:highlight w:val="none"/>
        </w:rPr>
      </w:pPr>
      <w:r>
        <w:rPr>
          <w:rFonts w:hint="eastAsia"/>
          <w:highlight w:val="none"/>
        </w:rPr>
        <w:t>Ⅱ级（严重）故障为非工作时间段（17:30——次日8:30）内大范围故障；</w:t>
      </w:r>
    </w:p>
    <w:p w14:paraId="3913F8A4">
      <w:pPr>
        <w:spacing w:line="600" w:lineRule="exact"/>
        <w:rPr>
          <w:highlight w:val="none"/>
        </w:rPr>
      </w:pPr>
      <w:r>
        <w:rPr>
          <w:rFonts w:hint="eastAsia"/>
          <w:highlight w:val="none"/>
        </w:rPr>
        <w:t>Ⅲ级（较大）故障为工作时间段（8:30——17:30）内小范围故障；</w:t>
      </w:r>
    </w:p>
    <w:p w14:paraId="029FB00F">
      <w:pPr>
        <w:spacing w:line="600" w:lineRule="exact"/>
        <w:rPr>
          <w:highlight w:val="none"/>
        </w:rPr>
      </w:pPr>
      <w:r>
        <w:rPr>
          <w:rFonts w:hint="eastAsia"/>
          <w:highlight w:val="none"/>
        </w:rPr>
        <w:t>Ⅳ级（一般）故障为非工作时间段（17:30——次日8:30）内小范围故障；</w:t>
      </w:r>
    </w:p>
    <w:p w14:paraId="588181E7">
      <w:pPr>
        <w:pStyle w:val="3"/>
        <w:ind w:firstLine="0"/>
        <w:rPr>
          <w:highlight w:val="none"/>
        </w:rPr>
      </w:pPr>
      <w:r>
        <w:rPr>
          <w:rFonts w:hint="eastAsia"/>
          <w:highlight w:val="none"/>
        </w:rPr>
        <w:t>网络与数据安全</w:t>
      </w:r>
    </w:p>
    <w:p w14:paraId="0835EA2A">
      <w:pPr>
        <w:rPr>
          <w:highlight w:val="none"/>
        </w:rPr>
      </w:pPr>
      <w:r>
        <w:rPr>
          <w:rFonts w:hint="eastAsia"/>
          <w:highlight w:val="none"/>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631EB0FC">
      <w:pPr>
        <w:rPr>
          <w:highlight w:val="none"/>
        </w:rPr>
      </w:pPr>
      <w:r>
        <w:rPr>
          <w:rFonts w:hint="eastAsia"/>
          <w:highlight w:val="none"/>
        </w:rPr>
        <w:t>(2)供应商应配合采购人开展相关安全制度和规范的制定，并根据项目实际，制定项目实施过程安全管理方案。</w:t>
      </w:r>
    </w:p>
    <w:p w14:paraId="6BDC3621">
      <w:pPr>
        <w:rPr>
          <w:highlight w:val="none"/>
        </w:rPr>
      </w:pPr>
      <w:r>
        <w:rPr>
          <w:rFonts w:hint="eastAsia"/>
          <w:highlight w:val="none"/>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0F1B66DA">
      <w:pPr>
        <w:rPr>
          <w:highlight w:val="none"/>
        </w:rPr>
      </w:pPr>
      <w:r>
        <w:rPr>
          <w:rFonts w:hint="eastAsia"/>
          <w:highlight w:val="none"/>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52107C78">
      <w:pPr>
        <w:rPr>
          <w:highlight w:val="none"/>
        </w:rPr>
      </w:pPr>
      <w:r>
        <w:rPr>
          <w:rFonts w:hint="eastAsia"/>
          <w:highlight w:val="none"/>
        </w:rPr>
        <w:t>(5)供应商应在项目实施过程中，按照数据差异化安全防护策略，根据系统需要采取数据加密、数据访问控制、日志记录、流转监测等防护能力及相关管理流程，切实保障数据安全。</w:t>
      </w:r>
    </w:p>
    <w:p w14:paraId="4F07C043">
      <w:pPr>
        <w:rPr>
          <w:highlight w:val="none"/>
        </w:rPr>
      </w:pPr>
      <w:r>
        <w:rPr>
          <w:rFonts w:hint="eastAsia"/>
          <w:highlight w:val="none"/>
        </w:rPr>
        <w:t>(6)供应商应按照采购人场地及人员安全管理制度，加强人员管理，配合采购人落实人员背调、入离场、终端管理、网络限制、数据权限最小化等管控措施。</w:t>
      </w:r>
    </w:p>
    <w:p w14:paraId="29E2DB3A">
      <w:pPr>
        <w:rPr>
          <w:highlight w:val="none"/>
        </w:rPr>
      </w:pPr>
      <w:r>
        <w:rPr>
          <w:rFonts w:hint="eastAsia"/>
          <w:highlight w:val="none"/>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0971BF4F">
      <w:pPr>
        <w:rPr>
          <w:highlight w:val="none"/>
        </w:rPr>
      </w:pPr>
      <w:r>
        <w:rPr>
          <w:rFonts w:hint="eastAsia"/>
          <w:highlight w:val="none"/>
        </w:rPr>
        <w:t>(8)供应商应在系统免维期内承担系统安全运维管理责任，落实安全管理保障措施，包括但不限于制度修订、风险排查、应急响应、漏洞修复、重保等工作。</w:t>
      </w:r>
    </w:p>
    <w:p w14:paraId="541002D7">
      <w:pPr>
        <w:pStyle w:val="106"/>
        <w:snapToGrid w:val="0"/>
        <w:spacing w:line="360" w:lineRule="auto"/>
        <w:ind w:firstLine="480"/>
        <w:rPr>
          <w:rFonts w:hint="eastAsia" w:ascii="宋体" w:hAnsi="宋体"/>
          <w:sz w:val="24"/>
          <w:szCs w:val="24"/>
          <w:highlight w:val="none"/>
        </w:rPr>
      </w:pPr>
    </w:p>
    <w:p w14:paraId="3CCE62FC">
      <w:pPr>
        <w:pStyle w:val="3"/>
        <w:rPr>
          <w:highlight w:val="none"/>
        </w:rPr>
      </w:pPr>
      <w:bookmarkStart w:id="28" w:name="_Toc63785507"/>
      <w:r>
        <w:rPr>
          <w:rFonts w:hint="eastAsia"/>
          <w:highlight w:val="none"/>
        </w:rPr>
        <w:t>培训要求</w:t>
      </w:r>
      <w:bookmarkEnd w:id="28"/>
    </w:p>
    <w:p w14:paraId="48444D3E">
      <w:pPr>
        <w:rPr>
          <w:highlight w:val="none"/>
        </w:rPr>
      </w:pPr>
      <w:r>
        <w:rPr>
          <w:rFonts w:hint="eastAsia"/>
          <w:highlight w:val="none"/>
        </w:rPr>
        <w:t>对系统使用单位提供业务操作培训，应提供详细培训方案。</w:t>
      </w:r>
    </w:p>
    <w:p w14:paraId="3ED148D9">
      <w:pPr>
        <w:rPr>
          <w:highlight w:val="none"/>
        </w:rPr>
      </w:pPr>
      <w:r>
        <w:rPr>
          <w:rFonts w:hint="eastAsia"/>
          <w:highlight w:val="none"/>
        </w:rPr>
        <w:t>(1)在12个月的质量保证期内，提供2次与项目相关的必要培训。</w:t>
      </w:r>
    </w:p>
    <w:p w14:paraId="05EE034E">
      <w:pPr>
        <w:rPr>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14:paraId="250F751B">
      <w:pPr>
        <w:rPr>
          <w:highlight w:val="none"/>
        </w:rPr>
      </w:pPr>
      <w:r>
        <w:rPr>
          <w:rFonts w:hint="eastAsia"/>
          <w:highlight w:val="none"/>
        </w:rPr>
        <w:t>(3)供应商应提供一般用户的基础操作培训和部门信息管理员的日常应用维护的培训，确保用户对象能够掌握对应的操作技能。</w:t>
      </w:r>
    </w:p>
    <w:p w14:paraId="7126FB32">
      <w:pPr>
        <w:pStyle w:val="3"/>
        <w:rPr>
          <w:highlight w:val="none"/>
        </w:rPr>
      </w:pPr>
      <w:bookmarkStart w:id="29" w:name="_Toc63785508"/>
      <w:r>
        <w:rPr>
          <w:rFonts w:hint="eastAsia"/>
          <w:highlight w:val="none"/>
        </w:rPr>
        <w:t>验收要求</w:t>
      </w:r>
      <w:bookmarkEnd w:id="29"/>
    </w:p>
    <w:p w14:paraId="55CB7899">
      <w:pPr>
        <w:rPr>
          <w:rFonts w:hint="eastAsia"/>
          <w:highlight w:val="none"/>
        </w:rPr>
      </w:pPr>
      <w:r>
        <w:rPr>
          <w:rFonts w:hint="eastAsia"/>
          <w:highlight w:val="none"/>
        </w:rPr>
        <w:t>关于本项目的验收:</w:t>
      </w:r>
    </w:p>
    <w:p w14:paraId="5A566E55">
      <w:pPr>
        <w:rPr>
          <w:rFonts w:hint="eastAsia"/>
          <w:highlight w:val="none"/>
        </w:rPr>
      </w:pPr>
      <w:r>
        <w:rPr>
          <w:rFonts w:hint="eastAsia"/>
          <w:highlight w:val="none"/>
        </w:rPr>
        <w:t>供应商须完成软件开发和信息系统的调试等，并对本项目进行功能和运行检测，确保所有信息系统功能模块能够正常运行且已达到本项目                                                                                                                                                                                                                                                                                                                                                                                                                                                                                                                                                                                                                                                                                                                                                                                                                                                                                                                                                                                                                                                                                                                                                                                                                                                                                                                                                                                                                                                                                                                                                                                                                                                                                                                                                                                                                                                                                                                                                                                                                                                                                                                                                                                                                                                                                                                                                                                                                                                                                                                                                                                                                                                                                                                                                                                                                                                                                                                                                                                                                                                                                                                                                                                                                                                                                                                                                                                                                                                                                                                                                                                                                                                                                                                                                                                                                                                                                                 约定的各类标准要求;</w:t>
      </w:r>
    </w:p>
    <w:p w14:paraId="28C795E6">
      <w:pPr>
        <w:rPr>
          <w:rFonts w:hint="eastAsia"/>
          <w:highlight w:val="none"/>
        </w:rPr>
      </w:pPr>
      <w:r>
        <w:rPr>
          <w:rFonts w:hint="eastAsia"/>
          <w:highlight w:val="none"/>
        </w:rPr>
        <w:t>供应商还应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w:t>
      </w:r>
    </w:p>
    <w:p w14:paraId="71FC96D7">
      <w:pPr>
        <w:rPr>
          <w:rFonts w:hint="eastAsia"/>
          <w:highlight w:val="none"/>
        </w:rPr>
      </w:pPr>
      <w:r>
        <w:rPr>
          <w:rFonts w:hint="eastAsia"/>
          <w:highlight w:val="none"/>
        </w:rPr>
        <w:t>采购人享有供应商免费提供的 30 天的信息系统试运行现场驻场服务期。该期间内，供应商应当按照采购人的要求提供现场技术支持服务，解决信息系统试运行期间可能出现的各类问题或进一步提高与完善信息系统运行水平。</w:t>
      </w:r>
    </w:p>
    <w:p w14:paraId="1D8A6BA7">
      <w:pPr>
        <w:rPr>
          <w:rFonts w:hint="eastAsia"/>
          <w:highlight w:val="none"/>
        </w:rPr>
      </w:pPr>
      <w:r>
        <w:rPr>
          <w:rFonts w:hint="eastAsia"/>
          <w:highlight w:val="none"/>
        </w:rPr>
        <w:t>信息系统试运行期已经达到本项目约定的时间，经供应商确认信息系统具备正常运行条件，且信息系统通过运行测试，供应商应以书面形式通知采购人信息系统已准备就绪等待项目验收。采购人在收到验收通知后的 5 个工作日内发起组织专家验收会。</w:t>
      </w:r>
    </w:p>
    <w:p w14:paraId="30B9D785">
      <w:pPr>
        <w:rPr>
          <w:rFonts w:hint="eastAsia"/>
          <w:highlight w:val="none"/>
        </w:rPr>
      </w:pPr>
      <w:r>
        <w:rPr>
          <w:rFonts w:hint="eastAsia"/>
          <w:highlight w:val="none"/>
        </w:rPr>
        <w:t>如果属于供应商原因致使本项目未能通过验收，供应商应当排除缺陷，直至本项目完全符合验收标准，由上述情形而产生的相关费用应由供应商自行承担；</w:t>
      </w:r>
    </w:p>
    <w:p w14:paraId="27624B6B">
      <w:pPr>
        <w:rPr>
          <w:highlight w:val="none"/>
        </w:rPr>
      </w:pPr>
      <w:r>
        <w:rPr>
          <w:rFonts w:hint="eastAsia"/>
          <w:highlight w:val="none"/>
        </w:rPr>
        <w:t>如果由于采购人原因导致本项目在验收通过前出现故障或问题，供应商应及时配合排除该方面的故障或问题。如本项目连续2次验收未通过，采购人有权解除项目，并有权依照本项目约定的违约条款追究供应商的违约责任。</w:t>
      </w:r>
    </w:p>
    <w:p w14:paraId="704348E1">
      <w:pPr>
        <w:pStyle w:val="3"/>
        <w:rPr>
          <w:highlight w:val="none"/>
        </w:rPr>
      </w:pPr>
      <w:bookmarkStart w:id="30" w:name="_Toc63785509"/>
      <w:r>
        <w:rPr>
          <w:rFonts w:hint="eastAsia"/>
          <w:highlight w:val="none"/>
        </w:rPr>
        <w:t>进度要求</w:t>
      </w:r>
      <w:bookmarkEnd w:id="30"/>
    </w:p>
    <w:p w14:paraId="2AB34393">
      <w:pPr>
        <w:rPr>
          <w:highlight w:val="none"/>
        </w:rPr>
      </w:pPr>
      <w:r>
        <w:rPr>
          <w:rFonts w:hint="eastAsia"/>
          <w:highlight w:val="none"/>
          <w:lang w:eastAsia="zh-CN"/>
        </w:rPr>
        <w:t>供应商</w:t>
      </w:r>
      <w:r>
        <w:rPr>
          <w:rFonts w:hint="eastAsia"/>
          <w:highlight w:val="none"/>
        </w:rPr>
        <w:t>应根据建设内容，分阶段制定合理的时间进度，应根据</w:t>
      </w:r>
      <w:r>
        <w:rPr>
          <w:rFonts w:hint="eastAsia"/>
          <w:highlight w:val="none"/>
          <w:lang w:eastAsia="zh-CN"/>
        </w:rPr>
        <w:t>采购</w:t>
      </w:r>
      <w:r>
        <w:rPr>
          <w:rFonts w:hint="eastAsia"/>
          <w:highlight w:val="none"/>
        </w:rPr>
        <w:t>方要求进行调整和细化，并于2026年11月30日前完成项目建设。</w:t>
      </w:r>
    </w:p>
    <w:p w14:paraId="7DBD7457">
      <w:pPr>
        <w:pStyle w:val="3"/>
        <w:rPr>
          <w:highlight w:val="none"/>
        </w:rPr>
      </w:pPr>
      <w:bookmarkStart w:id="31" w:name="_Toc63785510"/>
      <w:r>
        <w:rPr>
          <w:rFonts w:hint="eastAsia"/>
          <w:highlight w:val="none"/>
        </w:rPr>
        <w:t>项目团队及驻场人员要求</w:t>
      </w:r>
      <w:bookmarkEnd w:id="31"/>
    </w:p>
    <w:p w14:paraId="652BDFD1">
      <w:pPr>
        <w:rPr>
          <w:highlight w:val="none"/>
        </w:rPr>
      </w:pPr>
      <w:r>
        <w:rPr>
          <w:highlight w:val="none"/>
        </w:rPr>
        <w:t>1）</w:t>
      </w:r>
      <w:r>
        <w:rPr>
          <w:rFonts w:hint="eastAsia"/>
          <w:highlight w:val="none"/>
          <w:lang w:eastAsia="zh-CN"/>
        </w:rPr>
        <w:t>供应商</w:t>
      </w:r>
      <w:r>
        <w:rPr>
          <w:highlight w:val="none"/>
        </w:rPr>
        <w:t>须具有稳定的在职技术保障力量，能够提供及时的技术支援或服务，应针对本项目提供不少于1</w:t>
      </w:r>
      <w:r>
        <w:rPr>
          <w:rFonts w:hint="eastAsia"/>
          <w:highlight w:val="none"/>
          <w:lang w:val="en-US" w:eastAsia="zh-CN"/>
        </w:rPr>
        <w:t>4</w:t>
      </w:r>
      <w:r>
        <w:rPr>
          <w:highlight w:val="none"/>
        </w:rPr>
        <w:t>人的项目服务团队（包括项目经理、</w:t>
      </w:r>
      <w:r>
        <w:rPr>
          <w:rFonts w:hint="eastAsia"/>
          <w:highlight w:val="none"/>
        </w:rPr>
        <w:t>架构设计</w:t>
      </w:r>
      <w:r>
        <w:rPr>
          <w:highlight w:val="none"/>
        </w:rPr>
        <w:t>、研发等），相关服务人员需具备相应的服务能力，需提供相关证明。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917"/>
        <w:gridCol w:w="1180"/>
        <w:gridCol w:w="2075"/>
        <w:gridCol w:w="1180"/>
      </w:tblGrid>
      <w:tr w14:paraId="315F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2928FE2">
            <w:pPr>
              <w:widowControl/>
              <w:spacing w:line="240" w:lineRule="auto"/>
              <w:ind w:firstLine="0" w:firstLineChars="0"/>
              <w:jc w:val="center"/>
              <w:rPr>
                <w:b/>
                <w:highlight w:val="none"/>
              </w:rPr>
            </w:pPr>
            <w:r>
              <w:rPr>
                <w:rFonts w:hint="eastAsia"/>
                <w:b/>
                <w:highlight w:val="none"/>
              </w:rPr>
              <w:t>角色</w:t>
            </w:r>
          </w:p>
        </w:tc>
        <w:tc>
          <w:tcPr>
            <w:tcW w:w="0" w:type="auto"/>
            <w:shd w:val="clear" w:color="auto" w:fill="auto"/>
            <w:noWrap/>
            <w:vAlign w:val="center"/>
          </w:tcPr>
          <w:p w14:paraId="63B6F232">
            <w:pPr>
              <w:widowControl/>
              <w:spacing w:line="240" w:lineRule="auto"/>
              <w:ind w:firstLine="0" w:firstLineChars="0"/>
              <w:jc w:val="center"/>
              <w:rPr>
                <w:b/>
                <w:highlight w:val="none"/>
              </w:rPr>
            </w:pPr>
            <w:r>
              <w:rPr>
                <w:rFonts w:hint="eastAsia"/>
                <w:b/>
                <w:highlight w:val="none"/>
              </w:rPr>
              <w:t>主要职责</w:t>
            </w:r>
          </w:p>
        </w:tc>
        <w:tc>
          <w:tcPr>
            <w:tcW w:w="0" w:type="auto"/>
            <w:shd w:val="clear" w:color="auto" w:fill="auto"/>
            <w:noWrap/>
            <w:vAlign w:val="center"/>
          </w:tcPr>
          <w:p w14:paraId="351AE1D4">
            <w:pPr>
              <w:widowControl/>
              <w:spacing w:line="240" w:lineRule="auto"/>
              <w:ind w:firstLine="0" w:firstLineChars="0"/>
              <w:jc w:val="center"/>
              <w:rPr>
                <w:b/>
                <w:highlight w:val="none"/>
              </w:rPr>
            </w:pPr>
            <w:r>
              <w:rPr>
                <w:rFonts w:hint="eastAsia"/>
                <w:b/>
                <w:highlight w:val="none"/>
              </w:rPr>
              <w:t>人员数量</w:t>
            </w:r>
          </w:p>
        </w:tc>
        <w:tc>
          <w:tcPr>
            <w:tcW w:w="0" w:type="auto"/>
            <w:vAlign w:val="center"/>
          </w:tcPr>
          <w:p w14:paraId="4CD432E7">
            <w:pPr>
              <w:widowControl/>
              <w:spacing w:line="240" w:lineRule="auto"/>
              <w:ind w:firstLine="0" w:firstLineChars="0"/>
              <w:jc w:val="center"/>
              <w:rPr>
                <w:b/>
                <w:highlight w:val="none"/>
              </w:rPr>
            </w:pPr>
            <w:r>
              <w:rPr>
                <w:rFonts w:hint="eastAsia"/>
                <w:b/>
                <w:highlight w:val="none"/>
              </w:rPr>
              <w:t>人员要求</w:t>
            </w:r>
          </w:p>
        </w:tc>
        <w:tc>
          <w:tcPr>
            <w:tcW w:w="0" w:type="auto"/>
            <w:shd w:val="clear" w:color="auto" w:fill="auto"/>
            <w:noWrap/>
            <w:vAlign w:val="center"/>
          </w:tcPr>
          <w:p w14:paraId="2EF67F38">
            <w:pPr>
              <w:widowControl/>
              <w:spacing w:line="240" w:lineRule="auto"/>
              <w:ind w:firstLine="0" w:firstLineChars="0"/>
              <w:jc w:val="center"/>
              <w:rPr>
                <w:b/>
                <w:highlight w:val="none"/>
              </w:rPr>
            </w:pPr>
            <w:r>
              <w:rPr>
                <w:rFonts w:hint="eastAsia"/>
                <w:b/>
                <w:highlight w:val="none"/>
              </w:rPr>
              <w:t>驻场要求</w:t>
            </w:r>
          </w:p>
        </w:tc>
      </w:tr>
      <w:tr w14:paraId="1DD9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3B64F95">
            <w:pPr>
              <w:widowControl/>
              <w:spacing w:line="240" w:lineRule="auto"/>
              <w:ind w:firstLine="0" w:firstLineChars="0"/>
              <w:jc w:val="center"/>
              <w:rPr>
                <w:highlight w:val="none"/>
              </w:rPr>
            </w:pPr>
            <w:r>
              <w:rPr>
                <w:rFonts w:hint="eastAsia"/>
                <w:highlight w:val="none"/>
              </w:rPr>
              <w:t>项目经理</w:t>
            </w:r>
          </w:p>
        </w:tc>
        <w:tc>
          <w:tcPr>
            <w:tcW w:w="0" w:type="auto"/>
            <w:shd w:val="clear" w:color="auto" w:fill="auto"/>
            <w:vAlign w:val="center"/>
          </w:tcPr>
          <w:p w14:paraId="14327474">
            <w:pPr>
              <w:widowControl/>
              <w:spacing w:line="240" w:lineRule="auto"/>
              <w:ind w:firstLine="0" w:firstLineChars="0"/>
              <w:jc w:val="center"/>
              <w:rPr>
                <w:highlight w:val="none"/>
              </w:rPr>
            </w:pPr>
            <w:r>
              <w:rPr>
                <w:rFonts w:hint="eastAsia"/>
                <w:highlight w:val="none"/>
              </w:rPr>
              <w:t>负责项目质量和进度控制</w:t>
            </w:r>
          </w:p>
        </w:tc>
        <w:tc>
          <w:tcPr>
            <w:tcW w:w="0" w:type="auto"/>
            <w:shd w:val="clear" w:color="auto" w:fill="auto"/>
            <w:noWrap/>
            <w:vAlign w:val="center"/>
          </w:tcPr>
          <w:p w14:paraId="13C019BC">
            <w:pPr>
              <w:widowControl/>
              <w:spacing w:line="240" w:lineRule="auto"/>
              <w:ind w:firstLine="0" w:firstLineChars="0"/>
              <w:jc w:val="center"/>
              <w:rPr>
                <w:highlight w:val="none"/>
              </w:rPr>
            </w:pPr>
            <w:r>
              <w:rPr>
                <w:highlight w:val="none"/>
              </w:rPr>
              <w:t>1</w:t>
            </w:r>
            <w:r>
              <w:rPr>
                <w:rFonts w:hint="eastAsia"/>
                <w:highlight w:val="none"/>
              </w:rPr>
              <w:t>人</w:t>
            </w:r>
          </w:p>
        </w:tc>
        <w:tc>
          <w:tcPr>
            <w:tcW w:w="0" w:type="auto"/>
            <w:vAlign w:val="center"/>
          </w:tcPr>
          <w:p w14:paraId="344AC6C0">
            <w:pPr>
              <w:widowControl/>
              <w:spacing w:line="240" w:lineRule="auto"/>
              <w:ind w:firstLine="0" w:firstLineChars="0"/>
              <w:jc w:val="both"/>
              <w:rPr>
                <w:rFonts w:hint="eastAsia"/>
                <w:highlight w:val="none"/>
              </w:rPr>
            </w:pPr>
            <w:r>
              <w:rPr>
                <w:rFonts w:hint="eastAsia"/>
                <w:highlight w:val="none"/>
              </w:rPr>
              <w:t>本科及以上学历，具备信息系统项目管理师高级证书。类似项目5年以上经历</w:t>
            </w:r>
          </w:p>
        </w:tc>
        <w:tc>
          <w:tcPr>
            <w:tcW w:w="0" w:type="auto"/>
            <w:shd w:val="clear" w:color="auto" w:fill="auto"/>
            <w:noWrap/>
            <w:vAlign w:val="center"/>
          </w:tcPr>
          <w:p w14:paraId="4F875858">
            <w:pPr>
              <w:widowControl/>
              <w:spacing w:line="240" w:lineRule="auto"/>
              <w:ind w:firstLine="0" w:firstLineChars="0"/>
              <w:jc w:val="center"/>
              <w:rPr>
                <w:highlight w:val="none"/>
              </w:rPr>
            </w:pPr>
            <w:r>
              <w:rPr>
                <w:rFonts w:hint="eastAsia"/>
                <w:highlight w:val="none"/>
              </w:rPr>
              <w:t>不驻场</w:t>
            </w:r>
          </w:p>
        </w:tc>
      </w:tr>
      <w:tr w14:paraId="3FD9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EE2DECE">
            <w:pPr>
              <w:widowControl/>
              <w:spacing w:line="240" w:lineRule="auto"/>
              <w:ind w:firstLine="0" w:firstLineChars="0"/>
              <w:jc w:val="center"/>
              <w:rPr>
                <w:highlight w:val="none"/>
              </w:rPr>
            </w:pPr>
            <w:r>
              <w:rPr>
                <w:rFonts w:hint="eastAsia"/>
                <w:highlight w:val="none"/>
              </w:rPr>
              <w:t>架构设计</w:t>
            </w:r>
          </w:p>
        </w:tc>
        <w:tc>
          <w:tcPr>
            <w:tcW w:w="0" w:type="auto"/>
            <w:shd w:val="clear" w:color="auto" w:fill="auto"/>
            <w:vAlign w:val="center"/>
          </w:tcPr>
          <w:p w14:paraId="3D8BC060">
            <w:pPr>
              <w:widowControl/>
              <w:spacing w:line="240" w:lineRule="auto"/>
              <w:ind w:firstLine="0" w:firstLineChars="0"/>
              <w:jc w:val="center"/>
              <w:rPr>
                <w:highlight w:val="none"/>
              </w:rPr>
            </w:pPr>
            <w:r>
              <w:rPr>
                <w:rFonts w:hint="eastAsia"/>
                <w:highlight w:val="none"/>
              </w:rPr>
              <w:t>负责项目需求评估与产品设计</w:t>
            </w:r>
          </w:p>
        </w:tc>
        <w:tc>
          <w:tcPr>
            <w:tcW w:w="0" w:type="auto"/>
            <w:shd w:val="clear" w:color="auto" w:fill="auto"/>
            <w:noWrap/>
            <w:vAlign w:val="center"/>
          </w:tcPr>
          <w:p w14:paraId="7638D1E2">
            <w:pPr>
              <w:widowControl/>
              <w:spacing w:line="240" w:lineRule="auto"/>
              <w:ind w:firstLine="0" w:firstLineChars="0"/>
              <w:jc w:val="center"/>
              <w:rPr>
                <w:highlight w:val="none"/>
              </w:rPr>
            </w:pPr>
            <w:r>
              <w:rPr>
                <w:highlight w:val="none"/>
              </w:rPr>
              <w:t>1</w:t>
            </w:r>
            <w:r>
              <w:rPr>
                <w:rFonts w:hint="eastAsia"/>
                <w:highlight w:val="none"/>
              </w:rPr>
              <w:t>人</w:t>
            </w:r>
          </w:p>
        </w:tc>
        <w:tc>
          <w:tcPr>
            <w:tcW w:w="0" w:type="auto"/>
            <w:vAlign w:val="center"/>
          </w:tcPr>
          <w:p w14:paraId="17AF5F73">
            <w:pPr>
              <w:widowControl/>
              <w:spacing w:line="240" w:lineRule="auto"/>
              <w:ind w:firstLine="0" w:firstLineChars="0"/>
              <w:jc w:val="both"/>
              <w:rPr>
                <w:highlight w:val="none"/>
              </w:rPr>
            </w:pPr>
            <w:r>
              <w:rPr>
                <w:rFonts w:hint="eastAsia"/>
                <w:highlight w:val="none"/>
                <w:lang w:eastAsia="zh-CN"/>
              </w:rPr>
              <w:t>全日制</w:t>
            </w:r>
            <w:bookmarkStart w:id="36" w:name="_GoBack"/>
            <w:bookmarkEnd w:id="36"/>
            <w:r>
              <w:rPr>
                <w:rFonts w:hint="eastAsia"/>
                <w:highlight w:val="none"/>
              </w:rPr>
              <w:t>本科及以上学历，具备系统集成项目管理工程师（中级）或以上的资质证书。类似项目5年以上经历</w:t>
            </w:r>
          </w:p>
        </w:tc>
        <w:tc>
          <w:tcPr>
            <w:tcW w:w="0" w:type="auto"/>
            <w:shd w:val="clear" w:color="auto" w:fill="auto"/>
            <w:noWrap/>
            <w:vAlign w:val="center"/>
          </w:tcPr>
          <w:p w14:paraId="263C849F">
            <w:pPr>
              <w:widowControl/>
              <w:spacing w:line="240" w:lineRule="auto"/>
              <w:ind w:firstLine="0" w:firstLineChars="0"/>
              <w:jc w:val="center"/>
              <w:rPr>
                <w:highlight w:val="none"/>
              </w:rPr>
            </w:pPr>
            <w:r>
              <w:rPr>
                <w:rFonts w:hint="eastAsia"/>
                <w:highlight w:val="none"/>
              </w:rPr>
              <w:t>不驻场</w:t>
            </w:r>
          </w:p>
        </w:tc>
      </w:tr>
      <w:tr w14:paraId="74D3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0A2A9B9">
            <w:pPr>
              <w:widowControl/>
              <w:spacing w:line="240" w:lineRule="auto"/>
              <w:ind w:firstLine="0" w:firstLineChars="0"/>
              <w:jc w:val="center"/>
              <w:rPr>
                <w:highlight w:val="none"/>
              </w:rPr>
            </w:pPr>
            <w:r>
              <w:rPr>
                <w:rFonts w:hint="eastAsia"/>
                <w:highlight w:val="none"/>
              </w:rPr>
              <w:t>研发</w:t>
            </w:r>
          </w:p>
        </w:tc>
        <w:tc>
          <w:tcPr>
            <w:tcW w:w="0" w:type="auto"/>
            <w:shd w:val="clear" w:color="auto" w:fill="auto"/>
            <w:noWrap/>
            <w:vAlign w:val="center"/>
          </w:tcPr>
          <w:p w14:paraId="26BAF7CB">
            <w:pPr>
              <w:widowControl/>
              <w:spacing w:line="240" w:lineRule="auto"/>
              <w:ind w:firstLine="0" w:firstLineChars="0"/>
              <w:jc w:val="center"/>
              <w:rPr>
                <w:highlight w:val="none"/>
              </w:rPr>
            </w:pPr>
            <w:r>
              <w:rPr>
                <w:rFonts w:hint="eastAsia"/>
                <w:highlight w:val="none"/>
              </w:rPr>
              <w:t>负责项目具体开发与实施</w:t>
            </w:r>
          </w:p>
        </w:tc>
        <w:tc>
          <w:tcPr>
            <w:tcW w:w="0" w:type="auto"/>
            <w:shd w:val="clear" w:color="auto" w:fill="auto"/>
            <w:noWrap/>
            <w:vAlign w:val="center"/>
          </w:tcPr>
          <w:p w14:paraId="37B1DD3D">
            <w:pPr>
              <w:widowControl/>
              <w:spacing w:line="240" w:lineRule="auto"/>
              <w:ind w:firstLine="0" w:firstLineChars="0"/>
              <w:jc w:val="center"/>
              <w:rPr>
                <w:highlight w:val="none"/>
              </w:rPr>
            </w:pPr>
            <w:r>
              <w:rPr>
                <w:rFonts w:hint="eastAsia"/>
                <w:highlight w:val="none"/>
                <w:lang w:val="en-US" w:eastAsia="zh-CN"/>
              </w:rPr>
              <w:t>12</w:t>
            </w:r>
            <w:r>
              <w:rPr>
                <w:rFonts w:hint="eastAsia"/>
                <w:highlight w:val="none"/>
              </w:rPr>
              <w:t>人</w:t>
            </w:r>
          </w:p>
        </w:tc>
        <w:tc>
          <w:tcPr>
            <w:tcW w:w="0" w:type="auto"/>
            <w:vAlign w:val="center"/>
          </w:tcPr>
          <w:p w14:paraId="2D75C6E0">
            <w:pPr>
              <w:widowControl/>
              <w:spacing w:line="240" w:lineRule="auto"/>
              <w:ind w:firstLine="0" w:firstLineChars="0"/>
              <w:jc w:val="both"/>
              <w:rPr>
                <w:highlight w:val="none"/>
              </w:rPr>
            </w:pPr>
            <w:r>
              <w:rPr>
                <w:rFonts w:hint="eastAsia"/>
                <w:highlight w:val="none"/>
              </w:rPr>
              <w:t>本科及以上学历，类似项目</w:t>
            </w:r>
            <w:r>
              <w:rPr>
                <w:rFonts w:hint="eastAsia"/>
                <w:highlight w:val="none"/>
                <w:lang w:val="en-US" w:eastAsia="zh-CN"/>
              </w:rPr>
              <w:t>经历</w:t>
            </w:r>
          </w:p>
        </w:tc>
        <w:tc>
          <w:tcPr>
            <w:tcW w:w="0" w:type="auto"/>
            <w:shd w:val="clear" w:color="auto" w:fill="auto"/>
            <w:noWrap/>
            <w:vAlign w:val="center"/>
          </w:tcPr>
          <w:p w14:paraId="32C8A1D7">
            <w:pPr>
              <w:widowControl/>
              <w:spacing w:line="240" w:lineRule="auto"/>
              <w:ind w:firstLine="0" w:firstLineChars="0"/>
              <w:jc w:val="center"/>
              <w:rPr>
                <w:highlight w:val="none"/>
              </w:rPr>
            </w:pPr>
            <w:r>
              <w:rPr>
                <w:rFonts w:hint="eastAsia"/>
                <w:highlight w:val="none"/>
              </w:rPr>
              <w:t>不驻场</w:t>
            </w:r>
          </w:p>
        </w:tc>
      </w:tr>
    </w:tbl>
    <w:p w14:paraId="7361AA29">
      <w:pPr>
        <w:rPr>
          <w:highlight w:val="none"/>
        </w:rPr>
      </w:pPr>
      <w:r>
        <w:rPr>
          <w:highlight w:val="none"/>
        </w:rPr>
        <w:t>2）</w:t>
      </w:r>
      <w:r>
        <w:rPr>
          <w:rFonts w:hint="eastAsia"/>
          <w:highlight w:val="none"/>
          <w:lang w:eastAsia="zh-CN"/>
        </w:rPr>
        <w:t>供应商</w:t>
      </w:r>
      <w:r>
        <w:rPr>
          <w:highlight w:val="none"/>
        </w:rPr>
        <w:t>应针对本项目提供不少于</w:t>
      </w:r>
      <w:r>
        <w:rPr>
          <w:rFonts w:hint="eastAsia"/>
          <w:highlight w:val="none"/>
          <w:lang w:val="en-US" w:eastAsia="zh-CN"/>
        </w:rPr>
        <w:t>4</w:t>
      </w:r>
      <w:r>
        <w:rPr>
          <w:highlight w:val="none"/>
        </w:rPr>
        <w:t>人的质保期间支撑团队（其中技术经理1人，技术工程师不少于</w:t>
      </w:r>
      <w:r>
        <w:rPr>
          <w:rFonts w:hint="eastAsia"/>
          <w:highlight w:val="none"/>
          <w:lang w:val="en-US" w:eastAsia="zh-CN"/>
        </w:rPr>
        <w:t>3</w:t>
      </w:r>
      <w:r>
        <w:rPr>
          <w:highlight w:val="none"/>
        </w:rPr>
        <w:t>人）；</w:t>
      </w:r>
      <w:r>
        <w:rPr>
          <w:rFonts w:hint="eastAsia"/>
          <w:highlight w:val="none"/>
          <w:lang w:eastAsia="zh-CN"/>
        </w:rPr>
        <w:t>供应商</w:t>
      </w:r>
      <w:r>
        <w:rPr>
          <w:highlight w:val="none"/>
        </w:rP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292"/>
        <w:gridCol w:w="1180"/>
        <w:gridCol w:w="2460"/>
        <w:gridCol w:w="1180"/>
      </w:tblGrid>
      <w:tr w14:paraId="5BC8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AC14A36">
            <w:pPr>
              <w:widowControl/>
              <w:spacing w:line="240" w:lineRule="auto"/>
              <w:ind w:firstLine="0" w:firstLineChars="0"/>
              <w:jc w:val="center"/>
              <w:rPr>
                <w:b/>
                <w:highlight w:val="none"/>
              </w:rPr>
            </w:pPr>
            <w:r>
              <w:rPr>
                <w:rFonts w:hint="eastAsia"/>
                <w:b/>
                <w:highlight w:val="none"/>
              </w:rPr>
              <w:t>角色</w:t>
            </w:r>
          </w:p>
        </w:tc>
        <w:tc>
          <w:tcPr>
            <w:tcW w:w="0" w:type="auto"/>
            <w:shd w:val="clear" w:color="auto" w:fill="auto"/>
            <w:noWrap/>
            <w:vAlign w:val="center"/>
          </w:tcPr>
          <w:p w14:paraId="22FDFC05">
            <w:pPr>
              <w:widowControl/>
              <w:spacing w:line="240" w:lineRule="auto"/>
              <w:ind w:firstLine="0" w:firstLineChars="0"/>
              <w:jc w:val="center"/>
              <w:rPr>
                <w:b/>
                <w:highlight w:val="none"/>
              </w:rPr>
            </w:pPr>
            <w:r>
              <w:rPr>
                <w:rFonts w:hint="eastAsia"/>
                <w:b/>
                <w:highlight w:val="none"/>
              </w:rPr>
              <w:t>主要职责</w:t>
            </w:r>
          </w:p>
        </w:tc>
        <w:tc>
          <w:tcPr>
            <w:tcW w:w="0" w:type="auto"/>
            <w:shd w:val="clear" w:color="auto" w:fill="auto"/>
            <w:noWrap/>
            <w:vAlign w:val="center"/>
          </w:tcPr>
          <w:p w14:paraId="0D24CA7F">
            <w:pPr>
              <w:widowControl/>
              <w:spacing w:line="240" w:lineRule="auto"/>
              <w:ind w:firstLine="0" w:firstLineChars="0"/>
              <w:jc w:val="center"/>
              <w:rPr>
                <w:b/>
                <w:highlight w:val="none"/>
              </w:rPr>
            </w:pPr>
            <w:r>
              <w:rPr>
                <w:rFonts w:hint="eastAsia"/>
                <w:b/>
                <w:highlight w:val="none"/>
              </w:rPr>
              <w:t>人员数量</w:t>
            </w:r>
          </w:p>
        </w:tc>
        <w:tc>
          <w:tcPr>
            <w:tcW w:w="0" w:type="auto"/>
            <w:vAlign w:val="center"/>
          </w:tcPr>
          <w:p w14:paraId="10086418">
            <w:pPr>
              <w:widowControl/>
              <w:spacing w:line="240" w:lineRule="auto"/>
              <w:ind w:firstLine="0" w:firstLineChars="0"/>
              <w:jc w:val="center"/>
              <w:rPr>
                <w:b/>
                <w:highlight w:val="none"/>
              </w:rPr>
            </w:pPr>
            <w:r>
              <w:rPr>
                <w:rFonts w:hint="eastAsia"/>
                <w:b/>
                <w:highlight w:val="none"/>
              </w:rPr>
              <w:t>人员要求</w:t>
            </w:r>
          </w:p>
        </w:tc>
        <w:tc>
          <w:tcPr>
            <w:tcW w:w="0" w:type="auto"/>
            <w:shd w:val="clear" w:color="auto" w:fill="auto"/>
            <w:noWrap/>
            <w:vAlign w:val="center"/>
          </w:tcPr>
          <w:p w14:paraId="6EC8F100">
            <w:pPr>
              <w:widowControl/>
              <w:spacing w:line="240" w:lineRule="auto"/>
              <w:ind w:firstLine="0" w:firstLineChars="0"/>
              <w:jc w:val="center"/>
              <w:rPr>
                <w:b/>
                <w:highlight w:val="none"/>
              </w:rPr>
            </w:pPr>
            <w:r>
              <w:rPr>
                <w:rFonts w:hint="eastAsia"/>
                <w:b/>
                <w:highlight w:val="none"/>
              </w:rPr>
              <w:t>驻场要求</w:t>
            </w:r>
          </w:p>
        </w:tc>
      </w:tr>
      <w:tr w14:paraId="1164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1D7C750">
            <w:pPr>
              <w:widowControl/>
              <w:spacing w:line="240" w:lineRule="auto"/>
              <w:ind w:firstLine="0" w:firstLineChars="0"/>
              <w:jc w:val="center"/>
              <w:rPr>
                <w:highlight w:val="none"/>
              </w:rPr>
            </w:pPr>
            <w:r>
              <w:rPr>
                <w:rFonts w:hint="eastAsia"/>
                <w:highlight w:val="none"/>
                <w:lang w:val="en-US" w:eastAsia="zh-CN"/>
              </w:rPr>
              <w:t>技术</w:t>
            </w:r>
            <w:r>
              <w:rPr>
                <w:rFonts w:hint="eastAsia"/>
                <w:highlight w:val="none"/>
              </w:rPr>
              <w:t>经理</w:t>
            </w:r>
          </w:p>
        </w:tc>
        <w:tc>
          <w:tcPr>
            <w:tcW w:w="0" w:type="auto"/>
            <w:shd w:val="clear" w:color="auto" w:fill="auto"/>
            <w:vAlign w:val="center"/>
          </w:tcPr>
          <w:p w14:paraId="327BC1A7">
            <w:pPr>
              <w:widowControl/>
              <w:spacing w:line="240" w:lineRule="auto"/>
              <w:ind w:firstLine="0" w:firstLineChars="0"/>
              <w:jc w:val="center"/>
              <w:rPr>
                <w:highlight w:val="none"/>
              </w:rPr>
            </w:pPr>
            <w:r>
              <w:rPr>
                <w:rFonts w:hint="eastAsia"/>
                <w:highlight w:val="none"/>
              </w:rPr>
              <w:t>负责项目质量和进度控制</w:t>
            </w:r>
          </w:p>
        </w:tc>
        <w:tc>
          <w:tcPr>
            <w:tcW w:w="0" w:type="auto"/>
            <w:shd w:val="clear" w:color="auto" w:fill="auto"/>
            <w:noWrap/>
            <w:vAlign w:val="center"/>
          </w:tcPr>
          <w:p w14:paraId="1C760B9B">
            <w:pPr>
              <w:widowControl/>
              <w:spacing w:line="240" w:lineRule="auto"/>
              <w:ind w:firstLine="0" w:firstLineChars="0"/>
              <w:jc w:val="center"/>
              <w:rPr>
                <w:highlight w:val="none"/>
              </w:rPr>
            </w:pPr>
            <w:r>
              <w:rPr>
                <w:highlight w:val="none"/>
              </w:rPr>
              <w:t>1</w:t>
            </w:r>
            <w:r>
              <w:rPr>
                <w:rFonts w:hint="eastAsia"/>
                <w:highlight w:val="none"/>
              </w:rPr>
              <w:t>人</w:t>
            </w:r>
          </w:p>
        </w:tc>
        <w:tc>
          <w:tcPr>
            <w:tcW w:w="0" w:type="auto"/>
            <w:vAlign w:val="center"/>
          </w:tcPr>
          <w:p w14:paraId="60ACADAB">
            <w:pPr>
              <w:widowControl/>
              <w:spacing w:line="240" w:lineRule="auto"/>
              <w:ind w:firstLine="0" w:firstLineChars="0"/>
              <w:jc w:val="both"/>
              <w:rPr>
                <w:highlight w:val="none"/>
              </w:rPr>
            </w:pPr>
            <w:r>
              <w:rPr>
                <w:rFonts w:hint="eastAsia"/>
                <w:highlight w:val="none"/>
              </w:rPr>
              <w:t>本科及以上学历，具备信息系统项目管理师相关资质证书，类似项目5年以上经历</w:t>
            </w:r>
          </w:p>
        </w:tc>
        <w:tc>
          <w:tcPr>
            <w:tcW w:w="0" w:type="auto"/>
            <w:shd w:val="clear" w:color="auto" w:fill="auto"/>
            <w:noWrap/>
            <w:vAlign w:val="center"/>
          </w:tcPr>
          <w:p w14:paraId="0FC5F224">
            <w:pPr>
              <w:widowControl/>
              <w:spacing w:line="240" w:lineRule="auto"/>
              <w:ind w:firstLine="0" w:firstLineChars="0"/>
              <w:jc w:val="center"/>
              <w:rPr>
                <w:highlight w:val="none"/>
              </w:rPr>
            </w:pPr>
            <w:r>
              <w:rPr>
                <w:rFonts w:hint="eastAsia"/>
                <w:highlight w:val="none"/>
              </w:rPr>
              <w:t>不驻场</w:t>
            </w:r>
          </w:p>
        </w:tc>
      </w:tr>
      <w:tr w14:paraId="4F75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251C11D">
            <w:pPr>
              <w:widowControl/>
              <w:spacing w:line="240" w:lineRule="auto"/>
              <w:ind w:firstLine="0" w:firstLineChars="0"/>
              <w:jc w:val="center"/>
              <w:rPr>
                <w:highlight w:val="none"/>
              </w:rPr>
            </w:pPr>
            <w:r>
              <w:rPr>
                <w:rFonts w:hint="eastAsia"/>
                <w:highlight w:val="none"/>
              </w:rPr>
              <w:t>技术工程师</w:t>
            </w:r>
          </w:p>
        </w:tc>
        <w:tc>
          <w:tcPr>
            <w:tcW w:w="0" w:type="auto"/>
            <w:shd w:val="clear" w:color="auto" w:fill="auto"/>
            <w:noWrap/>
            <w:vAlign w:val="center"/>
          </w:tcPr>
          <w:p w14:paraId="6DCB5EEF">
            <w:pPr>
              <w:widowControl/>
              <w:spacing w:line="240" w:lineRule="auto"/>
              <w:ind w:firstLine="0" w:firstLineChars="0"/>
              <w:jc w:val="center"/>
              <w:rPr>
                <w:highlight w:val="none"/>
              </w:rPr>
            </w:pPr>
            <w:r>
              <w:rPr>
                <w:rFonts w:hint="eastAsia"/>
                <w:highlight w:val="none"/>
              </w:rPr>
              <w:t>负责项目运行维护</w:t>
            </w:r>
          </w:p>
        </w:tc>
        <w:tc>
          <w:tcPr>
            <w:tcW w:w="0" w:type="auto"/>
            <w:shd w:val="clear" w:color="auto" w:fill="auto"/>
            <w:noWrap/>
            <w:vAlign w:val="center"/>
          </w:tcPr>
          <w:p w14:paraId="11A4A22F">
            <w:pPr>
              <w:widowControl/>
              <w:spacing w:line="240" w:lineRule="auto"/>
              <w:ind w:firstLine="0" w:firstLineChars="0"/>
              <w:jc w:val="center"/>
              <w:rPr>
                <w:highlight w:val="none"/>
              </w:rPr>
            </w:pPr>
            <w:r>
              <w:rPr>
                <w:rFonts w:hint="eastAsia"/>
                <w:highlight w:val="none"/>
                <w:lang w:val="en-US" w:eastAsia="zh-CN"/>
              </w:rPr>
              <w:t>3</w:t>
            </w:r>
            <w:r>
              <w:rPr>
                <w:rFonts w:hint="eastAsia"/>
                <w:highlight w:val="none"/>
              </w:rPr>
              <w:t>人</w:t>
            </w:r>
          </w:p>
        </w:tc>
        <w:tc>
          <w:tcPr>
            <w:tcW w:w="0" w:type="auto"/>
            <w:vAlign w:val="center"/>
          </w:tcPr>
          <w:p w14:paraId="7688C3C5">
            <w:pPr>
              <w:widowControl/>
              <w:spacing w:line="240" w:lineRule="auto"/>
              <w:ind w:firstLine="0" w:firstLineChars="0"/>
              <w:jc w:val="both"/>
              <w:rPr>
                <w:highlight w:val="none"/>
              </w:rPr>
            </w:pPr>
            <w:r>
              <w:rPr>
                <w:rFonts w:hint="eastAsia"/>
                <w:highlight w:val="none"/>
              </w:rPr>
              <w:t>本科及以上学历</w:t>
            </w:r>
          </w:p>
        </w:tc>
        <w:tc>
          <w:tcPr>
            <w:tcW w:w="0" w:type="auto"/>
            <w:shd w:val="clear" w:color="auto" w:fill="auto"/>
            <w:noWrap/>
            <w:vAlign w:val="center"/>
          </w:tcPr>
          <w:p w14:paraId="0F952318">
            <w:pPr>
              <w:widowControl/>
              <w:spacing w:line="240" w:lineRule="auto"/>
              <w:ind w:firstLine="0" w:firstLineChars="0"/>
              <w:jc w:val="center"/>
              <w:rPr>
                <w:highlight w:val="none"/>
              </w:rPr>
            </w:pPr>
            <w:r>
              <w:rPr>
                <w:rFonts w:hint="eastAsia"/>
                <w:highlight w:val="none"/>
              </w:rPr>
              <w:t>不驻场</w:t>
            </w:r>
          </w:p>
        </w:tc>
      </w:tr>
    </w:tbl>
    <w:p w14:paraId="050EF285">
      <w:pPr>
        <w:pStyle w:val="3"/>
        <w:rPr>
          <w:highlight w:val="none"/>
        </w:rPr>
      </w:pPr>
      <w:r>
        <w:rPr>
          <w:highlight w:val="none"/>
        </w:rPr>
        <w:t>等级保护要求</w:t>
      </w:r>
    </w:p>
    <w:p w14:paraId="422B16E4">
      <w:pPr>
        <w:rPr>
          <w:rFonts w:ascii="仿宋_GB2312" w:eastAsia="仿宋_GB2312" w:cs="仿宋_GB2312"/>
          <w:color w:val="000000"/>
          <w:kern w:val="0"/>
          <w:sz w:val="28"/>
          <w:szCs w:val="28"/>
          <w:highlight w:val="none"/>
        </w:rPr>
      </w:pPr>
      <w:r>
        <w:rPr>
          <w:rFonts w:hint="eastAsia"/>
          <w:highlight w:val="none"/>
        </w:rPr>
        <w:t>本系统部署在市电子政务云上，依托市电子政务云的安全系统，保证互联网应用三级安全等级，政务外网应用三级安全等级</w:t>
      </w:r>
      <w:r>
        <w:rPr>
          <w:rFonts w:hint="eastAsia" w:ascii="仿宋_GB2312" w:eastAsia="仿宋_GB2312" w:cs="仿宋_GB2312"/>
          <w:color w:val="000000"/>
          <w:kern w:val="0"/>
          <w:sz w:val="28"/>
          <w:szCs w:val="28"/>
          <w:highlight w:val="none"/>
        </w:rPr>
        <w:t>。</w:t>
      </w:r>
    </w:p>
    <w:p w14:paraId="6631E94E">
      <w:pPr>
        <w:pStyle w:val="3"/>
        <w:rPr>
          <w:highlight w:val="none"/>
        </w:rPr>
      </w:pPr>
      <w:r>
        <w:rPr>
          <w:rFonts w:hint="eastAsia"/>
          <w:highlight w:val="none"/>
        </w:rPr>
        <w:t>商业密码应用需求</w:t>
      </w:r>
    </w:p>
    <w:p w14:paraId="341212C0">
      <w:pPr>
        <w:rPr>
          <w:rFonts w:hint="eastAsia"/>
          <w:highlight w:val="none"/>
        </w:rPr>
      </w:pPr>
      <w:r>
        <w:rPr>
          <w:rFonts w:hint="eastAsia"/>
          <w:highlight w:val="none"/>
        </w:rPr>
        <w:t>依据GB/T39786—2021《信息安全技术信息系统密码应用基本要求》，结合本系统风险控制需求分析结果，本系统的主要密码应用需求包括：</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6"/>
        <w:gridCol w:w="858"/>
        <w:gridCol w:w="2286"/>
        <w:gridCol w:w="3715"/>
        <w:gridCol w:w="1573"/>
      </w:tblGrid>
      <w:tr w14:paraId="6884A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tblHeader/>
          <w:jc w:val="center"/>
        </w:trPr>
        <w:tc>
          <w:tcPr>
            <w:tcW w:w="1714" w:type="dxa"/>
            <w:gridSpan w:val="2"/>
            <w:noWrap w:val="0"/>
            <w:vAlign w:val="center"/>
          </w:tcPr>
          <w:p w14:paraId="79A4278C">
            <w:pPr>
              <w:pStyle w:val="16"/>
              <w:jc w:val="center"/>
              <w:rPr>
                <w:b/>
                <w:bCs/>
                <w:highlight w:val="none"/>
              </w:rPr>
            </w:pPr>
            <w:r>
              <w:rPr>
                <w:rFonts w:hint="eastAsia"/>
                <w:b/>
                <w:bCs/>
                <w:highlight w:val="none"/>
              </w:rPr>
              <w:t>安全层面</w:t>
            </w:r>
          </w:p>
        </w:tc>
        <w:tc>
          <w:tcPr>
            <w:tcW w:w="2286" w:type="dxa"/>
            <w:noWrap w:val="0"/>
            <w:vAlign w:val="center"/>
          </w:tcPr>
          <w:p w14:paraId="25E02896">
            <w:pPr>
              <w:pStyle w:val="16"/>
              <w:jc w:val="center"/>
              <w:rPr>
                <w:b/>
                <w:bCs/>
                <w:highlight w:val="none"/>
              </w:rPr>
            </w:pPr>
            <w:r>
              <w:rPr>
                <w:rFonts w:hint="eastAsia"/>
                <w:b/>
                <w:bCs/>
                <w:highlight w:val="none"/>
              </w:rPr>
              <w:t>指标要求</w:t>
            </w:r>
          </w:p>
        </w:tc>
        <w:tc>
          <w:tcPr>
            <w:tcW w:w="3715" w:type="dxa"/>
            <w:noWrap w:val="0"/>
            <w:vAlign w:val="center"/>
          </w:tcPr>
          <w:p w14:paraId="6FC0084D">
            <w:pPr>
              <w:pStyle w:val="16"/>
              <w:jc w:val="center"/>
              <w:rPr>
                <w:b/>
                <w:bCs/>
                <w:highlight w:val="none"/>
              </w:rPr>
            </w:pPr>
            <w:r>
              <w:rPr>
                <w:rFonts w:hint="eastAsia"/>
                <w:b/>
                <w:bCs/>
                <w:highlight w:val="none"/>
              </w:rPr>
              <w:t>系统密码应用需求</w:t>
            </w:r>
          </w:p>
        </w:tc>
        <w:tc>
          <w:tcPr>
            <w:tcW w:w="1573" w:type="dxa"/>
            <w:noWrap w:val="0"/>
            <w:vAlign w:val="center"/>
          </w:tcPr>
          <w:p w14:paraId="4F09573D">
            <w:pPr>
              <w:pStyle w:val="16"/>
              <w:jc w:val="center"/>
              <w:rPr>
                <w:b/>
                <w:bCs/>
                <w:highlight w:val="none"/>
              </w:rPr>
            </w:pPr>
            <w:r>
              <w:rPr>
                <w:rFonts w:hint="eastAsia"/>
                <w:b/>
                <w:bCs/>
                <w:highlight w:val="none"/>
              </w:rPr>
              <w:t>不适用说明</w:t>
            </w:r>
          </w:p>
        </w:tc>
      </w:tr>
      <w:tr w14:paraId="3578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noWrap w:val="0"/>
            <w:vAlign w:val="center"/>
          </w:tcPr>
          <w:p w14:paraId="68866E8C">
            <w:pPr>
              <w:pStyle w:val="16"/>
              <w:rPr>
                <w:highlight w:val="none"/>
              </w:rPr>
            </w:pPr>
            <w:r>
              <w:rPr>
                <w:rFonts w:hint="eastAsia"/>
                <w:highlight w:val="none"/>
              </w:rPr>
              <w:t>计算平台安全</w:t>
            </w:r>
          </w:p>
        </w:tc>
        <w:tc>
          <w:tcPr>
            <w:tcW w:w="858" w:type="dxa"/>
            <w:vMerge w:val="restart"/>
            <w:noWrap w:val="0"/>
            <w:vAlign w:val="center"/>
          </w:tcPr>
          <w:p w14:paraId="1BF4D473">
            <w:pPr>
              <w:pStyle w:val="16"/>
              <w:rPr>
                <w:highlight w:val="none"/>
              </w:rPr>
            </w:pPr>
            <w:r>
              <w:rPr>
                <w:rFonts w:hint="eastAsia"/>
                <w:highlight w:val="none"/>
              </w:rPr>
              <w:t>物理和环境安全</w:t>
            </w:r>
          </w:p>
        </w:tc>
        <w:tc>
          <w:tcPr>
            <w:tcW w:w="2286" w:type="dxa"/>
            <w:noWrap w:val="0"/>
            <w:vAlign w:val="center"/>
          </w:tcPr>
          <w:p w14:paraId="274AB5F5">
            <w:pPr>
              <w:pStyle w:val="16"/>
              <w:rPr>
                <w:highlight w:val="none"/>
              </w:rPr>
            </w:pPr>
            <w:r>
              <w:rPr>
                <w:rFonts w:hint="eastAsia"/>
                <w:highlight w:val="none"/>
              </w:rPr>
              <w:t>身份鉴别</w:t>
            </w:r>
          </w:p>
        </w:tc>
        <w:tc>
          <w:tcPr>
            <w:tcW w:w="3715" w:type="dxa"/>
            <w:noWrap w:val="0"/>
            <w:vAlign w:val="center"/>
          </w:tcPr>
          <w:p w14:paraId="05C57D62">
            <w:pPr>
              <w:pStyle w:val="16"/>
              <w:rPr>
                <w:rFonts w:hint="eastAsia"/>
                <w:highlight w:val="none"/>
              </w:rPr>
            </w:pPr>
            <w:r>
              <w:rPr>
                <w:rFonts w:hint="eastAsia"/>
                <w:highlight w:val="none"/>
              </w:rPr>
              <w:t>已符合密码应用要求。</w:t>
            </w:r>
          </w:p>
        </w:tc>
        <w:tc>
          <w:tcPr>
            <w:tcW w:w="1573" w:type="dxa"/>
            <w:noWrap w:val="0"/>
            <w:vAlign w:val="center"/>
          </w:tcPr>
          <w:p w14:paraId="4C858907">
            <w:pPr>
              <w:pStyle w:val="16"/>
              <w:rPr>
                <w:highlight w:val="none"/>
              </w:rPr>
            </w:pPr>
            <w:r>
              <w:rPr>
                <w:rFonts w:hint="eastAsia"/>
                <w:highlight w:val="none"/>
              </w:rPr>
              <w:t>无</w:t>
            </w:r>
          </w:p>
        </w:tc>
      </w:tr>
      <w:tr w14:paraId="0F7CC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5E23E29C">
            <w:pPr>
              <w:pStyle w:val="16"/>
              <w:rPr>
                <w:highlight w:val="none"/>
              </w:rPr>
            </w:pPr>
          </w:p>
        </w:tc>
        <w:tc>
          <w:tcPr>
            <w:tcW w:w="858" w:type="dxa"/>
            <w:vMerge w:val="continue"/>
            <w:noWrap w:val="0"/>
            <w:vAlign w:val="center"/>
          </w:tcPr>
          <w:p w14:paraId="53737610">
            <w:pPr>
              <w:pStyle w:val="16"/>
              <w:rPr>
                <w:highlight w:val="none"/>
              </w:rPr>
            </w:pPr>
          </w:p>
        </w:tc>
        <w:tc>
          <w:tcPr>
            <w:tcW w:w="2286" w:type="dxa"/>
            <w:noWrap w:val="0"/>
            <w:vAlign w:val="center"/>
          </w:tcPr>
          <w:p w14:paraId="576E8FBD">
            <w:pPr>
              <w:pStyle w:val="16"/>
              <w:rPr>
                <w:highlight w:val="none"/>
              </w:rPr>
            </w:pPr>
            <w:r>
              <w:rPr>
                <w:rFonts w:hint="eastAsia"/>
                <w:highlight w:val="none"/>
              </w:rPr>
              <w:t>电子门禁记录数据完整性</w:t>
            </w:r>
          </w:p>
        </w:tc>
        <w:tc>
          <w:tcPr>
            <w:tcW w:w="3715" w:type="dxa"/>
            <w:vMerge w:val="restart"/>
            <w:noWrap w:val="0"/>
            <w:vAlign w:val="center"/>
          </w:tcPr>
          <w:p w14:paraId="50104056">
            <w:pPr>
              <w:pStyle w:val="16"/>
              <w:rPr>
                <w:highlight w:val="none"/>
              </w:rPr>
            </w:pPr>
            <w:r>
              <w:rPr>
                <w:rFonts w:hint="eastAsia"/>
                <w:highlight w:val="none"/>
              </w:rPr>
              <w:t>已符合密码应用要求。</w:t>
            </w:r>
          </w:p>
        </w:tc>
        <w:tc>
          <w:tcPr>
            <w:tcW w:w="1573" w:type="dxa"/>
            <w:vMerge w:val="restart"/>
            <w:noWrap w:val="0"/>
            <w:vAlign w:val="center"/>
          </w:tcPr>
          <w:p w14:paraId="79DA1419">
            <w:pPr>
              <w:pStyle w:val="16"/>
              <w:rPr>
                <w:highlight w:val="none"/>
              </w:rPr>
            </w:pPr>
            <w:r>
              <w:rPr>
                <w:rFonts w:hint="eastAsia"/>
                <w:highlight w:val="none"/>
              </w:rPr>
              <w:t>无</w:t>
            </w:r>
          </w:p>
        </w:tc>
      </w:tr>
      <w:tr w14:paraId="2B3B0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78C5CA4C">
            <w:pPr>
              <w:pStyle w:val="16"/>
              <w:rPr>
                <w:highlight w:val="none"/>
              </w:rPr>
            </w:pPr>
          </w:p>
        </w:tc>
        <w:tc>
          <w:tcPr>
            <w:tcW w:w="858" w:type="dxa"/>
            <w:vMerge w:val="continue"/>
            <w:noWrap w:val="0"/>
            <w:vAlign w:val="center"/>
          </w:tcPr>
          <w:p w14:paraId="4A8F2673">
            <w:pPr>
              <w:pStyle w:val="16"/>
              <w:rPr>
                <w:highlight w:val="none"/>
              </w:rPr>
            </w:pPr>
          </w:p>
        </w:tc>
        <w:tc>
          <w:tcPr>
            <w:tcW w:w="2286" w:type="dxa"/>
            <w:noWrap w:val="0"/>
            <w:vAlign w:val="center"/>
          </w:tcPr>
          <w:p w14:paraId="4C470E5A">
            <w:pPr>
              <w:pStyle w:val="16"/>
              <w:rPr>
                <w:highlight w:val="none"/>
              </w:rPr>
            </w:pPr>
            <w:r>
              <w:rPr>
                <w:rFonts w:hint="eastAsia"/>
                <w:highlight w:val="none"/>
              </w:rPr>
              <w:t>视频监控记录数据完整性</w:t>
            </w:r>
          </w:p>
        </w:tc>
        <w:tc>
          <w:tcPr>
            <w:tcW w:w="3715" w:type="dxa"/>
            <w:vMerge w:val="continue"/>
            <w:noWrap w:val="0"/>
            <w:vAlign w:val="center"/>
          </w:tcPr>
          <w:p w14:paraId="05300986">
            <w:pPr>
              <w:pStyle w:val="16"/>
              <w:rPr>
                <w:highlight w:val="none"/>
              </w:rPr>
            </w:pPr>
          </w:p>
        </w:tc>
        <w:tc>
          <w:tcPr>
            <w:tcW w:w="1573" w:type="dxa"/>
            <w:vMerge w:val="continue"/>
            <w:noWrap w:val="0"/>
            <w:vAlign w:val="center"/>
          </w:tcPr>
          <w:p w14:paraId="099D7C72">
            <w:pPr>
              <w:pStyle w:val="16"/>
              <w:rPr>
                <w:highlight w:val="none"/>
              </w:rPr>
            </w:pPr>
          </w:p>
        </w:tc>
      </w:tr>
      <w:tr w14:paraId="0A2D5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70845656">
            <w:pPr>
              <w:pStyle w:val="16"/>
              <w:rPr>
                <w:highlight w:val="none"/>
              </w:rPr>
            </w:pPr>
          </w:p>
        </w:tc>
        <w:tc>
          <w:tcPr>
            <w:tcW w:w="858" w:type="dxa"/>
            <w:vMerge w:val="continue"/>
            <w:noWrap w:val="0"/>
            <w:vAlign w:val="center"/>
          </w:tcPr>
          <w:p w14:paraId="0CBFB311">
            <w:pPr>
              <w:pStyle w:val="16"/>
              <w:rPr>
                <w:highlight w:val="none"/>
              </w:rPr>
            </w:pPr>
          </w:p>
        </w:tc>
        <w:tc>
          <w:tcPr>
            <w:tcW w:w="2286" w:type="dxa"/>
            <w:noWrap w:val="0"/>
            <w:vAlign w:val="center"/>
          </w:tcPr>
          <w:p w14:paraId="50992BBC">
            <w:pPr>
              <w:pStyle w:val="16"/>
              <w:rPr>
                <w:highlight w:val="none"/>
              </w:rPr>
            </w:pPr>
            <w:r>
              <w:rPr>
                <w:rFonts w:hint="eastAsia"/>
                <w:highlight w:val="none"/>
              </w:rPr>
              <w:t>密码产品</w:t>
            </w:r>
          </w:p>
        </w:tc>
        <w:tc>
          <w:tcPr>
            <w:tcW w:w="3715" w:type="dxa"/>
            <w:noWrap w:val="0"/>
            <w:vAlign w:val="center"/>
          </w:tcPr>
          <w:p w14:paraId="06B6EC8D">
            <w:pPr>
              <w:pStyle w:val="16"/>
              <w:rPr>
                <w:highlight w:val="none"/>
              </w:rPr>
            </w:pPr>
            <w:r>
              <w:rPr>
                <w:rFonts w:hint="eastAsia"/>
                <w:highlight w:val="none"/>
              </w:rPr>
              <w:t>采用的密码产品应达到</w:t>
            </w:r>
            <w:r>
              <w:rPr>
                <w:highlight w:val="none"/>
              </w:rPr>
              <w:t>GB/T 37092</w:t>
            </w:r>
            <w:r>
              <w:rPr>
                <w:rFonts w:hint="eastAsia"/>
                <w:highlight w:val="none"/>
              </w:rPr>
              <w:t>-2018二级及以上安全要求。</w:t>
            </w:r>
          </w:p>
        </w:tc>
        <w:tc>
          <w:tcPr>
            <w:tcW w:w="1573" w:type="dxa"/>
            <w:noWrap w:val="0"/>
            <w:vAlign w:val="center"/>
          </w:tcPr>
          <w:p w14:paraId="51167EEB">
            <w:pPr>
              <w:pStyle w:val="16"/>
              <w:rPr>
                <w:highlight w:val="none"/>
              </w:rPr>
            </w:pPr>
            <w:r>
              <w:rPr>
                <w:rFonts w:hint="eastAsia"/>
                <w:highlight w:val="none"/>
              </w:rPr>
              <w:t>无</w:t>
            </w:r>
          </w:p>
        </w:tc>
      </w:tr>
      <w:tr w14:paraId="524C4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10713D14">
            <w:pPr>
              <w:pStyle w:val="16"/>
              <w:rPr>
                <w:highlight w:val="none"/>
              </w:rPr>
            </w:pPr>
          </w:p>
        </w:tc>
        <w:tc>
          <w:tcPr>
            <w:tcW w:w="858" w:type="dxa"/>
            <w:vMerge w:val="restart"/>
            <w:noWrap w:val="0"/>
            <w:vAlign w:val="center"/>
          </w:tcPr>
          <w:p w14:paraId="2909C8F9">
            <w:pPr>
              <w:pStyle w:val="16"/>
              <w:rPr>
                <w:highlight w:val="none"/>
              </w:rPr>
            </w:pPr>
            <w:r>
              <w:rPr>
                <w:rFonts w:hint="eastAsia"/>
                <w:highlight w:val="none"/>
              </w:rPr>
              <w:t>网络和通信安全</w:t>
            </w:r>
          </w:p>
        </w:tc>
        <w:tc>
          <w:tcPr>
            <w:tcW w:w="2286" w:type="dxa"/>
            <w:noWrap w:val="0"/>
            <w:vAlign w:val="center"/>
          </w:tcPr>
          <w:p w14:paraId="59B20A13">
            <w:pPr>
              <w:pStyle w:val="16"/>
              <w:rPr>
                <w:highlight w:val="none"/>
              </w:rPr>
            </w:pPr>
            <w:r>
              <w:rPr>
                <w:rFonts w:hint="eastAsia"/>
                <w:highlight w:val="none"/>
              </w:rPr>
              <w:t>身份鉴别</w:t>
            </w:r>
          </w:p>
        </w:tc>
        <w:tc>
          <w:tcPr>
            <w:tcW w:w="3715" w:type="dxa"/>
            <w:noWrap w:val="0"/>
            <w:vAlign w:val="center"/>
          </w:tcPr>
          <w:p w14:paraId="52408602">
            <w:pPr>
              <w:pStyle w:val="16"/>
              <w:rPr>
                <w:highlight w:val="none"/>
              </w:rPr>
            </w:pPr>
            <w:r>
              <w:rPr>
                <w:rFonts w:hint="eastAsia"/>
                <w:highlight w:val="none"/>
              </w:rPr>
              <w:t>已符合密码应用要求。</w:t>
            </w:r>
          </w:p>
        </w:tc>
        <w:tc>
          <w:tcPr>
            <w:tcW w:w="1573" w:type="dxa"/>
            <w:noWrap w:val="0"/>
            <w:vAlign w:val="center"/>
          </w:tcPr>
          <w:p w14:paraId="01DE28BC">
            <w:pPr>
              <w:pStyle w:val="16"/>
              <w:rPr>
                <w:highlight w:val="none"/>
              </w:rPr>
            </w:pPr>
            <w:r>
              <w:rPr>
                <w:rFonts w:hint="eastAsia"/>
                <w:highlight w:val="none"/>
              </w:rPr>
              <w:t>无</w:t>
            </w:r>
          </w:p>
        </w:tc>
      </w:tr>
      <w:tr w14:paraId="49E27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7EC92C47">
            <w:pPr>
              <w:pStyle w:val="16"/>
              <w:rPr>
                <w:highlight w:val="none"/>
              </w:rPr>
            </w:pPr>
          </w:p>
        </w:tc>
        <w:tc>
          <w:tcPr>
            <w:tcW w:w="858" w:type="dxa"/>
            <w:vMerge w:val="continue"/>
            <w:noWrap w:val="0"/>
            <w:vAlign w:val="center"/>
          </w:tcPr>
          <w:p w14:paraId="6334BE33">
            <w:pPr>
              <w:pStyle w:val="16"/>
              <w:rPr>
                <w:highlight w:val="none"/>
              </w:rPr>
            </w:pPr>
          </w:p>
        </w:tc>
        <w:tc>
          <w:tcPr>
            <w:tcW w:w="2286" w:type="dxa"/>
            <w:noWrap w:val="0"/>
            <w:vAlign w:val="center"/>
          </w:tcPr>
          <w:p w14:paraId="53B5DA13">
            <w:pPr>
              <w:pStyle w:val="16"/>
              <w:rPr>
                <w:highlight w:val="none"/>
              </w:rPr>
            </w:pPr>
            <w:r>
              <w:rPr>
                <w:rFonts w:hint="eastAsia"/>
                <w:highlight w:val="none"/>
              </w:rPr>
              <w:t>通信数据完整性</w:t>
            </w:r>
          </w:p>
        </w:tc>
        <w:tc>
          <w:tcPr>
            <w:tcW w:w="3715" w:type="dxa"/>
            <w:vMerge w:val="restart"/>
            <w:noWrap w:val="0"/>
            <w:vAlign w:val="center"/>
          </w:tcPr>
          <w:p w14:paraId="2D73FAD8">
            <w:pPr>
              <w:pStyle w:val="16"/>
              <w:rPr>
                <w:highlight w:val="none"/>
              </w:rPr>
            </w:pPr>
            <w:r>
              <w:rPr>
                <w:rFonts w:hint="eastAsia"/>
                <w:highlight w:val="none"/>
              </w:rPr>
              <w:t>保护通信过程中重要业务数据的完整性和机密性，防止数据被非授权篡改，防止重要数据泄露。</w:t>
            </w:r>
          </w:p>
        </w:tc>
        <w:tc>
          <w:tcPr>
            <w:tcW w:w="1573" w:type="dxa"/>
            <w:noWrap w:val="0"/>
            <w:vAlign w:val="center"/>
          </w:tcPr>
          <w:p w14:paraId="017F5D7C">
            <w:pPr>
              <w:pStyle w:val="16"/>
              <w:rPr>
                <w:highlight w:val="none"/>
              </w:rPr>
            </w:pPr>
            <w:r>
              <w:rPr>
                <w:rFonts w:hint="eastAsia"/>
                <w:highlight w:val="none"/>
              </w:rPr>
              <w:t>无</w:t>
            </w:r>
          </w:p>
        </w:tc>
      </w:tr>
      <w:tr w14:paraId="72EF7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5EC548AC">
            <w:pPr>
              <w:pStyle w:val="16"/>
              <w:rPr>
                <w:highlight w:val="none"/>
              </w:rPr>
            </w:pPr>
          </w:p>
        </w:tc>
        <w:tc>
          <w:tcPr>
            <w:tcW w:w="858" w:type="dxa"/>
            <w:vMerge w:val="continue"/>
            <w:noWrap w:val="0"/>
            <w:vAlign w:val="center"/>
          </w:tcPr>
          <w:p w14:paraId="01F0CD10">
            <w:pPr>
              <w:pStyle w:val="16"/>
              <w:rPr>
                <w:highlight w:val="none"/>
              </w:rPr>
            </w:pPr>
          </w:p>
        </w:tc>
        <w:tc>
          <w:tcPr>
            <w:tcW w:w="2286" w:type="dxa"/>
            <w:noWrap w:val="0"/>
            <w:vAlign w:val="center"/>
          </w:tcPr>
          <w:p w14:paraId="53CE593C">
            <w:pPr>
              <w:pStyle w:val="16"/>
              <w:rPr>
                <w:highlight w:val="none"/>
              </w:rPr>
            </w:pPr>
            <w:r>
              <w:rPr>
                <w:rFonts w:hint="eastAsia"/>
                <w:highlight w:val="none"/>
              </w:rPr>
              <w:t>通信过程中重要数据的机密性</w:t>
            </w:r>
          </w:p>
        </w:tc>
        <w:tc>
          <w:tcPr>
            <w:tcW w:w="3715" w:type="dxa"/>
            <w:vMerge w:val="continue"/>
            <w:noWrap w:val="0"/>
            <w:vAlign w:val="center"/>
          </w:tcPr>
          <w:p w14:paraId="69E23A48">
            <w:pPr>
              <w:pStyle w:val="16"/>
              <w:rPr>
                <w:highlight w:val="none"/>
              </w:rPr>
            </w:pPr>
          </w:p>
        </w:tc>
        <w:tc>
          <w:tcPr>
            <w:tcW w:w="1573" w:type="dxa"/>
            <w:noWrap w:val="0"/>
            <w:vAlign w:val="center"/>
          </w:tcPr>
          <w:p w14:paraId="141EFACB">
            <w:pPr>
              <w:pStyle w:val="16"/>
              <w:rPr>
                <w:highlight w:val="none"/>
              </w:rPr>
            </w:pPr>
            <w:r>
              <w:rPr>
                <w:rFonts w:hint="eastAsia"/>
                <w:highlight w:val="none"/>
              </w:rPr>
              <w:t>无</w:t>
            </w:r>
          </w:p>
        </w:tc>
      </w:tr>
      <w:tr w14:paraId="07E41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5AC55EAE">
            <w:pPr>
              <w:pStyle w:val="16"/>
              <w:rPr>
                <w:highlight w:val="none"/>
              </w:rPr>
            </w:pPr>
          </w:p>
        </w:tc>
        <w:tc>
          <w:tcPr>
            <w:tcW w:w="858" w:type="dxa"/>
            <w:vMerge w:val="continue"/>
            <w:noWrap w:val="0"/>
            <w:vAlign w:val="center"/>
          </w:tcPr>
          <w:p w14:paraId="1B99AEE0">
            <w:pPr>
              <w:pStyle w:val="16"/>
              <w:rPr>
                <w:highlight w:val="none"/>
              </w:rPr>
            </w:pPr>
          </w:p>
        </w:tc>
        <w:tc>
          <w:tcPr>
            <w:tcW w:w="2286" w:type="dxa"/>
            <w:noWrap w:val="0"/>
            <w:vAlign w:val="center"/>
          </w:tcPr>
          <w:p w14:paraId="4FEE512B">
            <w:pPr>
              <w:pStyle w:val="16"/>
              <w:rPr>
                <w:highlight w:val="none"/>
              </w:rPr>
            </w:pPr>
            <w:r>
              <w:rPr>
                <w:rFonts w:hint="eastAsia"/>
                <w:highlight w:val="none"/>
              </w:rPr>
              <w:t>网络边界访问控制信息的完整性</w:t>
            </w:r>
            <w:r>
              <w:rPr>
                <w:highlight w:val="none"/>
              </w:rPr>
              <w:t xml:space="preserve"> </w:t>
            </w:r>
          </w:p>
        </w:tc>
        <w:tc>
          <w:tcPr>
            <w:tcW w:w="3715" w:type="dxa"/>
            <w:noWrap w:val="0"/>
            <w:vAlign w:val="center"/>
          </w:tcPr>
          <w:p w14:paraId="203E3C28">
            <w:pPr>
              <w:pStyle w:val="16"/>
              <w:rPr>
                <w:highlight w:val="none"/>
              </w:rPr>
            </w:pPr>
            <w:r>
              <w:rPr>
                <w:rFonts w:hint="eastAsia"/>
                <w:highlight w:val="none"/>
              </w:rPr>
              <w:t>保护互联网用户访问</w:t>
            </w:r>
            <w:r>
              <w:rPr>
                <w:rFonts w:hint="eastAsia"/>
                <w:highlight w:val="none"/>
                <w:lang w:val="en-US"/>
              </w:rPr>
              <w:t>应用系统</w:t>
            </w:r>
            <w:r>
              <w:rPr>
                <w:rFonts w:hint="eastAsia"/>
                <w:highlight w:val="none"/>
              </w:rPr>
              <w:t>的网络边界访问控制信息的完整性，防止被非授权篡改。</w:t>
            </w:r>
          </w:p>
        </w:tc>
        <w:tc>
          <w:tcPr>
            <w:tcW w:w="1573" w:type="dxa"/>
            <w:noWrap w:val="0"/>
            <w:vAlign w:val="center"/>
          </w:tcPr>
          <w:p w14:paraId="46AF4090">
            <w:pPr>
              <w:pStyle w:val="16"/>
              <w:rPr>
                <w:highlight w:val="none"/>
              </w:rPr>
            </w:pPr>
            <w:r>
              <w:rPr>
                <w:rFonts w:hint="eastAsia"/>
                <w:highlight w:val="none"/>
              </w:rPr>
              <w:t>无</w:t>
            </w:r>
          </w:p>
        </w:tc>
      </w:tr>
      <w:tr w14:paraId="5DBC8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6BE44630">
            <w:pPr>
              <w:pStyle w:val="16"/>
              <w:rPr>
                <w:highlight w:val="none"/>
              </w:rPr>
            </w:pPr>
          </w:p>
        </w:tc>
        <w:tc>
          <w:tcPr>
            <w:tcW w:w="858" w:type="dxa"/>
            <w:vMerge w:val="continue"/>
            <w:noWrap w:val="0"/>
            <w:vAlign w:val="center"/>
          </w:tcPr>
          <w:p w14:paraId="6CB37E08">
            <w:pPr>
              <w:pStyle w:val="16"/>
              <w:rPr>
                <w:highlight w:val="none"/>
              </w:rPr>
            </w:pPr>
          </w:p>
        </w:tc>
        <w:tc>
          <w:tcPr>
            <w:tcW w:w="2286" w:type="dxa"/>
            <w:noWrap w:val="0"/>
            <w:vAlign w:val="center"/>
          </w:tcPr>
          <w:p w14:paraId="777E30B4">
            <w:pPr>
              <w:pStyle w:val="16"/>
              <w:rPr>
                <w:highlight w:val="none"/>
              </w:rPr>
            </w:pPr>
            <w:r>
              <w:rPr>
                <w:rFonts w:hint="eastAsia"/>
                <w:highlight w:val="none"/>
              </w:rPr>
              <w:t>密码服务</w:t>
            </w:r>
          </w:p>
        </w:tc>
        <w:tc>
          <w:tcPr>
            <w:tcW w:w="3715" w:type="dxa"/>
            <w:noWrap w:val="0"/>
            <w:vAlign w:val="center"/>
          </w:tcPr>
          <w:p w14:paraId="0D236056">
            <w:pPr>
              <w:pStyle w:val="16"/>
              <w:rPr>
                <w:highlight w:val="none"/>
              </w:rPr>
            </w:pPr>
            <w:r>
              <w:rPr>
                <w:rFonts w:hint="eastAsia"/>
                <w:highlight w:val="none"/>
              </w:rPr>
              <w:t>采用的数字证书由具有电子认证服务资质的机构签发。</w:t>
            </w:r>
          </w:p>
        </w:tc>
        <w:tc>
          <w:tcPr>
            <w:tcW w:w="1573" w:type="dxa"/>
            <w:noWrap w:val="0"/>
            <w:vAlign w:val="center"/>
          </w:tcPr>
          <w:p w14:paraId="05A54B9C">
            <w:pPr>
              <w:pStyle w:val="16"/>
              <w:rPr>
                <w:highlight w:val="none"/>
              </w:rPr>
            </w:pPr>
            <w:r>
              <w:rPr>
                <w:rFonts w:hint="eastAsia"/>
                <w:highlight w:val="none"/>
              </w:rPr>
              <w:t>无</w:t>
            </w:r>
          </w:p>
        </w:tc>
      </w:tr>
      <w:tr w14:paraId="7CB83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50DC2A75">
            <w:pPr>
              <w:pStyle w:val="16"/>
              <w:rPr>
                <w:highlight w:val="none"/>
              </w:rPr>
            </w:pPr>
          </w:p>
        </w:tc>
        <w:tc>
          <w:tcPr>
            <w:tcW w:w="858" w:type="dxa"/>
            <w:vMerge w:val="continue"/>
            <w:noWrap w:val="0"/>
            <w:vAlign w:val="center"/>
          </w:tcPr>
          <w:p w14:paraId="57386F4B">
            <w:pPr>
              <w:pStyle w:val="16"/>
              <w:rPr>
                <w:highlight w:val="none"/>
              </w:rPr>
            </w:pPr>
          </w:p>
        </w:tc>
        <w:tc>
          <w:tcPr>
            <w:tcW w:w="2286" w:type="dxa"/>
            <w:noWrap w:val="0"/>
            <w:vAlign w:val="center"/>
          </w:tcPr>
          <w:p w14:paraId="6B3AF237">
            <w:pPr>
              <w:pStyle w:val="16"/>
              <w:rPr>
                <w:highlight w:val="none"/>
              </w:rPr>
            </w:pPr>
            <w:r>
              <w:rPr>
                <w:rFonts w:hint="eastAsia"/>
                <w:highlight w:val="none"/>
              </w:rPr>
              <w:t>密码产品</w:t>
            </w:r>
          </w:p>
        </w:tc>
        <w:tc>
          <w:tcPr>
            <w:tcW w:w="3715" w:type="dxa"/>
            <w:noWrap w:val="0"/>
            <w:vAlign w:val="center"/>
          </w:tcPr>
          <w:p w14:paraId="371EDDDC">
            <w:pPr>
              <w:pStyle w:val="16"/>
              <w:rPr>
                <w:highlight w:val="none"/>
              </w:rPr>
            </w:pPr>
            <w:r>
              <w:rPr>
                <w:rFonts w:hint="eastAsia"/>
                <w:highlight w:val="none"/>
              </w:rPr>
              <w:t>采用的密码产品应达到</w:t>
            </w:r>
            <w:r>
              <w:rPr>
                <w:highlight w:val="none"/>
              </w:rPr>
              <w:t>GB/T 37092</w:t>
            </w:r>
            <w:r>
              <w:rPr>
                <w:rFonts w:hint="eastAsia"/>
                <w:highlight w:val="none"/>
              </w:rPr>
              <w:t>-2018二级及以上安全要求。</w:t>
            </w:r>
          </w:p>
        </w:tc>
        <w:tc>
          <w:tcPr>
            <w:tcW w:w="1573" w:type="dxa"/>
            <w:noWrap w:val="0"/>
            <w:vAlign w:val="center"/>
          </w:tcPr>
          <w:p w14:paraId="2A22ADBB">
            <w:pPr>
              <w:pStyle w:val="16"/>
              <w:rPr>
                <w:highlight w:val="none"/>
              </w:rPr>
            </w:pPr>
            <w:r>
              <w:rPr>
                <w:rFonts w:hint="eastAsia"/>
                <w:highlight w:val="none"/>
              </w:rPr>
              <w:t>无</w:t>
            </w:r>
          </w:p>
        </w:tc>
      </w:tr>
      <w:tr w14:paraId="4C893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19CBF5F0">
            <w:pPr>
              <w:pStyle w:val="16"/>
              <w:rPr>
                <w:highlight w:val="none"/>
              </w:rPr>
            </w:pPr>
          </w:p>
        </w:tc>
        <w:tc>
          <w:tcPr>
            <w:tcW w:w="858" w:type="dxa"/>
            <w:vMerge w:val="restart"/>
            <w:noWrap w:val="0"/>
            <w:vAlign w:val="center"/>
          </w:tcPr>
          <w:p w14:paraId="64E2123F">
            <w:pPr>
              <w:pStyle w:val="16"/>
              <w:rPr>
                <w:highlight w:val="none"/>
              </w:rPr>
            </w:pPr>
            <w:r>
              <w:rPr>
                <w:rFonts w:hint="eastAsia"/>
                <w:highlight w:val="none"/>
              </w:rPr>
              <w:t>设备和计算安全</w:t>
            </w:r>
          </w:p>
        </w:tc>
        <w:tc>
          <w:tcPr>
            <w:tcW w:w="2286" w:type="dxa"/>
            <w:noWrap w:val="0"/>
            <w:vAlign w:val="center"/>
          </w:tcPr>
          <w:p w14:paraId="1ABE7D96">
            <w:pPr>
              <w:pStyle w:val="16"/>
              <w:rPr>
                <w:highlight w:val="none"/>
              </w:rPr>
            </w:pPr>
            <w:r>
              <w:rPr>
                <w:rFonts w:hint="eastAsia"/>
                <w:highlight w:val="none"/>
              </w:rPr>
              <w:t>身份鉴别</w:t>
            </w:r>
          </w:p>
        </w:tc>
        <w:tc>
          <w:tcPr>
            <w:tcW w:w="3715" w:type="dxa"/>
            <w:noWrap w:val="0"/>
            <w:vAlign w:val="center"/>
          </w:tcPr>
          <w:p w14:paraId="6E65F713">
            <w:pPr>
              <w:pStyle w:val="16"/>
              <w:rPr>
                <w:highlight w:val="none"/>
              </w:rPr>
            </w:pPr>
            <w:r>
              <w:rPr>
                <w:rFonts w:hint="eastAsia"/>
                <w:highlight w:val="none"/>
              </w:rPr>
              <w:t>管理员通过远程运维管理终端访问堡垒机、服务器虚拟机、数据库、密码服务时，对其</w:t>
            </w:r>
            <w:r>
              <w:rPr>
                <w:highlight w:val="none"/>
              </w:rPr>
              <w:t>身份真实性进行识别和确认，防止假冒人员登录</w:t>
            </w:r>
            <w:r>
              <w:rPr>
                <w:rFonts w:hint="eastAsia"/>
                <w:highlight w:val="none"/>
              </w:rPr>
              <w:t>。</w:t>
            </w:r>
          </w:p>
        </w:tc>
        <w:tc>
          <w:tcPr>
            <w:tcW w:w="1573" w:type="dxa"/>
            <w:noWrap w:val="0"/>
            <w:vAlign w:val="center"/>
          </w:tcPr>
          <w:p w14:paraId="07C057CD">
            <w:pPr>
              <w:pStyle w:val="16"/>
              <w:rPr>
                <w:highlight w:val="none"/>
              </w:rPr>
            </w:pPr>
            <w:r>
              <w:rPr>
                <w:highlight w:val="none"/>
              </w:rPr>
              <w:t>无</w:t>
            </w:r>
          </w:p>
        </w:tc>
      </w:tr>
      <w:tr w14:paraId="0E39E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5E10EF90">
            <w:pPr>
              <w:pStyle w:val="16"/>
              <w:rPr>
                <w:highlight w:val="none"/>
              </w:rPr>
            </w:pPr>
          </w:p>
        </w:tc>
        <w:tc>
          <w:tcPr>
            <w:tcW w:w="858" w:type="dxa"/>
            <w:vMerge w:val="continue"/>
            <w:noWrap w:val="0"/>
            <w:vAlign w:val="center"/>
          </w:tcPr>
          <w:p w14:paraId="0DA1A454">
            <w:pPr>
              <w:pStyle w:val="16"/>
              <w:rPr>
                <w:highlight w:val="none"/>
              </w:rPr>
            </w:pPr>
          </w:p>
        </w:tc>
        <w:tc>
          <w:tcPr>
            <w:tcW w:w="2286" w:type="dxa"/>
            <w:noWrap w:val="0"/>
            <w:vAlign w:val="center"/>
          </w:tcPr>
          <w:p w14:paraId="2372D602">
            <w:pPr>
              <w:pStyle w:val="16"/>
              <w:rPr>
                <w:highlight w:val="none"/>
              </w:rPr>
            </w:pPr>
            <w:r>
              <w:rPr>
                <w:rFonts w:hint="eastAsia"/>
                <w:highlight w:val="none"/>
              </w:rPr>
              <w:t>远程管理通道安全</w:t>
            </w:r>
          </w:p>
        </w:tc>
        <w:tc>
          <w:tcPr>
            <w:tcW w:w="3715" w:type="dxa"/>
            <w:noWrap w:val="0"/>
            <w:vAlign w:val="center"/>
          </w:tcPr>
          <w:p w14:paraId="56FDC286">
            <w:pPr>
              <w:pStyle w:val="16"/>
              <w:rPr>
                <w:highlight w:val="none"/>
              </w:rPr>
            </w:pPr>
            <w:r>
              <w:rPr>
                <w:highlight w:val="none"/>
              </w:rPr>
              <w:t>在</w:t>
            </w:r>
            <w:r>
              <w:rPr>
                <w:rFonts w:hint="eastAsia"/>
                <w:highlight w:val="none"/>
              </w:rPr>
              <w:t>设备实施</w:t>
            </w:r>
            <w:r>
              <w:rPr>
                <w:highlight w:val="none"/>
              </w:rPr>
              <w:t>远程</w:t>
            </w:r>
            <w:r>
              <w:rPr>
                <w:rFonts w:hint="eastAsia"/>
                <w:highlight w:val="none"/>
              </w:rPr>
              <w:t>运维</w:t>
            </w:r>
            <w:r>
              <w:rPr>
                <w:highlight w:val="none"/>
              </w:rPr>
              <w:t>管理时，对</w:t>
            </w:r>
            <w:r>
              <w:rPr>
                <w:rFonts w:hint="eastAsia"/>
                <w:highlight w:val="none"/>
              </w:rPr>
              <w:t>设备的运维</w:t>
            </w:r>
            <w:r>
              <w:rPr>
                <w:highlight w:val="none"/>
              </w:rPr>
              <w:t>管理</w:t>
            </w:r>
            <w:r>
              <w:rPr>
                <w:rFonts w:hint="eastAsia"/>
                <w:highlight w:val="none"/>
              </w:rPr>
              <w:t>通道进行</w:t>
            </w:r>
            <w:r>
              <w:rPr>
                <w:highlight w:val="none"/>
              </w:rPr>
              <w:t>保护，防止</w:t>
            </w:r>
            <w:r>
              <w:rPr>
                <w:rFonts w:hint="eastAsia"/>
                <w:highlight w:val="none"/>
              </w:rPr>
              <w:t>运维管理数据</w:t>
            </w:r>
            <w:r>
              <w:rPr>
                <w:highlight w:val="none"/>
              </w:rPr>
              <w:t>泄漏</w:t>
            </w:r>
            <w:r>
              <w:rPr>
                <w:rFonts w:hint="eastAsia"/>
                <w:highlight w:val="none"/>
              </w:rPr>
              <w:t>。</w:t>
            </w:r>
          </w:p>
        </w:tc>
        <w:tc>
          <w:tcPr>
            <w:tcW w:w="1573" w:type="dxa"/>
            <w:noWrap w:val="0"/>
            <w:vAlign w:val="center"/>
          </w:tcPr>
          <w:p w14:paraId="55B430C1">
            <w:pPr>
              <w:pStyle w:val="16"/>
              <w:rPr>
                <w:highlight w:val="none"/>
              </w:rPr>
            </w:pPr>
            <w:r>
              <w:rPr>
                <w:highlight w:val="none"/>
              </w:rPr>
              <w:t>无</w:t>
            </w:r>
          </w:p>
        </w:tc>
      </w:tr>
      <w:tr w14:paraId="6AA58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13EB1FB4">
            <w:pPr>
              <w:pStyle w:val="16"/>
              <w:rPr>
                <w:highlight w:val="none"/>
              </w:rPr>
            </w:pPr>
          </w:p>
        </w:tc>
        <w:tc>
          <w:tcPr>
            <w:tcW w:w="858" w:type="dxa"/>
            <w:vMerge w:val="continue"/>
            <w:noWrap w:val="0"/>
            <w:vAlign w:val="center"/>
          </w:tcPr>
          <w:p w14:paraId="0BA51AE3">
            <w:pPr>
              <w:pStyle w:val="16"/>
              <w:rPr>
                <w:highlight w:val="none"/>
              </w:rPr>
            </w:pPr>
          </w:p>
        </w:tc>
        <w:tc>
          <w:tcPr>
            <w:tcW w:w="2286" w:type="dxa"/>
            <w:noWrap w:val="0"/>
            <w:vAlign w:val="center"/>
          </w:tcPr>
          <w:p w14:paraId="0C5425BA">
            <w:pPr>
              <w:pStyle w:val="16"/>
              <w:rPr>
                <w:highlight w:val="none"/>
              </w:rPr>
            </w:pPr>
            <w:r>
              <w:rPr>
                <w:rFonts w:hint="eastAsia"/>
                <w:highlight w:val="none"/>
              </w:rPr>
              <w:t>系统资源访问控制信息完整性</w:t>
            </w:r>
          </w:p>
        </w:tc>
        <w:tc>
          <w:tcPr>
            <w:tcW w:w="3715" w:type="dxa"/>
            <w:noWrap w:val="0"/>
            <w:vAlign w:val="center"/>
          </w:tcPr>
          <w:p w14:paraId="447BB079">
            <w:pPr>
              <w:pStyle w:val="16"/>
              <w:rPr>
                <w:highlight w:val="none"/>
              </w:rPr>
            </w:pPr>
            <w:r>
              <w:rPr>
                <w:highlight w:val="none"/>
              </w:rPr>
              <w:t>保护系统中服务器</w:t>
            </w:r>
            <w:r>
              <w:rPr>
                <w:rFonts w:hint="eastAsia"/>
                <w:highlight w:val="none"/>
              </w:rPr>
              <w:t>虚拟机、数据库、密码</w:t>
            </w:r>
            <w:r>
              <w:rPr>
                <w:rFonts w:hint="eastAsia"/>
                <w:highlight w:val="none"/>
                <w:lang w:val="en-US"/>
              </w:rPr>
              <w:t>服务</w:t>
            </w:r>
            <w:r>
              <w:rPr>
                <w:rFonts w:hint="eastAsia"/>
                <w:highlight w:val="none"/>
              </w:rPr>
              <w:t>的</w:t>
            </w:r>
            <w:r>
              <w:rPr>
                <w:highlight w:val="none"/>
              </w:rPr>
              <w:t>访问控制信息的完整性，防止被非授权篡改</w:t>
            </w:r>
            <w:r>
              <w:rPr>
                <w:rFonts w:hint="eastAsia"/>
                <w:highlight w:val="none"/>
              </w:rPr>
              <w:t>。</w:t>
            </w:r>
          </w:p>
        </w:tc>
        <w:tc>
          <w:tcPr>
            <w:tcW w:w="1573" w:type="dxa"/>
            <w:noWrap w:val="0"/>
            <w:vAlign w:val="center"/>
          </w:tcPr>
          <w:p w14:paraId="5731A3F4">
            <w:pPr>
              <w:pStyle w:val="16"/>
              <w:rPr>
                <w:highlight w:val="none"/>
              </w:rPr>
            </w:pPr>
            <w:r>
              <w:rPr>
                <w:highlight w:val="none"/>
              </w:rPr>
              <w:t>无</w:t>
            </w:r>
          </w:p>
        </w:tc>
      </w:tr>
      <w:tr w14:paraId="3390B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6F216DC3">
            <w:pPr>
              <w:pStyle w:val="16"/>
              <w:rPr>
                <w:highlight w:val="none"/>
              </w:rPr>
            </w:pPr>
          </w:p>
        </w:tc>
        <w:tc>
          <w:tcPr>
            <w:tcW w:w="858" w:type="dxa"/>
            <w:vMerge w:val="continue"/>
            <w:noWrap w:val="0"/>
            <w:vAlign w:val="center"/>
          </w:tcPr>
          <w:p w14:paraId="631D1FB0">
            <w:pPr>
              <w:pStyle w:val="16"/>
              <w:rPr>
                <w:highlight w:val="none"/>
              </w:rPr>
            </w:pPr>
          </w:p>
        </w:tc>
        <w:tc>
          <w:tcPr>
            <w:tcW w:w="2286" w:type="dxa"/>
            <w:noWrap w:val="0"/>
            <w:vAlign w:val="center"/>
          </w:tcPr>
          <w:p w14:paraId="528CD2FD">
            <w:pPr>
              <w:pStyle w:val="16"/>
              <w:rPr>
                <w:highlight w:val="none"/>
              </w:rPr>
            </w:pPr>
            <w:r>
              <w:rPr>
                <w:rFonts w:hint="eastAsia"/>
                <w:highlight w:val="none"/>
              </w:rPr>
              <w:t>日志记录完整性</w:t>
            </w:r>
          </w:p>
        </w:tc>
        <w:tc>
          <w:tcPr>
            <w:tcW w:w="3715" w:type="dxa"/>
            <w:noWrap w:val="0"/>
            <w:vAlign w:val="center"/>
          </w:tcPr>
          <w:p w14:paraId="4557D259">
            <w:pPr>
              <w:pStyle w:val="16"/>
              <w:rPr>
                <w:highlight w:val="none"/>
              </w:rPr>
            </w:pPr>
            <w:r>
              <w:rPr>
                <w:highlight w:val="none"/>
              </w:rPr>
              <w:t>保护系统中服务器</w:t>
            </w:r>
            <w:r>
              <w:rPr>
                <w:rFonts w:hint="eastAsia"/>
                <w:highlight w:val="none"/>
              </w:rPr>
              <w:t>虚拟机、数据库、密码</w:t>
            </w:r>
            <w:r>
              <w:rPr>
                <w:rFonts w:hint="eastAsia"/>
                <w:highlight w:val="none"/>
                <w:lang w:val="en-US"/>
              </w:rPr>
              <w:t>服务</w:t>
            </w:r>
            <w:r>
              <w:rPr>
                <w:rFonts w:hint="eastAsia"/>
                <w:highlight w:val="none"/>
              </w:rPr>
              <w:t>的</w:t>
            </w:r>
            <w:r>
              <w:rPr>
                <w:highlight w:val="none"/>
              </w:rPr>
              <w:t>日志记录的完整性，防止被非授权篡改</w:t>
            </w:r>
            <w:r>
              <w:rPr>
                <w:rFonts w:hint="eastAsia"/>
                <w:highlight w:val="none"/>
              </w:rPr>
              <w:t>。</w:t>
            </w:r>
          </w:p>
        </w:tc>
        <w:tc>
          <w:tcPr>
            <w:tcW w:w="1573" w:type="dxa"/>
            <w:noWrap w:val="0"/>
            <w:vAlign w:val="center"/>
          </w:tcPr>
          <w:p w14:paraId="20495162">
            <w:pPr>
              <w:pStyle w:val="16"/>
              <w:rPr>
                <w:highlight w:val="none"/>
              </w:rPr>
            </w:pPr>
            <w:r>
              <w:rPr>
                <w:highlight w:val="none"/>
              </w:rPr>
              <w:t>无</w:t>
            </w:r>
          </w:p>
        </w:tc>
      </w:tr>
      <w:tr w14:paraId="105B3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5FD983AE">
            <w:pPr>
              <w:pStyle w:val="16"/>
              <w:rPr>
                <w:highlight w:val="none"/>
              </w:rPr>
            </w:pPr>
          </w:p>
        </w:tc>
        <w:tc>
          <w:tcPr>
            <w:tcW w:w="858" w:type="dxa"/>
            <w:vMerge w:val="continue"/>
            <w:noWrap w:val="0"/>
            <w:vAlign w:val="center"/>
          </w:tcPr>
          <w:p w14:paraId="724FD230">
            <w:pPr>
              <w:pStyle w:val="16"/>
              <w:rPr>
                <w:highlight w:val="none"/>
              </w:rPr>
            </w:pPr>
          </w:p>
        </w:tc>
        <w:tc>
          <w:tcPr>
            <w:tcW w:w="2286" w:type="dxa"/>
            <w:noWrap w:val="0"/>
            <w:vAlign w:val="center"/>
          </w:tcPr>
          <w:p w14:paraId="2603598E">
            <w:pPr>
              <w:pStyle w:val="16"/>
              <w:rPr>
                <w:highlight w:val="none"/>
              </w:rPr>
            </w:pPr>
            <w:r>
              <w:rPr>
                <w:rFonts w:hint="eastAsia"/>
                <w:highlight w:val="none"/>
              </w:rPr>
              <w:t>重要可执行程序完整性、</w:t>
            </w:r>
          </w:p>
          <w:p w14:paraId="3195308C">
            <w:pPr>
              <w:pStyle w:val="16"/>
              <w:rPr>
                <w:highlight w:val="none"/>
              </w:rPr>
            </w:pPr>
            <w:r>
              <w:rPr>
                <w:rFonts w:hint="eastAsia"/>
                <w:highlight w:val="none"/>
              </w:rPr>
              <w:t>来源真实性</w:t>
            </w:r>
          </w:p>
        </w:tc>
        <w:tc>
          <w:tcPr>
            <w:tcW w:w="3715" w:type="dxa"/>
            <w:noWrap w:val="0"/>
            <w:vAlign w:val="center"/>
          </w:tcPr>
          <w:p w14:paraId="46F72F4A">
            <w:pPr>
              <w:pStyle w:val="16"/>
              <w:rPr>
                <w:highlight w:val="none"/>
              </w:rPr>
            </w:pPr>
            <w:r>
              <w:rPr>
                <w:highlight w:val="none"/>
              </w:rPr>
              <w:t>保护</w:t>
            </w:r>
            <w:r>
              <w:rPr>
                <w:rFonts w:hint="eastAsia"/>
                <w:highlight w:val="none"/>
              </w:rPr>
              <w:t>应用</w:t>
            </w:r>
            <w:r>
              <w:rPr>
                <w:highlight w:val="none"/>
              </w:rPr>
              <w:t>服务器等设备中</w:t>
            </w:r>
            <w:r>
              <w:rPr>
                <w:rFonts w:hint="eastAsia"/>
                <w:highlight w:val="none"/>
              </w:rPr>
              <w:t>部署的</w:t>
            </w:r>
            <w:r>
              <w:rPr>
                <w:highlight w:val="none"/>
              </w:rPr>
              <w:t>重要可执行程序的完整性</w:t>
            </w:r>
            <w:r>
              <w:rPr>
                <w:rFonts w:hint="eastAsia"/>
                <w:highlight w:val="none"/>
              </w:rPr>
              <w:t>和来源真实性</w:t>
            </w:r>
            <w:r>
              <w:rPr>
                <w:highlight w:val="none"/>
              </w:rPr>
              <w:t>，防止被非授权篡改</w:t>
            </w:r>
            <w:r>
              <w:rPr>
                <w:rFonts w:hint="eastAsia"/>
                <w:highlight w:val="none"/>
              </w:rPr>
              <w:t>。</w:t>
            </w:r>
          </w:p>
        </w:tc>
        <w:tc>
          <w:tcPr>
            <w:tcW w:w="1573" w:type="dxa"/>
            <w:noWrap w:val="0"/>
            <w:vAlign w:val="center"/>
          </w:tcPr>
          <w:p w14:paraId="7C4A1A1D">
            <w:pPr>
              <w:pStyle w:val="16"/>
              <w:rPr>
                <w:highlight w:val="none"/>
              </w:rPr>
            </w:pPr>
            <w:r>
              <w:rPr>
                <w:highlight w:val="none"/>
              </w:rPr>
              <w:t>无</w:t>
            </w:r>
          </w:p>
        </w:tc>
      </w:tr>
      <w:tr w14:paraId="55EDF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3B6C186F">
            <w:pPr>
              <w:pStyle w:val="16"/>
              <w:rPr>
                <w:highlight w:val="none"/>
              </w:rPr>
            </w:pPr>
          </w:p>
        </w:tc>
        <w:tc>
          <w:tcPr>
            <w:tcW w:w="858" w:type="dxa"/>
            <w:vMerge w:val="continue"/>
            <w:noWrap w:val="0"/>
            <w:vAlign w:val="center"/>
          </w:tcPr>
          <w:p w14:paraId="523E2AF0">
            <w:pPr>
              <w:pStyle w:val="16"/>
              <w:rPr>
                <w:highlight w:val="none"/>
              </w:rPr>
            </w:pPr>
          </w:p>
        </w:tc>
        <w:tc>
          <w:tcPr>
            <w:tcW w:w="2286" w:type="dxa"/>
            <w:noWrap w:val="0"/>
            <w:vAlign w:val="center"/>
          </w:tcPr>
          <w:p w14:paraId="5C8E300E">
            <w:pPr>
              <w:pStyle w:val="16"/>
              <w:rPr>
                <w:highlight w:val="none"/>
              </w:rPr>
            </w:pPr>
            <w:r>
              <w:rPr>
                <w:rFonts w:hint="eastAsia"/>
                <w:highlight w:val="none"/>
              </w:rPr>
              <w:t>密码产品</w:t>
            </w:r>
          </w:p>
        </w:tc>
        <w:tc>
          <w:tcPr>
            <w:tcW w:w="3715" w:type="dxa"/>
            <w:noWrap w:val="0"/>
            <w:vAlign w:val="center"/>
          </w:tcPr>
          <w:p w14:paraId="20D0D7C4">
            <w:pPr>
              <w:pStyle w:val="16"/>
              <w:rPr>
                <w:highlight w:val="none"/>
              </w:rPr>
            </w:pPr>
            <w:r>
              <w:rPr>
                <w:rFonts w:hint="eastAsia"/>
                <w:highlight w:val="none"/>
              </w:rPr>
              <w:t>采用的密码产品应达到</w:t>
            </w:r>
            <w:r>
              <w:rPr>
                <w:highlight w:val="none"/>
              </w:rPr>
              <w:t>GB/T 37092</w:t>
            </w:r>
            <w:r>
              <w:rPr>
                <w:rFonts w:hint="eastAsia"/>
                <w:highlight w:val="none"/>
              </w:rPr>
              <w:t>-2018二级及以上安全要求。</w:t>
            </w:r>
          </w:p>
        </w:tc>
        <w:tc>
          <w:tcPr>
            <w:tcW w:w="1573" w:type="dxa"/>
            <w:noWrap w:val="0"/>
            <w:vAlign w:val="center"/>
          </w:tcPr>
          <w:p w14:paraId="2CCDD19D">
            <w:pPr>
              <w:pStyle w:val="16"/>
              <w:rPr>
                <w:highlight w:val="none"/>
              </w:rPr>
            </w:pPr>
            <w:r>
              <w:rPr>
                <w:rFonts w:hint="eastAsia"/>
                <w:highlight w:val="none"/>
              </w:rPr>
              <w:t>无</w:t>
            </w:r>
          </w:p>
        </w:tc>
      </w:tr>
      <w:tr w14:paraId="4EB5D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noWrap w:val="0"/>
            <w:vAlign w:val="center"/>
          </w:tcPr>
          <w:p w14:paraId="2801E8CC">
            <w:pPr>
              <w:pStyle w:val="16"/>
              <w:rPr>
                <w:highlight w:val="none"/>
              </w:rPr>
            </w:pPr>
            <w:r>
              <w:rPr>
                <w:rFonts w:hint="eastAsia"/>
                <w:highlight w:val="none"/>
              </w:rPr>
              <w:t>业务应用安全</w:t>
            </w:r>
          </w:p>
        </w:tc>
        <w:tc>
          <w:tcPr>
            <w:tcW w:w="858" w:type="dxa"/>
            <w:vMerge w:val="restart"/>
            <w:noWrap w:val="0"/>
            <w:vAlign w:val="center"/>
          </w:tcPr>
          <w:p w14:paraId="0F59F1E9">
            <w:pPr>
              <w:pStyle w:val="16"/>
              <w:rPr>
                <w:highlight w:val="none"/>
              </w:rPr>
            </w:pPr>
            <w:r>
              <w:rPr>
                <w:rFonts w:hint="eastAsia"/>
                <w:highlight w:val="none"/>
              </w:rPr>
              <w:t>应用和数据安全</w:t>
            </w:r>
          </w:p>
        </w:tc>
        <w:tc>
          <w:tcPr>
            <w:tcW w:w="2286" w:type="dxa"/>
            <w:noWrap w:val="0"/>
            <w:vAlign w:val="center"/>
          </w:tcPr>
          <w:p w14:paraId="051AA859">
            <w:pPr>
              <w:pStyle w:val="16"/>
              <w:rPr>
                <w:highlight w:val="none"/>
              </w:rPr>
            </w:pPr>
            <w:r>
              <w:rPr>
                <w:rFonts w:hint="eastAsia"/>
                <w:highlight w:val="none"/>
              </w:rPr>
              <w:t>身份鉴别</w:t>
            </w:r>
          </w:p>
        </w:tc>
        <w:tc>
          <w:tcPr>
            <w:tcW w:w="3715" w:type="dxa"/>
            <w:noWrap w:val="0"/>
            <w:vAlign w:val="center"/>
          </w:tcPr>
          <w:p w14:paraId="44D6843C">
            <w:pPr>
              <w:pStyle w:val="16"/>
              <w:rPr>
                <w:highlight w:val="none"/>
              </w:rPr>
            </w:pPr>
            <w:r>
              <w:rPr>
                <w:highlight w:val="none"/>
              </w:rPr>
              <w:t>确认</w:t>
            </w:r>
            <w:r>
              <w:rPr>
                <w:rFonts w:hint="eastAsia"/>
                <w:highlight w:val="none"/>
              </w:rPr>
              <w:t>应用系统</w:t>
            </w:r>
            <w:r>
              <w:rPr>
                <w:highlight w:val="none"/>
              </w:rPr>
              <w:t>用户身份的真实性，防止假冒人员登录</w:t>
            </w:r>
            <w:r>
              <w:rPr>
                <w:rFonts w:hint="eastAsia"/>
                <w:highlight w:val="none"/>
              </w:rPr>
              <w:t>。</w:t>
            </w:r>
          </w:p>
        </w:tc>
        <w:tc>
          <w:tcPr>
            <w:tcW w:w="1573" w:type="dxa"/>
            <w:noWrap w:val="0"/>
            <w:vAlign w:val="center"/>
          </w:tcPr>
          <w:p w14:paraId="048177CD">
            <w:pPr>
              <w:pStyle w:val="16"/>
              <w:rPr>
                <w:highlight w:val="none"/>
              </w:rPr>
            </w:pPr>
            <w:r>
              <w:rPr>
                <w:highlight w:val="none"/>
              </w:rPr>
              <w:t>无</w:t>
            </w:r>
          </w:p>
        </w:tc>
      </w:tr>
      <w:tr w14:paraId="70CBC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784F1B42">
            <w:pPr>
              <w:pStyle w:val="16"/>
              <w:rPr>
                <w:highlight w:val="none"/>
              </w:rPr>
            </w:pPr>
          </w:p>
        </w:tc>
        <w:tc>
          <w:tcPr>
            <w:tcW w:w="858" w:type="dxa"/>
            <w:vMerge w:val="continue"/>
            <w:noWrap w:val="0"/>
            <w:vAlign w:val="center"/>
          </w:tcPr>
          <w:p w14:paraId="2059E1FA">
            <w:pPr>
              <w:pStyle w:val="16"/>
              <w:rPr>
                <w:highlight w:val="none"/>
              </w:rPr>
            </w:pPr>
          </w:p>
        </w:tc>
        <w:tc>
          <w:tcPr>
            <w:tcW w:w="2286" w:type="dxa"/>
            <w:noWrap w:val="0"/>
            <w:vAlign w:val="center"/>
          </w:tcPr>
          <w:p w14:paraId="57344DDA">
            <w:pPr>
              <w:pStyle w:val="16"/>
              <w:rPr>
                <w:highlight w:val="none"/>
              </w:rPr>
            </w:pPr>
            <w:r>
              <w:rPr>
                <w:rFonts w:hint="eastAsia"/>
                <w:highlight w:val="none"/>
              </w:rPr>
              <w:t>访问控制信息完整性</w:t>
            </w:r>
          </w:p>
        </w:tc>
        <w:tc>
          <w:tcPr>
            <w:tcW w:w="3715" w:type="dxa"/>
            <w:noWrap w:val="0"/>
            <w:vAlign w:val="center"/>
          </w:tcPr>
          <w:p w14:paraId="01A1BB40">
            <w:pPr>
              <w:pStyle w:val="16"/>
              <w:rPr>
                <w:highlight w:val="none"/>
              </w:rPr>
            </w:pPr>
            <w:r>
              <w:rPr>
                <w:highlight w:val="none"/>
              </w:rPr>
              <w:t>对</w:t>
            </w:r>
            <w:r>
              <w:rPr>
                <w:rFonts w:hint="eastAsia"/>
                <w:highlight w:val="none"/>
              </w:rPr>
              <w:t>应用系统</w:t>
            </w:r>
            <w:r>
              <w:rPr>
                <w:highlight w:val="none"/>
              </w:rPr>
              <w:t>的访问权限控制列表进行完整性保护，防止被非授权篡改</w:t>
            </w:r>
            <w:r>
              <w:rPr>
                <w:rFonts w:hint="eastAsia"/>
                <w:highlight w:val="none"/>
              </w:rPr>
              <w:t>。</w:t>
            </w:r>
          </w:p>
        </w:tc>
        <w:tc>
          <w:tcPr>
            <w:tcW w:w="1573" w:type="dxa"/>
            <w:noWrap w:val="0"/>
            <w:vAlign w:val="center"/>
          </w:tcPr>
          <w:p w14:paraId="56571708">
            <w:pPr>
              <w:pStyle w:val="16"/>
              <w:rPr>
                <w:highlight w:val="none"/>
              </w:rPr>
            </w:pPr>
            <w:r>
              <w:rPr>
                <w:highlight w:val="none"/>
              </w:rPr>
              <w:t>无</w:t>
            </w:r>
          </w:p>
        </w:tc>
      </w:tr>
      <w:tr w14:paraId="39B8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noWrap w:val="0"/>
            <w:vAlign w:val="center"/>
          </w:tcPr>
          <w:p w14:paraId="55085FD4">
            <w:pPr>
              <w:pStyle w:val="16"/>
              <w:rPr>
                <w:highlight w:val="none"/>
              </w:rPr>
            </w:pPr>
          </w:p>
        </w:tc>
        <w:tc>
          <w:tcPr>
            <w:tcW w:w="858" w:type="dxa"/>
            <w:vMerge w:val="continue"/>
            <w:noWrap w:val="0"/>
            <w:vAlign w:val="center"/>
          </w:tcPr>
          <w:p w14:paraId="5DC1270C">
            <w:pPr>
              <w:pStyle w:val="16"/>
              <w:rPr>
                <w:highlight w:val="none"/>
              </w:rPr>
            </w:pPr>
          </w:p>
        </w:tc>
        <w:tc>
          <w:tcPr>
            <w:tcW w:w="2286" w:type="dxa"/>
            <w:noWrap w:val="0"/>
            <w:vAlign w:val="center"/>
          </w:tcPr>
          <w:p w14:paraId="12E583F8">
            <w:pPr>
              <w:pStyle w:val="16"/>
              <w:rPr>
                <w:highlight w:val="none"/>
              </w:rPr>
            </w:pPr>
            <w:r>
              <w:rPr>
                <w:rFonts w:hint="eastAsia"/>
                <w:highlight w:val="none"/>
              </w:rPr>
              <w:t>数据传输机密性</w:t>
            </w:r>
          </w:p>
        </w:tc>
        <w:tc>
          <w:tcPr>
            <w:tcW w:w="3715" w:type="dxa"/>
            <w:vMerge w:val="restart"/>
            <w:noWrap w:val="0"/>
            <w:vAlign w:val="center"/>
          </w:tcPr>
          <w:p w14:paraId="3E8ED009">
            <w:pPr>
              <w:pStyle w:val="16"/>
              <w:rPr>
                <w:highlight w:val="none"/>
              </w:rPr>
            </w:pPr>
            <w:r>
              <w:rPr>
                <w:rFonts w:hint="eastAsia"/>
                <w:highlight w:val="none"/>
              </w:rPr>
              <w:t>保护互联网客户端与服务端之间传输和存储的用户登录身份鉴别信息、业务流转数据等重要数据的机密性和完整性，防止数据泄露给非授权的个人、进程等。保护系统业务日志数据的完整性，防止该数据被非授权篡改。</w:t>
            </w:r>
          </w:p>
        </w:tc>
        <w:tc>
          <w:tcPr>
            <w:tcW w:w="1573" w:type="dxa"/>
            <w:vMerge w:val="restart"/>
            <w:noWrap w:val="0"/>
            <w:vAlign w:val="center"/>
          </w:tcPr>
          <w:p w14:paraId="220324E4">
            <w:pPr>
              <w:pStyle w:val="16"/>
              <w:rPr>
                <w:highlight w:val="none"/>
              </w:rPr>
            </w:pPr>
            <w:r>
              <w:rPr>
                <w:rFonts w:hint="eastAsia"/>
                <w:highlight w:val="none"/>
              </w:rPr>
              <w:t>无</w:t>
            </w:r>
          </w:p>
        </w:tc>
      </w:tr>
      <w:tr w14:paraId="728D7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noWrap w:val="0"/>
            <w:vAlign w:val="center"/>
          </w:tcPr>
          <w:p w14:paraId="4CA37034">
            <w:pPr>
              <w:pStyle w:val="16"/>
              <w:rPr>
                <w:highlight w:val="none"/>
              </w:rPr>
            </w:pPr>
          </w:p>
        </w:tc>
        <w:tc>
          <w:tcPr>
            <w:tcW w:w="858" w:type="dxa"/>
            <w:vMerge w:val="continue"/>
            <w:noWrap w:val="0"/>
            <w:vAlign w:val="center"/>
          </w:tcPr>
          <w:p w14:paraId="29F2ACBD">
            <w:pPr>
              <w:pStyle w:val="16"/>
              <w:rPr>
                <w:highlight w:val="none"/>
              </w:rPr>
            </w:pPr>
          </w:p>
        </w:tc>
        <w:tc>
          <w:tcPr>
            <w:tcW w:w="2286" w:type="dxa"/>
            <w:noWrap w:val="0"/>
            <w:vAlign w:val="center"/>
          </w:tcPr>
          <w:p w14:paraId="295336BD">
            <w:pPr>
              <w:pStyle w:val="16"/>
              <w:rPr>
                <w:highlight w:val="none"/>
              </w:rPr>
            </w:pPr>
            <w:r>
              <w:rPr>
                <w:rFonts w:hint="eastAsia"/>
                <w:highlight w:val="none"/>
              </w:rPr>
              <w:t>数据存储机密性</w:t>
            </w:r>
          </w:p>
        </w:tc>
        <w:tc>
          <w:tcPr>
            <w:tcW w:w="3715" w:type="dxa"/>
            <w:vMerge w:val="continue"/>
            <w:noWrap w:val="0"/>
            <w:vAlign w:val="center"/>
          </w:tcPr>
          <w:p w14:paraId="789EFC7B">
            <w:pPr>
              <w:pStyle w:val="16"/>
              <w:rPr>
                <w:highlight w:val="none"/>
              </w:rPr>
            </w:pPr>
          </w:p>
        </w:tc>
        <w:tc>
          <w:tcPr>
            <w:tcW w:w="1573" w:type="dxa"/>
            <w:vMerge w:val="continue"/>
            <w:noWrap w:val="0"/>
            <w:vAlign w:val="center"/>
          </w:tcPr>
          <w:p w14:paraId="40326006">
            <w:pPr>
              <w:pStyle w:val="16"/>
              <w:rPr>
                <w:highlight w:val="none"/>
              </w:rPr>
            </w:pPr>
          </w:p>
        </w:tc>
      </w:tr>
      <w:tr w14:paraId="2A4B4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noWrap w:val="0"/>
            <w:vAlign w:val="center"/>
          </w:tcPr>
          <w:p w14:paraId="1B8275CE">
            <w:pPr>
              <w:pStyle w:val="16"/>
              <w:rPr>
                <w:highlight w:val="none"/>
              </w:rPr>
            </w:pPr>
          </w:p>
        </w:tc>
        <w:tc>
          <w:tcPr>
            <w:tcW w:w="858" w:type="dxa"/>
            <w:vMerge w:val="continue"/>
            <w:noWrap w:val="0"/>
            <w:vAlign w:val="center"/>
          </w:tcPr>
          <w:p w14:paraId="7DD7410A">
            <w:pPr>
              <w:pStyle w:val="16"/>
              <w:rPr>
                <w:highlight w:val="none"/>
              </w:rPr>
            </w:pPr>
          </w:p>
        </w:tc>
        <w:tc>
          <w:tcPr>
            <w:tcW w:w="2286" w:type="dxa"/>
            <w:noWrap w:val="0"/>
            <w:vAlign w:val="center"/>
          </w:tcPr>
          <w:p w14:paraId="67F1ED81">
            <w:pPr>
              <w:pStyle w:val="16"/>
              <w:rPr>
                <w:highlight w:val="none"/>
              </w:rPr>
            </w:pPr>
            <w:r>
              <w:rPr>
                <w:rFonts w:hint="eastAsia"/>
                <w:highlight w:val="none"/>
              </w:rPr>
              <w:t>数据传输完整性</w:t>
            </w:r>
          </w:p>
        </w:tc>
        <w:tc>
          <w:tcPr>
            <w:tcW w:w="3715" w:type="dxa"/>
            <w:vMerge w:val="continue"/>
            <w:noWrap w:val="0"/>
            <w:vAlign w:val="center"/>
          </w:tcPr>
          <w:p w14:paraId="78045E1E">
            <w:pPr>
              <w:pStyle w:val="16"/>
              <w:rPr>
                <w:highlight w:val="none"/>
              </w:rPr>
            </w:pPr>
          </w:p>
        </w:tc>
        <w:tc>
          <w:tcPr>
            <w:tcW w:w="1573" w:type="dxa"/>
            <w:vMerge w:val="continue"/>
            <w:noWrap w:val="0"/>
            <w:vAlign w:val="center"/>
          </w:tcPr>
          <w:p w14:paraId="1E4A6E9B">
            <w:pPr>
              <w:pStyle w:val="16"/>
              <w:rPr>
                <w:highlight w:val="none"/>
              </w:rPr>
            </w:pPr>
          </w:p>
        </w:tc>
      </w:tr>
      <w:tr w14:paraId="55BA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noWrap w:val="0"/>
            <w:vAlign w:val="center"/>
          </w:tcPr>
          <w:p w14:paraId="2323D56E">
            <w:pPr>
              <w:pStyle w:val="16"/>
              <w:rPr>
                <w:highlight w:val="none"/>
              </w:rPr>
            </w:pPr>
          </w:p>
        </w:tc>
        <w:tc>
          <w:tcPr>
            <w:tcW w:w="858" w:type="dxa"/>
            <w:vMerge w:val="continue"/>
            <w:noWrap w:val="0"/>
            <w:vAlign w:val="center"/>
          </w:tcPr>
          <w:p w14:paraId="72F1D298">
            <w:pPr>
              <w:pStyle w:val="16"/>
              <w:rPr>
                <w:highlight w:val="none"/>
              </w:rPr>
            </w:pPr>
          </w:p>
        </w:tc>
        <w:tc>
          <w:tcPr>
            <w:tcW w:w="2286" w:type="dxa"/>
            <w:noWrap w:val="0"/>
            <w:vAlign w:val="center"/>
          </w:tcPr>
          <w:p w14:paraId="075B0791">
            <w:pPr>
              <w:pStyle w:val="16"/>
              <w:rPr>
                <w:highlight w:val="none"/>
              </w:rPr>
            </w:pPr>
            <w:r>
              <w:rPr>
                <w:rFonts w:hint="eastAsia"/>
                <w:highlight w:val="none"/>
              </w:rPr>
              <w:t>数据存储完整性</w:t>
            </w:r>
          </w:p>
        </w:tc>
        <w:tc>
          <w:tcPr>
            <w:tcW w:w="3715" w:type="dxa"/>
            <w:vMerge w:val="continue"/>
            <w:noWrap w:val="0"/>
            <w:vAlign w:val="center"/>
          </w:tcPr>
          <w:p w14:paraId="5B3744D4">
            <w:pPr>
              <w:pStyle w:val="16"/>
              <w:rPr>
                <w:highlight w:val="none"/>
              </w:rPr>
            </w:pPr>
          </w:p>
        </w:tc>
        <w:tc>
          <w:tcPr>
            <w:tcW w:w="1573" w:type="dxa"/>
            <w:vMerge w:val="continue"/>
            <w:noWrap w:val="0"/>
            <w:vAlign w:val="center"/>
          </w:tcPr>
          <w:p w14:paraId="2A65BBA2">
            <w:pPr>
              <w:pStyle w:val="16"/>
              <w:rPr>
                <w:highlight w:val="none"/>
              </w:rPr>
            </w:pPr>
          </w:p>
        </w:tc>
      </w:tr>
      <w:tr w14:paraId="72BDB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2408E959">
            <w:pPr>
              <w:pStyle w:val="16"/>
              <w:rPr>
                <w:highlight w:val="none"/>
              </w:rPr>
            </w:pPr>
          </w:p>
        </w:tc>
        <w:tc>
          <w:tcPr>
            <w:tcW w:w="858" w:type="dxa"/>
            <w:vMerge w:val="continue"/>
            <w:noWrap w:val="0"/>
            <w:vAlign w:val="center"/>
          </w:tcPr>
          <w:p w14:paraId="23611E19">
            <w:pPr>
              <w:pStyle w:val="16"/>
              <w:rPr>
                <w:highlight w:val="none"/>
              </w:rPr>
            </w:pPr>
          </w:p>
        </w:tc>
        <w:tc>
          <w:tcPr>
            <w:tcW w:w="2286" w:type="dxa"/>
            <w:noWrap w:val="0"/>
            <w:vAlign w:val="center"/>
          </w:tcPr>
          <w:p w14:paraId="2FAAE23C">
            <w:pPr>
              <w:pStyle w:val="16"/>
              <w:rPr>
                <w:highlight w:val="none"/>
              </w:rPr>
            </w:pPr>
            <w:r>
              <w:rPr>
                <w:rFonts w:hint="eastAsia"/>
                <w:highlight w:val="none"/>
              </w:rPr>
              <w:t>不可否认性</w:t>
            </w:r>
          </w:p>
        </w:tc>
        <w:tc>
          <w:tcPr>
            <w:tcW w:w="3715" w:type="dxa"/>
            <w:noWrap w:val="0"/>
            <w:vAlign w:val="center"/>
          </w:tcPr>
          <w:p w14:paraId="0205ADDB">
            <w:pPr>
              <w:pStyle w:val="16"/>
              <w:rPr>
                <w:highlight w:val="none"/>
              </w:rPr>
            </w:pPr>
            <w:r>
              <w:rPr>
                <w:highlight w:val="none"/>
              </w:rPr>
              <w:t>保护</w:t>
            </w:r>
            <w:r>
              <w:rPr>
                <w:rFonts w:hint="eastAsia"/>
                <w:highlight w:val="none"/>
              </w:rPr>
              <w:t>系统中流转审批</w:t>
            </w:r>
            <w:r>
              <w:rPr>
                <w:highlight w:val="none"/>
              </w:rPr>
              <w:t>数据的不可否认性，确保发送方对已经发生的操作行为无法否认</w:t>
            </w:r>
            <w:r>
              <w:rPr>
                <w:rFonts w:hint="eastAsia"/>
                <w:highlight w:val="none"/>
              </w:rPr>
              <w:t>。</w:t>
            </w:r>
          </w:p>
        </w:tc>
        <w:tc>
          <w:tcPr>
            <w:tcW w:w="1573" w:type="dxa"/>
            <w:noWrap w:val="0"/>
            <w:vAlign w:val="center"/>
          </w:tcPr>
          <w:p w14:paraId="4831FF56">
            <w:pPr>
              <w:pStyle w:val="16"/>
              <w:rPr>
                <w:highlight w:val="none"/>
              </w:rPr>
            </w:pPr>
            <w:r>
              <w:rPr>
                <w:rFonts w:hint="eastAsia"/>
                <w:highlight w:val="none"/>
              </w:rPr>
              <w:t>无</w:t>
            </w:r>
          </w:p>
        </w:tc>
      </w:tr>
      <w:tr w14:paraId="4751C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0D02A5BB">
            <w:pPr>
              <w:pStyle w:val="16"/>
              <w:rPr>
                <w:highlight w:val="none"/>
              </w:rPr>
            </w:pPr>
          </w:p>
        </w:tc>
        <w:tc>
          <w:tcPr>
            <w:tcW w:w="858" w:type="dxa"/>
            <w:vMerge w:val="continue"/>
            <w:noWrap w:val="0"/>
            <w:vAlign w:val="center"/>
          </w:tcPr>
          <w:p w14:paraId="39B4BBDB">
            <w:pPr>
              <w:pStyle w:val="16"/>
              <w:rPr>
                <w:highlight w:val="none"/>
              </w:rPr>
            </w:pPr>
          </w:p>
        </w:tc>
        <w:tc>
          <w:tcPr>
            <w:tcW w:w="2286" w:type="dxa"/>
            <w:noWrap w:val="0"/>
            <w:vAlign w:val="center"/>
          </w:tcPr>
          <w:p w14:paraId="36154B2A">
            <w:pPr>
              <w:pStyle w:val="16"/>
              <w:rPr>
                <w:highlight w:val="none"/>
              </w:rPr>
            </w:pPr>
            <w:r>
              <w:rPr>
                <w:rFonts w:hint="eastAsia"/>
                <w:highlight w:val="none"/>
              </w:rPr>
              <w:t>密码服务</w:t>
            </w:r>
          </w:p>
        </w:tc>
        <w:tc>
          <w:tcPr>
            <w:tcW w:w="3715" w:type="dxa"/>
            <w:noWrap w:val="0"/>
            <w:vAlign w:val="center"/>
          </w:tcPr>
          <w:p w14:paraId="52236B92">
            <w:pPr>
              <w:pStyle w:val="16"/>
              <w:rPr>
                <w:highlight w:val="none"/>
              </w:rPr>
            </w:pPr>
            <w:r>
              <w:rPr>
                <w:rFonts w:hint="eastAsia"/>
                <w:highlight w:val="none"/>
              </w:rPr>
              <w:t>采用的数字证书由具有电子认证服务资质的机构签发。</w:t>
            </w:r>
          </w:p>
        </w:tc>
        <w:tc>
          <w:tcPr>
            <w:tcW w:w="1573" w:type="dxa"/>
            <w:noWrap w:val="0"/>
            <w:vAlign w:val="center"/>
          </w:tcPr>
          <w:p w14:paraId="37DF9626">
            <w:pPr>
              <w:pStyle w:val="16"/>
              <w:rPr>
                <w:highlight w:val="none"/>
              </w:rPr>
            </w:pPr>
            <w:r>
              <w:rPr>
                <w:rFonts w:hint="eastAsia"/>
                <w:highlight w:val="none"/>
              </w:rPr>
              <w:t>无</w:t>
            </w:r>
          </w:p>
        </w:tc>
      </w:tr>
      <w:tr w14:paraId="115AB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noWrap w:val="0"/>
            <w:vAlign w:val="center"/>
          </w:tcPr>
          <w:p w14:paraId="13364DDD">
            <w:pPr>
              <w:pStyle w:val="16"/>
              <w:rPr>
                <w:highlight w:val="none"/>
              </w:rPr>
            </w:pPr>
          </w:p>
        </w:tc>
        <w:tc>
          <w:tcPr>
            <w:tcW w:w="858" w:type="dxa"/>
            <w:vMerge w:val="continue"/>
            <w:noWrap w:val="0"/>
            <w:vAlign w:val="center"/>
          </w:tcPr>
          <w:p w14:paraId="36A1BC04">
            <w:pPr>
              <w:pStyle w:val="16"/>
              <w:rPr>
                <w:highlight w:val="none"/>
              </w:rPr>
            </w:pPr>
          </w:p>
        </w:tc>
        <w:tc>
          <w:tcPr>
            <w:tcW w:w="2286" w:type="dxa"/>
            <w:noWrap w:val="0"/>
            <w:vAlign w:val="center"/>
          </w:tcPr>
          <w:p w14:paraId="7BFB9243">
            <w:pPr>
              <w:pStyle w:val="16"/>
              <w:rPr>
                <w:highlight w:val="none"/>
              </w:rPr>
            </w:pPr>
            <w:r>
              <w:rPr>
                <w:rFonts w:hint="eastAsia"/>
                <w:highlight w:val="none"/>
              </w:rPr>
              <w:t>密码产品</w:t>
            </w:r>
          </w:p>
        </w:tc>
        <w:tc>
          <w:tcPr>
            <w:tcW w:w="3715" w:type="dxa"/>
            <w:noWrap w:val="0"/>
            <w:vAlign w:val="center"/>
          </w:tcPr>
          <w:p w14:paraId="680BF1B7">
            <w:pPr>
              <w:pStyle w:val="16"/>
              <w:rPr>
                <w:highlight w:val="none"/>
              </w:rPr>
            </w:pPr>
            <w:r>
              <w:rPr>
                <w:rFonts w:hint="eastAsia"/>
                <w:highlight w:val="none"/>
              </w:rPr>
              <w:t>采用的密码产品，应达到</w:t>
            </w:r>
            <w:r>
              <w:rPr>
                <w:highlight w:val="none"/>
              </w:rPr>
              <w:t>GB/T 37092</w:t>
            </w:r>
            <w:r>
              <w:rPr>
                <w:rFonts w:hint="eastAsia"/>
                <w:highlight w:val="none"/>
              </w:rPr>
              <w:t>-2018二级及以上安全要求。</w:t>
            </w:r>
          </w:p>
        </w:tc>
        <w:tc>
          <w:tcPr>
            <w:tcW w:w="1573" w:type="dxa"/>
            <w:noWrap w:val="0"/>
            <w:vAlign w:val="center"/>
          </w:tcPr>
          <w:p w14:paraId="15F849DD">
            <w:pPr>
              <w:pStyle w:val="16"/>
              <w:rPr>
                <w:highlight w:val="none"/>
              </w:rPr>
            </w:pPr>
            <w:r>
              <w:rPr>
                <w:rFonts w:hint="eastAsia"/>
                <w:highlight w:val="none"/>
              </w:rPr>
              <w:t>无</w:t>
            </w:r>
          </w:p>
        </w:tc>
      </w:tr>
    </w:tbl>
    <w:p w14:paraId="76C96741">
      <w:pPr>
        <w:pStyle w:val="3"/>
        <w:rPr>
          <w:highlight w:val="none"/>
        </w:rPr>
      </w:pPr>
      <w:bookmarkStart w:id="32" w:name="_Toc63785512"/>
      <w:r>
        <w:rPr>
          <w:rFonts w:hint="eastAsia"/>
          <w:highlight w:val="none"/>
        </w:rPr>
        <w:t>技术文件要求</w:t>
      </w:r>
    </w:p>
    <w:p w14:paraId="4184D77F">
      <w:pPr>
        <w:rPr>
          <w:highlight w:val="none"/>
        </w:rPr>
      </w:pPr>
      <w:r>
        <w:rPr>
          <w:rFonts w:hint="eastAsia"/>
          <w:highlight w:val="none"/>
          <w:lang w:eastAsia="zh-CN"/>
        </w:rPr>
        <w:t>供应商</w:t>
      </w:r>
      <w:r>
        <w:rPr>
          <w:rFonts w:hint="eastAsia"/>
          <w:highlight w:val="none"/>
        </w:rPr>
        <w:t>提供的书面技术资料应能确保系统正常运行所需的管理、运营及维护有关的全套文件。技术文件应该全面、完整、详细。</w:t>
      </w:r>
      <w:r>
        <w:rPr>
          <w:rFonts w:hint="eastAsia"/>
          <w:highlight w:val="none"/>
          <w:lang w:eastAsia="zh-CN"/>
        </w:rPr>
        <w:t>供应商</w:t>
      </w:r>
      <w:r>
        <w:rPr>
          <w:rFonts w:hint="eastAsia"/>
          <w:highlight w:val="none"/>
        </w:rPr>
        <w:t>提供的技术文件至少应包括：</w:t>
      </w:r>
    </w:p>
    <w:p w14:paraId="05948F94">
      <w:pPr>
        <w:rPr>
          <w:highlight w:val="none"/>
        </w:rPr>
      </w:pPr>
      <w:r>
        <w:rPr>
          <w:rFonts w:hint="eastAsia"/>
          <w:highlight w:val="none"/>
        </w:rPr>
        <w:t>－</w:t>
      </w:r>
      <w:r>
        <w:rPr>
          <w:highlight w:val="none"/>
        </w:rPr>
        <w:t xml:space="preserve"> 系统说明文件； </w:t>
      </w:r>
    </w:p>
    <w:p w14:paraId="1B2B8ED2">
      <w:pPr>
        <w:rPr>
          <w:highlight w:val="none"/>
        </w:rPr>
      </w:pPr>
      <w:r>
        <w:rPr>
          <w:rFonts w:hint="eastAsia"/>
          <w:highlight w:val="none"/>
        </w:rPr>
        <w:t>－</w:t>
      </w:r>
      <w:r>
        <w:rPr>
          <w:highlight w:val="none"/>
        </w:rPr>
        <w:t xml:space="preserve"> 技术手册(安装、测试、操作、维护、故障排除等)； </w:t>
      </w:r>
    </w:p>
    <w:p w14:paraId="42EED5EE">
      <w:pPr>
        <w:rPr>
          <w:highlight w:val="none"/>
        </w:rPr>
      </w:pPr>
      <w:r>
        <w:rPr>
          <w:rFonts w:hint="eastAsia"/>
          <w:highlight w:val="none"/>
        </w:rPr>
        <w:t>－</w:t>
      </w:r>
      <w:r>
        <w:rPr>
          <w:highlight w:val="none"/>
        </w:rPr>
        <w:t xml:space="preserve"> 项目文档，应该包括：</w:t>
      </w:r>
    </w:p>
    <w:p w14:paraId="2E248B84">
      <w:pPr>
        <w:ind w:left="360"/>
        <w:rPr>
          <w:highlight w:val="none"/>
        </w:rPr>
      </w:pPr>
      <w:r>
        <w:rPr>
          <w:highlight w:val="none"/>
        </w:rPr>
        <w:t>(1)软件需求说明书</w:t>
      </w:r>
    </w:p>
    <w:p w14:paraId="076E7F46">
      <w:pPr>
        <w:ind w:left="360"/>
        <w:rPr>
          <w:highlight w:val="none"/>
        </w:rPr>
      </w:pPr>
      <w:r>
        <w:rPr>
          <w:highlight w:val="none"/>
        </w:rPr>
        <w:t>(2)</w:t>
      </w:r>
      <w:r>
        <w:rPr>
          <w:highlight w:val="none"/>
        </w:rPr>
        <w:tab/>
      </w:r>
      <w:r>
        <w:rPr>
          <w:highlight w:val="none"/>
        </w:rPr>
        <w:t>系统总体设计说明书</w:t>
      </w:r>
    </w:p>
    <w:p w14:paraId="179A4DCD">
      <w:pPr>
        <w:ind w:left="360"/>
        <w:rPr>
          <w:highlight w:val="none"/>
        </w:rPr>
      </w:pPr>
      <w:r>
        <w:rPr>
          <w:highlight w:val="none"/>
        </w:rPr>
        <w:t>(3)</w:t>
      </w:r>
      <w:r>
        <w:rPr>
          <w:highlight w:val="none"/>
        </w:rPr>
        <w:tab/>
      </w:r>
      <w:r>
        <w:rPr>
          <w:highlight w:val="none"/>
        </w:rPr>
        <w:t>应用软件功能清单</w:t>
      </w:r>
    </w:p>
    <w:p w14:paraId="372D9A3E">
      <w:pPr>
        <w:rPr>
          <w:highlight w:val="none"/>
        </w:rPr>
      </w:pPr>
      <w:r>
        <w:rPr>
          <w:rFonts w:hint="eastAsia"/>
          <w:highlight w:val="none"/>
        </w:rPr>
        <w:t>提供全套技术文件纸介质</w:t>
      </w:r>
      <w:r>
        <w:rPr>
          <w:highlight w:val="none"/>
        </w:rPr>
        <w:t>3套以及电子文件1套。</w:t>
      </w:r>
    </w:p>
    <w:p w14:paraId="0A25A707">
      <w:pPr>
        <w:pStyle w:val="2"/>
        <w:rPr>
          <w:highlight w:val="none"/>
        </w:rPr>
      </w:pPr>
      <w:r>
        <w:rPr>
          <w:rFonts w:hint="eastAsia"/>
          <w:highlight w:val="none"/>
        </w:rPr>
        <w:t>供应商资质要求</w:t>
      </w:r>
    </w:p>
    <w:p w14:paraId="1026D061">
      <w:pPr>
        <w:rPr>
          <w:highlight w:val="none"/>
        </w:rPr>
      </w:pPr>
      <w:r>
        <w:rPr>
          <w:highlight w:val="none"/>
        </w:rPr>
        <w:t>1、符合《中华人民共和国政府采购法》第二十二条规定的供应商。</w:t>
      </w:r>
    </w:p>
    <w:p w14:paraId="6FBF02A8">
      <w:pPr>
        <w:rPr>
          <w:highlight w:val="none"/>
        </w:rPr>
      </w:pPr>
      <w:r>
        <w:rPr>
          <w:highlight w:val="none"/>
        </w:rPr>
        <w:t>2、根据《上海市政府采购供应商登记及诚信管理办法》已登记入库的供应商。</w:t>
      </w:r>
    </w:p>
    <w:p w14:paraId="4F0E48BC">
      <w:pPr>
        <w:rPr>
          <w:highlight w:val="none"/>
        </w:rPr>
      </w:pPr>
      <w:r>
        <w:rPr>
          <w:highlight w:val="none"/>
        </w:rPr>
        <w:t>3、其他资格要求：</w:t>
      </w:r>
    </w:p>
    <w:p w14:paraId="2614A9B8">
      <w:pPr>
        <w:rPr>
          <w:highlight w:val="none"/>
        </w:rPr>
      </w:pPr>
      <w:r>
        <w:rPr>
          <w:highlight w:val="none"/>
        </w:rPr>
        <w:t>3.</w:t>
      </w:r>
      <w:r>
        <w:rPr>
          <w:rFonts w:hint="eastAsia"/>
          <w:highlight w:val="none"/>
        </w:rPr>
        <w:t>1</w:t>
      </w:r>
      <w:r>
        <w:rPr>
          <w:highlight w:val="none"/>
        </w:rPr>
        <w:t>本项目面向大、中、小、微型等各类供应商采购。</w:t>
      </w:r>
    </w:p>
    <w:p w14:paraId="6EB99D53">
      <w:pPr>
        <w:rPr>
          <w:highlight w:val="none"/>
        </w:rPr>
      </w:pPr>
      <w:r>
        <w:rPr>
          <w:highlight w:val="none"/>
        </w:rPr>
        <w:t>3.</w:t>
      </w:r>
      <w:r>
        <w:rPr>
          <w:rFonts w:hint="eastAsia"/>
          <w:highlight w:val="none"/>
        </w:rPr>
        <w:t>2</w:t>
      </w:r>
      <w:r>
        <w:rPr>
          <w:highlight w:val="none"/>
        </w:rPr>
        <w:t>未被列入“信用中国”网站(www.creditchina.gov.cn)失信被执行人名单、重大税收违法案件当事人名单和中国政府采购网(www.ccgp.gov.cn)政府采购严重违法失信行为记录名单。</w:t>
      </w:r>
    </w:p>
    <w:p w14:paraId="4C254F8C">
      <w:pPr>
        <w:pStyle w:val="2"/>
        <w:rPr>
          <w:highlight w:val="none"/>
        </w:rPr>
      </w:pPr>
      <w:r>
        <w:rPr>
          <w:rFonts w:hint="eastAsia"/>
          <w:highlight w:val="none"/>
        </w:rPr>
        <w:t>供应商管理要求</w:t>
      </w:r>
      <w:bookmarkEnd w:id="32"/>
    </w:p>
    <w:p w14:paraId="4C2D2F9D">
      <w:pPr>
        <w:pStyle w:val="80"/>
        <w:ind w:firstLine="480"/>
        <w:rPr>
          <w:sz w:val="24"/>
          <w:szCs w:val="24"/>
          <w:highlight w:val="none"/>
        </w:rPr>
      </w:pPr>
      <w:r>
        <w:rPr>
          <w:rFonts w:hint="eastAsia"/>
          <w:sz w:val="24"/>
          <w:szCs w:val="24"/>
          <w:highlight w:val="none"/>
        </w:rPr>
        <w:t>1、在项目实施期间，</w:t>
      </w:r>
      <w:r>
        <w:rPr>
          <w:rFonts w:hint="eastAsia"/>
          <w:sz w:val="24"/>
          <w:szCs w:val="24"/>
          <w:highlight w:val="none"/>
          <w:lang w:eastAsia="zh-CN"/>
        </w:rPr>
        <w:t>成交供应商</w:t>
      </w:r>
      <w:r>
        <w:rPr>
          <w:rFonts w:hint="eastAsia"/>
          <w:sz w:val="24"/>
          <w:szCs w:val="24"/>
          <w:highlight w:val="none"/>
        </w:rPr>
        <w:t>应严格执行国家、地方、行业有关本项目业务管理和安全作业的法律、法规和制度并按规定承担相应的费用。</w:t>
      </w:r>
      <w:r>
        <w:rPr>
          <w:rFonts w:hint="eastAsia"/>
          <w:sz w:val="24"/>
          <w:szCs w:val="24"/>
          <w:highlight w:val="none"/>
          <w:lang w:eastAsia="zh-CN"/>
        </w:rPr>
        <w:t>成交供应商</w:t>
      </w:r>
      <w:r>
        <w:rPr>
          <w:rFonts w:hint="eastAsia"/>
          <w:sz w:val="24"/>
          <w:szCs w:val="24"/>
          <w:highlight w:val="none"/>
        </w:rPr>
        <w:t>因违反规定等原因造成的一切损失和责任由</w:t>
      </w:r>
      <w:r>
        <w:rPr>
          <w:rFonts w:hint="eastAsia"/>
          <w:sz w:val="24"/>
          <w:szCs w:val="24"/>
          <w:highlight w:val="none"/>
          <w:lang w:eastAsia="zh-CN"/>
        </w:rPr>
        <w:t>成交供应商</w:t>
      </w:r>
      <w:r>
        <w:rPr>
          <w:rFonts w:hint="eastAsia"/>
          <w:sz w:val="24"/>
          <w:szCs w:val="24"/>
          <w:highlight w:val="none"/>
        </w:rPr>
        <w:t>自行承担。</w:t>
      </w:r>
    </w:p>
    <w:p w14:paraId="37EC2AD8">
      <w:pPr>
        <w:pStyle w:val="80"/>
        <w:ind w:firstLine="480"/>
        <w:rPr>
          <w:sz w:val="24"/>
          <w:szCs w:val="24"/>
          <w:highlight w:val="none"/>
        </w:rPr>
      </w:pPr>
      <w:r>
        <w:rPr>
          <w:rFonts w:hint="eastAsia"/>
          <w:sz w:val="24"/>
          <w:szCs w:val="24"/>
          <w:highlight w:val="none"/>
        </w:rPr>
        <w:t>2、</w:t>
      </w:r>
      <w:r>
        <w:rPr>
          <w:rFonts w:hint="eastAsia"/>
          <w:sz w:val="24"/>
          <w:szCs w:val="24"/>
          <w:highlight w:val="none"/>
          <w:lang w:eastAsia="zh-CN"/>
        </w:rPr>
        <w:t>成交供应商</w:t>
      </w:r>
      <w:r>
        <w:rPr>
          <w:rFonts w:hint="eastAsia"/>
          <w:sz w:val="24"/>
          <w:szCs w:val="24"/>
          <w:highlight w:val="none"/>
        </w:rPr>
        <w:t>在</w:t>
      </w:r>
      <w:r>
        <w:rPr>
          <w:rFonts w:hint="eastAsia"/>
          <w:sz w:val="24"/>
          <w:szCs w:val="24"/>
          <w:highlight w:val="none"/>
          <w:lang w:eastAsia="zh-CN"/>
        </w:rPr>
        <w:t>响应文件</w:t>
      </w:r>
      <w:r>
        <w:rPr>
          <w:rFonts w:hint="eastAsia"/>
          <w:sz w:val="24"/>
          <w:szCs w:val="24"/>
          <w:highlight w:val="none"/>
        </w:rPr>
        <w:t>中承诺并经</w:t>
      </w:r>
      <w:r>
        <w:rPr>
          <w:rFonts w:hint="eastAsia"/>
          <w:sz w:val="24"/>
          <w:szCs w:val="24"/>
          <w:highlight w:val="none"/>
          <w:lang w:eastAsia="zh-CN"/>
        </w:rPr>
        <w:t>采购</w:t>
      </w:r>
      <w:r>
        <w:rPr>
          <w:rFonts w:hint="eastAsia"/>
          <w:sz w:val="24"/>
          <w:szCs w:val="24"/>
          <w:highlight w:val="none"/>
        </w:rPr>
        <w:t>人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sz w:val="24"/>
          <w:szCs w:val="24"/>
          <w:highlight w:val="none"/>
          <w:lang w:eastAsia="zh-CN"/>
        </w:rPr>
        <w:t>成交供应商</w:t>
      </w:r>
      <w:r>
        <w:rPr>
          <w:rFonts w:hint="eastAsia"/>
          <w:sz w:val="24"/>
          <w:szCs w:val="24"/>
          <w:highlight w:val="none"/>
        </w:rPr>
        <w:t>不得调换或撤离上述人员。如采购人认为有必要，可要求</w:t>
      </w:r>
      <w:r>
        <w:rPr>
          <w:rFonts w:hint="eastAsia"/>
          <w:sz w:val="24"/>
          <w:szCs w:val="24"/>
          <w:highlight w:val="none"/>
          <w:lang w:eastAsia="zh-CN"/>
        </w:rPr>
        <w:t>成交供应商</w:t>
      </w:r>
      <w:r>
        <w:rPr>
          <w:rFonts w:hint="eastAsia"/>
          <w:sz w:val="24"/>
          <w:szCs w:val="24"/>
          <w:highlight w:val="none"/>
        </w:rPr>
        <w:t>对上述人员中的部分人员作出更好的调整。</w:t>
      </w:r>
    </w:p>
    <w:p w14:paraId="151E9F3E">
      <w:pPr>
        <w:pStyle w:val="80"/>
        <w:ind w:firstLine="480"/>
        <w:rPr>
          <w:sz w:val="24"/>
          <w:szCs w:val="24"/>
          <w:highlight w:val="none"/>
        </w:rPr>
      </w:pPr>
      <w:r>
        <w:rPr>
          <w:rFonts w:hint="eastAsia"/>
          <w:sz w:val="24"/>
          <w:szCs w:val="24"/>
          <w:highlight w:val="none"/>
        </w:rPr>
        <w:t>3、</w:t>
      </w:r>
      <w:r>
        <w:rPr>
          <w:rFonts w:hint="eastAsia"/>
          <w:sz w:val="24"/>
          <w:szCs w:val="24"/>
          <w:highlight w:val="none"/>
          <w:lang w:eastAsia="zh-CN"/>
        </w:rPr>
        <w:t>成交供应商</w:t>
      </w:r>
      <w:r>
        <w:rPr>
          <w:rFonts w:hint="eastAsia"/>
          <w:sz w:val="24"/>
          <w:szCs w:val="24"/>
          <w:highlight w:val="none"/>
        </w:rPr>
        <w:t>在项目实施期间，应按项目实际进度与环节落实所对应项目整体及各环节管理工作，按照规范做好项目实施期间相关管理与实施记录。</w:t>
      </w:r>
    </w:p>
    <w:p w14:paraId="5C64EB66">
      <w:pPr>
        <w:pStyle w:val="80"/>
        <w:ind w:firstLine="480"/>
        <w:rPr>
          <w:sz w:val="24"/>
          <w:szCs w:val="24"/>
          <w:highlight w:val="none"/>
        </w:rPr>
      </w:pPr>
      <w:r>
        <w:rPr>
          <w:rFonts w:hint="eastAsia"/>
          <w:sz w:val="24"/>
          <w:szCs w:val="24"/>
          <w:highlight w:val="none"/>
        </w:rPr>
        <w:t>4、参与本项目的工作人员应严格遵循采购人的安全制度，保障采购人资料和设备的安全。</w:t>
      </w:r>
      <w:r>
        <w:rPr>
          <w:rFonts w:hint="eastAsia"/>
          <w:sz w:val="24"/>
          <w:szCs w:val="24"/>
          <w:highlight w:val="none"/>
          <w:lang w:eastAsia="zh-CN"/>
        </w:rPr>
        <w:t>供应商</w:t>
      </w:r>
      <w:r>
        <w:rPr>
          <w:rFonts w:hint="eastAsia"/>
          <w:sz w:val="24"/>
          <w:szCs w:val="24"/>
          <w:highlight w:val="none"/>
        </w:rPr>
        <w:t>如需进入采购人机房工作，只能在采购人规定的工作区域内对项目涉及的设备进行操作，严禁触动与项目无关的任何设备（包括任何操作行为），如需跨区操作必须得到采购人项目联系人确认。</w:t>
      </w:r>
    </w:p>
    <w:p w14:paraId="4E188DBF">
      <w:pPr>
        <w:pStyle w:val="80"/>
        <w:ind w:firstLine="480"/>
        <w:rPr>
          <w:sz w:val="24"/>
          <w:szCs w:val="24"/>
          <w:highlight w:val="none"/>
        </w:rPr>
      </w:pPr>
      <w:r>
        <w:rPr>
          <w:rFonts w:hint="eastAsia"/>
          <w:sz w:val="24"/>
          <w:szCs w:val="24"/>
          <w:highlight w:val="none"/>
        </w:rPr>
        <w:t>5、</w:t>
      </w:r>
      <w:r>
        <w:rPr>
          <w:rFonts w:hint="eastAsia"/>
          <w:sz w:val="24"/>
          <w:szCs w:val="24"/>
          <w:highlight w:val="none"/>
          <w:lang w:eastAsia="zh-CN"/>
        </w:rPr>
        <w:t>成交供应商</w:t>
      </w:r>
      <w:r>
        <w:rPr>
          <w:rFonts w:hint="eastAsia"/>
          <w:sz w:val="24"/>
          <w:szCs w:val="24"/>
          <w:highlight w:val="none"/>
        </w:rPr>
        <w:t>在项目实施期间必须遵守采购人的规章制度并提供实施人员名单。</w:t>
      </w:r>
    </w:p>
    <w:p w14:paraId="52962071">
      <w:pPr>
        <w:pStyle w:val="80"/>
        <w:ind w:firstLine="480"/>
        <w:rPr>
          <w:sz w:val="24"/>
          <w:szCs w:val="24"/>
          <w:highlight w:val="none"/>
        </w:rPr>
      </w:pPr>
      <w:r>
        <w:rPr>
          <w:rFonts w:hint="eastAsia"/>
          <w:sz w:val="24"/>
          <w:szCs w:val="24"/>
          <w:highlight w:val="none"/>
        </w:rPr>
        <w:t>6、各</w:t>
      </w:r>
      <w:r>
        <w:rPr>
          <w:rFonts w:hint="eastAsia"/>
          <w:sz w:val="24"/>
          <w:szCs w:val="24"/>
          <w:highlight w:val="none"/>
          <w:lang w:eastAsia="zh-CN"/>
        </w:rPr>
        <w:t>供应商</w:t>
      </w:r>
      <w:r>
        <w:rPr>
          <w:rFonts w:hint="eastAsia"/>
          <w:sz w:val="24"/>
          <w:szCs w:val="24"/>
          <w:highlight w:val="none"/>
        </w:rPr>
        <w:t>在</w:t>
      </w:r>
      <w:r>
        <w:rPr>
          <w:rFonts w:hint="eastAsia"/>
          <w:sz w:val="24"/>
          <w:szCs w:val="24"/>
          <w:highlight w:val="none"/>
          <w:lang w:eastAsia="zh-CN"/>
        </w:rPr>
        <w:t>响应</w:t>
      </w:r>
      <w:r>
        <w:rPr>
          <w:rFonts w:hint="eastAsia"/>
          <w:sz w:val="24"/>
          <w:szCs w:val="24"/>
          <w:highlight w:val="none"/>
        </w:rPr>
        <w:t>文件中要结合本项目的特点和采购人上述的具体要求制定相应的管理措施，并在报价中列支相应的费用清单，</w:t>
      </w:r>
      <w:r>
        <w:rPr>
          <w:rFonts w:hint="eastAsia"/>
          <w:sz w:val="24"/>
          <w:szCs w:val="24"/>
          <w:highlight w:val="none"/>
          <w:lang w:eastAsia="zh-CN"/>
        </w:rPr>
        <w:t>供应商</w:t>
      </w:r>
      <w:r>
        <w:rPr>
          <w:rFonts w:hint="eastAsia"/>
          <w:sz w:val="24"/>
          <w:szCs w:val="24"/>
          <w:highlight w:val="none"/>
        </w:rPr>
        <w:t>报价中未列支上述费用清单的，上述费用视为已包含在</w:t>
      </w:r>
      <w:r>
        <w:rPr>
          <w:rFonts w:hint="eastAsia"/>
          <w:sz w:val="24"/>
          <w:szCs w:val="24"/>
          <w:highlight w:val="none"/>
          <w:lang w:eastAsia="zh-CN"/>
        </w:rPr>
        <w:t>供应商</w:t>
      </w:r>
      <w:r>
        <w:rPr>
          <w:rFonts w:hint="eastAsia"/>
          <w:sz w:val="24"/>
          <w:szCs w:val="24"/>
          <w:highlight w:val="none"/>
        </w:rPr>
        <w:t>的总报价中。</w:t>
      </w:r>
    </w:p>
    <w:p w14:paraId="6A787E15">
      <w:pPr>
        <w:pStyle w:val="80"/>
        <w:ind w:firstLine="480"/>
        <w:rPr>
          <w:highlight w:val="none"/>
        </w:rPr>
      </w:pPr>
      <w:r>
        <w:rPr>
          <w:rFonts w:hint="eastAsia"/>
          <w:sz w:val="24"/>
          <w:szCs w:val="24"/>
          <w:highlight w:val="none"/>
        </w:rPr>
        <w:t>7、本项目软件开发及调试将纳入采购人的管理范围，</w:t>
      </w:r>
      <w:r>
        <w:rPr>
          <w:rFonts w:hint="eastAsia"/>
          <w:sz w:val="24"/>
          <w:szCs w:val="24"/>
          <w:highlight w:val="none"/>
          <w:lang w:eastAsia="zh-CN"/>
        </w:rPr>
        <w:t>成交供应商</w:t>
      </w:r>
      <w:r>
        <w:rPr>
          <w:rFonts w:hint="eastAsia"/>
          <w:sz w:val="24"/>
          <w:szCs w:val="24"/>
          <w:highlight w:val="none"/>
        </w:rPr>
        <w:t>在此过程中须服从上述单位的管理协调。</w:t>
      </w:r>
    </w:p>
    <w:p w14:paraId="5F383EB6">
      <w:pPr>
        <w:pStyle w:val="2"/>
        <w:rPr>
          <w:highlight w:val="none"/>
        </w:rPr>
      </w:pPr>
      <w:bookmarkStart w:id="33" w:name="_Toc63785513"/>
      <w:r>
        <w:rPr>
          <w:rFonts w:hint="eastAsia"/>
          <w:highlight w:val="none"/>
        </w:rPr>
        <w:t>关于转让和分包的规定</w:t>
      </w:r>
    </w:p>
    <w:p w14:paraId="56C3DD2B">
      <w:pPr>
        <w:spacing w:line="560" w:lineRule="exact"/>
        <w:rPr>
          <w:rFonts w:ascii="Times New Roman" w:hAnsi="仿宋" w:eastAsia="仿宋_GB2312"/>
          <w:b/>
          <w:sz w:val="28"/>
          <w:szCs w:val="28"/>
          <w:highlight w:val="none"/>
        </w:rPr>
      </w:pPr>
      <w:r>
        <w:rPr>
          <w:rFonts w:hint="eastAsia"/>
          <w:highlight w:val="none"/>
        </w:rPr>
        <w:t>本项目不得转让不得分包</w:t>
      </w:r>
      <w:r>
        <w:rPr>
          <w:rFonts w:hint="eastAsia" w:ascii="Times New Roman" w:hAnsi="仿宋" w:eastAsia="仿宋_GB2312"/>
          <w:b/>
          <w:sz w:val="28"/>
          <w:szCs w:val="28"/>
          <w:highlight w:val="none"/>
        </w:rPr>
        <w:t>。</w:t>
      </w:r>
    </w:p>
    <w:p w14:paraId="042977F1">
      <w:pPr>
        <w:pStyle w:val="2"/>
        <w:rPr>
          <w:highlight w:val="none"/>
        </w:rPr>
      </w:pPr>
      <w:r>
        <w:rPr>
          <w:rFonts w:hint="eastAsia"/>
          <w:highlight w:val="none"/>
        </w:rPr>
        <w:t>知识产权及保密要求</w:t>
      </w:r>
      <w:bookmarkEnd w:id="33"/>
    </w:p>
    <w:p w14:paraId="58A6E2D9">
      <w:pPr>
        <w:ind w:firstLine="482"/>
        <w:rPr>
          <w:b/>
          <w:highlight w:val="none"/>
        </w:rPr>
      </w:pPr>
      <w:r>
        <w:rPr>
          <w:b/>
          <w:highlight w:val="none"/>
        </w:rPr>
        <w:t>1、</w:t>
      </w:r>
      <w:r>
        <w:rPr>
          <w:rFonts w:hint="eastAsia"/>
          <w:b/>
          <w:highlight w:val="none"/>
          <w:lang w:eastAsia="zh-CN"/>
        </w:rPr>
        <w:t>成交供应商</w:t>
      </w:r>
      <w:r>
        <w:rPr>
          <w:b/>
          <w:highlight w:val="none"/>
        </w:rPr>
        <w:t>数据、文件、资料知识产权</w:t>
      </w:r>
    </w:p>
    <w:p w14:paraId="3B2BB241">
      <w:pPr>
        <w:rPr>
          <w:highlight w:val="none"/>
        </w:rPr>
      </w:pPr>
      <w:r>
        <w:rPr>
          <w:rFonts w:hint="eastAsia"/>
          <w:highlight w:val="none"/>
          <w:lang w:eastAsia="zh-CN"/>
        </w:rPr>
        <w:t>成交供应商</w:t>
      </w:r>
      <w:r>
        <w:rPr>
          <w:rFonts w:hint="eastAsia"/>
          <w:highlight w:val="none"/>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highlight w:val="none"/>
          <w:lang w:eastAsia="zh-CN"/>
        </w:rPr>
        <w:t>成交供应商</w:t>
      </w:r>
      <w:r>
        <w:rPr>
          <w:rFonts w:hint="eastAsia"/>
          <w:highlight w:val="none"/>
        </w:rPr>
        <w:t>应负责与第三方解决纠纷，若因此导致采购人损失的，采购人有权要求</w:t>
      </w:r>
      <w:r>
        <w:rPr>
          <w:rFonts w:hint="eastAsia"/>
          <w:highlight w:val="none"/>
          <w:lang w:eastAsia="zh-CN"/>
        </w:rPr>
        <w:t>成交供应商</w:t>
      </w:r>
      <w:r>
        <w:rPr>
          <w:rFonts w:hint="eastAsia"/>
          <w:highlight w:val="none"/>
        </w:rPr>
        <w:t>赔偿采购人因此遭受的全部损失，包括但不限于直接损失、间接损失、诉讼费／仲裁费、律师费、公证费、鉴定费等。</w:t>
      </w:r>
    </w:p>
    <w:p w14:paraId="10E132F9">
      <w:pPr>
        <w:rPr>
          <w:highlight w:val="none"/>
        </w:rPr>
      </w:pPr>
      <w:r>
        <w:rPr>
          <w:rFonts w:hint="eastAsia"/>
          <w:highlight w:val="none"/>
          <w:lang w:eastAsia="zh-CN"/>
        </w:rPr>
        <w:t>成交供应商</w:t>
      </w:r>
      <w:r>
        <w:rPr>
          <w:rFonts w:hint="eastAsia"/>
          <w:highlight w:val="none"/>
        </w:rPr>
        <w:t>因履行本项目而产生的所有成果的知识产权等权利均归采购人所有，</w:t>
      </w:r>
      <w:r>
        <w:rPr>
          <w:rFonts w:hint="eastAsia"/>
          <w:highlight w:val="none"/>
          <w:lang w:eastAsia="zh-CN"/>
        </w:rPr>
        <w:t>成交供应商</w:t>
      </w:r>
      <w:r>
        <w:rPr>
          <w:rFonts w:hint="eastAsia"/>
          <w:highlight w:val="none"/>
        </w:rPr>
        <w:t>应配合采购人进行相关权利登记或申请。未经采购人书面同意，</w:t>
      </w:r>
      <w:r>
        <w:rPr>
          <w:rFonts w:hint="eastAsia"/>
          <w:highlight w:val="none"/>
          <w:lang w:eastAsia="zh-CN"/>
        </w:rPr>
        <w:t>成交供应商</w:t>
      </w:r>
      <w:r>
        <w:rPr>
          <w:rFonts w:hint="eastAsia"/>
          <w:highlight w:val="none"/>
        </w:rPr>
        <w:t>不得以任何形式使用或许可他人使用本项目成果的相关内容，不得擅自对外公开发表或向任何第三方透露。</w:t>
      </w:r>
    </w:p>
    <w:p w14:paraId="5CA18D8F">
      <w:pPr>
        <w:rPr>
          <w:highlight w:val="none"/>
        </w:rPr>
      </w:pPr>
      <w:r>
        <w:rPr>
          <w:rFonts w:hint="eastAsia"/>
          <w:highlight w:val="none"/>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12137A85">
      <w:pPr>
        <w:ind w:firstLine="482"/>
        <w:rPr>
          <w:b/>
          <w:highlight w:val="none"/>
        </w:rPr>
      </w:pPr>
      <w:r>
        <w:rPr>
          <w:b/>
          <w:highlight w:val="none"/>
        </w:rPr>
        <w:t>2、项目保密要求</w:t>
      </w:r>
    </w:p>
    <w:p w14:paraId="31171E5D">
      <w:pPr>
        <w:rPr>
          <w:highlight w:val="none"/>
        </w:rPr>
      </w:pPr>
      <w:r>
        <w:rPr>
          <w:rFonts w:hint="eastAsia"/>
          <w:highlight w:val="none"/>
          <w:lang w:eastAsia="zh-CN"/>
        </w:rPr>
        <w:t>成交供应商</w:t>
      </w:r>
      <w:r>
        <w:rPr>
          <w:rFonts w:hint="eastAsia"/>
          <w:highlight w:val="none"/>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highlight w:val="none"/>
          <w:lang w:eastAsia="zh-CN"/>
        </w:rPr>
        <w:t>成交供应商</w:t>
      </w:r>
      <w:r>
        <w:rPr>
          <w:rFonts w:hint="eastAsia"/>
          <w:highlight w:val="none"/>
        </w:rPr>
        <w:t>不得对外泄露采购人要求保密的信息，不得用于其他用途，否则</w:t>
      </w:r>
      <w:r>
        <w:rPr>
          <w:rFonts w:hint="eastAsia"/>
          <w:highlight w:val="none"/>
          <w:lang w:eastAsia="zh-CN"/>
        </w:rPr>
        <w:t>成交供应商</w:t>
      </w:r>
      <w:r>
        <w:rPr>
          <w:rFonts w:hint="eastAsia"/>
          <w:highlight w:val="none"/>
        </w:rPr>
        <w:t>需承担由此引起的法律责任和经济责任，包括但不限于直接损失、间接损失、律师费、诉讼费/仲裁费、调查费、公证费等。</w:t>
      </w:r>
    </w:p>
    <w:p w14:paraId="50978FE7">
      <w:pPr>
        <w:rPr>
          <w:highlight w:val="none"/>
        </w:rPr>
      </w:pPr>
      <w:r>
        <w:rPr>
          <w:rFonts w:hint="eastAsia"/>
          <w:highlight w:val="none"/>
          <w:lang w:eastAsia="zh-CN"/>
        </w:rPr>
        <w:t>成交供应商</w:t>
      </w:r>
      <w:r>
        <w:rPr>
          <w:rFonts w:hint="eastAsia"/>
          <w:highlight w:val="none"/>
        </w:rPr>
        <w:t>应采取必要的有效措施保证其参与本项目的人员（包括</w:t>
      </w:r>
      <w:r>
        <w:rPr>
          <w:rFonts w:hint="eastAsia"/>
          <w:highlight w:val="none"/>
          <w:lang w:eastAsia="zh-CN"/>
        </w:rPr>
        <w:t>成交供应商</w:t>
      </w:r>
      <w:r>
        <w:rPr>
          <w:rFonts w:hint="eastAsia"/>
          <w:highlight w:val="none"/>
        </w:rPr>
        <w:t>聘用的人员、借调的人员、实习的人员）无论是在职或离职后，以及</w:t>
      </w:r>
      <w:r>
        <w:rPr>
          <w:rFonts w:hint="eastAsia"/>
          <w:highlight w:val="none"/>
          <w:lang w:eastAsia="zh-CN"/>
        </w:rPr>
        <w:t>成交供应商</w:t>
      </w:r>
      <w:r>
        <w:rPr>
          <w:rFonts w:hint="eastAsia"/>
          <w:highlight w:val="none"/>
        </w:rPr>
        <w:t>的合作方无论是合作中或合作终止后，都能够履行本项目约定的保密义务。若</w:t>
      </w:r>
      <w:r>
        <w:rPr>
          <w:rFonts w:hint="eastAsia"/>
          <w:highlight w:val="none"/>
          <w:lang w:eastAsia="zh-CN"/>
        </w:rPr>
        <w:t>成交供应商</w:t>
      </w:r>
      <w:r>
        <w:rPr>
          <w:rFonts w:hint="eastAsia"/>
          <w:highlight w:val="none"/>
        </w:rPr>
        <w:t>人员或</w:t>
      </w:r>
      <w:r>
        <w:rPr>
          <w:rFonts w:hint="eastAsia"/>
          <w:highlight w:val="none"/>
          <w:lang w:eastAsia="zh-CN"/>
        </w:rPr>
        <w:t>成交供应商</w:t>
      </w:r>
      <w:r>
        <w:rPr>
          <w:rFonts w:hint="eastAsia"/>
          <w:highlight w:val="none"/>
        </w:rPr>
        <w:t>合作方违反保密规定，</w:t>
      </w:r>
      <w:r>
        <w:rPr>
          <w:rFonts w:hint="eastAsia"/>
          <w:highlight w:val="none"/>
          <w:lang w:eastAsia="zh-CN"/>
        </w:rPr>
        <w:t>成交供应商</w:t>
      </w:r>
      <w:r>
        <w:rPr>
          <w:rFonts w:hint="eastAsia"/>
          <w:highlight w:val="none"/>
        </w:rPr>
        <w:t>应承担连带责任。</w:t>
      </w:r>
    </w:p>
    <w:p w14:paraId="461435EC">
      <w:pPr>
        <w:rPr>
          <w:highlight w:val="none"/>
        </w:rPr>
      </w:pPr>
      <w:r>
        <w:rPr>
          <w:rFonts w:hint="eastAsia"/>
          <w:highlight w:val="none"/>
          <w:lang w:eastAsia="zh-CN"/>
        </w:rPr>
        <w:t>成交供应商</w:t>
      </w:r>
      <w:r>
        <w:rPr>
          <w:rFonts w:hint="eastAsia"/>
          <w:highlight w:val="none"/>
        </w:rPr>
        <w:t>（含</w:t>
      </w:r>
      <w:r>
        <w:rPr>
          <w:rFonts w:hint="eastAsia"/>
          <w:highlight w:val="none"/>
          <w:lang w:eastAsia="zh-CN"/>
        </w:rPr>
        <w:t>成交供应商</w:t>
      </w:r>
      <w:r>
        <w:rPr>
          <w:rFonts w:hint="eastAsia"/>
          <w:highlight w:val="none"/>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12813689">
      <w:pPr>
        <w:rPr>
          <w:highlight w:val="none"/>
        </w:rPr>
      </w:pPr>
      <w:r>
        <w:rPr>
          <w:rFonts w:hint="eastAsia"/>
          <w:highlight w:val="none"/>
        </w:rPr>
        <w:t>以上内容的保密期限自</w:t>
      </w:r>
      <w:r>
        <w:rPr>
          <w:rFonts w:hint="eastAsia"/>
          <w:highlight w:val="none"/>
          <w:lang w:eastAsia="zh-CN"/>
        </w:rPr>
        <w:t>成交供应商</w:t>
      </w:r>
      <w:r>
        <w:rPr>
          <w:rFonts w:hint="eastAsia"/>
          <w:highlight w:val="none"/>
        </w:rPr>
        <w:t>知悉保密信息起始至保密信息被合法公开之日止。</w:t>
      </w:r>
    </w:p>
    <w:p w14:paraId="66589DE0">
      <w:pPr>
        <w:ind w:firstLine="482"/>
        <w:rPr>
          <w:b/>
          <w:highlight w:val="none"/>
        </w:rPr>
      </w:pPr>
      <w:r>
        <w:rPr>
          <w:b/>
          <w:highlight w:val="none"/>
        </w:rPr>
        <w:t>3、临时账号等使用要求</w:t>
      </w:r>
    </w:p>
    <w:p w14:paraId="7A499D1A">
      <w:pPr>
        <w:rPr>
          <w:highlight w:val="none"/>
        </w:rPr>
      </w:pPr>
      <w:r>
        <w:rPr>
          <w:rFonts w:hint="eastAsia"/>
          <w:highlight w:val="none"/>
          <w:lang w:eastAsia="zh-CN"/>
        </w:rPr>
        <w:t>成交供应商</w:t>
      </w:r>
      <w:r>
        <w:rPr>
          <w:rFonts w:hint="eastAsia"/>
          <w:highlight w:val="none"/>
        </w:rPr>
        <w:t>对采购人提拱的临时使用账号要保密，不得公开，对组件开发的账号密码需进行加密，避免信息安全的泄露。未经采购人的同意不得利用采购人的网络及平台进行短信、彩信、微信发送</w:t>
      </w:r>
      <w:r>
        <w:rPr>
          <w:highlight w:val="none"/>
        </w:rPr>
        <w:t>,造成的一切后果由</w:t>
      </w:r>
      <w:r>
        <w:rPr>
          <w:rFonts w:hint="eastAsia"/>
          <w:highlight w:val="none"/>
          <w:lang w:eastAsia="zh-CN"/>
        </w:rPr>
        <w:t>成交供应商</w:t>
      </w:r>
      <w:r>
        <w:rPr>
          <w:highlight w:val="none"/>
        </w:rPr>
        <w:t>负责。</w:t>
      </w:r>
    </w:p>
    <w:p w14:paraId="79BEE5A2">
      <w:pPr>
        <w:pStyle w:val="2"/>
        <w:rPr>
          <w:highlight w:val="none"/>
        </w:rPr>
      </w:pPr>
      <w:bookmarkStart w:id="34" w:name="_Toc65170093"/>
      <w:r>
        <w:rPr>
          <w:highlight w:val="none"/>
        </w:rPr>
        <w:t>项目的变更、解除和终止</w:t>
      </w:r>
    </w:p>
    <w:p w14:paraId="4BEE43FA">
      <w:pPr>
        <w:rPr>
          <w:highlight w:val="none"/>
        </w:rPr>
      </w:pPr>
      <w:r>
        <w:rPr>
          <w:rFonts w:hint="eastAsia"/>
          <w:highlight w:val="none"/>
        </w:rPr>
        <w:t>如果</w:t>
      </w:r>
      <w:r>
        <w:rPr>
          <w:rFonts w:hint="eastAsia"/>
          <w:highlight w:val="none"/>
          <w:lang w:eastAsia="zh-CN"/>
        </w:rPr>
        <w:t>成交供应商</w:t>
      </w:r>
      <w:r>
        <w:rPr>
          <w:rFonts w:hint="eastAsia"/>
          <w:highlight w:val="none"/>
        </w:rPr>
        <w:t>丧失履约能力、发生资不抵债或进入破产程序，采购人可在任何时候以书面形式通知</w:t>
      </w:r>
      <w:r>
        <w:rPr>
          <w:rFonts w:hint="eastAsia"/>
          <w:highlight w:val="none"/>
          <w:lang w:eastAsia="zh-CN"/>
        </w:rPr>
        <w:t>成交供应商</w:t>
      </w:r>
      <w:r>
        <w:rPr>
          <w:rFonts w:hint="eastAsia"/>
          <w:highlight w:val="none"/>
        </w:rPr>
        <w:t>终止本项目的执行而不给予</w:t>
      </w:r>
      <w:r>
        <w:rPr>
          <w:rFonts w:hint="eastAsia"/>
          <w:highlight w:val="none"/>
          <w:lang w:eastAsia="zh-CN"/>
        </w:rPr>
        <w:t>成交供应商</w:t>
      </w:r>
      <w:r>
        <w:rPr>
          <w:rFonts w:hint="eastAsia"/>
          <w:highlight w:val="none"/>
        </w:rPr>
        <w:t>补偿。该终止本项目将不损害或影响采购人已经采取或将要采取任何行动或补救措施的权利。</w:t>
      </w:r>
    </w:p>
    <w:p w14:paraId="629C3149">
      <w:pPr>
        <w:rPr>
          <w:highlight w:val="none"/>
        </w:rPr>
      </w:pPr>
      <w:r>
        <w:rPr>
          <w:rFonts w:hint="eastAsia"/>
          <w:highlight w:val="none"/>
        </w:rPr>
        <w:t>如遇国家、行业管理部门等机构的有关标准和规定调整的，导致本项目内容须做相应调整时，双方应按照公平、合理的原则共同协商修改本项目对应的合同的相关条款。</w:t>
      </w:r>
    </w:p>
    <w:p w14:paraId="2F6C300D">
      <w:pPr>
        <w:pStyle w:val="2"/>
        <w:rPr>
          <w:highlight w:val="none"/>
        </w:rPr>
      </w:pPr>
      <w:r>
        <w:rPr>
          <w:rFonts w:hint="eastAsia"/>
          <w:highlight w:val="none"/>
        </w:rPr>
        <w:t>违约责任</w:t>
      </w:r>
      <w:bookmarkEnd w:id="34"/>
    </w:p>
    <w:p w14:paraId="0FD3D9AF">
      <w:pPr>
        <w:rPr>
          <w:highlight w:val="none"/>
        </w:rPr>
      </w:pPr>
      <w:r>
        <w:rPr>
          <w:highlight w:val="none"/>
        </w:rPr>
        <w:t>1、如</w:t>
      </w:r>
      <w:r>
        <w:rPr>
          <w:rFonts w:hint="eastAsia"/>
          <w:highlight w:val="none"/>
          <w:lang w:eastAsia="zh-CN"/>
        </w:rPr>
        <w:t>成交供应商</w:t>
      </w:r>
      <w:r>
        <w:rPr>
          <w:highlight w:val="none"/>
        </w:rPr>
        <w:t>未按约定的时间或服务标准完成建设工作，采购人可要求</w:t>
      </w:r>
      <w:r>
        <w:rPr>
          <w:rFonts w:hint="eastAsia"/>
          <w:highlight w:val="none"/>
          <w:lang w:eastAsia="zh-CN"/>
        </w:rPr>
        <w:t>成交供应商</w:t>
      </w:r>
      <w:r>
        <w:rPr>
          <w:highlight w:val="none"/>
        </w:rPr>
        <w:t>在规定的时间内采取补救措施。</w:t>
      </w:r>
      <w:r>
        <w:rPr>
          <w:rFonts w:hint="eastAsia"/>
          <w:highlight w:val="none"/>
          <w:lang w:eastAsia="zh-CN"/>
        </w:rPr>
        <w:t>成交供应商</w:t>
      </w:r>
      <w:r>
        <w:rPr>
          <w:highlight w:val="none"/>
        </w:rPr>
        <w:t>还应向采购人支付本项目费用总额30%的违约金，违约金不足以弥补采购人损失的，采购人有权要求</w:t>
      </w:r>
      <w:r>
        <w:rPr>
          <w:rFonts w:hint="eastAsia"/>
          <w:highlight w:val="none"/>
          <w:lang w:eastAsia="zh-CN"/>
        </w:rPr>
        <w:t>成交供应商</w:t>
      </w:r>
      <w:r>
        <w:rPr>
          <w:highlight w:val="none"/>
        </w:rPr>
        <w:t>赔偿超过部分。</w:t>
      </w:r>
    </w:p>
    <w:p w14:paraId="1F650DB8">
      <w:pPr>
        <w:rPr>
          <w:highlight w:val="none"/>
        </w:rPr>
      </w:pPr>
      <w:r>
        <w:rPr>
          <w:highlight w:val="none"/>
        </w:rPr>
        <w:t>2、因</w:t>
      </w:r>
      <w:r>
        <w:rPr>
          <w:rFonts w:hint="eastAsia"/>
          <w:highlight w:val="none"/>
          <w:lang w:eastAsia="zh-CN"/>
        </w:rPr>
        <w:t>成交供应商</w:t>
      </w:r>
      <w:r>
        <w:rPr>
          <w:highlight w:val="none"/>
        </w:rPr>
        <w:t>违反保密义务或知识产权约定的，采购人有权要求</w:t>
      </w:r>
      <w:r>
        <w:rPr>
          <w:rFonts w:hint="eastAsia"/>
          <w:highlight w:val="none"/>
          <w:lang w:eastAsia="zh-CN"/>
        </w:rPr>
        <w:t>成交供应商</w:t>
      </w:r>
      <w:r>
        <w:rPr>
          <w:highlight w:val="none"/>
        </w:rPr>
        <w:t>支付本项目费用总额30%的违约金，违约金不足以弥补采购人损失的，采购人有权要求</w:t>
      </w:r>
      <w:r>
        <w:rPr>
          <w:rFonts w:hint="eastAsia"/>
          <w:highlight w:val="none"/>
          <w:lang w:eastAsia="zh-CN"/>
        </w:rPr>
        <w:t>成交供应商</w:t>
      </w:r>
      <w:r>
        <w:rPr>
          <w:highlight w:val="none"/>
        </w:rPr>
        <w:t>赔偿超过部分。若</w:t>
      </w:r>
      <w:r>
        <w:rPr>
          <w:rFonts w:hint="eastAsia"/>
          <w:highlight w:val="none"/>
          <w:lang w:eastAsia="zh-CN"/>
        </w:rPr>
        <w:t>成交供应商</w:t>
      </w:r>
      <w:r>
        <w:rPr>
          <w:highlight w:val="none"/>
        </w:rPr>
        <w:t>违反保密义务，采购人还有权立即单方解除合同而不承担任何违约责任。</w:t>
      </w:r>
    </w:p>
    <w:p w14:paraId="42524813">
      <w:pPr>
        <w:rPr>
          <w:highlight w:val="none"/>
        </w:rPr>
      </w:pPr>
      <w:r>
        <w:rPr>
          <w:highlight w:val="none"/>
        </w:rPr>
        <w:t>3、</w:t>
      </w:r>
      <w:r>
        <w:rPr>
          <w:rFonts w:hint="eastAsia"/>
          <w:highlight w:val="none"/>
          <w:lang w:eastAsia="zh-CN"/>
        </w:rPr>
        <w:t>成交供应商</w:t>
      </w:r>
      <w:r>
        <w:rPr>
          <w:highlight w:val="none"/>
        </w:rPr>
        <w:t>有其他违反本项目合同约定的行为，</w:t>
      </w:r>
      <w:r>
        <w:rPr>
          <w:rFonts w:hint="eastAsia"/>
          <w:highlight w:val="none"/>
          <w:lang w:eastAsia="zh-CN"/>
        </w:rPr>
        <w:t>成交供应商</w:t>
      </w:r>
      <w:r>
        <w:rPr>
          <w:highlight w:val="none"/>
        </w:rPr>
        <w:t>应当支付本项目总价款金额的20%作为违约金，违约金不足以弥补采购人损失的，采购人有权要求</w:t>
      </w:r>
      <w:r>
        <w:rPr>
          <w:rFonts w:hint="eastAsia"/>
          <w:highlight w:val="none"/>
          <w:lang w:eastAsia="zh-CN"/>
        </w:rPr>
        <w:t>成交供应商</w:t>
      </w:r>
      <w:r>
        <w:rPr>
          <w:highlight w:val="none"/>
        </w:rPr>
        <w:t>赔偿超过部分。</w:t>
      </w:r>
    </w:p>
    <w:p w14:paraId="5F4BE841">
      <w:pPr>
        <w:rPr>
          <w:highlight w:val="none"/>
        </w:rPr>
      </w:pPr>
      <w:r>
        <w:rPr>
          <w:highlight w:val="none"/>
        </w:rPr>
        <w:t>4、</w:t>
      </w:r>
      <w:r>
        <w:rPr>
          <w:rFonts w:hint="eastAsia"/>
          <w:highlight w:val="none"/>
          <w:lang w:eastAsia="zh-CN"/>
        </w:rPr>
        <w:t>成交供应商</w:t>
      </w:r>
      <w:r>
        <w:rPr>
          <w:highlight w:val="none"/>
        </w:rPr>
        <w:t>有下列情形之一，采购人有权解除合同：</w:t>
      </w:r>
    </w:p>
    <w:p w14:paraId="5AE4C90C">
      <w:pPr>
        <w:rPr>
          <w:highlight w:val="none"/>
        </w:rPr>
      </w:pPr>
      <w:r>
        <w:rPr>
          <w:rFonts w:hint="eastAsia"/>
          <w:highlight w:val="none"/>
        </w:rPr>
        <w:t>（1</w:t>
      </w:r>
      <w:r>
        <w:rPr>
          <w:highlight w:val="none"/>
        </w:rPr>
        <w:t>）因</w:t>
      </w:r>
      <w:r>
        <w:rPr>
          <w:rFonts w:hint="eastAsia"/>
          <w:highlight w:val="none"/>
          <w:lang w:eastAsia="zh-CN"/>
        </w:rPr>
        <w:t>成交供应商</w:t>
      </w:r>
      <w:r>
        <w:rPr>
          <w:highlight w:val="none"/>
        </w:rPr>
        <w:t>服务质量问题导致采购人无法实现目的；</w:t>
      </w:r>
    </w:p>
    <w:p w14:paraId="21AB28D2">
      <w:pPr>
        <w:rPr>
          <w:highlight w:val="none"/>
        </w:rPr>
      </w:pPr>
      <w:r>
        <w:rPr>
          <w:rFonts w:hint="eastAsia"/>
          <w:highlight w:val="none"/>
        </w:rPr>
        <w:t>（2</w:t>
      </w:r>
      <w:r>
        <w:rPr>
          <w:highlight w:val="none"/>
        </w:rPr>
        <w:t>）擅自转让或者分包其应履行的义务的；</w:t>
      </w:r>
    </w:p>
    <w:p w14:paraId="4C1DD49F">
      <w:pPr>
        <w:rPr>
          <w:highlight w:val="none"/>
        </w:rPr>
      </w:pPr>
      <w:r>
        <w:rPr>
          <w:rFonts w:hint="eastAsia"/>
          <w:highlight w:val="none"/>
        </w:rPr>
        <w:t>（3</w:t>
      </w:r>
      <w:r>
        <w:rPr>
          <w:highlight w:val="none"/>
        </w:rPr>
        <w:t>）违反或者未履行本项目合同约定的其他相关义务，且在采购人要求的合理时间内未能纠正的。</w:t>
      </w:r>
    </w:p>
    <w:p w14:paraId="243F2F90">
      <w:pPr>
        <w:pStyle w:val="2"/>
        <w:rPr>
          <w:highlight w:val="none"/>
        </w:rPr>
      </w:pPr>
      <w:bookmarkStart w:id="35" w:name="_Toc68798863"/>
      <w:r>
        <w:rPr>
          <w:rFonts w:hint="eastAsia"/>
          <w:highlight w:val="none"/>
        </w:rPr>
        <w:t>附录</w:t>
      </w:r>
      <w:bookmarkEnd w:id="35"/>
    </w:p>
    <w:p w14:paraId="77077A36">
      <w:pPr>
        <w:ind w:firstLine="482"/>
        <w:rPr>
          <w:b/>
          <w:highlight w:val="none"/>
        </w:rPr>
      </w:pPr>
      <w:r>
        <w:rPr>
          <w:rFonts w:hint="eastAsia"/>
          <w:b/>
          <w:highlight w:val="none"/>
        </w:rPr>
        <w:t>若项目建设过程中需符合相关技术标准或规范文件的要求，请将相关文件作为附件列出。</w:t>
      </w:r>
    </w:p>
    <w:p w14:paraId="0A1A71BC">
      <w:pPr>
        <w:ind w:firstLine="482"/>
        <w:rPr>
          <w:highlight w:val="none"/>
        </w:rPr>
      </w:pPr>
      <w:r>
        <w:rPr>
          <w:rFonts w:hint="eastAsia"/>
          <w:b/>
          <w:highlight w:val="none"/>
        </w:rPr>
        <w:t>参考如下：</w:t>
      </w:r>
    </w:p>
    <w:p w14:paraId="4620176E">
      <w:pPr>
        <w:ind w:firstLine="0" w:firstLineChars="0"/>
        <w:rPr>
          <w:highlight w:val="none"/>
        </w:rPr>
      </w:pPr>
      <w:r>
        <w:rPr>
          <w:rFonts w:hint="eastAsia"/>
          <w:highlight w:val="none"/>
        </w:rPr>
        <w:t>1、</w:t>
      </w:r>
      <w:r>
        <w:rPr>
          <w:highlight w:val="none"/>
        </w:rPr>
        <w:t>《政务网络安全监测平台总体技术要求》</w:t>
      </w:r>
    </w:p>
    <w:p w14:paraId="1CE0DD49">
      <w:pPr>
        <w:ind w:firstLine="0" w:firstLineChars="0"/>
        <w:rPr>
          <w:highlight w:val="none"/>
        </w:rPr>
      </w:pPr>
      <w:r>
        <w:rPr>
          <w:highlight w:val="none"/>
        </w:rPr>
        <w:object>
          <v:shape id="_x0000_i1025" o:spt="75" type="#_x0000_t75" style="height:54.7pt;width:76.6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675000D4">
      <w:pPr>
        <w:ind w:firstLine="0" w:firstLineChars="0"/>
        <w:rPr>
          <w:highlight w:val="none"/>
        </w:rPr>
      </w:pPr>
    </w:p>
    <w:p w14:paraId="77DEA820">
      <w:pPr>
        <w:ind w:firstLine="0" w:firstLineChars="0"/>
        <w:jc w:val="left"/>
        <w:rPr>
          <w:highlight w:val="none"/>
        </w:rPr>
      </w:pPr>
      <w:r>
        <w:rPr>
          <w:rFonts w:hint="eastAsia"/>
          <w:highlight w:val="none"/>
        </w:rPr>
        <w:t>2、《上海市电子政务外网建设和运行管理指南（试行）》</w:t>
      </w:r>
    </w:p>
    <w:p w14:paraId="6BAA2DB5">
      <w:pPr>
        <w:ind w:firstLine="0" w:firstLineChars="0"/>
        <w:jc w:val="left"/>
        <w:rPr>
          <w:highlight w:val="none"/>
        </w:rPr>
      </w:pPr>
      <w:r>
        <w:rPr>
          <w:highlight w:val="none"/>
        </w:rPr>
        <w:object>
          <v:shape id="_x0000_i1026" o:spt="75" type="#_x0000_t75" style="height:54.7pt;width:76.6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7A0C51B8">
      <w:pPr>
        <w:ind w:firstLine="0" w:firstLineChars="0"/>
        <w:jc w:val="left"/>
        <w:rPr>
          <w:b/>
          <w:bCs/>
          <w:highlight w:val="none"/>
        </w:rPr>
      </w:pPr>
      <w:r>
        <w:rPr>
          <w:rFonts w:hint="eastAsia"/>
          <w:highlight w:val="none"/>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auto"/>
    <w:pitch w:val="default"/>
    <w:sig w:usb0="00000000" w:usb1="00000000" w:usb2="0000003F" w:usb3="00000000" w:csb0="603F01FF" w:csb1="FFFF0000"/>
  </w:font>
  <w:font w:name="等线 Light">
    <w:altName w:val="汉仪中宋简"/>
    <w:panose1 w:val="02010600030101010101"/>
    <w:charset w:val="86"/>
    <w:family w:val="auto"/>
    <w:pitch w:val="default"/>
    <w:sig w:usb0="00000000" w:usb1="00000000" w:usb2="00000016" w:usb3="00000000" w:csb0="0004000F"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微软雅黑">
    <w:altName w:val="方正黑体_GBK"/>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6238">
    <w:pPr>
      <w:ind w:firstLine="0" w:firstLineChars="0"/>
      <w:jc w:val="center"/>
    </w:pPr>
    <w:r>
      <w:fldChar w:fldCharType="begin"/>
    </w:r>
    <w:r>
      <w:instrText xml:space="preserve">PAGE   \* MERGEFORMAT</w:instrText>
    </w:r>
    <w:r>
      <w:fldChar w:fldCharType="separate"/>
    </w:r>
    <w:r>
      <w:rPr>
        <w:lang w:val="zh-CN"/>
      </w:rPr>
      <w:t>29</w:t>
    </w:r>
    <w:r>
      <w:rPr>
        <w:lang w:val="zh-CN"/>
      </w:rPr>
      <w:fldChar w:fldCharType="end"/>
    </w:r>
  </w:p>
  <w:p w14:paraId="650611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8D120"/>
  <w:p w14:paraId="12C614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5C1A4">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F856B">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3CAC33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29A2F">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9FAC8"/>
  <w:p w14:paraId="0A6C57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042A">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9BFCC7"/>
    <w:multiLevelType w:val="multilevel"/>
    <w:tmpl w:val="E69BFCC7"/>
    <w:lvl w:ilvl="0" w:tentative="0">
      <w:start w:val="1"/>
      <w:numFmt w:val="decimal"/>
      <w:suff w:val="space"/>
      <w:lvlText w:val="%1"/>
      <w:lvlJc w:val="left"/>
      <w:pPr>
        <w:ind w:left="660" w:hanging="526"/>
      </w:pPr>
      <w:rPr>
        <w:rFonts w:hint="default"/>
      </w:rPr>
    </w:lvl>
    <w:lvl w:ilvl="1" w:tentative="0">
      <w:start w:val="1"/>
      <w:numFmt w:val="lowerLetter"/>
      <w:lvlText w:val="%2)"/>
      <w:lvlJc w:val="left"/>
      <w:pPr>
        <w:tabs>
          <w:tab w:val="left" w:pos="-420"/>
        </w:tabs>
        <w:ind w:left="1080" w:hanging="420"/>
      </w:pPr>
    </w:lvl>
    <w:lvl w:ilvl="2" w:tentative="0">
      <w:start w:val="1"/>
      <w:numFmt w:val="lowerRoman"/>
      <w:lvlText w:val="%3."/>
      <w:lvlJc w:val="right"/>
      <w:pPr>
        <w:tabs>
          <w:tab w:val="left" w:pos="-420"/>
        </w:tabs>
        <w:ind w:left="1500" w:hanging="420"/>
      </w:pPr>
    </w:lvl>
    <w:lvl w:ilvl="3" w:tentative="0">
      <w:start w:val="1"/>
      <w:numFmt w:val="decimal"/>
      <w:lvlText w:val="%4."/>
      <w:lvlJc w:val="left"/>
      <w:pPr>
        <w:tabs>
          <w:tab w:val="left" w:pos="-420"/>
        </w:tabs>
        <w:ind w:left="1920" w:hanging="420"/>
      </w:pPr>
    </w:lvl>
    <w:lvl w:ilvl="4" w:tentative="0">
      <w:start w:val="1"/>
      <w:numFmt w:val="lowerLetter"/>
      <w:lvlText w:val="%5)"/>
      <w:lvlJc w:val="left"/>
      <w:pPr>
        <w:tabs>
          <w:tab w:val="left" w:pos="-420"/>
        </w:tabs>
        <w:ind w:left="2340" w:hanging="420"/>
      </w:pPr>
    </w:lvl>
    <w:lvl w:ilvl="5" w:tentative="0">
      <w:start w:val="1"/>
      <w:numFmt w:val="lowerRoman"/>
      <w:lvlText w:val="%6."/>
      <w:lvlJc w:val="right"/>
      <w:pPr>
        <w:tabs>
          <w:tab w:val="left" w:pos="-420"/>
        </w:tabs>
        <w:ind w:left="2760" w:hanging="420"/>
      </w:pPr>
    </w:lvl>
    <w:lvl w:ilvl="6" w:tentative="0">
      <w:start w:val="1"/>
      <w:numFmt w:val="decimal"/>
      <w:lvlText w:val="%7."/>
      <w:lvlJc w:val="left"/>
      <w:pPr>
        <w:tabs>
          <w:tab w:val="left" w:pos="-420"/>
        </w:tabs>
        <w:ind w:left="3180" w:hanging="420"/>
      </w:pPr>
    </w:lvl>
    <w:lvl w:ilvl="7" w:tentative="0">
      <w:start w:val="1"/>
      <w:numFmt w:val="lowerLetter"/>
      <w:lvlText w:val="%8)"/>
      <w:lvlJc w:val="left"/>
      <w:pPr>
        <w:tabs>
          <w:tab w:val="left" w:pos="-420"/>
        </w:tabs>
        <w:ind w:left="3600" w:hanging="420"/>
      </w:pPr>
    </w:lvl>
    <w:lvl w:ilvl="8" w:tentative="0">
      <w:start w:val="1"/>
      <w:numFmt w:val="lowerRoman"/>
      <w:lvlText w:val="%9."/>
      <w:lvlJc w:val="right"/>
      <w:pPr>
        <w:tabs>
          <w:tab w:val="left" w:pos="-420"/>
        </w:tabs>
        <w:ind w:left="4020" w:hanging="420"/>
      </w:p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7C0B651C"/>
    <w:multiLevelType w:val="singleLevel"/>
    <w:tmpl w:val="7C0B651C"/>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17D4C"/>
    <w:rsid w:val="00020C18"/>
    <w:rsid w:val="00021EE6"/>
    <w:rsid w:val="0002280E"/>
    <w:rsid w:val="00022C74"/>
    <w:rsid w:val="00025122"/>
    <w:rsid w:val="000252D5"/>
    <w:rsid w:val="00026997"/>
    <w:rsid w:val="00027A64"/>
    <w:rsid w:val="00032D27"/>
    <w:rsid w:val="00035325"/>
    <w:rsid w:val="00035D5B"/>
    <w:rsid w:val="000377F3"/>
    <w:rsid w:val="000378D0"/>
    <w:rsid w:val="00037F2C"/>
    <w:rsid w:val="00040A55"/>
    <w:rsid w:val="00042C2A"/>
    <w:rsid w:val="000430EC"/>
    <w:rsid w:val="000447CB"/>
    <w:rsid w:val="00044F6F"/>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5A71"/>
    <w:rsid w:val="0006794B"/>
    <w:rsid w:val="00067DCA"/>
    <w:rsid w:val="00070063"/>
    <w:rsid w:val="0007087A"/>
    <w:rsid w:val="000710EC"/>
    <w:rsid w:val="00071316"/>
    <w:rsid w:val="00072237"/>
    <w:rsid w:val="00072ABE"/>
    <w:rsid w:val="00080B39"/>
    <w:rsid w:val="00083950"/>
    <w:rsid w:val="0008452F"/>
    <w:rsid w:val="000845D0"/>
    <w:rsid w:val="00084E8E"/>
    <w:rsid w:val="00085A68"/>
    <w:rsid w:val="00090625"/>
    <w:rsid w:val="00090948"/>
    <w:rsid w:val="00091CD1"/>
    <w:rsid w:val="0009460E"/>
    <w:rsid w:val="000951D4"/>
    <w:rsid w:val="000A011C"/>
    <w:rsid w:val="000A106D"/>
    <w:rsid w:val="000A1CEA"/>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0D09"/>
    <w:rsid w:val="000F1C29"/>
    <w:rsid w:val="000F1E9E"/>
    <w:rsid w:val="000F2B10"/>
    <w:rsid w:val="000F3F72"/>
    <w:rsid w:val="001019BD"/>
    <w:rsid w:val="001055B2"/>
    <w:rsid w:val="001068F0"/>
    <w:rsid w:val="00106AB8"/>
    <w:rsid w:val="00106C9E"/>
    <w:rsid w:val="00106E16"/>
    <w:rsid w:val="0010768B"/>
    <w:rsid w:val="00107AB1"/>
    <w:rsid w:val="00111701"/>
    <w:rsid w:val="00112A29"/>
    <w:rsid w:val="001167F6"/>
    <w:rsid w:val="00116C86"/>
    <w:rsid w:val="00121ACF"/>
    <w:rsid w:val="00121D8F"/>
    <w:rsid w:val="00122037"/>
    <w:rsid w:val="0012210C"/>
    <w:rsid w:val="00122A7F"/>
    <w:rsid w:val="00123F98"/>
    <w:rsid w:val="001242A5"/>
    <w:rsid w:val="00124531"/>
    <w:rsid w:val="00126995"/>
    <w:rsid w:val="00126EDF"/>
    <w:rsid w:val="00127BBE"/>
    <w:rsid w:val="00131D52"/>
    <w:rsid w:val="001329C1"/>
    <w:rsid w:val="00132C16"/>
    <w:rsid w:val="00136320"/>
    <w:rsid w:val="00136FFA"/>
    <w:rsid w:val="00137AC6"/>
    <w:rsid w:val="0014050B"/>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10A"/>
    <w:rsid w:val="0019381E"/>
    <w:rsid w:val="00194CF5"/>
    <w:rsid w:val="0019503C"/>
    <w:rsid w:val="00195D94"/>
    <w:rsid w:val="00196F7B"/>
    <w:rsid w:val="001971CB"/>
    <w:rsid w:val="0019795C"/>
    <w:rsid w:val="001A053A"/>
    <w:rsid w:val="001A093B"/>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52D1"/>
    <w:rsid w:val="001E660A"/>
    <w:rsid w:val="001F05D6"/>
    <w:rsid w:val="001F50C4"/>
    <w:rsid w:val="001F5B0A"/>
    <w:rsid w:val="001F640F"/>
    <w:rsid w:val="001F6794"/>
    <w:rsid w:val="001F6F65"/>
    <w:rsid w:val="002002DF"/>
    <w:rsid w:val="00203A6F"/>
    <w:rsid w:val="00205646"/>
    <w:rsid w:val="002063F7"/>
    <w:rsid w:val="002129E5"/>
    <w:rsid w:val="00212AA4"/>
    <w:rsid w:val="00212E13"/>
    <w:rsid w:val="00214A4C"/>
    <w:rsid w:val="00214B0A"/>
    <w:rsid w:val="002163C8"/>
    <w:rsid w:val="002179FE"/>
    <w:rsid w:val="00220CC0"/>
    <w:rsid w:val="00221A36"/>
    <w:rsid w:val="00223296"/>
    <w:rsid w:val="0022329B"/>
    <w:rsid w:val="002240F7"/>
    <w:rsid w:val="0022486F"/>
    <w:rsid w:val="00225314"/>
    <w:rsid w:val="00225DF4"/>
    <w:rsid w:val="00226C70"/>
    <w:rsid w:val="00230C8A"/>
    <w:rsid w:val="0023149F"/>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0EE8"/>
    <w:rsid w:val="00252457"/>
    <w:rsid w:val="00252581"/>
    <w:rsid w:val="002535B5"/>
    <w:rsid w:val="002538CB"/>
    <w:rsid w:val="002542BD"/>
    <w:rsid w:val="00255683"/>
    <w:rsid w:val="0025774E"/>
    <w:rsid w:val="00257A0B"/>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2906"/>
    <w:rsid w:val="00293382"/>
    <w:rsid w:val="002936A6"/>
    <w:rsid w:val="00294F51"/>
    <w:rsid w:val="002A2342"/>
    <w:rsid w:val="002A279E"/>
    <w:rsid w:val="002A3C10"/>
    <w:rsid w:val="002A4FA3"/>
    <w:rsid w:val="002B3606"/>
    <w:rsid w:val="002B3D80"/>
    <w:rsid w:val="002B4402"/>
    <w:rsid w:val="002B4946"/>
    <w:rsid w:val="002B4C41"/>
    <w:rsid w:val="002B4EF6"/>
    <w:rsid w:val="002B588D"/>
    <w:rsid w:val="002C1839"/>
    <w:rsid w:val="002C214A"/>
    <w:rsid w:val="002C28E8"/>
    <w:rsid w:val="002C3027"/>
    <w:rsid w:val="002C4065"/>
    <w:rsid w:val="002C674D"/>
    <w:rsid w:val="002C7648"/>
    <w:rsid w:val="002C7DC4"/>
    <w:rsid w:val="002D0821"/>
    <w:rsid w:val="002D1929"/>
    <w:rsid w:val="002D1B73"/>
    <w:rsid w:val="002D3CB0"/>
    <w:rsid w:val="002D4800"/>
    <w:rsid w:val="002D5B21"/>
    <w:rsid w:val="002D6F6D"/>
    <w:rsid w:val="002D718B"/>
    <w:rsid w:val="002E1FE6"/>
    <w:rsid w:val="002E2EA7"/>
    <w:rsid w:val="002E36D2"/>
    <w:rsid w:val="002E748B"/>
    <w:rsid w:val="002F2002"/>
    <w:rsid w:val="002F29A6"/>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40"/>
    <w:rsid w:val="00345897"/>
    <w:rsid w:val="00351A1A"/>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165F"/>
    <w:rsid w:val="003A317E"/>
    <w:rsid w:val="003A345B"/>
    <w:rsid w:val="003A49EE"/>
    <w:rsid w:val="003A674D"/>
    <w:rsid w:val="003A7123"/>
    <w:rsid w:val="003B102E"/>
    <w:rsid w:val="003B2167"/>
    <w:rsid w:val="003B5F5D"/>
    <w:rsid w:val="003B62C8"/>
    <w:rsid w:val="003B7B32"/>
    <w:rsid w:val="003C0C62"/>
    <w:rsid w:val="003C12DC"/>
    <w:rsid w:val="003C2CDA"/>
    <w:rsid w:val="003C2D2D"/>
    <w:rsid w:val="003D000A"/>
    <w:rsid w:val="003D31E9"/>
    <w:rsid w:val="003D544E"/>
    <w:rsid w:val="003D5980"/>
    <w:rsid w:val="003D7A18"/>
    <w:rsid w:val="003E0842"/>
    <w:rsid w:val="003E0A33"/>
    <w:rsid w:val="003E13B0"/>
    <w:rsid w:val="003E2580"/>
    <w:rsid w:val="003E3DEE"/>
    <w:rsid w:val="003E3EBB"/>
    <w:rsid w:val="003E498C"/>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841"/>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2AC4"/>
    <w:rsid w:val="00497A33"/>
    <w:rsid w:val="004A1112"/>
    <w:rsid w:val="004A1DA0"/>
    <w:rsid w:val="004A1F20"/>
    <w:rsid w:val="004A2393"/>
    <w:rsid w:val="004A2E5E"/>
    <w:rsid w:val="004A3569"/>
    <w:rsid w:val="004A452A"/>
    <w:rsid w:val="004A5F2C"/>
    <w:rsid w:val="004A6E4F"/>
    <w:rsid w:val="004A720D"/>
    <w:rsid w:val="004B00D0"/>
    <w:rsid w:val="004B5C1E"/>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0B0"/>
    <w:rsid w:val="004E06E7"/>
    <w:rsid w:val="004E0AE3"/>
    <w:rsid w:val="004E20D3"/>
    <w:rsid w:val="004E2C82"/>
    <w:rsid w:val="004E4FAE"/>
    <w:rsid w:val="004E62C7"/>
    <w:rsid w:val="004E68FF"/>
    <w:rsid w:val="004E74F4"/>
    <w:rsid w:val="004E7A1B"/>
    <w:rsid w:val="004F0B7F"/>
    <w:rsid w:val="004F1193"/>
    <w:rsid w:val="004F11DC"/>
    <w:rsid w:val="004F2124"/>
    <w:rsid w:val="004F271B"/>
    <w:rsid w:val="004F3A52"/>
    <w:rsid w:val="004F449F"/>
    <w:rsid w:val="004F4CFC"/>
    <w:rsid w:val="004F4E7E"/>
    <w:rsid w:val="004F63AB"/>
    <w:rsid w:val="004F6B76"/>
    <w:rsid w:val="004F6C7C"/>
    <w:rsid w:val="004F7F1A"/>
    <w:rsid w:val="004F7FBB"/>
    <w:rsid w:val="00501FA7"/>
    <w:rsid w:val="00502DBD"/>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173E"/>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413"/>
    <w:rsid w:val="005B6735"/>
    <w:rsid w:val="005B7831"/>
    <w:rsid w:val="005B7866"/>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6A8A"/>
    <w:rsid w:val="005E7075"/>
    <w:rsid w:val="005E75A7"/>
    <w:rsid w:val="005F38E2"/>
    <w:rsid w:val="005F3EE6"/>
    <w:rsid w:val="005F6736"/>
    <w:rsid w:val="006003F5"/>
    <w:rsid w:val="00602C10"/>
    <w:rsid w:val="00602EBD"/>
    <w:rsid w:val="00604CF2"/>
    <w:rsid w:val="00606DFF"/>
    <w:rsid w:val="00606FB7"/>
    <w:rsid w:val="00610533"/>
    <w:rsid w:val="006110F6"/>
    <w:rsid w:val="00611E94"/>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6C2"/>
    <w:rsid w:val="00637EC6"/>
    <w:rsid w:val="0064240C"/>
    <w:rsid w:val="00642FF5"/>
    <w:rsid w:val="006430FB"/>
    <w:rsid w:val="00643992"/>
    <w:rsid w:val="00644B78"/>
    <w:rsid w:val="00644DBC"/>
    <w:rsid w:val="00646FE6"/>
    <w:rsid w:val="006474CD"/>
    <w:rsid w:val="00647744"/>
    <w:rsid w:val="006479A0"/>
    <w:rsid w:val="006500D9"/>
    <w:rsid w:val="00652556"/>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710"/>
    <w:rsid w:val="00683806"/>
    <w:rsid w:val="00686AF9"/>
    <w:rsid w:val="00691012"/>
    <w:rsid w:val="006910C0"/>
    <w:rsid w:val="00691954"/>
    <w:rsid w:val="0069320E"/>
    <w:rsid w:val="00693D13"/>
    <w:rsid w:val="00694346"/>
    <w:rsid w:val="00694F58"/>
    <w:rsid w:val="006955BC"/>
    <w:rsid w:val="006959E2"/>
    <w:rsid w:val="00695E25"/>
    <w:rsid w:val="00696920"/>
    <w:rsid w:val="00697EB9"/>
    <w:rsid w:val="006A20D4"/>
    <w:rsid w:val="006A268D"/>
    <w:rsid w:val="006A350F"/>
    <w:rsid w:val="006A3957"/>
    <w:rsid w:val="006A39A4"/>
    <w:rsid w:val="006A41D6"/>
    <w:rsid w:val="006A572F"/>
    <w:rsid w:val="006A669D"/>
    <w:rsid w:val="006A6E41"/>
    <w:rsid w:val="006B012F"/>
    <w:rsid w:val="006B0D9B"/>
    <w:rsid w:val="006B27CF"/>
    <w:rsid w:val="006B41BD"/>
    <w:rsid w:val="006B5678"/>
    <w:rsid w:val="006B62B2"/>
    <w:rsid w:val="006C1C57"/>
    <w:rsid w:val="006C5760"/>
    <w:rsid w:val="006C6D6F"/>
    <w:rsid w:val="006D0D78"/>
    <w:rsid w:val="006D1128"/>
    <w:rsid w:val="006D2695"/>
    <w:rsid w:val="006D2848"/>
    <w:rsid w:val="006D30E0"/>
    <w:rsid w:val="006D5521"/>
    <w:rsid w:val="006D5FE9"/>
    <w:rsid w:val="006D6CBB"/>
    <w:rsid w:val="006D76A9"/>
    <w:rsid w:val="006D77F4"/>
    <w:rsid w:val="006E0898"/>
    <w:rsid w:val="006E41CD"/>
    <w:rsid w:val="006F3BEC"/>
    <w:rsid w:val="006F7086"/>
    <w:rsid w:val="00703C00"/>
    <w:rsid w:val="007057CC"/>
    <w:rsid w:val="007066F2"/>
    <w:rsid w:val="00706AE5"/>
    <w:rsid w:val="0070740A"/>
    <w:rsid w:val="00711F93"/>
    <w:rsid w:val="00712940"/>
    <w:rsid w:val="0071428C"/>
    <w:rsid w:val="00714686"/>
    <w:rsid w:val="00715A16"/>
    <w:rsid w:val="007164B0"/>
    <w:rsid w:val="007166FF"/>
    <w:rsid w:val="007260CC"/>
    <w:rsid w:val="00726543"/>
    <w:rsid w:val="0073353E"/>
    <w:rsid w:val="00736633"/>
    <w:rsid w:val="00736BFA"/>
    <w:rsid w:val="00741EE7"/>
    <w:rsid w:val="00743A79"/>
    <w:rsid w:val="007444D4"/>
    <w:rsid w:val="0074594D"/>
    <w:rsid w:val="007459F3"/>
    <w:rsid w:val="00746E35"/>
    <w:rsid w:val="007470E2"/>
    <w:rsid w:val="0075232F"/>
    <w:rsid w:val="00753132"/>
    <w:rsid w:val="007550B3"/>
    <w:rsid w:val="00760451"/>
    <w:rsid w:val="007630D7"/>
    <w:rsid w:val="00764F00"/>
    <w:rsid w:val="007717F5"/>
    <w:rsid w:val="0077182A"/>
    <w:rsid w:val="00771913"/>
    <w:rsid w:val="00772718"/>
    <w:rsid w:val="00774665"/>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A3204"/>
    <w:rsid w:val="007B014B"/>
    <w:rsid w:val="007B0D88"/>
    <w:rsid w:val="007B306F"/>
    <w:rsid w:val="007B4714"/>
    <w:rsid w:val="007B4E82"/>
    <w:rsid w:val="007C1996"/>
    <w:rsid w:val="007C3773"/>
    <w:rsid w:val="007C3F1F"/>
    <w:rsid w:val="007C734C"/>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3A07"/>
    <w:rsid w:val="00854FC1"/>
    <w:rsid w:val="00855543"/>
    <w:rsid w:val="008566B3"/>
    <w:rsid w:val="008576B7"/>
    <w:rsid w:val="00857F7B"/>
    <w:rsid w:val="00863DA1"/>
    <w:rsid w:val="008654A6"/>
    <w:rsid w:val="00865D86"/>
    <w:rsid w:val="00870495"/>
    <w:rsid w:val="00870EA1"/>
    <w:rsid w:val="008710C5"/>
    <w:rsid w:val="00872D6C"/>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2E12"/>
    <w:rsid w:val="00893628"/>
    <w:rsid w:val="008941EB"/>
    <w:rsid w:val="0089545A"/>
    <w:rsid w:val="00895A02"/>
    <w:rsid w:val="00897FDD"/>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3E90"/>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2416"/>
    <w:rsid w:val="009A3FD7"/>
    <w:rsid w:val="009A5501"/>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40AD"/>
    <w:rsid w:val="009F54F2"/>
    <w:rsid w:val="00A0056B"/>
    <w:rsid w:val="00A01657"/>
    <w:rsid w:val="00A01C65"/>
    <w:rsid w:val="00A0213D"/>
    <w:rsid w:val="00A04C73"/>
    <w:rsid w:val="00A0679A"/>
    <w:rsid w:val="00A07A2B"/>
    <w:rsid w:val="00A11F74"/>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002E"/>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87B9C"/>
    <w:rsid w:val="00A90B23"/>
    <w:rsid w:val="00A93193"/>
    <w:rsid w:val="00A9390C"/>
    <w:rsid w:val="00A93C2B"/>
    <w:rsid w:val="00A94556"/>
    <w:rsid w:val="00A974CB"/>
    <w:rsid w:val="00AA1EAC"/>
    <w:rsid w:val="00AA45E2"/>
    <w:rsid w:val="00AA7AC1"/>
    <w:rsid w:val="00AB3D39"/>
    <w:rsid w:val="00AB5240"/>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1580"/>
    <w:rsid w:val="00AF3021"/>
    <w:rsid w:val="00AF38A8"/>
    <w:rsid w:val="00AF63EB"/>
    <w:rsid w:val="00B016D2"/>
    <w:rsid w:val="00B018EC"/>
    <w:rsid w:val="00B060C7"/>
    <w:rsid w:val="00B11AB7"/>
    <w:rsid w:val="00B12213"/>
    <w:rsid w:val="00B13710"/>
    <w:rsid w:val="00B17078"/>
    <w:rsid w:val="00B22881"/>
    <w:rsid w:val="00B23EFC"/>
    <w:rsid w:val="00B24B72"/>
    <w:rsid w:val="00B25DB8"/>
    <w:rsid w:val="00B2656C"/>
    <w:rsid w:val="00B266E6"/>
    <w:rsid w:val="00B278D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2C8C"/>
    <w:rsid w:val="00B64DA9"/>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7AAC"/>
    <w:rsid w:val="00BA0A14"/>
    <w:rsid w:val="00BA228D"/>
    <w:rsid w:val="00BA398D"/>
    <w:rsid w:val="00BA39D3"/>
    <w:rsid w:val="00BA5C56"/>
    <w:rsid w:val="00BA776F"/>
    <w:rsid w:val="00BB0C0D"/>
    <w:rsid w:val="00BB0D69"/>
    <w:rsid w:val="00BB366E"/>
    <w:rsid w:val="00BB3AF0"/>
    <w:rsid w:val="00BB45FA"/>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E5301"/>
    <w:rsid w:val="00BF16C3"/>
    <w:rsid w:val="00BF38E0"/>
    <w:rsid w:val="00BF44FA"/>
    <w:rsid w:val="00BF57E1"/>
    <w:rsid w:val="00C003B4"/>
    <w:rsid w:val="00C00A5F"/>
    <w:rsid w:val="00C042E0"/>
    <w:rsid w:val="00C051D9"/>
    <w:rsid w:val="00C061BB"/>
    <w:rsid w:val="00C06333"/>
    <w:rsid w:val="00C06F68"/>
    <w:rsid w:val="00C075BA"/>
    <w:rsid w:val="00C10A3A"/>
    <w:rsid w:val="00C11E20"/>
    <w:rsid w:val="00C15D16"/>
    <w:rsid w:val="00C20015"/>
    <w:rsid w:val="00C247DD"/>
    <w:rsid w:val="00C24B35"/>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76612"/>
    <w:rsid w:val="00C813EA"/>
    <w:rsid w:val="00C81496"/>
    <w:rsid w:val="00C82CE6"/>
    <w:rsid w:val="00C82E22"/>
    <w:rsid w:val="00C85144"/>
    <w:rsid w:val="00C86738"/>
    <w:rsid w:val="00C86A27"/>
    <w:rsid w:val="00C86CDD"/>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1B39"/>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180B"/>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2990"/>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62A"/>
    <w:rsid w:val="00D55A98"/>
    <w:rsid w:val="00D56B49"/>
    <w:rsid w:val="00D6053F"/>
    <w:rsid w:val="00D6073D"/>
    <w:rsid w:val="00D618D6"/>
    <w:rsid w:val="00D62426"/>
    <w:rsid w:val="00D62804"/>
    <w:rsid w:val="00D66D9A"/>
    <w:rsid w:val="00D70F55"/>
    <w:rsid w:val="00D70FA5"/>
    <w:rsid w:val="00D74171"/>
    <w:rsid w:val="00D7474C"/>
    <w:rsid w:val="00D8032C"/>
    <w:rsid w:val="00D803ED"/>
    <w:rsid w:val="00D80CE2"/>
    <w:rsid w:val="00D83080"/>
    <w:rsid w:val="00D83E66"/>
    <w:rsid w:val="00D84D5F"/>
    <w:rsid w:val="00D851E2"/>
    <w:rsid w:val="00D86D7D"/>
    <w:rsid w:val="00D87FFA"/>
    <w:rsid w:val="00D90A84"/>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1A30"/>
    <w:rsid w:val="00DE3B70"/>
    <w:rsid w:val="00DE5813"/>
    <w:rsid w:val="00DF10B1"/>
    <w:rsid w:val="00DF1FDA"/>
    <w:rsid w:val="00DF3DD0"/>
    <w:rsid w:val="00DF4362"/>
    <w:rsid w:val="00DF4D50"/>
    <w:rsid w:val="00DF538C"/>
    <w:rsid w:val="00E021C2"/>
    <w:rsid w:val="00E024A3"/>
    <w:rsid w:val="00E0423D"/>
    <w:rsid w:val="00E057B5"/>
    <w:rsid w:val="00E0581E"/>
    <w:rsid w:val="00E079C5"/>
    <w:rsid w:val="00E07CBD"/>
    <w:rsid w:val="00E07F56"/>
    <w:rsid w:val="00E10A16"/>
    <w:rsid w:val="00E1112F"/>
    <w:rsid w:val="00E12165"/>
    <w:rsid w:val="00E1318F"/>
    <w:rsid w:val="00E13B3B"/>
    <w:rsid w:val="00E13E29"/>
    <w:rsid w:val="00E16857"/>
    <w:rsid w:val="00E16C3A"/>
    <w:rsid w:val="00E20651"/>
    <w:rsid w:val="00E2107C"/>
    <w:rsid w:val="00E21E70"/>
    <w:rsid w:val="00E224DE"/>
    <w:rsid w:val="00E23DCE"/>
    <w:rsid w:val="00E24278"/>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584E"/>
    <w:rsid w:val="00E561AD"/>
    <w:rsid w:val="00E57FAF"/>
    <w:rsid w:val="00E60BA9"/>
    <w:rsid w:val="00E63510"/>
    <w:rsid w:val="00E635EA"/>
    <w:rsid w:val="00E655E5"/>
    <w:rsid w:val="00E65F4E"/>
    <w:rsid w:val="00E662E0"/>
    <w:rsid w:val="00E67D5D"/>
    <w:rsid w:val="00E71C7A"/>
    <w:rsid w:val="00E73119"/>
    <w:rsid w:val="00E73E1E"/>
    <w:rsid w:val="00E767FF"/>
    <w:rsid w:val="00E779D8"/>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B85"/>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55F"/>
    <w:rsid w:val="00ED1866"/>
    <w:rsid w:val="00ED3134"/>
    <w:rsid w:val="00ED38E2"/>
    <w:rsid w:val="00ED504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5846"/>
    <w:rsid w:val="00F167C5"/>
    <w:rsid w:val="00F20B5A"/>
    <w:rsid w:val="00F21F0B"/>
    <w:rsid w:val="00F21F9A"/>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8C8"/>
    <w:rsid w:val="00F80F94"/>
    <w:rsid w:val="00F81BA2"/>
    <w:rsid w:val="00F823A4"/>
    <w:rsid w:val="00F8412F"/>
    <w:rsid w:val="00F84791"/>
    <w:rsid w:val="00F85995"/>
    <w:rsid w:val="00F85FC5"/>
    <w:rsid w:val="00F86C22"/>
    <w:rsid w:val="00F87E29"/>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513744"/>
    <w:rsid w:val="015C6827"/>
    <w:rsid w:val="01C20BC1"/>
    <w:rsid w:val="02913B65"/>
    <w:rsid w:val="03253AFD"/>
    <w:rsid w:val="03430854"/>
    <w:rsid w:val="039F5FA6"/>
    <w:rsid w:val="047A406D"/>
    <w:rsid w:val="048D0437"/>
    <w:rsid w:val="056B2E9D"/>
    <w:rsid w:val="05C841EA"/>
    <w:rsid w:val="065D476C"/>
    <w:rsid w:val="06EA49F6"/>
    <w:rsid w:val="075B532F"/>
    <w:rsid w:val="07DA2726"/>
    <w:rsid w:val="08103ADB"/>
    <w:rsid w:val="0872058D"/>
    <w:rsid w:val="09305ADA"/>
    <w:rsid w:val="0A90781D"/>
    <w:rsid w:val="0BB124AA"/>
    <w:rsid w:val="0C23021B"/>
    <w:rsid w:val="0C954D40"/>
    <w:rsid w:val="0D532C44"/>
    <w:rsid w:val="0D846A33"/>
    <w:rsid w:val="0D847BF5"/>
    <w:rsid w:val="0D8C7BA2"/>
    <w:rsid w:val="0DF177D2"/>
    <w:rsid w:val="0E666D78"/>
    <w:rsid w:val="0E8013B7"/>
    <w:rsid w:val="0F7900BA"/>
    <w:rsid w:val="0F8C6CB2"/>
    <w:rsid w:val="0F906591"/>
    <w:rsid w:val="0FA53DDF"/>
    <w:rsid w:val="104267A5"/>
    <w:rsid w:val="10D604C6"/>
    <w:rsid w:val="10D63E3B"/>
    <w:rsid w:val="11A000AA"/>
    <w:rsid w:val="11B515E0"/>
    <w:rsid w:val="12797B1A"/>
    <w:rsid w:val="128B1E7F"/>
    <w:rsid w:val="128C26B2"/>
    <w:rsid w:val="1367395A"/>
    <w:rsid w:val="13A53267"/>
    <w:rsid w:val="13F970D2"/>
    <w:rsid w:val="140C5F40"/>
    <w:rsid w:val="14AA4136"/>
    <w:rsid w:val="14C242DC"/>
    <w:rsid w:val="14DE1D5E"/>
    <w:rsid w:val="14F20515"/>
    <w:rsid w:val="15581657"/>
    <w:rsid w:val="1575462F"/>
    <w:rsid w:val="163A420B"/>
    <w:rsid w:val="164C5FD9"/>
    <w:rsid w:val="16B97B38"/>
    <w:rsid w:val="16BF2E71"/>
    <w:rsid w:val="186E6D83"/>
    <w:rsid w:val="18B7465F"/>
    <w:rsid w:val="19413B26"/>
    <w:rsid w:val="1AAD06A2"/>
    <w:rsid w:val="1C2E76BB"/>
    <w:rsid w:val="1C6D3688"/>
    <w:rsid w:val="1C974DF7"/>
    <w:rsid w:val="1CC63D0A"/>
    <w:rsid w:val="1D081AF2"/>
    <w:rsid w:val="1DC2081A"/>
    <w:rsid w:val="1DD94266"/>
    <w:rsid w:val="1E25276A"/>
    <w:rsid w:val="1E8B07C7"/>
    <w:rsid w:val="1F62533A"/>
    <w:rsid w:val="1F713C19"/>
    <w:rsid w:val="1F90252B"/>
    <w:rsid w:val="1F9D0947"/>
    <w:rsid w:val="1FAD7C53"/>
    <w:rsid w:val="1FFB29C6"/>
    <w:rsid w:val="206802DA"/>
    <w:rsid w:val="20BE2EA1"/>
    <w:rsid w:val="22173CA9"/>
    <w:rsid w:val="22AF3620"/>
    <w:rsid w:val="22E70AD4"/>
    <w:rsid w:val="23B7040A"/>
    <w:rsid w:val="24253529"/>
    <w:rsid w:val="245706BE"/>
    <w:rsid w:val="24705EF7"/>
    <w:rsid w:val="24B65207"/>
    <w:rsid w:val="24F1508D"/>
    <w:rsid w:val="251F7F55"/>
    <w:rsid w:val="258F480D"/>
    <w:rsid w:val="259557B7"/>
    <w:rsid w:val="260945AA"/>
    <w:rsid w:val="266F634F"/>
    <w:rsid w:val="26FC4863"/>
    <w:rsid w:val="27174C3C"/>
    <w:rsid w:val="274E2273"/>
    <w:rsid w:val="275163C0"/>
    <w:rsid w:val="27563BB0"/>
    <w:rsid w:val="28A4369C"/>
    <w:rsid w:val="28F42E06"/>
    <w:rsid w:val="291059EA"/>
    <w:rsid w:val="292D27EB"/>
    <w:rsid w:val="293F2D39"/>
    <w:rsid w:val="29F61C01"/>
    <w:rsid w:val="2A1008C7"/>
    <w:rsid w:val="2A941B30"/>
    <w:rsid w:val="2AD46197"/>
    <w:rsid w:val="2AFA5B21"/>
    <w:rsid w:val="2BBF12EC"/>
    <w:rsid w:val="2BC649D9"/>
    <w:rsid w:val="2C857874"/>
    <w:rsid w:val="2D500AB3"/>
    <w:rsid w:val="2E0C4DEE"/>
    <w:rsid w:val="2E156399"/>
    <w:rsid w:val="30BA48E7"/>
    <w:rsid w:val="30C05D13"/>
    <w:rsid w:val="318A0E4C"/>
    <w:rsid w:val="324314C6"/>
    <w:rsid w:val="324D075E"/>
    <w:rsid w:val="330B1B18"/>
    <w:rsid w:val="336011D5"/>
    <w:rsid w:val="34331B8E"/>
    <w:rsid w:val="3515160D"/>
    <w:rsid w:val="365B6913"/>
    <w:rsid w:val="37643EED"/>
    <w:rsid w:val="38504095"/>
    <w:rsid w:val="39CE1802"/>
    <w:rsid w:val="3B5D312D"/>
    <w:rsid w:val="3B73406E"/>
    <w:rsid w:val="3B8052D9"/>
    <w:rsid w:val="3BFC46F4"/>
    <w:rsid w:val="3C0E2679"/>
    <w:rsid w:val="3C7D00D8"/>
    <w:rsid w:val="3C9A3EFB"/>
    <w:rsid w:val="3CA06C0C"/>
    <w:rsid w:val="3E6162BA"/>
    <w:rsid w:val="3EA25851"/>
    <w:rsid w:val="3EE940BE"/>
    <w:rsid w:val="3EEA3242"/>
    <w:rsid w:val="3F6C3757"/>
    <w:rsid w:val="3FEF571D"/>
    <w:rsid w:val="405D6A10"/>
    <w:rsid w:val="408A152D"/>
    <w:rsid w:val="40E265C6"/>
    <w:rsid w:val="41686388"/>
    <w:rsid w:val="41DA6594"/>
    <w:rsid w:val="433425E4"/>
    <w:rsid w:val="43350B14"/>
    <w:rsid w:val="438163CD"/>
    <w:rsid w:val="444C1A75"/>
    <w:rsid w:val="44651F6F"/>
    <w:rsid w:val="44897255"/>
    <w:rsid w:val="44A3526F"/>
    <w:rsid w:val="44B032F4"/>
    <w:rsid w:val="454B3FF6"/>
    <w:rsid w:val="457C4AF8"/>
    <w:rsid w:val="457D25F7"/>
    <w:rsid w:val="468341CD"/>
    <w:rsid w:val="472C2589"/>
    <w:rsid w:val="477D2E16"/>
    <w:rsid w:val="483D40CA"/>
    <w:rsid w:val="49DE18DD"/>
    <w:rsid w:val="4A0D3B33"/>
    <w:rsid w:val="4A760AEB"/>
    <w:rsid w:val="4C912C37"/>
    <w:rsid w:val="4CB66B41"/>
    <w:rsid w:val="4CDA2300"/>
    <w:rsid w:val="4CDE12D6"/>
    <w:rsid w:val="4D2717ED"/>
    <w:rsid w:val="4D2A4347"/>
    <w:rsid w:val="4D9F811B"/>
    <w:rsid w:val="4DC808DA"/>
    <w:rsid w:val="4E0B07C7"/>
    <w:rsid w:val="4E7B188C"/>
    <w:rsid w:val="4F3162CA"/>
    <w:rsid w:val="4F5E73AC"/>
    <w:rsid w:val="4F623E20"/>
    <w:rsid w:val="4F660E4F"/>
    <w:rsid w:val="4F78727A"/>
    <w:rsid w:val="50D95873"/>
    <w:rsid w:val="511A36B0"/>
    <w:rsid w:val="51ED4DB3"/>
    <w:rsid w:val="52606A94"/>
    <w:rsid w:val="526102AF"/>
    <w:rsid w:val="52833022"/>
    <w:rsid w:val="528444DA"/>
    <w:rsid w:val="534D3630"/>
    <w:rsid w:val="537745D5"/>
    <w:rsid w:val="53E55E8D"/>
    <w:rsid w:val="543079D2"/>
    <w:rsid w:val="54A66186"/>
    <w:rsid w:val="552306F6"/>
    <w:rsid w:val="55A167FB"/>
    <w:rsid w:val="55B50141"/>
    <w:rsid w:val="56E352D5"/>
    <w:rsid w:val="57DD3ED9"/>
    <w:rsid w:val="57E435FE"/>
    <w:rsid w:val="582D0655"/>
    <w:rsid w:val="582F7D68"/>
    <w:rsid w:val="584C2958"/>
    <w:rsid w:val="591B6943"/>
    <w:rsid w:val="593A32A1"/>
    <w:rsid w:val="5951205C"/>
    <w:rsid w:val="59D079E8"/>
    <w:rsid w:val="59D40847"/>
    <w:rsid w:val="5AD50407"/>
    <w:rsid w:val="5AE37F25"/>
    <w:rsid w:val="5BAB0ECC"/>
    <w:rsid w:val="5C7D6D34"/>
    <w:rsid w:val="5CB23D47"/>
    <w:rsid w:val="5CE609FA"/>
    <w:rsid w:val="5CFB7184"/>
    <w:rsid w:val="5FAF09C4"/>
    <w:rsid w:val="5FEF24A8"/>
    <w:rsid w:val="5FFC08B7"/>
    <w:rsid w:val="600A4D82"/>
    <w:rsid w:val="608C4642"/>
    <w:rsid w:val="612757D8"/>
    <w:rsid w:val="62795572"/>
    <w:rsid w:val="63884D64"/>
    <w:rsid w:val="64162907"/>
    <w:rsid w:val="646F1658"/>
    <w:rsid w:val="646F493B"/>
    <w:rsid w:val="64DD6417"/>
    <w:rsid w:val="65A92F4B"/>
    <w:rsid w:val="65FFD535"/>
    <w:rsid w:val="66004745"/>
    <w:rsid w:val="66216657"/>
    <w:rsid w:val="66440382"/>
    <w:rsid w:val="66B06886"/>
    <w:rsid w:val="66F61BBC"/>
    <w:rsid w:val="671604B0"/>
    <w:rsid w:val="67DA7D95"/>
    <w:rsid w:val="67DC5685"/>
    <w:rsid w:val="67EA7456"/>
    <w:rsid w:val="6844732F"/>
    <w:rsid w:val="68731831"/>
    <w:rsid w:val="6A1D6D76"/>
    <w:rsid w:val="6A567F20"/>
    <w:rsid w:val="6AC02C0D"/>
    <w:rsid w:val="6B9F6CC6"/>
    <w:rsid w:val="6C470E1E"/>
    <w:rsid w:val="6CAD61D7"/>
    <w:rsid w:val="6CB03B6C"/>
    <w:rsid w:val="6CD97953"/>
    <w:rsid w:val="6CDF360E"/>
    <w:rsid w:val="6CF748E0"/>
    <w:rsid w:val="6D523B29"/>
    <w:rsid w:val="6DEB5369"/>
    <w:rsid w:val="6ED30FD7"/>
    <w:rsid w:val="704A4D27"/>
    <w:rsid w:val="707B5A0F"/>
    <w:rsid w:val="71063344"/>
    <w:rsid w:val="71334EA7"/>
    <w:rsid w:val="71675A4C"/>
    <w:rsid w:val="716D33C3"/>
    <w:rsid w:val="71E749C2"/>
    <w:rsid w:val="727D78FD"/>
    <w:rsid w:val="727F7201"/>
    <w:rsid w:val="72962E4D"/>
    <w:rsid w:val="72C1062F"/>
    <w:rsid w:val="73CC655F"/>
    <w:rsid w:val="73E66B63"/>
    <w:rsid w:val="74B9776F"/>
    <w:rsid w:val="74BC2C75"/>
    <w:rsid w:val="74C94DB4"/>
    <w:rsid w:val="75957445"/>
    <w:rsid w:val="75D01AE1"/>
    <w:rsid w:val="75D25EEA"/>
    <w:rsid w:val="7608062B"/>
    <w:rsid w:val="762179F3"/>
    <w:rsid w:val="76481255"/>
    <w:rsid w:val="764A3CD3"/>
    <w:rsid w:val="770B1E2E"/>
    <w:rsid w:val="77524363"/>
    <w:rsid w:val="7768426B"/>
    <w:rsid w:val="77AE2D25"/>
    <w:rsid w:val="77B917B5"/>
    <w:rsid w:val="77EF7D04"/>
    <w:rsid w:val="78402C6D"/>
    <w:rsid w:val="7851639A"/>
    <w:rsid w:val="78703975"/>
    <w:rsid w:val="78984794"/>
    <w:rsid w:val="78FECD1F"/>
    <w:rsid w:val="790472E8"/>
    <w:rsid w:val="7A97598D"/>
    <w:rsid w:val="7AB17CCD"/>
    <w:rsid w:val="7AE42B80"/>
    <w:rsid w:val="7BA72321"/>
    <w:rsid w:val="7BD32073"/>
    <w:rsid w:val="7BE420FD"/>
    <w:rsid w:val="7BF1338C"/>
    <w:rsid w:val="7C2948B3"/>
    <w:rsid w:val="7C3C2310"/>
    <w:rsid w:val="7C4030A0"/>
    <w:rsid w:val="7C561C14"/>
    <w:rsid w:val="7C6453C2"/>
    <w:rsid w:val="7CE0713F"/>
    <w:rsid w:val="7D0D296B"/>
    <w:rsid w:val="7D3D44B2"/>
    <w:rsid w:val="7D4E0B54"/>
    <w:rsid w:val="7D503E78"/>
    <w:rsid w:val="7E0160D4"/>
    <w:rsid w:val="7E2D1B69"/>
    <w:rsid w:val="7E6C1962"/>
    <w:rsid w:val="7F5D1E68"/>
    <w:rsid w:val="7FF31298"/>
    <w:rsid w:val="B5FBBD70"/>
    <w:rsid w:val="BAFE89FD"/>
    <w:rsid w:val="CF9EE2D5"/>
    <w:rsid w:val="CFE84A02"/>
    <w:rsid w:val="D3F79426"/>
    <w:rsid w:val="F5BFFFF7"/>
    <w:rsid w:val="F87F8F6A"/>
    <w:rsid w:val="FA58FBAE"/>
    <w:rsid w:val="FFFB60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出段落 字符"/>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9"/>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autoRedefine/>
    <w:qFormat/>
    <w:uiPriority w:val="34"/>
    <w:pPr>
      <w:spacing w:line="240" w:lineRule="auto"/>
      <w:ind w:firstLine="420"/>
    </w:pPr>
    <w:rPr>
      <w:rFonts w:ascii="Calibri" w:hAnsi="Calibri"/>
      <w:sz w:val="21"/>
      <w:szCs w:val="22"/>
    </w:rPr>
  </w:style>
  <w:style w:type="paragraph" w:customStyle="1" w:styleId="135">
    <w:name w:val="可研正文"/>
    <w:basedOn w:val="1"/>
    <w:link w:val="136"/>
    <w:qFormat/>
    <w:uiPriority w:val="0"/>
    <w:pPr>
      <w:ind w:firstLine="560"/>
    </w:pPr>
    <w:rPr>
      <w:rFonts w:ascii="仿宋" w:hAnsi="仿宋" w:eastAsia="仿宋" w:cstheme="minorBidi"/>
      <w:sz w:val="28"/>
      <w:szCs w:val="28"/>
    </w:rPr>
  </w:style>
  <w:style w:type="character" w:customStyle="1" w:styleId="136">
    <w:name w:val="可研正文 Char"/>
    <w:link w:val="135"/>
    <w:qFormat/>
    <w:uiPriority w:val="0"/>
    <w:rPr>
      <w:rFonts w:ascii="仿宋" w:hAnsi="仿宋" w:eastAsia="仿宋" w:cstheme="minorBidi"/>
      <w:kern w:val="2"/>
      <w:sz w:val="28"/>
      <w:szCs w:val="28"/>
    </w:rPr>
  </w:style>
  <w:style w:type="paragraph" w:customStyle="1" w:styleId="137">
    <w:name w:val="样式2"/>
    <w:basedOn w:val="1"/>
    <w:qFormat/>
    <w:uiPriority w:val="0"/>
    <w:pPr>
      <w:widowControl/>
      <w:adjustRightInd w:val="0"/>
    </w:pPr>
    <w:rPr>
      <w:kern w:val="0"/>
      <w:lang w:eastAsia="en-US"/>
    </w:rPr>
  </w:style>
  <w:style w:type="paragraph" w:customStyle="1" w:styleId="138">
    <w:name w:val="B-表正文"/>
    <w:qFormat/>
    <w:uiPriority w:val="0"/>
    <w:rPr>
      <w:rFonts w:ascii="Times New Roman" w:hAnsi="Times New Roman" w:eastAsia="仿宋"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67c4c8f2-731f-4836-8058-b1c2e77b07a5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4BA45B36</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ce72f0a4-edac-486a-bc3a-fa5d99cc9acb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4BA45B36</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dfe5f5e2-dcf9-40c5-9f4b-51608a26c5df</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6D043CA</paraID>
      <start xmlns="http://schemas.wps.cn/vas-ai-hub/contract-review">116</start>
      <end xmlns="http://schemas.wps.cn/vas-ai-hub/contract-review">120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0d3cdd00-8ae9-40c3-8476-aa6e3b2f9100</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6D043CA</paraID>
      <start xmlns="http://schemas.wps.cn/vas-ai-hub/contract-review">148</start>
      <end xmlns="http://schemas.wps.cn/vas-ai-hub/contract-review">152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be9c807f-6a51-4688-9d9b-7fa81e22cf93</errorID>
      <errorWord xmlns="http://schemas.wps.cn/vas-ai-hub/contract-review">党中央国务院</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党中央、国务院</item>
      </candidateList>
      <explain xmlns="http://schemas.wps.cn/vas-ai-hub/contract-review">注意检查当前固定表述标点是否使用规范。</explain>
      <paraID xmlns="http://schemas.wps.cn/vas-ai-hub/contract-review">2FE56D21</paraID>
      <start xmlns="http://schemas.wps.cn/vas-ai-hub/contract-review">14</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38de050b-8c10-4be9-9a5b-d1c73bf8a47c</errorID>
      <errorWord xmlns="http://schemas.wps.cn/vas-ai-hub/contract-review">市委市政府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市委、市政府</item>
      </candidateList>
      <explain xmlns="http://schemas.wps.cn/vas-ai-hub/contract-review"/>
      <paraID xmlns="http://schemas.wps.cn/vas-ai-hub/contract-review">2FE56D21</paraID>
      <start xmlns="http://schemas.wps.cn/vas-ai-hub/contract-review">23</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7acebb46-52ff-42af-83e5-3388c2567836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2FE56D21</paraID>
      <start xmlns="http://schemas.wps.cn/vas-ai-hub/contract-review">212</start>
      <end xmlns="http://schemas.wps.cn/vas-ai-hub/contract-review">213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a0d20478-5b98-4948-a7ae-49b2445f823f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2FE56D21</paraID>
      <start xmlns="http://schemas.wps.cn/vas-ai-hub/contract-review">228</start>
      <end xmlns="http://schemas.wps.cn/vas-ai-hub/contract-review">229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431e47e3-16f7-4e5c-ae19-f6fb2cab4c72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2FE56D21</paraID>
      <start xmlns="http://schemas.wps.cn/vas-ai-hub/contract-review">280</start>
      <end xmlns="http://schemas.wps.cn/vas-ai-hub/contract-review">281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5c5cc250-f931-4670-a83a-b445b886a264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2FE56D21</paraID>
      <start xmlns="http://schemas.wps.cn/vas-ai-hub/contract-review">293</start>
      <end xmlns="http://schemas.wps.cn/vas-ai-hub/contract-review">294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82e4b7f5-22ce-42a0-8f39-9a43fc3e6d95</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14A6BA57</paraID>
      <start xmlns="http://schemas.wps.cn/vas-ai-hub/contract-review">1</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e805045f-523e-4265-9cc1-2f7795b4306c</errorID>
      <errorWord xmlns="http://schemas.wps.cn/vas-ai-hub/contract-review">亟需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亟须</item>
      </candidateList>
      <explain xmlns="http://schemas.wps.cn/vas-ai-hub/contract-review"/>
      <paraID xmlns="http://schemas.wps.cn/vas-ai-hub/contract-review">14A6BA57</paraID>
      <start xmlns="http://schemas.wps.cn/vas-ai-hub/contract-review">16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8ceef951-ab8f-43f5-8f00-f9f538ac5087</errorID>
      <errorWord xmlns="http://schemas.wps.cn/vas-ai-hub/contract-review">亟需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亟须</item>
      </candidateList>
      <explain xmlns="http://schemas.wps.cn/vas-ai-hub/contract-review"/>
      <paraID xmlns="http://schemas.wps.cn/vas-ai-hub/contract-review">36B292C5</paraID>
      <start xmlns="http://schemas.wps.cn/vas-ai-hub/contract-review">131</start>
      <end xmlns="http://schemas.wps.cn/vas-ai-hub/contract-review">133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b7cf60e9-07f5-4445-af46-8403152a19f3</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36B292C5</paraID>
      <start xmlns="http://schemas.wps.cn/vas-ai-hub/contract-review">220</start>
      <end xmlns="http://schemas.wps.cn/vas-ai-hub/contract-review">224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3453af65-9b97-47db-8ffb-d3ccb24230ab</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36B292C5</paraID>
      <start xmlns="http://schemas.wps.cn/vas-ai-hub/contract-review">316</start>
      <end xmlns="http://schemas.wps.cn/vas-ai-hub/contract-review">320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3ce2c8b2-86a7-4ac5-9570-a59da122834d</errorID>
      <errorWord xmlns="http://schemas.wps.cn/vas-ai-hub/contract-review">、以及</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，以及</item>
      </candidateList>
      <explain xmlns="http://schemas.wps.cn/vas-ai-hub/contract-review">连接词前后不宜使用顿号，建议使用逗号。</explain>
      <paraID xmlns="http://schemas.wps.cn/vas-ai-hub/contract-review">569FB4C4</paraID>
      <start xmlns="http://schemas.wps.cn/vas-ai-hub/contract-review">175</start>
      <end xmlns="http://schemas.wps.cn/vas-ai-hub/contract-review">178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bb8d4ae1-ebe0-41ba-9370-17468f67a8e1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7CAD30B4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e9c2ffb7-a8a5-47e6-8d70-e3869e9c10e7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1E72C0A7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8a0c5a63-e500-469f-a6db-ff22d5cb7842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2B37CD37</paraID>
      <start xmlns="http://schemas.wps.cn/vas-ai-hub/contract-review">14</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d3d79932-0622-492a-aaf4-583303920802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14CB362A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eeb7dc21-0766-4a0b-8de3-9342a1333b09</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3BE40F9E</paraID>
      <start xmlns="http://schemas.wps.cn/vas-ai-hub/contract-review">2</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b0434c57-9adf-4230-901b-bf260894902a</errorID>
      <errorWord xmlns="http://schemas.wps.cn/vas-ai-hub/contract-review">、以及</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，以及</item>
      </candidateList>
      <explain xmlns="http://schemas.wps.cn/vas-ai-hub/contract-review">连接词前后不宜使用顿号，建议使用逗号。</explain>
      <paraID xmlns="http://schemas.wps.cn/vas-ai-hub/contract-review">5FBC2AEC</paraID>
      <start xmlns="http://schemas.wps.cn/vas-ai-hub/contract-review">115</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5726e687-6788-406e-9936-682a48700332</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18B9CDD8</paraID>
      <start xmlns="http://schemas.wps.cn/vas-ai-hub/contract-review">2</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ad950ef3-5e5f-4868-94c9-f906403c5256</errorID>
      <errorWord xmlns="http://schemas.wps.cn/vas-ai-hub/contract-review">综</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综合</item>
      </candidateList>
      <explain xmlns="http://schemas.wps.cn/vas-ai-hub/contract-review"/>
      <paraID xmlns="http://schemas.wps.cn/vas-ai-hub/contract-review">18B9CDD8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03630ad6-885b-444d-beb6-f3552242f8a2</errorID>
      <errorWord xmlns="http://schemas.wps.cn/vas-ai-hub/contract-review">、以及</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，以及</item>
      </candidateList>
      <explain xmlns="http://schemas.wps.cn/vas-ai-hub/contract-review">连接词前后不宜使用顿号，建议使用逗号。</explain>
      <paraID xmlns="http://schemas.wps.cn/vas-ai-hub/contract-review">18B9CDD8</paraID>
      <start xmlns="http://schemas.wps.cn/vas-ai-hub/contract-review">90</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85e3df3d-bf65-47dd-ac9a-e95c680969ba</errorID>
      <errorWord xmlns="http://schemas.wps.cn/vas-ai-hub/contract-review">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设等</item>
      </candidateList>
      <explain xmlns="http://schemas.wps.cn/vas-ai-hub/contract-review"/>
      <paraID xmlns="http://schemas.wps.cn/vas-ai-hub/contract-review">18B9CDD8</paraID>
      <start xmlns="http://schemas.wps.cn/vas-ai-hub/contract-review">96</start>
      <end xmlns="http://schemas.wps.cn/vas-ai-hub/contract-review">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2f9adc29-e084-4dd6-83c3-b9133275f629</errorID>
      <errorWord xmlns="http://schemas.wps.cn/vas-ai-hub/contract-review">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理等</item>
      </candidateList>
      <explain xmlns="http://schemas.wps.cn/vas-ai-hub/contract-review"/>
      <paraID xmlns="http://schemas.wps.cn/vas-ai-hub/contract-review">5B84C7D0</paraID>
      <start xmlns="http://schemas.wps.cn/vas-ai-hub/contract-review">131</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195ec6bb-e55f-475e-b27d-41b63f816344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1F447AB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fbdb7d6f-39b6-4a9a-a853-a1fb9f356137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1BB6FBC2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686a2831-e9e2-4497-920d-094486aeaba3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45A71491</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08df5835-f467-40c2-babb-4fb3cce11150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643D307</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814b5bcc-5a51-439f-a586-a72bcc60c8df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768E796C</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599fe43f-f83e-4258-aa0c-4671c9685c28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682944E3</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95c089cf-2d17-46ef-9b78-bfd92f8eb5ec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608491D7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1b03007f-bbc1-4c45-b744-99aa238a37cd</errorID>
      <errorWord xmlns="http://schemas.wps.cn/vas-ai-hub/contract-review">用与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用于</item>
      </candidateList>
      <explain xmlns="http://schemas.wps.cn/vas-ai-hub/contract-review"/>
      <paraID xmlns="http://schemas.wps.cn/vas-ai-hub/contract-review">608491D7</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507f297e-2755-43ea-b7ec-e76f0e041b0c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3D065FE1</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5f1df4f2-46fb-4b3d-b813-2712480a784a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62160159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f7872e9f-926a-4e80-a582-e2ac39ea9b08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71CCAA80</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bb7ebf15-4dcc-4a35-bfc0-f0a11713ec3a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5819371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4496db43-ff47-472d-a897-4db064ab0413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74FA6C6E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f3786e01-d32e-4169-8d59-a72bb57860f2</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6A448123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f85a217d-eb71-498c-8dc7-1598e4079e2d</errorID>
      <errorWord xmlns="http://schemas.wps.cn/vas-ai-hub/contract-review">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发出</item>
      </candidateList>
      <explain xmlns="http://schemas.wps.cn/vas-ai-hub/contract-review">〈动〉❶发生（声音、气味等）：～笑声。❷发布（命令、指示）：～号召｜～通告。❸送出（货物、信件等）；开出（车辆等）。</explain>
      <paraID xmlns="http://schemas.wps.cn/vas-ai-hub/contract-review">6A448123</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6636c201-0777-4d9d-8c2b-71a688d827da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152A7284</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d872ed06-081d-4f83-b2c1-254c3d426953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7F84AC14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d58fd6dd-e6b0-4780-a1b9-41a35e535c78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7F84AC14</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5eb93513-fbec-4a61-a2eb-aeb582b9f9b1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2D3F4D2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83416910-457b-48ee-9abc-ea3f00b99ecb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215AEF5C</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f14f9abc-deb7-4478-8428-fd2e9f5db9f6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3ED5C8CB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4c535f9e-3904-4eb7-ab04-152464ff0107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6887162A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8bfe9e5d-6e62-471a-ac3d-ffe741981b67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5F96E790</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e9fc2adb-45ad-4db5-adc4-03a0b2a1b5b4</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146B3747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051f936b-935b-4e36-b9aa-778479e5ced9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C0B38B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f4a93727-d128-44df-a9f9-bffe37423044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27DD0988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5445fd67-6d0d-4848-a4bb-9ec67c1bccf5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51C78FA0</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ce7dc448-9af2-467a-af7b-0d754e5e8549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3F4389CB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e5cad765-c0d6-4099-b313-e2ee4d7b0d47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49F23A12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629ed3c4-63f8-418c-afeb-012b6bd660b6</errorID>
      <errorWord xmlns="http://schemas.wps.cn/vas-ai-hub/contract-review">免于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免予</item>
      </candidateList>
      <explain xmlns="http://schemas.wps.cn/vas-ai-hub/contract-review">存在发音相同字词的误用。</explain>
      <paraID xmlns="http://schemas.wps.cn/vas-ai-hub/contract-review">2E7EBF94</paraID>
      <start xmlns="http://schemas.wps.cn/vas-ai-hub/contract-review">16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5655db07-f039-4d83-96dd-c7ad78744db5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7BC2435A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a4c93576-90f0-43fc-aabf-6bba930dfa84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789CABDF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25a55983-e7a9-4fdd-8918-573547c5bd0f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4064E083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0d6fedde-b1f7-4218-a475-aeda0947f8b1</errorID>
      <errorWord xmlns="http://schemas.wps.cn/vas-ai-hub/contract-review">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整理</item>
      </candidateList>
      <explain xmlns="http://schemas.wps.cn/vas-ai-hub/contract-review"/>
      <paraID xmlns="http://schemas.wps.cn/vas-ai-hub/contract-review"> EB35872</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25ad26bc-ac23-44cc-aa0b-e3c1ab9cbe3d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21BAFA8F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d3a254a7-7ee3-41e5-a02f-8f0486b02fcd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7F86A233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658aeb10-4b2d-43a4-a58d-80f83b1da187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332D01F7</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beca8877-0b6f-47b5-a918-95684daf99e2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5290DB2F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b942e4b9-5d71-4417-b1d4-c00baa43fb26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2CB4FE3F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077a3c57-daef-4549-9b17-d8130b9dcd38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219A1D00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50cc224f-73e5-4663-972a-5e240ff4ea10</errorID>
      <errorWord xmlns="http://schemas.wps.cn/vas-ai-hub/contract-review">选择的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选择</item>
      </candidateList>
      <explain xmlns="http://schemas.wps.cn/vas-ai-hub/contract-review">〈动〉挑选：～对象｜～地点。</explain>
      <paraID xmlns="http://schemas.wps.cn/vas-ai-hub/contract-review">219A1D00</paraID>
      <start xmlns="http://schemas.wps.cn/vas-ai-hub/contract-review">101</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d3fdceab-d635-45dc-bc71-4d9d41118218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3C00AE09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a56747ba-69b8-4886-a6b9-07d9935a2491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74DF417D</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03a574fc-c7b6-4587-b2cf-a1fcc733012e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2521A1FF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b885b475-741a-43b7-a2a8-d9c2da74ae01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42D9562B</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971e0cc0-ac44-45b1-82db-6964a8536146</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534083D3</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776ba632-30b6-4330-93f3-022e015b812c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72FBA2C6</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0c597ca5-609d-4d57-83c3-8243b9d589e9</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1F1FA38A</paraID>
      <start xmlns="http://schemas.wps.cn/vas-ai-hub/contract-review">6</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a6e831c6-7fee-40f9-85e8-ca96650e77fa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71B88CCB</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4350d262-021c-42fa-97f3-4bd35d4cfae3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2359018F</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938abfc2-0a7a-4e89-b6f5-20b618373364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4BA6E697</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74322830-0167-46c1-ac40-361688c0e0a4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74A99E1E</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9b31651e-f838-4794-b438-60499396249f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781596AF</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2777f692-edfa-406b-b66f-aca1ea0e3bcd</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2D1955C1</paraID>
      <start xmlns="http://schemas.wps.cn/vas-ai-hub/contract-review">23</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e127458a-6ad3-4514-b1f3-1982d88a8eb3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6037E01E</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5908e534-04b4-4d98-9fca-9c53ded2035f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25CC3599</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1eeb754e-73cc-44fd-8d87-fe6423a3d602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5DEF73AC</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1dbacc8c-b4cd-4547-b31c-20c7c9278dac</errorID>
      <errorWord xmlns="http://schemas.wps.cn/vas-ai-hub/contract-review">提供对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提供</item>
      </candidateList>
      <explain xmlns="http://schemas.wps.cn/vas-ai-hub/contract-review"/>
      <paraID xmlns="http://schemas.wps.cn/vas-ai-hub/contract-review">17956770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73b341dc-a0f5-4af8-82d7-b9a651c1611c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3B03D665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ecd41ced-d898-4f33-b1ca-63244650a830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2AD6F083</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959f112b-6717-4923-b527-8db723793191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43E732D8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58e95d3e-39ef-474c-9cbf-84cd01590040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535E3197</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15dff2c8-6e76-47b4-b0cb-828ef8f5702a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73B45581</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dd456cf9-721d-458c-9f16-be3da3b9d707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16B9CBA5</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4aa11da5-fcd1-4376-80d3-1c44ff2e8348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425A9D0B</paraID>
      <start xmlns="http://schemas.wps.cn/vas-ai-hub/contract-review">70</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d63e1888-a7c3-40c7-bc26-407af7bd0ec7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568FE533</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92515895-b3e4-43b1-963c-508c1d1d69ae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265AC6D1</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2083e06c-c77e-40f8-befb-52763d0c93d4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5F964E58</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0d3944b3-d47d-4d79-abb4-4e93394fae63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6C01E419</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b2c86aab-0c2f-4b63-b321-9a0da7bc2a5e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6C01E419</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34ab7e67-96bb-474a-85d2-abd2566a009e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17B102B5</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80e90ec5-4c5b-49fb-9c87-fbf58ccc3a3e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17B102B5</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e6ad0b15-8f9b-4d9d-b7bf-94a1049a5ae4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35AA6005</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8a22af84-c106-4b5b-9e9b-54fa147ee971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76811E2E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ed82d764-c236-414a-ac04-ec4418bef928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65238C37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57a0a0af-761e-4d51-bf8b-3cc36e4dc766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3774E5A</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f1cfe468-b8cc-4675-b136-a1250d36e36a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2C2785C9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10624dad-eac0-404d-9828-4422e7385297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4DDB7394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63f18d37-9462-4219-9cd0-136e2204fb78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54D3F3E1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fef27a9b-3212-47af-b653-d65e41e2b84f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6BF5BB5F</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76c2f4e8-d390-439c-a75c-761a1a63c8bf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2C6DE8F2</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cbd2a1a7-b491-4c06-8ae8-b9fd33b7e26b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7B3BEAD2</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0e97a6f5-8229-4435-b5c2-974889493301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3312408E</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ab8f1920-36dc-413b-852f-37252135de39</errorID>
      <errorWord xmlns="http://schemas.wps.cn/vas-ai-hub/contract-review">导引</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引导</item>
      </candidateList>
      <explain xmlns="http://schemas.wps.cn/vas-ai-hub/contract-review">〈动〉❶带领▲：厂长～记者参观了几个主要车间。❷指引；诱导：老师对学生要善于～。</explain>
      <paraID xmlns="http://schemas.wps.cn/vas-ai-hub/contract-review">28E9295A</paraID>
      <start xmlns="http://schemas.wps.cn/vas-ai-hub/contract-review">22</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b7954ce1-9163-4a84-a9c3-ac146f7b66d1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A8E896E</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abe849dd-c7cf-4f02-acd1-e9733b132e33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1BDBE53A</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fcf2e2c0-4ef6-4af8-922d-15896a97ec55</errorID>
      <errorWord xmlns="http://schemas.wps.cn/vas-ai-hub/contract-review">、以及</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，以及</item>
      </candidateList>
      <explain xmlns="http://schemas.wps.cn/vas-ai-hub/contract-review">连接词前后不宜使用顿号，建议使用逗号。</explain>
      <paraID xmlns="http://schemas.wps.cn/vas-ai-hub/contract-review">6291B1FD</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7436db91-cef8-4d7f-96df-a690f248bc1e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6A1B34DC</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0ee74f56-acf5-43b4-9bc0-a31951a83345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6BDB1763</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ffd21577-a9f4-42ad-85a7-7b41ebb86280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50BF6B6A</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4b8649d7-06d9-48d1-88a0-1bca2147f9fc</errorID>
      <errorWord xmlns="http://schemas.wps.cn/vas-ai-hub/contract-review">如统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如同</item>
      </candidateList>
      <explain xmlns="http://schemas.wps.cn/vas-ai-hub/contract-review"/>
      <paraID xmlns="http://schemas.wps.cn/vas-ai-hub/contract-review">50BF6B6A</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c10cc842-c4d3-408c-a6f6-f8a440683072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504D3787</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d1b273b7-d2f7-4fa5-933e-ecb2c3a1c4f9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39D2BDCB</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a68bb44b-de06-4124-bed5-ac9f76dbb1f4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76590140</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d4376793-e58e-4731-8537-588fbf8b1ced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7D4D8494</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2f41f2fe-2900-4cd9-8e9e-bf57f3f3d65a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25CBB071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e7a43775-ea4f-47b0-88d5-c3f75dfe2167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3118F069</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aebac06d-657b-481a-8817-bfe3724b1f0c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3118F069</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0abe8f5f-20cc-4955-909e-eedb3391d4ae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51C463BE</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23feeb95-19be-4e32-8dd3-2bda9da53497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833056</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0e4afd11-9d26-46fd-b1db-b7b16467f26c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150AD994</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33c705c0-2fa3-4303-8fc7-f501092f4362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23C06FBF</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0c474d36-d24c-41a8-9f6d-a72f78d4923f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5E4AF152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450f2a4f-49af-4e8b-a0b3-516d941b5aba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3DAED045</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c0c4f220-611f-423e-8163-e65116082ea0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3DAED045</paraID>
      <start xmlns="http://schemas.wps.cn/vas-ai-hub/contract-review">51</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22f5dfe3-6779-47da-8461-a41bfa50e1ac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3DAED045</paraID>
      <start xmlns="http://schemas.wps.cn/vas-ai-hub/contract-review">106</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4bf6108e-397b-4d91-9630-3959a288544c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519113B3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9b853d31-cd04-4b99-b560-baad4c141770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2178830</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1ec9a91c-9fcc-4417-a2e0-5c5b945ee432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4BE94D32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f4b4f03a-73fe-4e5e-b0c1-08a72051a0c7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C7F8EC9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1060b1c4-34d6-4dc7-bda4-e926ff85a8ad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5A500441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04b35339-dc4d-46ee-b82b-d897eb81b465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73FDBA4B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4fd82aa4-ced5-4341-8022-daa6a57a6487</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4984FA3C</paraID>
      <start xmlns="http://schemas.wps.cn/vas-ai-hub/contract-review">45</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ef4eba06-cd24-47ae-926a-a6a58a0d5654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6C3031F9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082e7738-50a4-474d-b935-d0c1131268fb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172A93F8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e795f0db-831f-42b7-bb53-50c4dcc6afa8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236F5EE0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e801029c-78b9-4ae9-9158-5db1f5921a4e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6DD3B50E</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05b1c206-129c-4e72-82b7-6f7e1f73bfd7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740346C9</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db462c5d-d641-4af6-bfe1-6b7870eebd37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62EB0C4A</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440c2784-df91-4b36-ae4a-02d8628b1250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52CC76A5</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3739b50a-830b-4a0c-91d8-4622e0907ce7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2BB48FC5</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621225fc-583f-4990-933f-655d1cd6c401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6976DF55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4863af2e-18cc-4c70-a461-f749e20ec99d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6976DF55</paraID>
      <start xmlns="http://schemas.wps.cn/vas-ai-hub/contract-review">130</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ccc9f89d-42f3-472f-a58c-ee8c254f31db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6976DF55</paraID>
      <start xmlns="http://schemas.wps.cn/vas-ai-hub/contract-review">267</start>
      <end xmlns="http://schemas.wps.cn/vas-ai-hub/contract-review">268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6b9fda1b-e756-4fea-b52c-a0f1cb12d997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6976DF55</paraID>
      <start xmlns="http://schemas.wps.cn/vas-ai-hub/contract-review">398</start>
      <end xmlns="http://schemas.wps.cn/vas-ai-hub/contract-review">399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9d8a7ad7-6490-4495-846c-e18cc18e68ab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1E881A72</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f3cb0e8f-62eb-4386-897d-1f130a2b6224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676100AB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4a56b35d-1934-425b-8f43-b22f4879694c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676100AB</paraID>
      <start xmlns="http://schemas.wps.cn/vas-ai-hub/contract-review">140</start>
      <end xmlns="http://schemas.wps.cn/vas-ai-hub/contract-review">141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c1cf9f8b-d1b6-42ba-aa89-fce66d0fac9b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12FC3371</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51cfddd3-d8b7-4f14-864a-dc9e163b1463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27ea9831-b4a6-4714-b1c1-a0f20fcb254f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124</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6c4a8228-0d52-47d4-8681-1a7414b71db1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308</start>
      <end xmlns="http://schemas.wps.cn/vas-ai-hub/contract-review">309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8da9f179-8fce-48be-99d5-41429b4a514c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416</start>
      <end xmlns="http://schemas.wps.cn/vas-ai-hub/contract-review">417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5df6d6b7-549b-4fa4-937d-47b2f425d89b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571</start>
      <end xmlns="http://schemas.wps.cn/vas-ai-hub/contract-review">572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5cdb21e1-035a-4046-88a3-a1fd68160782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681</start>
      <end xmlns="http://schemas.wps.cn/vas-ai-hub/contract-review">682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bb3d6927-56a2-4d28-9115-77fee1fb04a7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3D528940</paraID>
      <start xmlns="http://schemas.wps.cn/vas-ai-hub/contract-review">810</start>
      <end xmlns="http://schemas.wps.cn/vas-ai-hub/contract-review">811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61015ea7-0771-4a0c-935a-4352c56a12c0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506D981C</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5137b04e-7f60-40b2-bbe9-670104cf2ace</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506D981C</paraID>
      <start xmlns="http://schemas.wps.cn/vas-ai-hub/contract-review">133</start>
      <end xmlns="http://schemas.wps.cn/vas-ai-hub/contract-review">135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f3b03b0d-a1db-464b-85c3-0ced2a1fb30c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506D981C</paraID>
      <start xmlns="http://schemas.wps.cn/vas-ai-hub/contract-review">217</start>
      <end xmlns="http://schemas.wps.cn/vas-ai-hub/contract-review">218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4e06433a-4c62-4f4a-a2fd-c5079ddf800a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1F0CD32D</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64daad71-ab6d-4b4b-8357-cdd8652090a6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1F0CD32D</paraID>
      <start xmlns="http://schemas.wps.cn/vas-ai-hub/contract-review">217</start>
      <end xmlns="http://schemas.wps.cn/vas-ai-hub/contract-review">218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887afdb1-98e2-4075-9833-24efcd32b73c</errorID>
      <errorWord xmlns="http://schemas.wps.cn/vas-ai-hub/contract-review">泄露</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泄漏</item>
      </candidateList>
      <explain xmlns="http://schemas.wps.cn/vas-ai-hub/contract-review"/>
      <paraID xmlns="http://schemas.wps.cn/vas-ai-hub/contract-review">1F0CD32D</paraID>
      <start xmlns="http://schemas.wps.cn/vas-ai-hub/contract-review">387</start>
      <end xmlns="http://schemas.wps.cn/vas-ai-hub/contract-review">389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6e79ce84-e00e-4626-93af-596e9eb679ca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138AD6D5</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31c427a2-b4f5-448f-a137-66ae9ed5dfbe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138AD6D5</paraID>
      <start xmlns="http://schemas.wps.cn/vas-ai-hub/contract-review">231</start>
      <end xmlns="http://schemas.wps.cn/vas-ai-hub/contract-review">232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6603be8e-a515-4bd2-a11f-70d38541405d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138AD6D5</paraID>
      <start xmlns="http://schemas.wps.cn/vas-ai-hub/contract-review">281</start>
      <end xmlns="http://schemas.wps.cn/vas-ai-hub/contract-review">284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9eeb5a51-3414-4306-81fb-67188a9345d2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138AD6D5</paraID>
      <start xmlns="http://schemas.wps.cn/vas-ai-hub/contract-review">286</start>
      <end xmlns="http://schemas.wps.cn/vas-ai-hub/contract-review">289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838e4d65-7981-4624-8276-2a63e73cce6a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138AD6D5</paraID>
      <start xmlns="http://schemas.wps.cn/vas-ai-hub/contract-review">295</start>
      <end xmlns="http://schemas.wps.cn/vas-ai-hub/contract-review">298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6b004172-ad2b-475f-82e2-ba0e794b89b0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138AD6D5</paraID>
      <start xmlns="http://schemas.wps.cn/vas-ai-hub/contract-review">344</start>
      <end xmlns="http://schemas.wps.cn/vas-ai-hub/contract-review">347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073c51b6-725c-4e0b-a55e-402d65819490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A351707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3d6e1f79-e4e6-4c35-92f7-b3fb42c8a971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A351707</paraID>
      <start xmlns="http://schemas.wps.cn/vas-ai-hub/contract-review">97</start>
      <end xmlns="http://schemas.wps.cn/vas-ai-hub/contract-review">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de83546e-97dd-419f-9cfe-70fafca2fd6d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46B31FB0</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63be6311-b2d3-4e17-afae-1764b7a7193c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4B64A4F5</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626aa448-f9ed-4bca-b2ca-6e79515ce6d9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4B64A4F5</paraID>
      <start xmlns="http://schemas.wps.cn/vas-ai-hub/contract-review">169</start>
      <end xmlns="http://schemas.wps.cn/vas-ai-hub/contract-review">170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09df97cf-70d3-4302-a8fe-0f25be9fa39b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20552F94</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2d69a467-55c7-4786-b9ab-3b6d54b56bc1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20552F94</paraID>
      <start xmlns="http://schemas.wps.cn/vas-ai-hub/contract-review">120</start>
      <end xmlns="http://schemas.wps.cn/vas-ai-hub/contract-review">121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3c4cb4f8-9143-4026-bdfa-3fcd395c4ac7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20552F94</paraID>
      <start xmlns="http://schemas.wps.cn/vas-ai-hub/contract-review">128</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30574758-2fa2-4da1-9b04-141e78fdc693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20552F94</paraID>
      <start xmlns="http://schemas.wps.cn/vas-ai-hub/contract-review">137</start>
      <end xmlns="http://schemas.wps.cn/vas-ai-hub/contract-review">138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8bd01deb-1271-46d9-8427-10418a25649c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20552F94</paraID>
      <start xmlns="http://schemas.wps.cn/vas-ai-hub/contract-review">248</start>
      <end xmlns="http://schemas.wps.cn/vas-ai-hub/contract-review">249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f97d0ddc-b485-4279-8313-a76eefd89983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20552F94</paraID>
      <start xmlns="http://schemas.wps.cn/vas-ai-hub/contract-review">453</start>
      <end xmlns="http://schemas.wps.cn/vas-ai-hub/contract-review">454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807c160f-3c40-4ee5-a620-66c68217c219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20552F94</paraID>
      <start xmlns="http://schemas.wps.cn/vas-ai-hub/contract-review">681</start>
      <end xmlns="http://schemas.wps.cn/vas-ai-hub/contract-review">682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766d7d2a-84a2-4ec1-a188-11873dcb4084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47A5BE3A</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c59fca6e-ded6-4fd1-8886-7326ffde3a50</errorID>
      <errorWord xmlns="http://schemas.wps.cn/vas-ai-hub/contract-review">版块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板块</item>
      </candidateList>
      <explain xmlns="http://schemas.wps.cn/vas-ai-hub/contract-review">存在发音相同字词的误用。</explain>
      <paraID xmlns="http://schemas.wps.cn/vas-ai-hub/contract-review">71F26F56</paraID>
      <start xmlns="http://schemas.wps.cn/vas-ai-hub/contract-review">77</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4372a896-c8d8-4cbe-9f7f-f620660af191</errorID>
      <errorWord xmlns="http://schemas.wps.cn/vas-ai-hub/contract-review">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转</item>
      </candidateList>
      <explain xmlns="http://schemas.wps.cn/vas-ai-hub/contract-review"/>
      <paraID xmlns="http://schemas.wps.cn/vas-ai-hub/contract-review">71F26F56</paraID>
      <start xmlns="http://schemas.wps.cn/vas-ai-hub/contract-review">237</start>
      <end xmlns="http://schemas.wps.cn/vas-ai-hub/contract-review">238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85c8b2b8-cd97-4cca-94bd-a7dbe24d8dca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483823B1</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31e7bdb1-b474-4ee3-8a39-3367764ed0b8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483823B1</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1028e235-08be-4b83-9314-dca7f51bb5e4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483823B1</paraID>
      <start xmlns="http://schemas.wps.cn/vas-ai-hub/contract-review">92</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c041b772-5867-4c86-af6e-1e9fb86e68bc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483823B1</paraID>
      <start xmlns="http://schemas.wps.cn/vas-ai-hub/contract-review">177</start>
      <end xmlns="http://schemas.wps.cn/vas-ai-hub/contract-review">178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cbf85126-49aa-4677-b907-070207d45edc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835EA2A</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576af011-58cc-4d28-b880-8df5ef1b2177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631EB0FC</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eaca0ea5-7a01-48a5-9e84-0c4cd0f8c0c6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6BDC3621</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b8d7ccce-3a26-4317-8f1d-a896b3cb36cf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F1B66DA</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2590bcb7-3859-4c72-b362-629732df4ca4</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52107C78</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60cd7c3b-2b9e-4b59-9f68-734093d9e8a2</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4F07C043</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4008c2f1-28e6-4290-9184-b5a53f22dc1e</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29E2DB3A</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9066bccb-f5e6-42b6-adc3-257a9942ab08</errorID>
      <errorWord xmlns="http://schemas.wps.cn/vas-ai-hub/contract-review">、等</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等</item>
      </candidateList>
      <explain xmlns="http://schemas.wps.cn/vas-ai-hub/contract-review">“及”“和”“等”连词前不宜使用顿号，建议删除（或使用逗号）。</explain>
      <paraID xmlns="http://schemas.wps.cn/vas-ai-hub/contract-review">29E2DB3A</paraID>
      <start xmlns="http://schemas.wps.cn/vas-ai-hub/contract-review">62</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572cd027-cacb-454e-abf7-32027244b294</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971BF4F</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4422a317-67a9-48a5-a285-d50bff83b3c1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3ED148D9</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299bf8d9-5307-4b04-ac34-01b678306c0f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5EE034E</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c56c3228-b826-45c0-aab0-7981b5e3f815</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250F751B</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16772291-90b0-4a64-be12-acf65392c073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55CB7899</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fff522e2-ddbb-4dd0-8ae5-604a5b222f30</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5A566E55</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ca1e69fc-9b0c-4b48-ac22-6e10385221ab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5A566E55</paraID>
      <start xmlns="http://schemas.wps.cn/vas-ai-hub/contract-review">3814</start>
      <end xmlns="http://schemas.wps.cn/vas-ai-hub/contract-review">3815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b7a3e9b1-f9a2-42fc-b011-c00a9b61e41b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28C795E6</paraID>
      <start xmlns="http://schemas.wps.cn/vas-ai-hub/contract-review">21</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56b7c5d3-5cee-430f-a985-0cb983bbbdd0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28C795E6</paraID>
      <start xmlns="http://schemas.wps.cn/vas-ai-hub/contract-review">33</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3254c22f-04ec-4506-bee8-39051283a1ea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28C795E6</paraID>
      <start xmlns="http://schemas.wps.cn/vas-ai-hub/contract-review">45</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e548f738-be45-4bd3-80c3-9142950d69a9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28C795E6</paraID>
      <start xmlns="http://schemas.wps.cn/vas-ai-hub/contract-review">57</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21da71ea-22c7-4399-96e0-25edb57d14d5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28C795E6</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1cab4775-8a7a-4876-9712-01cc1bbfda44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28C795E6</paraID>
      <start xmlns="http://schemas.wps.cn/vas-ai-hub/contract-review">122</start>
      <end xmlns="http://schemas.wps.cn/vas-ai-hub/contract-review">123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0af03429-8f5e-4f11-8bc5-a21201545791</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652BDFD1</paraID>
      <start xmlns="http://schemas.wps.cn/vas-ai-hub/contract-review">85</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24235768-e74c-48ab-9017-58fa1ff44766</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7361AA29</paraID>
      <start xmlns="http://schemas.wps.cn/vas-ai-hub/contract-review">59</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13288a5e-c852-4957-8038-46285601eb89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1B2B8ED2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c49a0e94-d156-447d-be9a-310839d12311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1B2B8ED2</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9292a875-c4e8-4673-bcee-a4064075f511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2E248B84</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49444bae-8247-4ac4-8aae-7a670858bc5f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76E7F46</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3cebf222-2d7e-4c9d-984d-d28ea1e3b6c6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179A4DCD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a673f8ee-b80d-4c63-87f0-76eae06ade9c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1026D061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c11299cd-447f-49f7-9be8-7b54bca0a92c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6FBF02A8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eef57f20-c252-4aa3-a5b2-fd4ae7540ba9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4F0E48BC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71b135bb-2c5a-436b-aae5-5c049dc9e3d3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6EB99D53</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27f37870-e8d9-4693-a493-ff4429b9fdfe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6EB99D53</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2530317a-8772-4654-adb8-c08f93f0745b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6EB99D53</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3d1d09cd-6049-4502-99c1-09d4713761e1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6EB99D53</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61bd0959-c033-4812-93ab-9fe5862b9338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4C2D2F9D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c2bb1ce6-c1ad-459a-91f0-3087ac122a59</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4C2D2F9D</paraID>
      <start xmlns="http://schemas.wps.cn/vas-ai-hub/contract-review">41</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b05b685c-f5cf-4bde-a588-390b0e25b072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37EC2AD8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f7f9a2be-fd7f-47e6-bde6-5f3033476a67</errorID>
      <errorWord xmlns="http://schemas.wps.cn/vas-ai-hub/contract-review">作出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做出</item>
      </candidateList>
      <explain xmlns="http://schemas.wps.cn/vas-ai-hub/contract-review"/>
      <paraID xmlns="http://schemas.wps.cn/vas-ai-hub/contract-review">37EC2AD8</paraID>
      <start xmlns="http://schemas.wps.cn/vas-ai-hub/contract-review">158</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eca340f6-73cf-4512-86c7-38a7f006df5e</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151E9F3E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e04f95c3-bde2-461e-a6f5-bb2adfd50886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5C64EB66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04f24d99-9ca0-493d-9cdc-b5601d94154d</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4E188DBF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5be3e6a5-d003-40ff-a298-6f275753e7be</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52962071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ed8be1f1-cb91-405f-8a13-6e03ccf18692</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6A787E15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36ece3ae-3774-4bef-854f-ed78f40ced7b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58A6E2D9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b71ed053-e1dd-48f9-82a6-ea924cbb40c2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12137A85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e3eb72e5-3a78-430d-bbff-f0620d986952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66589DE0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54b5098b-e6b6-4b9d-a574-ce9c891eb5ff</errorID>
      <errorWord xmlns="http://schemas.wps.cn/vas-ai-hub/contract-review">提拱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提供</item>
      </candidateList>
      <explain xmlns="http://schemas.wps.cn/vas-ai-hub/contract-review"/>
      <paraID xmlns="http://schemas.wps.cn/vas-ai-hub/contract-review">7A499D1A</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e86191ce-11fb-40da-abef-21426560583a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7A499D1A</paraID>
      <start xmlns="http://schemas.wps.cn/vas-ai-hub/contract-review">84</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dcc13239-4439-408e-9763-4cdd0e5f9b1f</errorID>
      <errorWord xmlns="http://schemas.wps.cn/vas-ai-hub/contract-review">共同协商</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协商</item>
      </candidateList>
      <explain xmlns="http://schemas.wps.cn/vas-ai-hub/contract-review"/>
      <paraID xmlns="http://schemas.wps.cn/vas-ai-hub/contract-review">629C3149</paraID>
      <start xmlns="http://schemas.wps.cn/vas-ai-hub/contract-review">54</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84566bf5-23f1-4cab-bc59-ebdfc16e79b5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FD3D9AF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4b969971-8058-4c1d-8f94-f6fb9c3e93b3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1F650DB8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bd6312a3-f385-45fc-b2d9-bd95c4dfd70c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42524813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b2d14dad-95b5-4594-b9f8-9560fad7b455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5F4BE841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661dd503-90fc-4d4e-8397-0cf9d76f2bd2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472A575E</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0fea1d72-a487-4ed6-b892-5d47a1314bd0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472A575E</paraID>
      <start xmlns="http://schemas.wps.cn/vas-ai-hub/contract-review">158</start>
      <end xmlns="http://schemas.wps.cn/vas-ai-hub/contract-review">159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841b9e48-a750-4f68-91a6-a08c6f9869d4</errorID>
      <errorWord xmlns="http://schemas.wps.cn/vas-ai-hub/contract-review">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但</item>
      </candidateList>
      <explain xmlns="http://schemas.wps.cn/vas-ai-hub/contract-review">❶〈副〉只；仅仅：～愿如此｜不求有功，～求无过｜辽阔的原野上，～见麦浪随风起伏。❷〈连〉但是：屋子小，～挺干净｜工作虽然忙，～一点也没放松学习。❸（Dàn）〈名〉姓。</explain>
      <paraID xmlns="http://schemas.wps.cn/vas-ai-hub/contract-review">14AB33B8</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8aacd922-55ce-46d4-9b0f-37922fdbeadb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7D60ED78</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95177210-365f-4ab0-92d0-45e7ab01556d</errorID>
      <errorWord xmlns="http://schemas.wps.cn/vas-ai-hub/contract-review">进展</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开展</item>
      </candidateList>
      <explain xmlns="http://schemas.wps.cn/vas-ai-hub/contract-review">存在字形相近字词的误用。</explain>
      <paraID xmlns="http://schemas.wps.cn/vas-ai-hub/contract-review">5814084C</paraID>
      <start xmlns="http://schemas.wps.cn/vas-ai-hub/contract-review">106</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ca0060b9-9395-4725-839f-4ef361547955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4620176E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08edf9e2-cbd1-46f2-832c-306bdf128561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77DEA820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4e2cce80-aee3-4276-89e1-df4c91b659ca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7A0C51B8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2.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54a618f9-8062-49c4-8ec3-9e719a5ec13c}">
  <ds:schemaRefs/>
</ds:datastoreItem>
</file>

<file path=customXml/itemProps2.xml><?xml version="1.0" encoding="utf-8"?>
<ds:datastoreItem xmlns:ds="http://schemas.openxmlformats.org/officeDocument/2006/customXml" ds:itemID="{EC728654-2CC7-4576-AC4B-7FE0181C2DCF}">
  <ds:schemaRefs/>
</ds:datastoreItem>
</file>

<file path=docProps/app.xml><?xml version="1.0" encoding="utf-8"?>
<Properties xmlns="http://schemas.openxmlformats.org/officeDocument/2006/extended-properties" xmlns:vt="http://schemas.openxmlformats.org/officeDocument/2006/docPropsVTypes">
  <Template>Normal.dotm</Template>
  <Pages>41</Pages>
  <Words>5393</Words>
  <Characters>5475</Characters>
  <Lines>219</Lines>
  <Paragraphs>61</Paragraphs>
  <TotalTime>54</TotalTime>
  <ScaleCrop>false</ScaleCrop>
  <LinksUpToDate>false</LinksUpToDate>
  <CharactersWithSpaces>5475</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2022-12-24T17:54:00Z</dcterms:created>
  <dc:creator>gtig_tzb</dc:creator>
  <cp:lastModifiedBy>郭田恬</cp:lastModifiedBy>
  <cp:lastPrinted>2020-08-08T04:08:00Z</cp:lastPrinted>
  <dcterms:modified xsi:type="dcterms:W3CDTF">2026-03-16T10:08:57Z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3AE68E5151FD2C0E8E64B769BD175423_43</vt:lpwstr>
  </property>
  <property fmtid="{D5CDD505-2E9C-101B-9397-08002B2CF9AE}" pid="4" name="KSOTemplateDocerSaveRecord">
    <vt:lpwstr>eyJoZGlkIjoiYjA4MzQ3YzE1MjZjMjIxYzgyOTZhNGU4NGNiZGFkYWYiLCJ1c2VySWQiOiIyNjI0OTMwODYifQ==</vt:lpwstr>
  </property>
</Properties>
</file>