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黑体" w:hAnsi="黑体" w:eastAsia="黑体"/>
          <w:sz w:val="48"/>
          <w:szCs w:val="48"/>
        </w:rPr>
      </w:pPr>
    </w:p>
    <w:p>
      <w:pPr>
        <w:ind w:firstLine="0" w:firstLineChars="0"/>
        <w:jc w:val="center"/>
        <w:rPr>
          <w:rFonts w:hint="eastAsia" w:ascii="黑体" w:hAnsi="黑体" w:eastAsia="黑体"/>
          <w:sz w:val="48"/>
          <w:szCs w:val="48"/>
        </w:rPr>
      </w:pPr>
    </w:p>
    <w:p>
      <w:pPr>
        <w:ind w:firstLine="0" w:firstLineChars="0"/>
        <w:jc w:val="center"/>
        <w:rPr>
          <w:rFonts w:hint="eastAsia" w:ascii="黑体" w:hAnsi="黑体" w:eastAsia="黑体"/>
          <w:sz w:val="52"/>
          <w:szCs w:val="52"/>
        </w:rPr>
      </w:pPr>
      <w:r>
        <w:rPr>
          <w:rFonts w:hint="eastAsia" w:ascii="黑体" w:hAnsi="黑体" w:eastAsia="黑体"/>
          <w:sz w:val="52"/>
          <w:szCs w:val="52"/>
        </w:rPr>
        <w:t>药品监管数字化大系统建设项目</w:t>
      </w:r>
    </w:p>
    <w:p>
      <w:pPr>
        <w:ind w:firstLine="0" w:firstLineChars="0"/>
        <w:jc w:val="center"/>
        <w:rPr>
          <w:rFonts w:hint="eastAsia" w:ascii="黑体" w:hAnsi="黑体" w:eastAsia="黑体"/>
          <w:sz w:val="52"/>
          <w:szCs w:val="52"/>
        </w:rPr>
      </w:pPr>
      <w:r>
        <w:rPr>
          <w:rFonts w:hint="eastAsia" w:ascii="黑体" w:hAnsi="黑体" w:eastAsia="黑体"/>
          <w:sz w:val="52"/>
          <w:szCs w:val="52"/>
        </w:rPr>
        <w:t>(2026年升级改造)</w:t>
      </w:r>
    </w:p>
    <w:p>
      <w:pPr>
        <w:ind w:firstLine="0" w:firstLineChars="0"/>
        <w:jc w:val="center"/>
        <w:rPr>
          <w:rFonts w:hint="eastAsia" w:ascii="黑体" w:hAnsi="黑体" w:eastAsia="黑体"/>
          <w:sz w:val="52"/>
          <w:szCs w:val="52"/>
        </w:rPr>
      </w:pPr>
      <w:r>
        <w:rPr>
          <w:rFonts w:hint="eastAsia" w:ascii="黑体" w:hAnsi="黑体" w:eastAsia="黑体"/>
          <w:sz w:val="52"/>
          <w:szCs w:val="52"/>
        </w:rPr>
        <w:t>采购需求</w:t>
      </w:r>
    </w:p>
    <w:p>
      <w:pPr>
        <w:ind w:firstLine="0" w:firstLineChars="0"/>
        <w:jc w:val="center"/>
        <w:rPr>
          <w:rFonts w:hint="eastAsia" w:ascii="黑体" w:hAnsi="黑体" w:eastAsia="黑体"/>
          <w:sz w:val="72"/>
          <w:szCs w:val="72"/>
        </w:rPr>
      </w:pPr>
    </w:p>
    <w:p>
      <w:pPr>
        <w:ind w:firstLine="0" w:firstLineChars="0"/>
        <w:jc w:val="center"/>
        <w:rPr>
          <w:rFonts w:hint="eastAsia" w:ascii="黑体" w:hAnsi="黑体" w:eastAsia="黑体"/>
          <w:sz w:val="48"/>
          <w:szCs w:val="48"/>
        </w:rPr>
      </w:pPr>
    </w:p>
    <w:p>
      <w:pPr>
        <w:ind w:firstLine="0" w:firstLineChars="0"/>
        <w:jc w:val="center"/>
        <w:rPr>
          <w:rFonts w:hint="eastAsia" w:ascii="黑体" w:hAnsi="黑体" w:eastAsia="黑体"/>
          <w:sz w:val="52"/>
          <w:szCs w:val="52"/>
        </w:rPr>
      </w:pPr>
    </w:p>
    <w:p>
      <w:pPr>
        <w:ind w:firstLine="1040"/>
        <w:rPr>
          <w:rFonts w:hint="eastAsia" w:ascii="黑体" w:hAnsi="黑体" w:eastAsia="黑体"/>
          <w:sz w:val="52"/>
          <w:szCs w:val="52"/>
        </w:rPr>
      </w:pPr>
    </w:p>
    <w:p>
      <w:pPr>
        <w:rPr>
          <w:rFonts w:hint="eastAsia"/>
        </w:rPr>
      </w:pPr>
    </w:p>
    <w:p>
      <w:pPr>
        <w:rPr>
          <w:rFonts w:hint="eastAsia"/>
        </w:rPr>
      </w:pPr>
    </w:p>
    <w:p>
      <w:pPr>
        <w:rPr>
          <w:rFonts w:hint="eastAsia"/>
        </w:rPr>
      </w:pPr>
    </w:p>
    <w:p>
      <w:pPr>
        <w:rPr>
          <w:rFonts w:hint="eastAsia"/>
        </w:rPr>
      </w:pPr>
    </w:p>
    <w:p>
      <w:pPr>
        <w:rPr>
          <w:rFonts w:hint="eastAsia"/>
        </w:rPr>
      </w:pPr>
    </w:p>
    <w:p>
      <w:pPr>
        <w:ind w:firstLine="1040"/>
        <w:rPr>
          <w:rFonts w:hint="eastAsia" w:ascii="黑体" w:hAnsi="黑体" w:eastAsia="黑体"/>
          <w:sz w:val="52"/>
          <w:szCs w:val="52"/>
        </w:rPr>
      </w:pPr>
    </w:p>
    <w:p>
      <w:pPr>
        <w:jc w:val="center"/>
        <w:rPr>
          <w:rFonts w:hint="eastAsia"/>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pPr>
        <w:pStyle w:val="2"/>
        <w:rPr>
          <w:rFonts w:hint="eastAsia"/>
        </w:rPr>
      </w:pPr>
      <w:bookmarkStart w:id="0" w:name="_Toc63785461"/>
      <w:r>
        <w:rPr>
          <w:rFonts w:hint="eastAsia"/>
        </w:rPr>
        <w:t>项目概况</w:t>
      </w:r>
      <w:bookmarkEnd w:id="0"/>
    </w:p>
    <w:p>
      <w:pPr>
        <w:pStyle w:val="61"/>
        <w:numPr>
          <w:ilvl w:val="1"/>
          <w:numId w:val="3"/>
        </w:numPr>
        <w:spacing w:line="560" w:lineRule="exact"/>
        <w:ind w:left="839" w:hanging="357" w:firstLineChars="0"/>
        <w:outlineLvl w:val="1"/>
        <w:rPr>
          <w:rFonts w:hint="eastAsia" w:ascii="仿宋" w:hAnsi="仿宋" w:eastAsia="仿宋"/>
          <w:b/>
          <w:bCs/>
          <w:sz w:val="30"/>
          <w:szCs w:val="30"/>
        </w:rPr>
      </w:pPr>
      <w:r>
        <w:rPr>
          <w:rFonts w:hint="eastAsia" w:ascii="仿宋" w:hAnsi="仿宋" w:eastAsia="仿宋"/>
          <w:b/>
          <w:bCs/>
          <w:sz w:val="30"/>
          <w:szCs w:val="30"/>
        </w:rPr>
        <w:t>项目背景</w:t>
      </w:r>
    </w:p>
    <w:p>
      <w:pPr>
        <w:pStyle w:val="61"/>
        <w:numPr>
          <w:ilvl w:val="2"/>
          <w:numId w:val="3"/>
        </w:numPr>
        <w:spacing w:line="560" w:lineRule="exact"/>
        <w:ind w:left="1678" w:firstLineChars="0"/>
        <w:outlineLvl w:val="2"/>
        <w:rPr>
          <w:rFonts w:hint="eastAsia" w:ascii="仿宋" w:hAnsi="仿宋" w:eastAsia="仿宋"/>
          <w:b/>
          <w:bCs/>
          <w:sz w:val="28"/>
          <w:szCs w:val="28"/>
        </w:rPr>
      </w:pPr>
      <w:r>
        <w:rPr>
          <w:rFonts w:hint="eastAsia" w:ascii="仿宋" w:hAnsi="仿宋" w:eastAsia="仿宋"/>
          <w:b/>
          <w:bCs/>
        </w:rPr>
        <w:t xml:space="preserve"> </w:t>
      </w:r>
      <w:r>
        <w:rPr>
          <w:rFonts w:hint="eastAsia" w:ascii="仿宋" w:hAnsi="仿宋" w:eastAsia="仿宋"/>
          <w:b/>
          <w:bCs/>
          <w:sz w:val="28"/>
          <w:szCs w:val="28"/>
        </w:rPr>
        <w:t>上海市药品监督管理局行政审批综合业务系统（升级）</w:t>
      </w:r>
    </w:p>
    <w:p>
      <w:pPr>
        <w:pStyle w:val="61"/>
        <w:numPr>
          <w:ilvl w:val="0"/>
          <w:numId w:val="4"/>
        </w:numPr>
        <w:spacing w:line="560" w:lineRule="exact"/>
        <w:ind w:firstLineChars="0"/>
        <w:rPr>
          <w:rFonts w:hint="eastAsia" w:ascii="仿宋" w:hAnsi="仿宋" w:eastAsia="仿宋"/>
          <w:sz w:val="24"/>
        </w:rPr>
      </w:pPr>
      <w:r>
        <w:rPr>
          <w:rFonts w:ascii="仿宋" w:hAnsi="仿宋" w:eastAsia="仿宋"/>
          <w:sz w:val="24"/>
        </w:rPr>
        <w:t>药品、医疗器械监管改革的迫切需求</w:t>
      </w:r>
    </w:p>
    <w:p>
      <w:pPr>
        <w:spacing w:line="560" w:lineRule="exact"/>
        <w:rPr>
          <w:rFonts w:hint="eastAsia" w:ascii="仿宋" w:hAnsi="仿宋" w:eastAsia="仿宋"/>
        </w:rPr>
      </w:pPr>
      <w:r>
        <w:rPr>
          <w:rFonts w:hint="eastAsia" w:ascii="仿宋" w:hAnsi="仿宋" w:eastAsia="仿宋"/>
        </w:rPr>
        <w:t>为贯彻落实药品、医疗器械监管法规及相关政策，积极响应国家药品监督管理局工作部署，并深入推进本市营商环境优化工作，上海市药品监督管理局（以下简称“上海药监局”）致力于不断提升药品、医疗器械政务服务事项及公共服务水平。</w:t>
      </w:r>
    </w:p>
    <w:p>
      <w:pPr>
        <w:spacing w:line="560" w:lineRule="exact"/>
        <w:rPr>
          <w:rFonts w:hint="eastAsia" w:ascii="仿宋" w:hAnsi="仿宋" w:eastAsia="仿宋"/>
        </w:rPr>
      </w:pPr>
      <w:r>
        <w:rPr>
          <w:rFonts w:hint="eastAsia" w:ascii="仿宋" w:hAnsi="仿宋" w:eastAsia="仿宋"/>
        </w:rPr>
        <w:t>为确保公众用药用械安全有效，上海药监局将积极落实各项监管要求，并持续推进信息化建设，优化审批流程。通过信息化手段，一方面引导企业按照最新法规和技术要求进行许可申报，另一方面提升药监局自身审批效能，确保审批工作严格遵循最新法规和标准，切实保障药品和医疗器械产品的安全性和有效性。</w:t>
      </w:r>
    </w:p>
    <w:p>
      <w:pPr>
        <w:pStyle w:val="61"/>
        <w:numPr>
          <w:ilvl w:val="0"/>
          <w:numId w:val="4"/>
        </w:numPr>
        <w:spacing w:line="560" w:lineRule="exact"/>
        <w:ind w:firstLineChars="0"/>
        <w:rPr>
          <w:rFonts w:hint="eastAsia" w:ascii="仿宋" w:hAnsi="仿宋" w:eastAsia="仿宋"/>
          <w:sz w:val="24"/>
        </w:rPr>
      </w:pPr>
      <w:r>
        <w:rPr>
          <w:rFonts w:ascii="仿宋" w:hAnsi="仿宋" w:eastAsia="仿宋"/>
          <w:sz w:val="24"/>
        </w:rPr>
        <w:t>落实“一网通办”的工作要求</w:t>
      </w:r>
    </w:p>
    <w:p>
      <w:pPr>
        <w:spacing w:line="560" w:lineRule="exact"/>
        <w:rPr>
          <w:rFonts w:hint="eastAsia" w:ascii="仿宋" w:hAnsi="仿宋" w:eastAsia="仿宋"/>
        </w:rPr>
      </w:pPr>
      <w:r>
        <w:rPr>
          <w:rFonts w:hint="eastAsia" w:ascii="仿宋" w:hAnsi="仿宋" w:eastAsia="仿宋"/>
        </w:rPr>
        <w:t>根据大数据中心《关于进一步深化“一网通办”平台对接支撑“智慧好办”政务服务工作的通知》，大数据中心将“一网通办”各端服务功能及系统接口的技术规范升级到7.0版本，各部门需要加紧落实接入改造工作。上海药监局涉及的且尚需落实改造的主要是“一业一证”、事项与办件库对接等内容。为保障药监局“一网通办”相关功能能够正常运行、“办件库”和“电子证照库”同步数据稳定及时，必须尽快落实配套7.0版技术规范的改造。</w:t>
      </w:r>
    </w:p>
    <w:p>
      <w:pPr>
        <w:pStyle w:val="61"/>
        <w:numPr>
          <w:ilvl w:val="0"/>
          <w:numId w:val="4"/>
        </w:numPr>
        <w:spacing w:line="560" w:lineRule="exact"/>
        <w:ind w:firstLineChars="0"/>
        <w:rPr>
          <w:rFonts w:hint="eastAsia" w:ascii="仿宋" w:hAnsi="仿宋" w:eastAsia="仿宋"/>
        </w:rPr>
      </w:pPr>
      <w:r>
        <w:rPr>
          <w:rFonts w:ascii="仿宋" w:hAnsi="仿宋" w:eastAsia="仿宋"/>
          <w:sz w:val="24"/>
        </w:rPr>
        <w:t>应用“人工智能+”深化“智慧好办”工作需要</w:t>
      </w:r>
    </w:p>
    <w:p>
      <w:pPr>
        <w:spacing w:line="560" w:lineRule="exact"/>
        <w:rPr>
          <w:rFonts w:hint="eastAsia" w:ascii="仿宋" w:hAnsi="仿宋" w:eastAsia="仿宋"/>
        </w:rPr>
      </w:pPr>
      <w:r>
        <w:rPr>
          <w:rFonts w:hint="eastAsia" w:ascii="仿宋" w:hAnsi="仿宋" w:eastAsia="仿宋"/>
        </w:rPr>
        <w:t>根据《上海市持续深化政务服务“一网通办”改革行动方案（2024-2026年）》《上海市人民政府办公厅关于印发上海市推进“人工智能＋”行动打造“智慧好办”政务服务实施方案的通知》的要求，同时近年来大语言模型为主的人工智能能力的爆发式发展。利用人工智能深化智能预填、智能预审等场景的建设，是提升政务服务效能、优化营商环境、满足群众和企业需求的必由之路。</w:t>
      </w:r>
    </w:p>
    <w:p>
      <w:pPr>
        <w:pStyle w:val="61"/>
        <w:numPr>
          <w:ilvl w:val="2"/>
          <w:numId w:val="3"/>
        </w:numPr>
        <w:spacing w:line="560" w:lineRule="exact"/>
        <w:ind w:left="1678" w:firstLineChars="0"/>
        <w:outlineLvl w:val="2"/>
        <w:rPr>
          <w:rFonts w:hint="eastAsia" w:ascii="仿宋" w:hAnsi="仿宋" w:eastAsia="仿宋"/>
          <w:b/>
          <w:bCs/>
          <w:sz w:val="28"/>
          <w:szCs w:val="28"/>
        </w:rPr>
      </w:pPr>
      <w:r>
        <w:rPr>
          <w:rFonts w:hint="eastAsia" w:ascii="仿宋" w:hAnsi="仿宋" w:eastAsia="仿宋"/>
          <w:b/>
          <w:bCs/>
          <w:sz w:val="28"/>
          <w:szCs w:val="28"/>
        </w:rPr>
        <w:t>上海市药械化现场监管检查码管理系统（新建）</w:t>
      </w:r>
    </w:p>
    <w:p>
      <w:pPr>
        <w:spacing w:line="560" w:lineRule="exact"/>
        <w:rPr>
          <w:rFonts w:hint="eastAsia" w:ascii="仿宋" w:hAnsi="仿宋" w:eastAsia="仿宋"/>
        </w:rPr>
      </w:pPr>
      <w:r>
        <w:rPr>
          <w:rFonts w:hint="eastAsia" w:ascii="仿宋" w:hAnsi="仿宋" w:eastAsia="仿宋"/>
        </w:rPr>
        <w:t>为贯彻落实党中央、国务院关于规范涉企行政检查的决策部署 ,促进严格规范公正文明执法 ,杜绝随意检查、违法检查,防止重复检查、多头检查,维护公共利益和社会秩序,助力打造国际一流营商环境,上海市人民政府办公厅发布了“关于规范本市涉企行政检查的实施意见”,明确要求推行“检查码”应用，行政执法人员进入检查对象生产、经营、管理等场所开展现场检查时应当亮码,检查对象可以通过“检查码”核验检查信息和行政执法人员资格,并对检查情况进行评价。</w:t>
      </w:r>
    </w:p>
    <w:p>
      <w:pPr>
        <w:spacing w:line="560" w:lineRule="exact"/>
        <w:rPr>
          <w:rFonts w:hint="eastAsia" w:ascii="仿宋" w:hAnsi="仿宋" w:eastAsia="仿宋"/>
        </w:rPr>
      </w:pPr>
      <w:r>
        <w:rPr>
          <w:rFonts w:hint="eastAsia" w:ascii="仿宋" w:hAnsi="仿宋" w:eastAsia="仿宋"/>
        </w:rPr>
        <w:t>为有效解决涉企行政检查中存在的“重复查、多头查、随意查”等问题，进一步提升经营主体感受度，2024年11月上海市发展和改革委员会印发了《优化本市涉企行政检查工作方案》和《上海市涉企行政检查工作指引（2024版）》。</w:t>
      </w:r>
    </w:p>
    <w:p>
      <w:pPr>
        <w:spacing w:line="560" w:lineRule="exact"/>
        <w:rPr>
          <w:rFonts w:hint="eastAsia" w:ascii="仿宋" w:hAnsi="仿宋" w:eastAsia="仿宋"/>
        </w:rPr>
      </w:pPr>
      <w:r>
        <w:rPr>
          <w:rFonts w:hint="eastAsia" w:ascii="仿宋" w:hAnsi="仿宋" w:eastAsia="仿宋"/>
        </w:rPr>
        <w:t>为贯彻落实党的二十届三中全会和十二届市委五次全会关于“规范涉民营企业行政检查”的决策部署，进一步规范涉企行政检查行为，全面纠治涉企行政检查突出问题，切实保护经营主体合法权益，持续优化营商环境，根据市发展改革委《关于印发〈优化本市涉企行政查工作方案）和〈上海市涉企行政检查工作指引（2024版）》的通知》（沪发改营商【2024]15号），结合市场监管工作实际，2024年12月上海市市场监督管理局印发《上海市市场监管部门规范涉企行政检查实施方案》。</w:t>
      </w:r>
    </w:p>
    <w:p>
      <w:pPr>
        <w:spacing w:line="560" w:lineRule="exact"/>
        <w:rPr>
          <w:rFonts w:hint="eastAsia" w:ascii="仿宋" w:hAnsi="仿宋" w:eastAsia="仿宋"/>
        </w:rPr>
      </w:pPr>
      <w:r>
        <w:rPr>
          <w:rFonts w:hint="eastAsia" w:ascii="仿宋" w:hAnsi="仿宋" w:eastAsia="仿宋"/>
        </w:rPr>
        <w:t>为规范涉企行政检查行为，提升行政执法质效，切实维护市场主体合法权益，根据市发展改革委《关于印发〈优化本市涉企行政检查工作方案〉和&lt;上海市涉企行政检查工作指引(2024版)〉的通知》(沪发改营商〔2024〕15号)、上海市市场监督管理局《关于印发&lt;上海市市场监管部门规范涉企行政检查实施方案&gt; 的通知》(沪市监办发〔2024〕0529号),上海市药品监督管理局印发《上海市药品监管部门规范涉企行政检查实施方案》，聚焦“随意检查、重复检查、多头检查”等问题，在严守药品安全底线、实现有效监管的基础上，借助检查码的应用提升检查规范性，推动药品监管向服务型监管、预防型监管、数智化治理转变。</w:t>
      </w:r>
    </w:p>
    <w:p>
      <w:pPr>
        <w:spacing w:line="560" w:lineRule="exact"/>
        <w:rPr>
          <w:rFonts w:hint="eastAsia" w:ascii="仿宋" w:hAnsi="仿宋" w:eastAsia="仿宋"/>
        </w:rPr>
      </w:pPr>
      <w:r>
        <w:rPr>
          <w:rFonts w:hint="eastAsia" w:ascii="仿宋" w:hAnsi="仿宋" w:eastAsia="仿宋"/>
        </w:rPr>
        <w:t>因此迫切建设符合药械化领域监管要求的检查码管理系统，可以实现无码不检查、检查必亮码、结果及时录、查后可评价，聚焦解决“多头检查、重复检查、随意检查”等突出问题，在严守安全底线、实现有效监管的基础上，实现药械化监管部门“四减少四提高”，即减少现场检查对象、减少现场检查频次、减少现场检查内容、减少检查对企影响，提高随机抽查方式（包括“双随机、一公开”等方式运用率）、提高跨部门联合检查率、提高非现场检查率、提高检查问题发现率，持续增强涉企行政检查规范性、精准性、有效性和透明度。</w:t>
      </w:r>
    </w:p>
    <w:p>
      <w:pPr>
        <w:pStyle w:val="61"/>
        <w:numPr>
          <w:ilvl w:val="2"/>
          <w:numId w:val="3"/>
        </w:numPr>
        <w:spacing w:line="560" w:lineRule="exact"/>
        <w:ind w:left="1678" w:firstLineChars="0"/>
        <w:outlineLvl w:val="2"/>
        <w:rPr>
          <w:rFonts w:hint="eastAsia" w:ascii="仿宋" w:hAnsi="仿宋" w:eastAsia="仿宋"/>
          <w:b/>
          <w:bCs/>
          <w:sz w:val="28"/>
          <w:szCs w:val="28"/>
        </w:rPr>
      </w:pPr>
      <w:r>
        <w:rPr>
          <w:rFonts w:hint="eastAsia" w:ascii="仿宋" w:hAnsi="仿宋" w:eastAsia="仿宋"/>
          <w:b/>
          <w:bCs/>
          <w:sz w:val="28"/>
          <w:szCs w:val="28"/>
        </w:rPr>
        <w:t>上海市药械化行政检查管理系统和移动监管模块(升级)</w:t>
      </w:r>
    </w:p>
    <w:p>
      <w:pPr>
        <w:spacing w:line="560" w:lineRule="exact"/>
        <w:rPr>
          <w:rFonts w:hint="eastAsia" w:ascii="仿宋" w:hAnsi="仿宋" w:eastAsia="仿宋"/>
        </w:rPr>
      </w:pPr>
      <w:r>
        <w:rPr>
          <w:rFonts w:hint="eastAsia" w:ascii="仿宋" w:hAnsi="仿宋" w:eastAsia="仿宋"/>
        </w:rPr>
        <w:t>近两年国家药监局和上海药监局相继出台和修订了药品、医疗器械及化妆品的一系列的法律法规，现有的药械化行政检查系统较新法规的要求显得滞后，已经无法满足现有的监管要求，尤其是对境外药品上市许可持有人境内责任人、自动售药机、数字药仓、自动售械机等、医疗器械临床试验机构等新型对象的监管。</w:t>
      </w:r>
    </w:p>
    <w:p>
      <w:pPr>
        <w:spacing w:line="560" w:lineRule="exact"/>
        <w:rPr>
          <w:rFonts w:hint="eastAsia" w:ascii="仿宋" w:hAnsi="仿宋" w:eastAsia="仿宋"/>
        </w:rPr>
      </w:pPr>
      <w:r>
        <w:rPr>
          <w:rFonts w:hint="eastAsia" w:ascii="仿宋" w:hAnsi="仿宋" w:eastAsia="仿宋"/>
        </w:rPr>
        <w:t>2022年国家药监局正式发布了《药品召回管理办法》，明确了药品上市许可持有人进行产品召回的流程和工作要求，但目前因没有信息化系统支撑还需要企业线下进行产品召回信息的上报，严重影响了产品召回工作的有序开展。</w:t>
      </w:r>
    </w:p>
    <w:p>
      <w:pPr>
        <w:spacing w:line="560" w:lineRule="exact"/>
        <w:rPr>
          <w:rFonts w:hint="eastAsia" w:ascii="仿宋" w:hAnsi="仿宋" w:eastAsia="仿宋"/>
        </w:rPr>
      </w:pPr>
      <w:r>
        <w:rPr>
          <w:rFonts w:hint="eastAsia" w:ascii="仿宋" w:hAnsi="仿宋" w:eastAsia="仿宋"/>
        </w:rPr>
        <w:t>根据《中华人民共和国药品管理法》的要求，药品上市许可持有人必须每年进行年度报告管理的上报，目前企业直接通过国家局系统进行上报，上海药监局无法按自身的业务要求进行年报上报内容的调整，无法满足上海药监局的工作要求，同时国家局也鼓励有条件的省市自建年报上报模块，并通过数据对接的形式和国家局共享数据。</w:t>
      </w:r>
    </w:p>
    <w:p>
      <w:pPr>
        <w:spacing w:line="560" w:lineRule="exact"/>
        <w:rPr>
          <w:rFonts w:hint="eastAsia" w:ascii="仿宋" w:hAnsi="仿宋" w:eastAsia="仿宋"/>
        </w:rPr>
      </w:pPr>
      <w:r>
        <w:rPr>
          <w:rFonts w:hint="eastAsia" w:ascii="仿宋" w:hAnsi="仿宋" w:eastAsia="仿宋"/>
        </w:rPr>
        <w:t>为贯彻落实党中央、国务院关于开展“人工智能+”行动的决 策部署，落实《中华人民共和国国民经济和社会发展第十四个五 年规划和2035年远景目标纲要》《新一代人工智能发展规划》《关于加快场景创新以人工智能高水平应用促进经济高质量发 展的指导意见》《药品监管网络安全与信息化建设“十四五”规划》 等工作要求，有效促进“人工智能+”行动在药品监管领域的实践探索，统筹推进人工智能场景创新，更好支撑高水平监管和高质量发展，国家药监局印发了药品监管人工智能典型应用场景清单的通知，对现场监管的检查前、检查中和检查后都提出了明确的人工智能升级要求。</w:t>
      </w:r>
    </w:p>
    <w:p>
      <w:pPr>
        <w:spacing w:line="560" w:lineRule="exact"/>
        <w:rPr>
          <w:rFonts w:hint="eastAsia" w:ascii="仿宋" w:hAnsi="仿宋" w:eastAsia="仿宋"/>
        </w:rPr>
      </w:pPr>
      <w:r>
        <w:rPr>
          <w:rFonts w:hint="eastAsia" w:ascii="仿宋" w:hAnsi="仿宋" w:eastAsia="仿宋"/>
        </w:rPr>
        <w:t>因此需要对上海药监局现有的“药械化行政检查管理系统和移动监管模块”进行升级改造，切实满足国家药监局和上海药监局对药械化企业的监管工作要求，进一步提升智能化服务能力。</w:t>
      </w:r>
    </w:p>
    <w:p>
      <w:pPr>
        <w:pStyle w:val="61"/>
        <w:numPr>
          <w:ilvl w:val="2"/>
          <w:numId w:val="3"/>
        </w:numPr>
        <w:spacing w:line="560" w:lineRule="exact"/>
        <w:ind w:left="1678" w:firstLineChars="0"/>
        <w:outlineLvl w:val="2"/>
        <w:rPr>
          <w:rFonts w:hint="eastAsia" w:ascii="仿宋" w:hAnsi="仿宋" w:eastAsia="仿宋"/>
          <w:b/>
          <w:bCs/>
          <w:sz w:val="28"/>
          <w:szCs w:val="28"/>
        </w:rPr>
      </w:pPr>
      <w:r>
        <w:rPr>
          <w:rFonts w:hint="eastAsia" w:ascii="仿宋" w:hAnsi="仿宋" w:eastAsia="仿宋"/>
          <w:b/>
          <w:bCs/>
          <w:sz w:val="28"/>
          <w:szCs w:val="28"/>
        </w:rPr>
        <w:t>上海市药械化信用分级分类系统（升级）</w:t>
      </w:r>
    </w:p>
    <w:p>
      <w:pPr>
        <w:spacing w:line="560" w:lineRule="exact"/>
        <w:rPr>
          <w:rFonts w:hint="eastAsia" w:ascii="仿宋" w:hAnsi="仿宋" w:eastAsia="仿宋"/>
        </w:rPr>
      </w:pPr>
      <w:r>
        <w:rPr>
          <w:rFonts w:hint="eastAsia" w:ascii="仿宋" w:hAnsi="仿宋" w:eastAsia="仿宋"/>
        </w:rPr>
        <w:t>全国市场监管数字化试验区（上海）是国家市场监管总局与上海市政府部市共建、加强合作的重大工程，是贯彻落实党中央、国务院关于加强数字政府建设决策部署和国家市场监管总局关于深入推进智慧监管工作要求，全面推进上海市场监管部门履职和政务运行数字化转型的重要举措。</w:t>
      </w:r>
    </w:p>
    <w:p>
      <w:pPr>
        <w:spacing w:line="560" w:lineRule="exact"/>
        <w:rPr>
          <w:rFonts w:hint="eastAsia" w:ascii="仿宋" w:hAnsi="仿宋" w:eastAsia="仿宋"/>
        </w:rPr>
      </w:pPr>
      <w:r>
        <w:rPr>
          <w:rFonts w:hint="eastAsia" w:ascii="仿宋" w:hAnsi="仿宋" w:eastAsia="仿宋"/>
        </w:rPr>
        <w:t>为落实《全国市场监管数字化试验区（上海）建设方案（2023-2024年）》要求，全面推进上海市场监管部门履职和政务运行数字化转型，持续深化上海市药品监督管理局对全国市场监管数字化试验区（上海）建设，药械化信息分级分类系统升级在器械生产分类分级管理子系统现有功能基础上，对医疗器械生成进行升级、增加对药品批发、药品零售、化妆品生产系统分级分类管理。</w:t>
      </w:r>
    </w:p>
    <w:p>
      <w:pPr>
        <w:pStyle w:val="61"/>
        <w:numPr>
          <w:ilvl w:val="1"/>
          <w:numId w:val="3"/>
        </w:numPr>
        <w:spacing w:line="560" w:lineRule="exact"/>
        <w:ind w:left="839" w:hanging="357" w:firstLineChars="0"/>
        <w:outlineLvl w:val="1"/>
        <w:rPr>
          <w:rFonts w:hint="eastAsia" w:ascii="仿宋" w:hAnsi="仿宋" w:eastAsia="仿宋"/>
          <w:b/>
          <w:bCs/>
          <w:sz w:val="30"/>
          <w:szCs w:val="30"/>
        </w:rPr>
      </w:pPr>
      <w:r>
        <w:rPr>
          <w:rFonts w:hint="eastAsia" w:ascii="仿宋" w:hAnsi="仿宋" w:eastAsia="仿宋"/>
          <w:b/>
          <w:bCs/>
          <w:sz w:val="30"/>
          <w:szCs w:val="30"/>
        </w:rPr>
        <w:t>建设期限</w:t>
      </w:r>
    </w:p>
    <w:p>
      <w:pPr>
        <w:spacing w:line="560" w:lineRule="exact"/>
        <w:ind w:left="480" w:firstLine="0" w:firstLineChars="0"/>
        <w:rPr>
          <w:rFonts w:hint="eastAsia" w:ascii="仿宋" w:hAnsi="仿宋" w:eastAsia="仿宋"/>
          <w:highlight w:val="none"/>
        </w:rPr>
      </w:pPr>
      <w:r>
        <w:rPr>
          <w:rFonts w:hint="eastAsia" w:ascii="仿宋" w:hAnsi="仿宋" w:eastAsia="仿宋"/>
        </w:rPr>
        <w:t>建设期限：</w:t>
      </w:r>
      <w:r>
        <w:rPr>
          <w:rFonts w:hint="eastAsia" w:ascii="仿宋" w:hAnsi="仿宋" w:eastAsia="仿宋"/>
          <w:highlight w:val="none"/>
        </w:rPr>
        <w:t>自合同签订之日，2026年11月30日前完成建设内容（含1个月试运行）</w:t>
      </w:r>
    </w:p>
    <w:p>
      <w:pPr>
        <w:pStyle w:val="61"/>
        <w:numPr>
          <w:ilvl w:val="1"/>
          <w:numId w:val="3"/>
        </w:numPr>
        <w:spacing w:line="560" w:lineRule="exact"/>
        <w:ind w:left="839" w:hanging="357" w:firstLineChars="0"/>
        <w:outlineLvl w:val="1"/>
        <w:rPr>
          <w:rFonts w:hint="eastAsia" w:ascii="仿宋" w:hAnsi="仿宋" w:eastAsia="仿宋"/>
          <w:b/>
          <w:bCs/>
          <w:sz w:val="30"/>
          <w:szCs w:val="30"/>
        </w:rPr>
      </w:pPr>
      <w:r>
        <w:rPr>
          <w:rFonts w:hint="eastAsia" w:ascii="仿宋" w:hAnsi="仿宋" w:eastAsia="仿宋"/>
          <w:b/>
          <w:bCs/>
          <w:sz w:val="30"/>
          <w:szCs w:val="30"/>
        </w:rPr>
        <w:t>建设地点</w:t>
      </w:r>
    </w:p>
    <w:p>
      <w:pPr>
        <w:spacing w:line="560" w:lineRule="exact"/>
        <w:rPr>
          <w:rFonts w:hint="eastAsia" w:ascii="仿宋" w:hAnsi="仿宋" w:eastAsia="仿宋"/>
        </w:rPr>
      </w:pPr>
      <w:r>
        <w:rPr>
          <w:rFonts w:hint="eastAsia" w:ascii="仿宋" w:hAnsi="仿宋" w:eastAsia="仿宋"/>
        </w:rPr>
        <w:t>建设地点：上海市宜山路728号（上海市药品监督管理局）</w:t>
      </w:r>
    </w:p>
    <w:p>
      <w:pPr>
        <w:pStyle w:val="61"/>
        <w:numPr>
          <w:ilvl w:val="1"/>
          <w:numId w:val="3"/>
        </w:numPr>
        <w:spacing w:line="560" w:lineRule="exact"/>
        <w:ind w:left="839" w:hanging="357" w:firstLineChars="0"/>
        <w:outlineLvl w:val="1"/>
        <w:rPr>
          <w:rFonts w:hint="eastAsia" w:ascii="仿宋" w:hAnsi="仿宋" w:eastAsia="仿宋"/>
          <w:b/>
          <w:bCs/>
          <w:sz w:val="30"/>
          <w:szCs w:val="30"/>
        </w:rPr>
      </w:pPr>
      <w:r>
        <w:rPr>
          <w:rFonts w:hint="eastAsia" w:ascii="仿宋" w:hAnsi="仿宋" w:eastAsia="仿宋"/>
          <w:b/>
          <w:bCs/>
          <w:sz w:val="30"/>
          <w:szCs w:val="30"/>
        </w:rPr>
        <w:t>预算金额</w:t>
      </w:r>
    </w:p>
    <w:p>
      <w:pPr>
        <w:spacing w:line="560" w:lineRule="exact"/>
        <w:rPr>
          <w:rFonts w:hint="eastAsia" w:ascii="仿宋" w:hAnsi="仿宋" w:eastAsia="仿宋"/>
          <w:highlight w:val="none"/>
        </w:rPr>
      </w:pPr>
      <w:r>
        <w:rPr>
          <w:rFonts w:hint="eastAsia" w:ascii="仿宋" w:hAnsi="仿宋" w:eastAsia="仿宋"/>
          <w:highlight w:val="none"/>
        </w:rPr>
        <w:t>预算金额：3,687,500元</w:t>
      </w:r>
    </w:p>
    <w:p>
      <w:pPr>
        <w:pStyle w:val="61"/>
        <w:numPr>
          <w:ilvl w:val="1"/>
          <w:numId w:val="3"/>
        </w:numPr>
        <w:spacing w:line="560" w:lineRule="exact"/>
        <w:ind w:left="839" w:hanging="357" w:firstLineChars="0"/>
        <w:outlineLvl w:val="1"/>
        <w:rPr>
          <w:rFonts w:hint="eastAsia" w:ascii="仿宋" w:hAnsi="仿宋" w:eastAsia="仿宋"/>
          <w:b/>
          <w:bCs/>
          <w:sz w:val="30"/>
          <w:szCs w:val="30"/>
          <w:highlight w:val="none"/>
        </w:rPr>
      </w:pPr>
      <w:r>
        <w:rPr>
          <w:rFonts w:hint="eastAsia" w:ascii="仿宋" w:hAnsi="仿宋" w:eastAsia="仿宋"/>
          <w:b/>
          <w:bCs/>
          <w:sz w:val="30"/>
          <w:szCs w:val="30"/>
          <w:highlight w:val="none"/>
        </w:rPr>
        <w:t>当年度预算金额</w:t>
      </w:r>
    </w:p>
    <w:p>
      <w:pPr>
        <w:spacing w:line="560" w:lineRule="exact"/>
        <w:rPr>
          <w:rFonts w:hint="eastAsia" w:ascii="仿宋" w:hAnsi="仿宋" w:eastAsia="仿宋"/>
          <w:highlight w:val="none"/>
        </w:rPr>
      </w:pPr>
      <w:r>
        <w:rPr>
          <w:rFonts w:hint="eastAsia" w:ascii="仿宋" w:hAnsi="仿宋" w:eastAsia="仿宋"/>
          <w:highlight w:val="none"/>
        </w:rPr>
        <w:t>当年度预算金额：3,687,500元</w:t>
      </w:r>
    </w:p>
    <w:p>
      <w:pPr>
        <w:pStyle w:val="61"/>
        <w:numPr>
          <w:ilvl w:val="1"/>
          <w:numId w:val="3"/>
        </w:numPr>
        <w:spacing w:line="560" w:lineRule="exact"/>
        <w:ind w:left="839" w:hanging="357" w:firstLineChars="0"/>
        <w:outlineLvl w:val="1"/>
        <w:rPr>
          <w:rFonts w:hint="eastAsia" w:ascii="仿宋" w:hAnsi="仿宋" w:eastAsia="仿宋"/>
          <w:b/>
          <w:bCs/>
          <w:sz w:val="30"/>
          <w:szCs w:val="30"/>
          <w:highlight w:val="none"/>
        </w:rPr>
      </w:pPr>
      <w:r>
        <w:rPr>
          <w:rFonts w:hint="eastAsia" w:ascii="仿宋" w:hAnsi="仿宋" w:eastAsia="仿宋"/>
          <w:b/>
          <w:bCs/>
          <w:sz w:val="30"/>
          <w:szCs w:val="30"/>
          <w:highlight w:val="none"/>
        </w:rPr>
        <w:t>采购金额（最高限价）</w:t>
      </w:r>
    </w:p>
    <w:p>
      <w:pPr>
        <w:spacing w:line="560" w:lineRule="exact"/>
        <w:rPr>
          <w:rFonts w:hint="eastAsia" w:ascii="仿宋" w:hAnsi="仿宋" w:eastAsia="仿宋"/>
          <w:highlight w:val="none"/>
        </w:rPr>
      </w:pPr>
      <w:r>
        <w:rPr>
          <w:rFonts w:hint="eastAsia" w:ascii="仿宋" w:hAnsi="仿宋" w:eastAsia="仿宋"/>
          <w:highlight w:val="none"/>
        </w:rPr>
        <w:t>采购金额（最高限价）：3,687,500元</w:t>
      </w:r>
    </w:p>
    <w:p>
      <w:pPr>
        <w:pStyle w:val="61"/>
        <w:numPr>
          <w:ilvl w:val="1"/>
          <w:numId w:val="3"/>
        </w:numPr>
        <w:spacing w:line="560" w:lineRule="exact"/>
        <w:ind w:left="839" w:hanging="357" w:firstLineChars="0"/>
        <w:outlineLvl w:val="1"/>
        <w:rPr>
          <w:rFonts w:hint="eastAsia" w:ascii="仿宋" w:hAnsi="仿宋" w:eastAsia="仿宋"/>
          <w:b/>
          <w:bCs/>
          <w:sz w:val="30"/>
          <w:szCs w:val="30"/>
        </w:rPr>
      </w:pPr>
      <w:r>
        <w:rPr>
          <w:rFonts w:hint="eastAsia" w:ascii="仿宋" w:hAnsi="仿宋" w:eastAsia="仿宋"/>
          <w:b/>
          <w:bCs/>
          <w:sz w:val="30"/>
          <w:szCs w:val="30"/>
        </w:rPr>
        <w:t>组织形式</w:t>
      </w:r>
    </w:p>
    <w:p>
      <w:pPr>
        <w:rPr>
          <w:rFonts w:hint="eastAsia" w:ascii="仿宋" w:hAnsi="仿宋" w:eastAsia="仿宋"/>
        </w:rPr>
      </w:pPr>
      <w:r>
        <w:rPr>
          <w:rFonts w:hint="eastAsia" w:ascii="仿宋" w:hAnsi="仿宋" w:eastAsia="仿宋"/>
        </w:rPr>
        <w:t>组织形式：集中采购</w:t>
      </w:r>
    </w:p>
    <w:p>
      <w:pPr>
        <w:pStyle w:val="61"/>
        <w:numPr>
          <w:ilvl w:val="1"/>
          <w:numId w:val="3"/>
        </w:numPr>
        <w:spacing w:line="560" w:lineRule="exact"/>
        <w:ind w:left="839" w:hanging="357" w:firstLineChars="0"/>
        <w:outlineLvl w:val="1"/>
        <w:rPr>
          <w:rFonts w:hint="eastAsia" w:ascii="仿宋" w:hAnsi="仿宋" w:eastAsia="仿宋"/>
          <w:b/>
          <w:bCs/>
          <w:sz w:val="30"/>
          <w:szCs w:val="30"/>
        </w:rPr>
      </w:pPr>
      <w:r>
        <w:rPr>
          <w:rFonts w:hint="eastAsia" w:ascii="仿宋" w:hAnsi="仿宋" w:eastAsia="仿宋"/>
          <w:b/>
          <w:bCs/>
          <w:sz w:val="30"/>
          <w:szCs w:val="30"/>
        </w:rPr>
        <w:t>采购方式</w:t>
      </w:r>
    </w:p>
    <w:p>
      <w:pPr>
        <w:rPr>
          <w:rFonts w:hint="eastAsia" w:ascii="仿宋" w:hAnsi="仿宋" w:eastAsia="仿宋"/>
        </w:rPr>
      </w:pPr>
      <w:r>
        <w:rPr>
          <w:rFonts w:hint="eastAsia" w:ascii="仿宋" w:hAnsi="仿宋" w:eastAsia="仿宋"/>
        </w:rPr>
        <w:t>采购方式：竞争性磋商</w:t>
      </w:r>
    </w:p>
    <w:p>
      <w:pPr>
        <w:pStyle w:val="61"/>
        <w:numPr>
          <w:ilvl w:val="1"/>
          <w:numId w:val="3"/>
        </w:numPr>
        <w:spacing w:line="560" w:lineRule="exact"/>
        <w:ind w:left="839" w:hanging="357" w:firstLineChars="0"/>
        <w:outlineLvl w:val="1"/>
        <w:rPr>
          <w:rFonts w:hint="eastAsia" w:ascii="仿宋" w:hAnsi="仿宋" w:eastAsia="仿宋"/>
          <w:b/>
          <w:bCs/>
          <w:sz w:val="30"/>
          <w:szCs w:val="30"/>
        </w:rPr>
      </w:pPr>
      <w:r>
        <w:rPr>
          <w:rFonts w:hint="eastAsia" w:ascii="仿宋" w:hAnsi="仿宋" w:eastAsia="仿宋"/>
          <w:b/>
          <w:bCs/>
          <w:sz w:val="30"/>
          <w:szCs w:val="30"/>
        </w:rPr>
        <w:t>是否接受联合体</w:t>
      </w:r>
      <w:r>
        <w:rPr>
          <w:rFonts w:hint="eastAsia" w:ascii="仿宋" w:hAnsi="仿宋" w:eastAsia="仿宋"/>
          <w:b/>
          <w:bCs/>
          <w:sz w:val="30"/>
          <w:szCs w:val="30"/>
          <w:lang w:eastAsia="zh-CN"/>
        </w:rPr>
        <w:t>响应</w:t>
      </w:r>
    </w:p>
    <w:p>
      <w:pPr>
        <w:rPr>
          <w:rFonts w:hint="eastAsia" w:ascii="仿宋" w:hAnsi="仿宋" w:eastAsia="仿宋"/>
        </w:rPr>
      </w:pPr>
      <w:r>
        <w:rPr>
          <w:rFonts w:hint="eastAsia" w:ascii="仿宋" w:hAnsi="仿宋" w:eastAsia="仿宋"/>
        </w:rPr>
        <w:t>是否接受联合体</w:t>
      </w:r>
      <w:r>
        <w:rPr>
          <w:rFonts w:hint="eastAsia" w:ascii="仿宋" w:hAnsi="仿宋" w:eastAsia="仿宋"/>
          <w:lang w:eastAsia="zh-CN"/>
        </w:rPr>
        <w:t>响应</w:t>
      </w:r>
      <w:r>
        <w:rPr>
          <w:rFonts w:hint="eastAsia" w:ascii="仿宋" w:hAnsi="仿宋" w:eastAsia="仿宋"/>
        </w:rPr>
        <w:t>：否</w:t>
      </w:r>
    </w:p>
    <w:p>
      <w:pPr>
        <w:pStyle w:val="61"/>
        <w:numPr>
          <w:ilvl w:val="1"/>
          <w:numId w:val="3"/>
        </w:numPr>
        <w:spacing w:line="560" w:lineRule="exact"/>
        <w:ind w:left="839" w:hanging="357" w:firstLineChars="0"/>
        <w:outlineLvl w:val="1"/>
        <w:rPr>
          <w:rFonts w:hint="eastAsia" w:ascii="仿宋" w:hAnsi="仿宋" w:eastAsia="仿宋"/>
          <w:b/>
          <w:bCs/>
          <w:sz w:val="30"/>
          <w:szCs w:val="30"/>
        </w:rPr>
      </w:pPr>
      <w:r>
        <w:rPr>
          <w:rFonts w:ascii="仿宋" w:hAnsi="仿宋" w:eastAsia="仿宋"/>
          <w:b/>
          <w:bCs/>
          <w:sz w:val="30"/>
          <w:szCs w:val="30"/>
        </w:rPr>
        <w:t>是否按</w:t>
      </w:r>
      <w:r>
        <w:rPr>
          <w:rFonts w:hint="eastAsia" w:ascii="仿宋" w:hAnsi="仿宋" w:eastAsia="仿宋"/>
          <w:b/>
          <w:bCs/>
          <w:sz w:val="30"/>
          <w:szCs w:val="30"/>
          <w:lang w:eastAsia="zh-CN"/>
        </w:rPr>
        <w:t>XC</w:t>
      </w:r>
      <w:r>
        <w:rPr>
          <w:rFonts w:ascii="仿宋" w:hAnsi="仿宋" w:eastAsia="仿宋"/>
          <w:b/>
          <w:bCs/>
          <w:sz w:val="30"/>
          <w:szCs w:val="30"/>
        </w:rPr>
        <w:t>要求建设</w:t>
      </w:r>
    </w:p>
    <w:p>
      <w:pPr>
        <w:rPr>
          <w:rFonts w:hint="eastAsia" w:ascii="仿宋" w:hAnsi="仿宋" w:eastAsia="仿宋"/>
        </w:rPr>
      </w:pPr>
      <w:r>
        <w:rPr>
          <w:rFonts w:ascii="仿宋" w:hAnsi="仿宋" w:eastAsia="仿宋"/>
        </w:rPr>
        <w:t>是否按</w:t>
      </w:r>
      <w:r>
        <w:rPr>
          <w:rFonts w:hint="eastAsia" w:ascii="仿宋" w:hAnsi="仿宋" w:eastAsia="仿宋"/>
          <w:lang w:eastAsia="zh-CN"/>
        </w:rPr>
        <w:t>XC</w:t>
      </w:r>
      <w:r>
        <w:rPr>
          <w:rFonts w:ascii="仿宋" w:hAnsi="仿宋" w:eastAsia="仿宋"/>
        </w:rPr>
        <w:t>要求建设：是</w:t>
      </w:r>
    </w:p>
    <w:p>
      <w:pPr>
        <w:pStyle w:val="61"/>
        <w:numPr>
          <w:ilvl w:val="1"/>
          <w:numId w:val="3"/>
        </w:numPr>
        <w:spacing w:line="560" w:lineRule="exact"/>
        <w:ind w:left="839" w:hanging="357" w:firstLineChars="0"/>
        <w:outlineLvl w:val="1"/>
        <w:rPr>
          <w:rFonts w:hint="eastAsia" w:ascii="仿宋" w:hAnsi="仿宋" w:eastAsia="仿宋"/>
          <w:b/>
          <w:bCs/>
          <w:sz w:val="30"/>
          <w:szCs w:val="30"/>
        </w:rPr>
      </w:pPr>
      <w:r>
        <w:rPr>
          <w:rFonts w:hint="eastAsia" w:ascii="仿宋" w:hAnsi="仿宋" w:eastAsia="仿宋"/>
          <w:b/>
          <w:bCs/>
          <w:sz w:val="30"/>
          <w:szCs w:val="30"/>
        </w:rPr>
        <w:t>是否采用低代码建设</w:t>
      </w:r>
    </w:p>
    <w:p>
      <w:pPr>
        <w:rPr>
          <w:rFonts w:hint="eastAsia" w:ascii="仿宋" w:hAnsi="仿宋" w:eastAsia="仿宋"/>
          <w:highlight w:val="none"/>
        </w:rPr>
      </w:pPr>
      <w:r>
        <w:rPr>
          <w:rFonts w:hint="eastAsia" w:ascii="仿宋" w:hAnsi="仿宋" w:eastAsia="仿宋"/>
        </w:rPr>
        <w:t>是否采用低代码建设：</w:t>
      </w:r>
      <w:r>
        <w:rPr>
          <w:rFonts w:hint="eastAsia" w:ascii="仿宋" w:hAnsi="仿宋" w:eastAsia="仿宋"/>
          <w:highlight w:val="none"/>
        </w:rPr>
        <w:t>否</w:t>
      </w:r>
    </w:p>
    <w:p>
      <w:pPr>
        <w:pStyle w:val="61"/>
        <w:numPr>
          <w:ilvl w:val="1"/>
          <w:numId w:val="3"/>
        </w:numPr>
        <w:spacing w:line="560" w:lineRule="exact"/>
        <w:ind w:left="839" w:hanging="357" w:firstLineChars="0"/>
        <w:outlineLvl w:val="1"/>
        <w:rPr>
          <w:rFonts w:hint="eastAsia" w:ascii="仿宋" w:hAnsi="仿宋" w:eastAsia="仿宋"/>
          <w:b/>
          <w:bCs/>
          <w:sz w:val="30"/>
          <w:szCs w:val="30"/>
        </w:rPr>
      </w:pPr>
      <w:r>
        <w:rPr>
          <w:rFonts w:hint="eastAsia" w:ascii="仿宋" w:hAnsi="仿宋" w:eastAsia="仿宋"/>
          <w:b/>
          <w:bCs/>
          <w:sz w:val="30"/>
          <w:szCs w:val="30"/>
        </w:rPr>
        <w:t>运维后所属大系统</w:t>
      </w:r>
    </w:p>
    <w:p>
      <w:pPr>
        <w:rPr>
          <w:rFonts w:hint="eastAsia" w:ascii="仿宋" w:hAnsi="仿宋" w:eastAsia="仿宋"/>
        </w:rPr>
      </w:pPr>
      <w:r>
        <w:rPr>
          <w:rFonts w:hint="eastAsia" w:ascii="仿宋" w:hAnsi="仿宋" w:eastAsia="仿宋"/>
        </w:rPr>
        <w:t>运维后所属大系统：药品监管数字化大系统</w:t>
      </w:r>
    </w:p>
    <w:p>
      <w:pPr>
        <w:pStyle w:val="2"/>
        <w:rPr>
          <w:rFonts w:hint="eastAsia"/>
        </w:rPr>
      </w:pPr>
      <w:bookmarkStart w:id="1" w:name="_Toc47531634"/>
      <w:bookmarkEnd w:id="1"/>
      <w:bookmarkStart w:id="2" w:name="_Toc47536644"/>
      <w:bookmarkEnd w:id="2"/>
      <w:bookmarkStart w:id="3" w:name="_Toc47536272"/>
      <w:bookmarkEnd w:id="3"/>
      <w:bookmarkStart w:id="4" w:name="_Toc47539070"/>
      <w:bookmarkEnd w:id="4"/>
      <w:bookmarkStart w:id="5" w:name="_Toc47537134"/>
      <w:bookmarkEnd w:id="5"/>
      <w:bookmarkStart w:id="6" w:name="_Toc47532891"/>
      <w:bookmarkEnd w:id="6"/>
      <w:bookmarkStart w:id="7" w:name="_Toc47532255"/>
      <w:bookmarkEnd w:id="7"/>
      <w:bookmarkStart w:id="8" w:name="_Toc47533256"/>
      <w:bookmarkEnd w:id="8"/>
      <w:bookmarkStart w:id="9" w:name="_Toc63785463"/>
      <w:bookmarkStart w:id="10" w:name="_Toc48223882"/>
      <w:r>
        <w:rPr>
          <w:rFonts w:hint="eastAsia"/>
        </w:rPr>
        <w:t>建设目标</w:t>
      </w:r>
      <w:bookmarkEnd w:id="9"/>
      <w:bookmarkEnd w:id="10"/>
    </w:p>
    <w:p>
      <w:pPr>
        <w:pStyle w:val="61"/>
        <w:numPr>
          <w:ilvl w:val="1"/>
          <w:numId w:val="5"/>
        </w:numPr>
        <w:spacing w:line="560" w:lineRule="exact"/>
        <w:ind w:firstLineChars="0"/>
        <w:outlineLvl w:val="1"/>
        <w:rPr>
          <w:rFonts w:hint="eastAsia" w:ascii="仿宋" w:hAnsi="仿宋" w:eastAsia="仿宋"/>
          <w:b/>
          <w:bCs/>
          <w:sz w:val="30"/>
          <w:szCs w:val="30"/>
        </w:rPr>
      </w:pPr>
      <w:r>
        <w:rPr>
          <w:rFonts w:hint="eastAsia" w:ascii="仿宋" w:hAnsi="仿宋" w:eastAsia="仿宋"/>
          <w:b/>
          <w:bCs/>
          <w:sz w:val="30"/>
          <w:szCs w:val="30"/>
        </w:rPr>
        <w:t>上海市药品监督管理局行政审批综合业务系统（升级）</w:t>
      </w:r>
    </w:p>
    <w:p>
      <w:pPr>
        <w:pStyle w:val="61"/>
        <w:numPr>
          <w:ilvl w:val="0"/>
          <w:numId w:val="4"/>
        </w:numPr>
        <w:spacing w:line="560" w:lineRule="exact"/>
        <w:ind w:firstLineChars="0"/>
        <w:rPr>
          <w:rFonts w:hint="eastAsia" w:ascii="仿宋" w:hAnsi="仿宋" w:eastAsia="仿宋"/>
          <w:sz w:val="24"/>
        </w:rPr>
      </w:pPr>
      <w:r>
        <w:rPr>
          <w:rFonts w:ascii="仿宋" w:hAnsi="仿宋" w:eastAsia="仿宋"/>
          <w:sz w:val="24"/>
        </w:rPr>
        <w:t>落实药品、医疗器械监管法规及相关政策</w:t>
      </w:r>
    </w:p>
    <w:p>
      <w:pPr>
        <w:rPr>
          <w:rFonts w:hint="eastAsia" w:ascii="仿宋" w:hAnsi="仿宋" w:eastAsia="仿宋"/>
        </w:rPr>
      </w:pPr>
      <w:r>
        <w:rPr>
          <w:rFonts w:hint="eastAsia" w:ascii="仿宋" w:hAnsi="仿宋" w:eastAsia="仿宋"/>
        </w:rPr>
        <w:t>通过行政审批系统升级将药品、医疗器械、化妆品监管法规及相关政策带来的改革内容落实到信息系统中。实现中药材生产质量管理规范符合性检查认证、境外药品上市许可持有人指定境内责任人自查报告、医疗器械经营融资租赁、化妆品电子标签等事项在线办理；实现药品生产、医疗机构使用放射性药品许可等事项的升级。使企业能够按新要求申报，并提高企业申报的便捷性；使药监局人员按新要求进行审批、制发和管理证照。</w:t>
      </w:r>
    </w:p>
    <w:p>
      <w:pPr>
        <w:pStyle w:val="61"/>
        <w:numPr>
          <w:ilvl w:val="0"/>
          <w:numId w:val="4"/>
        </w:numPr>
        <w:spacing w:line="560" w:lineRule="exact"/>
        <w:ind w:firstLineChars="0"/>
        <w:rPr>
          <w:rFonts w:hint="eastAsia" w:ascii="仿宋" w:hAnsi="仿宋" w:eastAsia="仿宋"/>
          <w:sz w:val="24"/>
        </w:rPr>
      </w:pPr>
      <w:r>
        <w:rPr>
          <w:rFonts w:ascii="仿宋" w:hAnsi="仿宋" w:eastAsia="仿宋"/>
          <w:sz w:val="24"/>
        </w:rPr>
        <w:t>“一网通办”相关改造工作要求</w:t>
      </w:r>
    </w:p>
    <w:p>
      <w:pPr>
        <w:rPr>
          <w:rFonts w:hint="eastAsia" w:ascii="仿宋" w:hAnsi="仿宋" w:eastAsia="仿宋"/>
        </w:rPr>
      </w:pPr>
      <w:r>
        <w:rPr>
          <w:rFonts w:hint="eastAsia" w:ascii="仿宋" w:hAnsi="仿宋" w:eastAsia="仿宋"/>
        </w:rPr>
        <w:t>根据“一网通办”改革工作要求，一是系统升级建成“好差评”PAD的接入改造；二是建设“一业一证”中药监局牵头的“药店”和“化妆品制造”两个业态，配合建设市商委牵头的“互联网电商”业态；三是将“办件库”直连方式按要求改造成规范调用“一网通办”服务中台办件接口。完成以上改造工作，满足大数据中心对“一网通办”接入技术规范的统一要求。</w:t>
      </w:r>
    </w:p>
    <w:p>
      <w:pPr>
        <w:pStyle w:val="61"/>
        <w:numPr>
          <w:ilvl w:val="0"/>
          <w:numId w:val="4"/>
        </w:numPr>
        <w:spacing w:line="560" w:lineRule="exact"/>
        <w:ind w:firstLineChars="0"/>
        <w:rPr>
          <w:rFonts w:hint="eastAsia" w:ascii="仿宋" w:hAnsi="仿宋" w:eastAsia="仿宋"/>
          <w:sz w:val="24"/>
        </w:rPr>
      </w:pPr>
      <w:r>
        <w:rPr>
          <w:rFonts w:ascii="仿宋" w:hAnsi="仿宋" w:eastAsia="仿宋"/>
          <w:sz w:val="24"/>
        </w:rPr>
        <w:t>应用人工智能建设“智慧好办”新模式</w:t>
      </w:r>
    </w:p>
    <w:p>
      <w:pPr>
        <w:rPr>
          <w:rFonts w:hint="eastAsia" w:ascii="仿宋" w:hAnsi="仿宋" w:eastAsia="仿宋"/>
        </w:rPr>
      </w:pPr>
      <w:r>
        <w:rPr>
          <w:rFonts w:hint="eastAsia" w:ascii="仿宋" w:hAnsi="仿宋" w:eastAsia="仿宋"/>
        </w:rPr>
        <w:t>充分利用大语言模型的智能能力，在药监局高频事项中医疗器械经营许可和备案、药品零售许可申报的智能化服务。实现智能预填和预审，通过大模型辅助确定经营访问、指导企业准备和上传材料。减少系统操作的复杂度、降低填报的专业门槛。进一步深化企业许可申报的预填、预审服务。</w:t>
      </w:r>
    </w:p>
    <w:p>
      <w:pPr>
        <w:pStyle w:val="61"/>
        <w:numPr>
          <w:ilvl w:val="0"/>
          <w:numId w:val="4"/>
        </w:numPr>
        <w:spacing w:line="560" w:lineRule="exact"/>
        <w:ind w:firstLineChars="0"/>
        <w:rPr>
          <w:rFonts w:hint="eastAsia" w:ascii="仿宋" w:hAnsi="仿宋" w:eastAsia="仿宋"/>
          <w:sz w:val="24"/>
        </w:rPr>
      </w:pPr>
      <w:r>
        <w:rPr>
          <w:rFonts w:ascii="仿宋" w:hAnsi="仿宋" w:eastAsia="仿宋"/>
          <w:sz w:val="24"/>
        </w:rPr>
        <w:t>实现化妆品标准标签的应用</w:t>
      </w:r>
    </w:p>
    <w:p>
      <w:pPr>
        <w:rPr>
          <w:rFonts w:hint="eastAsia" w:ascii="仿宋" w:hAnsi="仿宋" w:eastAsia="仿宋"/>
        </w:rPr>
      </w:pPr>
      <w:r>
        <w:rPr>
          <w:rFonts w:hint="eastAsia" w:ascii="仿宋" w:hAnsi="仿宋" w:eastAsia="仿宋"/>
        </w:rPr>
        <w:t>利用系统实现化妆品电子标签的申请、审核和推行应用。实现化妆品产品备案数据的应用，辅助企业申报进行预填。推动推行化妆品电子标签，维护消费者知情权。</w:t>
      </w:r>
    </w:p>
    <w:p>
      <w:pPr>
        <w:pStyle w:val="61"/>
        <w:numPr>
          <w:ilvl w:val="1"/>
          <w:numId w:val="5"/>
        </w:numPr>
        <w:spacing w:line="560" w:lineRule="exact"/>
        <w:ind w:firstLineChars="0"/>
        <w:outlineLvl w:val="1"/>
        <w:rPr>
          <w:rFonts w:hint="eastAsia" w:ascii="仿宋" w:hAnsi="仿宋" w:eastAsia="仿宋"/>
          <w:b/>
          <w:bCs/>
          <w:sz w:val="30"/>
          <w:szCs w:val="30"/>
        </w:rPr>
      </w:pPr>
      <w:r>
        <w:rPr>
          <w:rFonts w:hint="eastAsia" w:ascii="仿宋" w:hAnsi="仿宋" w:eastAsia="仿宋"/>
          <w:b/>
          <w:bCs/>
          <w:sz w:val="30"/>
          <w:szCs w:val="30"/>
        </w:rPr>
        <w:t>上海市药械化现场监管检查码管理系统（新建）</w:t>
      </w:r>
    </w:p>
    <w:p>
      <w:pPr>
        <w:rPr>
          <w:rFonts w:hint="eastAsia" w:ascii="仿宋" w:hAnsi="仿宋" w:eastAsia="仿宋"/>
        </w:rPr>
      </w:pPr>
      <w:r>
        <w:rPr>
          <w:rFonts w:hint="eastAsia" w:ascii="仿宋" w:hAnsi="仿宋" w:eastAsia="仿宋"/>
        </w:rPr>
        <w:t>通过建设符合药械化领域监管要求的统一检查码管理系统，满足上海市人民政府办公厅、上海市发展和改革委员会、上海市市场局监督管理局及上海市药品监督管理局对规范涉企行政检查中对检查码应用的要求，本系统集事项管理、检查码管理和统计分析为一体，并通过页面复用等方式支撑药械化行政检查系统、移动监管模块、投诉举报系统、药审中心综合业务平台、器审中心ERPS系统等药监现有涉企监督检查应用系统使用检查码，实现涉企规范检查。</w:t>
      </w:r>
    </w:p>
    <w:p>
      <w:pPr>
        <w:pStyle w:val="61"/>
        <w:numPr>
          <w:ilvl w:val="1"/>
          <w:numId w:val="5"/>
        </w:numPr>
        <w:spacing w:line="560" w:lineRule="exact"/>
        <w:ind w:firstLineChars="0"/>
        <w:outlineLvl w:val="1"/>
        <w:rPr>
          <w:rFonts w:hint="eastAsia" w:ascii="仿宋" w:hAnsi="仿宋" w:eastAsia="仿宋"/>
          <w:b/>
          <w:bCs/>
          <w:sz w:val="30"/>
          <w:szCs w:val="30"/>
        </w:rPr>
      </w:pPr>
      <w:r>
        <w:rPr>
          <w:rFonts w:hint="eastAsia" w:ascii="仿宋" w:hAnsi="仿宋" w:eastAsia="仿宋"/>
          <w:b/>
          <w:bCs/>
          <w:sz w:val="30"/>
          <w:szCs w:val="30"/>
        </w:rPr>
        <w:t>上海市药械化行政检查管理系统和移动监管模块(升级)</w:t>
      </w:r>
    </w:p>
    <w:p>
      <w:pPr>
        <w:rPr>
          <w:rFonts w:hint="eastAsia" w:ascii="仿宋" w:hAnsi="仿宋" w:eastAsia="仿宋"/>
        </w:rPr>
      </w:pPr>
      <w:r>
        <w:rPr>
          <w:rFonts w:hint="eastAsia" w:ascii="仿宋" w:hAnsi="仿宋" w:eastAsia="仿宋"/>
        </w:rPr>
        <w:t>对现有的药械化行政检查管理系统和移动监管模块进行升级改造，通过增加多类监督检查模块来实现监管人员对自动售药机、数字药仓、境外药品上市许可持有人境内责任人、连锁总部远程审方、自动售械机及器械临床试验机构等监管对象开展日常监管工作，满足各类监管法规的现场检查、企业管理、计划管理、专项管理和统计分析等工作要求。</w:t>
      </w:r>
    </w:p>
    <w:p>
      <w:pPr>
        <w:rPr>
          <w:rFonts w:hint="eastAsia" w:ascii="仿宋" w:hAnsi="仿宋" w:eastAsia="仿宋"/>
        </w:rPr>
      </w:pPr>
      <w:r>
        <w:rPr>
          <w:rFonts w:hint="eastAsia" w:ascii="仿宋" w:hAnsi="仿宋" w:eastAsia="仿宋"/>
        </w:rPr>
        <w:t>增加行政检查监管数据上报和对接模块，通过建设融资租赁医疗器械产品的购销关系对接功能、融资租赁医疗器械企业年度自查报告对接功能、医疗器械注册人（备案人）、经营企业和电子商务平台的网络销售体系自查报告上报功能，汇总企业按照法律法规应该上报的信息，为监管人员提供查询、统计等服务。</w:t>
      </w:r>
    </w:p>
    <w:p>
      <w:pPr>
        <w:rPr>
          <w:rFonts w:hint="eastAsia" w:ascii="仿宋" w:hAnsi="仿宋" w:eastAsia="仿宋"/>
        </w:rPr>
      </w:pPr>
      <w:r>
        <w:rPr>
          <w:rFonts w:hint="eastAsia" w:ascii="仿宋" w:hAnsi="仿宋" w:eastAsia="仿宋"/>
        </w:rPr>
        <w:t>结合上海药品安全监管工作实际，通过大模型能力和药品监管智能体，建设不同监管场景下的药品监管智慧支撑能力，探索建设稽查办案助手、监管文书智能服务、监管智能问数、药械化政务智能问答等四个智能化应用，支撑业务人员日常监管业务、执法办案和统计分析，规范监管行为，提升监管业务效能，创新推动药品监管工作模式，引领本市药品监管工作由信息化向智能化的跃进。</w:t>
      </w:r>
    </w:p>
    <w:p>
      <w:pPr>
        <w:pStyle w:val="61"/>
        <w:numPr>
          <w:ilvl w:val="1"/>
          <w:numId w:val="5"/>
        </w:numPr>
        <w:spacing w:line="560" w:lineRule="exact"/>
        <w:ind w:firstLineChars="0"/>
        <w:outlineLvl w:val="1"/>
        <w:rPr>
          <w:rFonts w:hint="eastAsia" w:ascii="仿宋" w:hAnsi="仿宋" w:eastAsia="仿宋"/>
          <w:b/>
          <w:bCs/>
          <w:sz w:val="30"/>
          <w:szCs w:val="30"/>
        </w:rPr>
      </w:pPr>
      <w:r>
        <w:rPr>
          <w:rFonts w:hint="eastAsia" w:ascii="仿宋" w:hAnsi="仿宋" w:eastAsia="仿宋"/>
          <w:b/>
          <w:bCs/>
          <w:sz w:val="30"/>
          <w:szCs w:val="30"/>
        </w:rPr>
        <w:t>上海市药械化信用分级分类系统（升级）</w:t>
      </w:r>
    </w:p>
    <w:p>
      <w:pPr>
        <w:rPr>
          <w:rFonts w:hint="eastAsia" w:ascii="仿宋" w:hAnsi="仿宋" w:eastAsia="仿宋"/>
        </w:rPr>
      </w:pPr>
      <w:r>
        <w:rPr>
          <w:rFonts w:hint="eastAsia" w:ascii="仿宋" w:hAnsi="仿宋" w:eastAsia="仿宋"/>
        </w:rPr>
        <w:t>依据国家药监局数据分类分级管理要求，升级医疗器械生产企业分级系统，扩展监管对象至注册人/备案人，优化全生命周期信用评价规则，构建“多部门复核+企业自评”动态监管机制；同步新建药品批发（供应链风控）、药品零售（终端风险防控）及化妆品生产（质量信用初评+二次复核）分级分类管理体系，实现评级结果与检查频次、抽检规划联动，形成“信用评价-精准施策-风险闭环”的全链条智慧监管模式。</w:t>
      </w:r>
    </w:p>
    <w:p>
      <w:pPr>
        <w:rPr>
          <w:rFonts w:hint="eastAsia" w:ascii="仿宋" w:hAnsi="仿宋" w:eastAsia="仿宋"/>
        </w:rPr>
      </w:pPr>
      <w:r>
        <w:rPr>
          <w:rFonts w:hint="eastAsia" w:ascii="仿宋" w:hAnsi="仿宋" w:eastAsia="仿宋"/>
        </w:rPr>
        <w:t>基于市药监局在药品风险监测领域已有的数字化建设成果，构建高效协同的风险信息智能化处理体系，通过建设药械化智能辅助监管，实现信息接收、任务生成、协同、流程编排及处理反馈等全流程功能，接入大数据中心MAP平台提供的大模型能力和统筹建设的药品监管智能体，达成风险信息的自动识别、任务的智能发布与调度以及结果的高效接收，打破多系统、多部门间的协同壁垒，提升日常监管工作中风险信息处理的及时性与准确性，优化监管业务流程的协同效率，确保监管工作形成闭环且高效运转，全面增强药械化监管的智能化与协同化水平。</w:t>
      </w:r>
    </w:p>
    <w:p>
      <w:pPr>
        <w:pStyle w:val="2"/>
        <w:rPr>
          <w:rFonts w:hint="eastAsia"/>
        </w:rPr>
      </w:pPr>
      <w:r>
        <w:rPr>
          <w:rFonts w:hint="eastAsia"/>
        </w:rPr>
        <w:t>项目建设内容</w:t>
      </w:r>
    </w:p>
    <w:p>
      <w:pPr>
        <w:pStyle w:val="61"/>
        <w:numPr>
          <w:ilvl w:val="1"/>
          <w:numId w:val="6"/>
        </w:numPr>
        <w:spacing w:line="560" w:lineRule="exact"/>
        <w:ind w:firstLineChars="0"/>
        <w:outlineLvl w:val="1"/>
        <w:rPr>
          <w:rFonts w:hint="eastAsia" w:ascii="仿宋" w:hAnsi="仿宋" w:eastAsia="仿宋"/>
          <w:b/>
          <w:bCs/>
          <w:sz w:val="30"/>
          <w:szCs w:val="30"/>
        </w:rPr>
      </w:pPr>
      <w:r>
        <w:rPr>
          <w:rFonts w:hint="eastAsia" w:ascii="仿宋" w:hAnsi="仿宋" w:eastAsia="仿宋"/>
          <w:b/>
          <w:bCs/>
          <w:sz w:val="30"/>
          <w:szCs w:val="30"/>
        </w:rPr>
        <w:t>上海市药品监督管理局行政审批综合业务系统（升级）</w:t>
      </w:r>
    </w:p>
    <w:p>
      <w:pPr>
        <w:rPr>
          <w:rFonts w:hint="eastAsia" w:ascii="仿宋" w:hAnsi="仿宋" w:eastAsia="仿宋"/>
        </w:rPr>
      </w:pPr>
      <w:r>
        <w:rPr>
          <w:rFonts w:hint="eastAsia" w:ascii="仿宋" w:hAnsi="仿宋" w:eastAsia="仿宋"/>
        </w:rPr>
        <w:t>1、政务服务事项的新建和升级</w:t>
      </w:r>
    </w:p>
    <w:p>
      <w:pPr>
        <w:rPr>
          <w:rFonts w:hint="eastAsia" w:ascii="仿宋" w:hAnsi="仿宋" w:eastAsia="仿宋"/>
        </w:rPr>
      </w:pPr>
      <w:r>
        <w:rPr>
          <w:rFonts w:hint="eastAsia" w:ascii="仿宋" w:hAnsi="仿宋" w:eastAsia="仿宋"/>
        </w:rPr>
        <w:t>针对新发布的药品、医疗器械监管法规及相关政策，系统将新增“中药材生产质量管理规范符合性检查认证”、“境外药品上市许可持有人指定境内责任人自查报告”等事项，并升级改造“医疗器械融资租赁器械经营”、“互联网药品医疗器械信息服务备案”等现有事项。同时，系统还将增加“药品经营许可证列异功能”以及“医疗机构使用放射性药品许可调整”，以更好地管理药品零售企业的实际存续情况，并简化医疗机构使用放射性药品的流程。</w:t>
      </w:r>
    </w:p>
    <w:p>
      <w:pPr>
        <w:rPr>
          <w:rFonts w:hint="eastAsia" w:ascii="仿宋" w:hAnsi="仿宋" w:eastAsia="仿宋"/>
        </w:rPr>
      </w:pPr>
      <w:r>
        <w:rPr>
          <w:rFonts w:hint="eastAsia" w:ascii="仿宋" w:hAnsi="仿宋" w:eastAsia="仿宋"/>
        </w:rPr>
        <w:t>2、升级交互对接模块</w:t>
      </w:r>
    </w:p>
    <w:p>
      <w:pPr>
        <w:rPr>
          <w:rFonts w:hint="eastAsia" w:ascii="仿宋" w:hAnsi="仿宋" w:eastAsia="仿宋"/>
        </w:rPr>
      </w:pPr>
      <w:r>
        <w:rPr>
          <w:rFonts w:hint="eastAsia" w:ascii="仿宋" w:hAnsi="仿宋" w:eastAsia="仿宋"/>
        </w:rPr>
        <w:t>根据“一网通办”平台最新技术规范进行升级改造，包括：“好差评”PAD 改造，实现与办公人员电脑端的通信，方便进行评价；“一网通办”对接模块升级，参与“一业一证”建设，并与“一网通办”服务中台办件接口进行规范对接。</w:t>
      </w:r>
    </w:p>
    <w:p>
      <w:pPr>
        <w:rPr>
          <w:rFonts w:hint="eastAsia" w:ascii="仿宋" w:hAnsi="仿宋" w:eastAsia="仿宋"/>
        </w:rPr>
      </w:pPr>
      <w:r>
        <w:rPr>
          <w:rFonts w:hint="eastAsia" w:ascii="仿宋" w:hAnsi="仿宋" w:eastAsia="仿宋"/>
        </w:rPr>
        <w:t>3、建设基于人工智能的智慧“好办”模块</w:t>
      </w:r>
    </w:p>
    <w:p>
      <w:pPr>
        <w:rPr>
          <w:rFonts w:hint="eastAsia" w:ascii="仿宋" w:hAnsi="仿宋" w:eastAsia="仿宋"/>
        </w:rPr>
      </w:pPr>
      <w:r>
        <w:rPr>
          <w:rFonts w:hint="eastAsia" w:ascii="仿宋" w:hAnsi="仿宋" w:eastAsia="仿宋"/>
        </w:rPr>
        <w:t>利用大语言模型实现医疗器械经营许可和备案、药品零售许可申报的智能化服务，如智能预填和预审等，提升政务服务效能。</w:t>
      </w:r>
    </w:p>
    <w:p>
      <w:pPr>
        <w:pStyle w:val="61"/>
        <w:numPr>
          <w:ilvl w:val="1"/>
          <w:numId w:val="6"/>
        </w:numPr>
        <w:spacing w:line="560" w:lineRule="exact"/>
        <w:ind w:firstLineChars="0"/>
        <w:outlineLvl w:val="1"/>
        <w:rPr>
          <w:rFonts w:hint="eastAsia" w:ascii="仿宋" w:hAnsi="仿宋" w:eastAsia="仿宋"/>
          <w:b/>
          <w:bCs/>
          <w:sz w:val="30"/>
          <w:szCs w:val="30"/>
        </w:rPr>
      </w:pPr>
      <w:r>
        <w:rPr>
          <w:rFonts w:hint="eastAsia" w:ascii="仿宋" w:hAnsi="仿宋" w:eastAsia="仿宋"/>
          <w:b/>
          <w:bCs/>
          <w:sz w:val="30"/>
          <w:szCs w:val="30"/>
        </w:rPr>
        <w:t>上海市药械化现场监管检查码管理系统（新建）</w:t>
      </w:r>
    </w:p>
    <w:p>
      <w:pPr>
        <w:rPr>
          <w:rFonts w:hint="eastAsia" w:ascii="仿宋" w:hAnsi="仿宋" w:eastAsia="仿宋"/>
        </w:rPr>
      </w:pPr>
      <w:r>
        <w:rPr>
          <w:rFonts w:hint="eastAsia" w:ascii="仿宋" w:hAnsi="仿宋" w:eastAsia="仿宋"/>
        </w:rPr>
        <w:t>1、建设检查码的申请和管理模块</w:t>
      </w:r>
    </w:p>
    <w:p>
      <w:pPr>
        <w:rPr>
          <w:rFonts w:hint="eastAsia" w:ascii="仿宋" w:hAnsi="仿宋" w:eastAsia="仿宋"/>
        </w:rPr>
      </w:pPr>
      <w:r>
        <w:rPr>
          <w:rFonts w:hint="eastAsia" w:ascii="仿宋" w:hAnsi="仿宋" w:eastAsia="仿宋"/>
        </w:rPr>
        <w:t>实现监管人员进行单部门检查码和跨部门联合检查码的申请、亮码和管理功能，并提供对检查事项、对象库和监管计划备案的管理功能。</w:t>
      </w:r>
    </w:p>
    <w:p>
      <w:pPr>
        <w:rPr>
          <w:rFonts w:hint="eastAsia" w:ascii="仿宋" w:hAnsi="仿宋" w:eastAsia="仿宋"/>
        </w:rPr>
      </w:pPr>
      <w:r>
        <w:rPr>
          <w:rFonts w:hint="eastAsia" w:ascii="仿宋" w:hAnsi="仿宋" w:eastAsia="仿宋"/>
        </w:rPr>
        <w:t>2、建设涉企监管新模式模块</w:t>
      </w:r>
    </w:p>
    <w:p>
      <w:pPr>
        <w:rPr>
          <w:rFonts w:hint="eastAsia" w:ascii="仿宋" w:hAnsi="仿宋" w:eastAsia="仿宋"/>
        </w:rPr>
      </w:pPr>
      <w:r>
        <w:rPr>
          <w:rFonts w:hint="eastAsia" w:ascii="仿宋" w:hAnsi="仿宋" w:eastAsia="仿宋"/>
        </w:rPr>
        <w:t>支持监管人员进行双随机监管、无感监管和无事不扰监管。</w:t>
      </w:r>
    </w:p>
    <w:p>
      <w:pPr>
        <w:rPr>
          <w:rFonts w:hint="eastAsia" w:ascii="仿宋" w:hAnsi="仿宋" w:eastAsia="仿宋"/>
        </w:rPr>
      </w:pPr>
      <w:r>
        <w:rPr>
          <w:rFonts w:hint="eastAsia" w:ascii="仿宋" w:hAnsi="仿宋" w:eastAsia="仿宋"/>
        </w:rPr>
        <w:t>3、建设统计分析模块</w:t>
      </w:r>
    </w:p>
    <w:p>
      <w:pPr>
        <w:rPr>
          <w:rFonts w:hint="eastAsia" w:ascii="仿宋" w:hAnsi="仿宋" w:eastAsia="仿宋"/>
        </w:rPr>
      </w:pPr>
      <w:r>
        <w:rPr>
          <w:rFonts w:hint="eastAsia" w:ascii="仿宋" w:hAnsi="仿宋" w:eastAsia="仿宋"/>
        </w:rPr>
        <w:t>实现监管人员对检查码申请情况、检查情况和问题发现率进行统计分析。</w:t>
      </w:r>
    </w:p>
    <w:p>
      <w:pPr>
        <w:rPr>
          <w:rFonts w:hint="eastAsia" w:ascii="仿宋" w:hAnsi="仿宋" w:eastAsia="仿宋"/>
        </w:rPr>
      </w:pPr>
      <w:r>
        <w:rPr>
          <w:rFonts w:hint="eastAsia" w:ascii="仿宋" w:hAnsi="仿宋" w:eastAsia="仿宋"/>
        </w:rPr>
        <w:t>4、建设系统对接模块</w:t>
      </w:r>
    </w:p>
    <w:p>
      <w:pPr>
        <w:rPr>
          <w:rFonts w:hint="eastAsia" w:ascii="仿宋" w:hAnsi="仿宋" w:eastAsia="仿宋"/>
        </w:rPr>
      </w:pPr>
      <w:r>
        <w:rPr>
          <w:rFonts w:hint="eastAsia" w:ascii="仿宋" w:hAnsi="仿宋" w:eastAsia="仿宋"/>
        </w:rPr>
        <w:t>可以接入药监涉企监管业务系统，提供可嵌入的申码亮码页面和标准的检查结果反馈接口，实现药监局现有行政检查系统、移动监管模块、投诉举报系统、药审中心综合业务平台、药物临床试验监管系统、器审中心ERPS系统等系统快速接入检查码功能。</w:t>
      </w:r>
    </w:p>
    <w:p>
      <w:pPr>
        <w:pStyle w:val="61"/>
        <w:numPr>
          <w:ilvl w:val="1"/>
          <w:numId w:val="6"/>
        </w:numPr>
        <w:spacing w:line="560" w:lineRule="exact"/>
        <w:ind w:firstLineChars="0"/>
        <w:outlineLvl w:val="1"/>
        <w:rPr>
          <w:rFonts w:hint="eastAsia" w:ascii="仿宋" w:hAnsi="仿宋" w:eastAsia="仿宋"/>
          <w:b/>
          <w:bCs/>
          <w:sz w:val="30"/>
          <w:szCs w:val="30"/>
        </w:rPr>
      </w:pPr>
      <w:r>
        <w:rPr>
          <w:rFonts w:hint="eastAsia" w:ascii="仿宋" w:hAnsi="仿宋" w:eastAsia="仿宋"/>
          <w:b/>
          <w:bCs/>
          <w:sz w:val="30"/>
          <w:szCs w:val="30"/>
        </w:rPr>
        <w:t>上海市药械化行政检查管理系统和移动监管模块(升级)</w:t>
      </w:r>
    </w:p>
    <w:p>
      <w:pPr>
        <w:rPr>
          <w:rFonts w:hint="eastAsia" w:ascii="仿宋" w:hAnsi="仿宋" w:eastAsia="仿宋"/>
        </w:rPr>
      </w:pPr>
      <w:r>
        <w:rPr>
          <w:rFonts w:hint="eastAsia" w:ascii="仿宋" w:hAnsi="仿宋" w:eastAsia="仿宋"/>
        </w:rPr>
        <w:t>1、增加证后监管主体类别和配套监管检查、移动监管和统计分析功能</w:t>
      </w:r>
    </w:p>
    <w:p>
      <w:pPr>
        <w:rPr>
          <w:rFonts w:hint="eastAsia" w:ascii="仿宋" w:hAnsi="仿宋" w:eastAsia="仿宋"/>
        </w:rPr>
      </w:pPr>
      <w:r>
        <w:rPr>
          <w:rFonts w:hint="eastAsia" w:ascii="仿宋" w:hAnsi="仿宋" w:eastAsia="仿宋"/>
        </w:rPr>
        <w:t>实现监管人员对自动售药机、自动售械机、数字药仓、境外药品上市许可持有人境内责任人、器械临床试验机构、连锁总部远程审方、外省市器械经营企业跨省库进行日常监督检查、移动监管和统计分析。</w:t>
      </w:r>
    </w:p>
    <w:p>
      <w:pPr>
        <w:rPr>
          <w:rFonts w:hint="eastAsia" w:ascii="仿宋" w:hAnsi="仿宋" w:eastAsia="仿宋"/>
        </w:rPr>
      </w:pPr>
      <w:r>
        <w:rPr>
          <w:rFonts w:hint="eastAsia" w:ascii="仿宋" w:hAnsi="仿宋" w:eastAsia="仿宋"/>
        </w:rPr>
        <w:t>2、增加行政检查监管数据上报和对接</w:t>
      </w:r>
    </w:p>
    <w:p>
      <w:pPr>
        <w:rPr>
          <w:rFonts w:hint="eastAsia" w:ascii="仿宋" w:hAnsi="仿宋" w:eastAsia="仿宋"/>
        </w:rPr>
      </w:pPr>
      <w:r>
        <w:rPr>
          <w:rFonts w:hint="eastAsia" w:ascii="仿宋" w:hAnsi="仿宋" w:eastAsia="仿宋"/>
        </w:rPr>
        <w:t>实现融资租赁医疗器械产品的购销关系、融资租赁医疗器械企业年度自查报告、医疗器械注册人（备案人）、经营企业和电子商务平台的网络销售体系自查报告的上报和对接，监管人员可以进行查询、审核和管理。</w:t>
      </w:r>
    </w:p>
    <w:p>
      <w:pPr>
        <w:rPr>
          <w:rFonts w:hint="eastAsia" w:ascii="仿宋" w:hAnsi="仿宋" w:eastAsia="仿宋"/>
        </w:rPr>
      </w:pPr>
      <w:r>
        <w:rPr>
          <w:rFonts w:hint="eastAsia" w:ascii="仿宋" w:hAnsi="仿宋" w:eastAsia="仿宋"/>
        </w:rPr>
        <w:t>3、建设接入检查码</w:t>
      </w:r>
    </w:p>
    <w:p>
      <w:pPr>
        <w:rPr>
          <w:rFonts w:hint="eastAsia" w:ascii="仿宋" w:hAnsi="仿宋" w:eastAsia="仿宋"/>
        </w:rPr>
      </w:pPr>
      <w:r>
        <w:rPr>
          <w:rFonts w:hint="eastAsia" w:ascii="仿宋" w:hAnsi="仿宋" w:eastAsia="仿宋"/>
        </w:rPr>
        <w:t>在药械化行政检查系统和药品移动监管模块中接入检查码，嵌入药械化现场监管检查码管理系统提供的检查码申码和亮码页面实现检查码相关功能的接入，在完成检查信息录入后可以将检查结果推送至械化现场监管检查码管理系统中。</w:t>
      </w:r>
    </w:p>
    <w:p>
      <w:pPr>
        <w:rPr>
          <w:rFonts w:hint="eastAsia" w:ascii="仿宋" w:hAnsi="仿宋" w:eastAsia="仿宋"/>
        </w:rPr>
      </w:pPr>
      <w:r>
        <w:rPr>
          <w:rFonts w:hint="eastAsia" w:ascii="仿宋" w:hAnsi="仿宋" w:eastAsia="仿宋"/>
        </w:rPr>
        <w:t>4、建设稽查办案助手</w:t>
      </w:r>
    </w:p>
    <w:p>
      <w:pPr>
        <w:rPr>
          <w:rFonts w:hint="eastAsia" w:ascii="仿宋" w:hAnsi="仿宋" w:eastAsia="仿宋"/>
        </w:rPr>
      </w:pPr>
      <w:r>
        <w:rPr>
          <w:rFonts w:hint="eastAsia" w:ascii="仿宋" w:hAnsi="仿宋" w:eastAsia="仿宋"/>
        </w:rPr>
        <w:t>开展案件主体情况、涉案历史及类案推荐等功能建设。主体涉案历史帮助办案人员关联分析案件特征，挖掘案件背后潜在因素。类案推荐支撑办案人员应对表面相似但实际情况存在较大差异的案件，从多个维度对案件进行分析匹配。根据案例的权威性、完整性、时效性等因素进行综合打分和排序，方便办案人员优先参考质量较高、与当前案件相关度高的案例，提高参考案例的价值和实用性。</w:t>
      </w:r>
    </w:p>
    <w:p>
      <w:pPr>
        <w:rPr>
          <w:rFonts w:hint="eastAsia" w:ascii="仿宋" w:hAnsi="仿宋" w:eastAsia="仿宋"/>
        </w:rPr>
      </w:pPr>
      <w:r>
        <w:rPr>
          <w:rFonts w:hint="eastAsia" w:ascii="仿宋" w:hAnsi="仿宋" w:eastAsia="仿宋"/>
        </w:rPr>
        <w:t>5、建设监管文书智能服务</w:t>
      </w:r>
    </w:p>
    <w:p>
      <w:pPr>
        <w:rPr>
          <w:rFonts w:hint="eastAsia" w:ascii="仿宋" w:hAnsi="仿宋" w:eastAsia="仿宋"/>
        </w:rPr>
      </w:pPr>
      <w:r>
        <w:rPr>
          <w:rFonts w:hint="eastAsia" w:ascii="仿宋" w:hAnsi="仿宋" w:eastAsia="仿宋"/>
        </w:rPr>
        <w:t>根据文书涉及的具体情况和法律要求，借助自然语言生成技术，按照文书特定格式和行文风格智能生成文书的各个部分，包括案件事实陈述、法律依据阐述、处理决定说明等内容，并能根据执法人员的个性化需求，对文书的风格、重点内容进行定制。同时，运用知识库和MAP逻辑推理能力提供深度校核与风险预警，可以检查文书的格式、基本逻辑错误，以及法律适用是否准确、事实描述是否完整、证据引用是否恰当等问题，及时预警潜在的风险或错误并给出修改建议。</w:t>
      </w:r>
    </w:p>
    <w:p>
      <w:pPr>
        <w:rPr>
          <w:rFonts w:hint="eastAsia" w:ascii="仿宋" w:hAnsi="仿宋" w:eastAsia="仿宋"/>
        </w:rPr>
      </w:pPr>
      <w:r>
        <w:rPr>
          <w:rFonts w:hint="eastAsia" w:ascii="仿宋" w:hAnsi="仿宋" w:eastAsia="仿宋"/>
        </w:rPr>
        <w:t>6、建设监管智能问数</w:t>
      </w:r>
    </w:p>
    <w:p>
      <w:pPr>
        <w:rPr>
          <w:rFonts w:hint="eastAsia" w:ascii="仿宋" w:hAnsi="仿宋" w:eastAsia="仿宋"/>
        </w:rPr>
      </w:pPr>
      <w:r>
        <w:rPr>
          <w:rFonts w:hint="eastAsia" w:ascii="仿宋" w:hAnsi="仿宋" w:eastAsia="仿宋"/>
        </w:rPr>
        <w:t>基于自然语言提问，理解需求并迅速生成清晰、直观的结构化数据报表，以表格形式精准呈现诸如检查业务量分布、不同类型占比、涉企检查频率、涉案风险评估等监管态势洞察信息，使业务人员一目了然，为日常监管决策、专项行动策划及专项任务评估提供详实的数据支撑，实现数据驱动的科学决策。</w:t>
      </w:r>
    </w:p>
    <w:p>
      <w:pPr>
        <w:rPr>
          <w:rFonts w:hint="eastAsia" w:ascii="仿宋" w:hAnsi="仿宋" w:eastAsia="仿宋"/>
        </w:rPr>
      </w:pPr>
      <w:r>
        <w:rPr>
          <w:rFonts w:hint="eastAsia" w:ascii="仿宋" w:hAnsi="仿宋" w:eastAsia="仿宋"/>
        </w:rPr>
        <w:t>7、建设药械化政务智能问答</w:t>
      </w:r>
    </w:p>
    <w:p>
      <w:pPr>
        <w:rPr>
          <w:rFonts w:hint="eastAsia" w:ascii="仿宋" w:hAnsi="仿宋" w:eastAsia="仿宋"/>
        </w:rPr>
      </w:pPr>
      <w:r>
        <w:rPr>
          <w:rFonts w:hint="eastAsia" w:ascii="仿宋" w:hAnsi="仿宋" w:eastAsia="仿宋"/>
        </w:rPr>
        <w:t>药械化政务智能问答为监管人员提供全时在线的业务咨询窗口，监管人员可以利用该助手进行业务咨询，对于监管人员提出的关于法规政策、技术标准、业务流程等方面的问题，助手能够基于其丰富的知识库和对相关知识的深度理解，形成准确、详细的解答和指导，帮助监管人员做好药械化监管工作。</w:t>
      </w:r>
    </w:p>
    <w:p>
      <w:pPr>
        <w:pStyle w:val="61"/>
        <w:numPr>
          <w:ilvl w:val="1"/>
          <w:numId w:val="6"/>
        </w:numPr>
        <w:spacing w:line="560" w:lineRule="exact"/>
        <w:ind w:firstLineChars="0"/>
        <w:outlineLvl w:val="1"/>
        <w:rPr>
          <w:rFonts w:hint="eastAsia" w:ascii="仿宋" w:hAnsi="仿宋" w:eastAsia="仿宋"/>
          <w:b/>
          <w:bCs/>
          <w:sz w:val="30"/>
          <w:szCs w:val="30"/>
        </w:rPr>
      </w:pPr>
      <w:r>
        <w:rPr>
          <w:rFonts w:hint="eastAsia" w:ascii="仿宋" w:hAnsi="仿宋" w:eastAsia="仿宋"/>
          <w:b/>
          <w:bCs/>
          <w:sz w:val="30"/>
          <w:szCs w:val="30"/>
        </w:rPr>
        <w:t>上海市药械化信用分级分类系统（升级）</w:t>
      </w:r>
    </w:p>
    <w:p>
      <w:pPr>
        <w:rPr>
          <w:rFonts w:hint="eastAsia" w:ascii="仿宋" w:hAnsi="仿宋" w:eastAsia="仿宋"/>
        </w:rPr>
      </w:pPr>
      <w:r>
        <w:rPr>
          <w:rFonts w:hint="eastAsia" w:ascii="仿宋" w:hAnsi="仿宋" w:eastAsia="仿宋"/>
        </w:rPr>
        <w:t>1、信用分级分类模型(新建)</w:t>
      </w:r>
    </w:p>
    <w:p>
      <w:pPr>
        <w:rPr>
          <w:rFonts w:hint="eastAsia" w:ascii="仿宋" w:hAnsi="仿宋" w:eastAsia="仿宋"/>
        </w:rPr>
      </w:pPr>
      <w:r>
        <w:rPr>
          <w:rFonts w:hint="eastAsia" w:ascii="仿宋" w:hAnsi="仿宋" w:eastAsia="仿宋"/>
        </w:rPr>
        <w:t>结合药械化相关分级指标，制定信用分类分级模型，新建包括医疗器械经营企业综合风险信用分级分类模型、药品批发分级分类模型、药品零售分级分类模型、化妆品生产分级分类模型。</w:t>
      </w:r>
    </w:p>
    <w:p>
      <w:pPr>
        <w:rPr>
          <w:rFonts w:hint="eastAsia" w:ascii="仿宋" w:hAnsi="仿宋" w:eastAsia="仿宋"/>
        </w:rPr>
      </w:pPr>
      <w:r>
        <w:rPr>
          <w:rFonts w:hint="eastAsia" w:ascii="仿宋" w:hAnsi="仿宋" w:eastAsia="仿宋"/>
        </w:rPr>
        <w:t>2、升级器械生产企业的分级分类系统</w:t>
      </w:r>
    </w:p>
    <w:p>
      <w:pPr>
        <w:rPr>
          <w:rFonts w:hint="eastAsia" w:ascii="仿宋" w:hAnsi="仿宋" w:eastAsia="仿宋"/>
        </w:rPr>
      </w:pPr>
      <w:r>
        <w:rPr>
          <w:rFonts w:hint="eastAsia" w:ascii="仿宋" w:hAnsi="仿宋" w:eastAsia="仿宋"/>
        </w:rPr>
        <w:t>新法规实施后，在器械生产分类分级管理子系统现有功能基础上，对医疗器械生成进行升级，主要包括范围扩展和规则优化，协同评价与结果应用。</w:t>
      </w:r>
    </w:p>
    <w:p>
      <w:pPr>
        <w:rPr>
          <w:rFonts w:hint="eastAsia" w:ascii="仿宋" w:hAnsi="仿宋" w:eastAsia="仿宋"/>
        </w:rPr>
      </w:pPr>
      <w:r>
        <w:rPr>
          <w:rFonts w:hint="eastAsia" w:ascii="仿宋" w:hAnsi="仿宋" w:eastAsia="仿宋"/>
        </w:rPr>
        <w:t>3、医疗器械经营企业综合风险信用分级管理（新建）</w:t>
      </w:r>
    </w:p>
    <w:p>
      <w:pPr>
        <w:rPr>
          <w:rFonts w:hint="eastAsia" w:ascii="仿宋" w:hAnsi="仿宋" w:eastAsia="仿宋"/>
        </w:rPr>
      </w:pPr>
      <w:r>
        <w:rPr>
          <w:rFonts w:hint="eastAsia" w:ascii="仿宋" w:hAnsi="仿宋" w:eastAsia="仿宋"/>
        </w:rPr>
        <w:t>通过对医疗器械经营企业综合风险信用分级监管，对企业的风险点和信用状况，实施精准化、差异化的监管，提升监管效能。</w:t>
      </w:r>
    </w:p>
    <w:p>
      <w:pPr>
        <w:rPr>
          <w:rFonts w:hint="eastAsia" w:ascii="仿宋" w:hAnsi="仿宋" w:eastAsia="仿宋"/>
        </w:rPr>
      </w:pPr>
      <w:r>
        <w:rPr>
          <w:rFonts w:hint="eastAsia" w:ascii="仿宋" w:hAnsi="仿宋" w:eastAsia="仿宋"/>
        </w:rPr>
        <w:t>4、药品批发分级分类管理（新建）</w:t>
      </w:r>
    </w:p>
    <w:p>
      <w:pPr>
        <w:rPr>
          <w:rFonts w:hint="eastAsia" w:ascii="仿宋" w:hAnsi="仿宋" w:eastAsia="仿宋"/>
        </w:rPr>
      </w:pPr>
      <w:r>
        <w:rPr>
          <w:rFonts w:hint="eastAsia" w:ascii="仿宋" w:hAnsi="仿宋" w:eastAsia="仿宋"/>
        </w:rPr>
        <w:t>通过药品批发企业动态分级监管，构建覆盖供应链全流程的智能风控体系，确保药品流通安全可追溯。</w:t>
      </w:r>
    </w:p>
    <w:p>
      <w:pPr>
        <w:rPr>
          <w:rFonts w:hint="eastAsia" w:ascii="仿宋" w:hAnsi="仿宋" w:eastAsia="仿宋"/>
        </w:rPr>
      </w:pPr>
      <w:r>
        <w:rPr>
          <w:rFonts w:hint="eastAsia" w:ascii="仿宋" w:hAnsi="仿宋" w:eastAsia="仿宋"/>
        </w:rPr>
        <w:t>5、药品零售分级分类管理（新建）</w:t>
      </w:r>
    </w:p>
    <w:p>
      <w:pPr>
        <w:rPr>
          <w:rFonts w:hint="eastAsia" w:ascii="仿宋" w:hAnsi="仿宋" w:eastAsia="仿宋"/>
        </w:rPr>
      </w:pPr>
      <w:r>
        <w:rPr>
          <w:rFonts w:hint="eastAsia" w:ascii="仿宋" w:hAnsi="仿宋" w:eastAsia="仿宋"/>
        </w:rPr>
        <w:t>建立零售终端精准监管体系，重点防控处方药违规销售、假劣药流通等风险。</w:t>
      </w:r>
    </w:p>
    <w:p>
      <w:pPr>
        <w:rPr>
          <w:rFonts w:hint="eastAsia" w:ascii="仿宋" w:hAnsi="仿宋" w:eastAsia="仿宋"/>
        </w:rPr>
      </w:pPr>
      <w:r>
        <w:rPr>
          <w:rFonts w:hint="eastAsia" w:ascii="仿宋" w:hAnsi="仿宋" w:eastAsia="仿宋"/>
        </w:rPr>
        <w:t>6、化妆品生产分类分级管理（新建）</w:t>
      </w:r>
    </w:p>
    <w:p>
      <w:pPr>
        <w:rPr>
          <w:rFonts w:hint="eastAsia" w:ascii="仿宋" w:hAnsi="仿宋" w:eastAsia="仿宋"/>
        </w:rPr>
      </w:pPr>
      <w:r>
        <w:rPr>
          <w:rFonts w:hint="eastAsia" w:ascii="仿宋" w:hAnsi="仿宋" w:eastAsia="仿宋"/>
        </w:rPr>
        <w:t>面向化妆品生产企业（含受托方），系统自动生成质量信用风险初评结果，覆盖生产合规性、质量体系等核心指标。</w:t>
      </w:r>
    </w:p>
    <w:p>
      <w:pPr>
        <w:rPr>
          <w:rFonts w:hint="eastAsia" w:ascii="仿宋" w:hAnsi="仿宋" w:eastAsia="仿宋"/>
        </w:rPr>
      </w:pPr>
      <w:r>
        <w:rPr>
          <w:rFonts w:hint="eastAsia" w:ascii="仿宋" w:hAnsi="仿宋" w:eastAsia="仿宋"/>
        </w:rPr>
        <w:t>7、药械化分类分级企业端（新建）</w:t>
      </w:r>
    </w:p>
    <w:p>
      <w:pPr>
        <w:rPr>
          <w:rFonts w:hint="eastAsia" w:ascii="仿宋" w:hAnsi="仿宋" w:eastAsia="仿宋"/>
        </w:rPr>
      </w:pPr>
      <w:r>
        <w:rPr>
          <w:rFonts w:hint="eastAsia" w:ascii="仿宋" w:hAnsi="仿宋" w:eastAsia="仿宋"/>
        </w:rPr>
        <w:t>药械化分类分级企业端内容包括企业自评、分类分级信息查询、异议申报、公告查询管理。</w:t>
      </w:r>
    </w:p>
    <w:p>
      <w:pPr>
        <w:rPr>
          <w:rFonts w:hint="eastAsia" w:ascii="仿宋" w:hAnsi="仿宋" w:eastAsia="仿宋"/>
        </w:rPr>
      </w:pPr>
      <w:r>
        <w:rPr>
          <w:rFonts w:hint="eastAsia" w:ascii="仿宋" w:hAnsi="仿宋" w:eastAsia="仿宋"/>
        </w:rPr>
        <w:t>8、药械化智能辅助</w:t>
      </w:r>
    </w:p>
    <w:p>
      <w:pPr>
        <w:rPr>
          <w:rFonts w:hint="eastAsia" w:ascii="仿宋" w:hAnsi="仿宋" w:eastAsia="仿宋"/>
        </w:rPr>
      </w:pPr>
      <w:r>
        <w:rPr>
          <w:rFonts w:hint="eastAsia" w:ascii="仿宋" w:hAnsi="仿宋" w:eastAsia="仿宋"/>
        </w:rPr>
        <w:t>药械化智能辅助监管系统针对风险信息的协同化处理，提供信息接收、任务生成、任务协同、流程编排、处理反馈等功能，实现日常工作中发现的风险信息智能化处理模式，实现任务的自动识别、发布、调度和结果接收，满足监管业务流程的多系统、多部门协同应用。</w:t>
      </w:r>
    </w:p>
    <w:p>
      <w:pPr>
        <w:pStyle w:val="61"/>
        <w:numPr>
          <w:ilvl w:val="1"/>
          <w:numId w:val="6"/>
        </w:numPr>
        <w:spacing w:line="560" w:lineRule="exact"/>
        <w:ind w:firstLineChars="0"/>
        <w:outlineLvl w:val="1"/>
        <w:rPr>
          <w:rFonts w:hint="eastAsia" w:ascii="仿宋" w:hAnsi="仿宋" w:eastAsia="仿宋"/>
          <w:b/>
          <w:bCs/>
          <w:sz w:val="30"/>
          <w:szCs w:val="30"/>
        </w:rPr>
      </w:pPr>
      <w:r>
        <w:rPr>
          <w:rFonts w:hint="eastAsia" w:ascii="仿宋" w:hAnsi="仿宋" w:eastAsia="仿宋"/>
          <w:b/>
          <w:bCs/>
          <w:sz w:val="30"/>
          <w:szCs w:val="30"/>
        </w:rPr>
        <w:t>应用总体架构</w:t>
      </w:r>
    </w:p>
    <w:p>
      <w:pPr>
        <w:pStyle w:val="61"/>
        <w:numPr>
          <w:ilvl w:val="2"/>
          <w:numId w:val="6"/>
        </w:numPr>
        <w:spacing w:line="560" w:lineRule="exact"/>
        <w:ind w:firstLineChars="0"/>
        <w:outlineLvl w:val="2"/>
        <w:rPr>
          <w:rFonts w:hint="eastAsia" w:ascii="仿宋" w:hAnsi="仿宋" w:eastAsia="仿宋"/>
          <w:b/>
          <w:bCs/>
          <w:sz w:val="28"/>
          <w:szCs w:val="28"/>
        </w:rPr>
      </w:pPr>
      <w:r>
        <w:rPr>
          <w:rFonts w:hint="eastAsia" w:ascii="仿宋" w:hAnsi="仿宋" w:eastAsia="仿宋"/>
          <w:b/>
          <w:bCs/>
          <w:sz w:val="28"/>
          <w:szCs w:val="28"/>
        </w:rPr>
        <w:t>上海市药品监督管理局行政审批综合业务系统（升级）</w:t>
      </w:r>
    </w:p>
    <w:p>
      <w:pPr>
        <w:ind w:firstLine="0" w:firstLineChars="0"/>
        <w:rPr>
          <w:rFonts w:hint="eastAsia" w:ascii="仿宋" w:hAnsi="仿宋" w:eastAsia="仿宋"/>
          <w:sz w:val="28"/>
          <w:szCs w:val="28"/>
        </w:rPr>
      </w:pPr>
      <w:r>
        <w:rPr>
          <w:rFonts w:hint="eastAsia" w:ascii="仿宋" w:hAnsi="仿宋" w:eastAsia="仿宋"/>
          <w:sz w:val="28"/>
          <w:szCs w:val="28"/>
        </w:rPr>
        <w:drawing>
          <wp:inline distT="0" distB="0" distL="0" distR="0">
            <wp:extent cx="5273675" cy="4017645"/>
            <wp:effectExtent l="0" t="0" r="3175" b="0"/>
            <wp:docPr id="134570155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701555" name="图片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73675" cy="4017645"/>
                    </a:xfrm>
                    <a:prstGeom prst="rect">
                      <a:avLst/>
                    </a:prstGeom>
                    <a:noFill/>
                  </pic:spPr>
                </pic:pic>
              </a:graphicData>
            </a:graphic>
          </wp:inline>
        </w:drawing>
      </w:r>
    </w:p>
    <w:p>
      <w:pPr>
        <w:rPr>
          <w:rFonts w:hint="eastAsia" w:ascii="仿宋" w:hAnsi="仿宋" w:eastAsia="仿宋"/>
        </w:rPr>
      </w:pPr>
      <w:r>
        <w:rPr>
          <w:rFonts w:hint="eastAsia" w:ascii="仿宋" w:hAnsi="仿宋" w:eastAsia="仿宋"/>
        </w:rPr>
        <w:t>系统建设的类型是升级改造建设，主要的建设内容集中在应用层和统一支撑层。系统的部署环境、数据库、中间件和网络完全设备等全部利用现有资源进行功能升级。主要建设内容包括在网上申报模块中增加新的事项的申报功能，如GAP申请、药品境内责任人自查报告;升级药品生产、药械经营各事项的申报功能；深化智慧“好办”服务功能，接入MAP平台整合大模型应用进行预填预审。在行政审批模块（市级、区级）中新增新事项的数据查询导出功能和申请的审查、功能；系统增加化妆品备案电子标签申报审核的功能模块；落实“好差评”PAD改造要求、落实“办件库”对接和“一业一证”升级工作要求。</w:t>
      </w:r>
    </w:p>
    <w:p>
      <w:pPr>
        <w:pStyle w:val="61"/>
        <w:numPr>
          <w:ilvl w:val="2"/>
          <w:numId w:val="6"/>
        </w:numPr>
        <w:spacing w:line="560" w:lineRule="exact"/>
        <w:ind w:firstLineChars="0"/>
        <w:outlineLvl w:val="2"/>
        <w:rPr>
          <w:rFonts w:hint="eastAsia" w:ascii="仿宋" w:hAnsi="仿宋" w:eastAsia="仿宋"/>
          <w:b/>
          <w:bCs/>
          <w:sz w:val="28"/>
          <w:szCs w:val="28"/>
        </w:rPr>
      </w:pPr>
      <w:r>
        <w:rPr>
          <w:rFonts w:hint="eastAsia" w:ascii="仿宋" w:hAnsi="仿宋" w:eastAsia="仿宋"/>
          <w:b/>
          <w:bCs/>
          <w:sz w:val="28"/>
          <w:szCs w:val="28"/>
        </w:rPr>
        <w:t>上海市药械化现场监管检查码管理系统（新建）</w:t>
      </w:r>
    </w:p>
    <w:p>
      <w:pPr>
        <w:ind w:firstLine="420"/>
        <w:rPr>
          <w:rFonts w:hint="eastAsia" w:ascii="仿宋" w:hAnsi="仿宋" w:eastAsia="仿宋"/>
        </w:rPr>
      </w:pPr>
      <w:r>
        <w:rPr>
          <w:rFonts w:ascii="Calibri" w:hAnsi="Calibri"/>
          <w:sz w:val="21"/>
          <w:szCs w:val="22"/>
        </w:rPr>
        <w:object>
          <v:shape id="_x0000_i1025" o:spt="75" type="#_x0000_t75" style="height:166.55pt;width:415.1pt;" o:ole="t" filled="f" o:preferrelative="t" stroked="f" coordsize="21600,21600">
            <v:path/>
            <v:fill on="f" focussize="0,0"/>
            <v:stroke on="f" joinstyle="miter"/>
            <v:imagedata r:id="rId15" o:title=""/>
            <o:lock v:ext="edit" aspectratio="t"/>
            <w10:wrap type="none"/>
            <w10:anchorlock/>
          </v:shape>
          <o:OLEObject Type="Embed" ProgID="Visio.Drawing.15" ShapeID="_x0000_i1025" DrawAspect="Content" ObjectID="_1468075725" r:id="rId14">
            <o:LockedField>false</o:LockedField>
          </o:OLEObject>
        </w:object>
      </w:r>
    </w:p>
    <w:p>
      <w:pPr>
        <w:pStyle w:val="61"/>
        <w:numPr>
          <w:ilvl w:val="2"/>
          <w:numId w:val="6"/>
        </w:numPr>
        <w:spacing w:line="560" w:lineRule="exact"/>
        <w:ind w:firstLineChars="0"/>
        <w:outlineLvl w:val="2"/>
        <w:rPr>
          <w:rFonts w:hint="eastAsia" w:ascii="仿宋" w:hAnsi="仿宋" w:eastAsia="仿宋"/>
          <w:b/>
          <w:bCs/>
          <w:sz w:val="28"/>
          <w:szCs w:val="28"/>
        </w:rPr>
      </w:pPr>
      <w:r>
        <w:rPr>
          <w:rFonts w:hint="eastAsia" w:ascii="仿宋" w:hAnsi="仿宋" w:eastAsia="仿宋"/>
          <w:b/>
          <w:bCs/>
          <w:sz w:val="28"/>
          <w:szCs w:val="28"/>
        </w:rPr>
        <w:t>上海市药械化行政检查管理系统和移动监管模块(升级)</w:t>
      </w:r>
    </w:p>
    <w:p>
      <w:pPr>
        <w:ind w:firstLine="420"/>
        <w:rPr>
          <w:rFonts w:hint="eastAsia" w:ascii="仿宋" w:hAnsi="仿宋" w:eastAsia="仿宋"/>
        </w:rPr>
      </w:pPr>
      <w:r>
        <w:rPr>
          <w:rFonts w:ascii="Calibri" w:hAnsi="Calibri"/>
          <w:sz w:val="21"/>
          <w:szCs w:val="22"/>
        </w:rPr>
        <w:object>
          <v:shape id="_x0000_i1026" o:spt="75" type="#_x0000_t75" style="height:204.1pt;width:417.6pt;" o:ole="t" filled="f" o:preferrelative="t" stroked="f" coordsize="21600,21600">
            <v:path/>
            <v:fill on="f" focussize="0,0"/>
            <v:stroke on="f" joinstyle="miter"/>
            <v:imagedata r:id="rId17" o:title=""/>
            <o:lock v:ext="edit" aspectratio="t"/>
            <w10:wrap type="none"/>
            <w10:anchorlock/>
          </v:shape>
          <o:OLEObject Type="Embed" ProgID="Visio.Drawing.15" ShapeID="_x0000_i1026" DrawAspect="Content" ObjectID="_1468075726" r:id="rId16">
            <o:LockedField>false</o:LockedField>
          </o:OLEObject>
        </w:object>
      </w:r>
    </w:p>
    <w:p>
      <w:pPr>
        <w:pStyle w:val="61"/>
        <w:numPr>
          <w:ilvl w:val="2"/>
          <w:numId w:val="6"/>
        </w:numPr>
        <w:spacing w:line="560" w:lineRule="exact"/>
        <w:ind w:firstLineChars="0"/>
        <w:outlineLvl w:val="2"/>
        <w:rPr>
          <w:rFonts w:hint="eastAsia" w:ascii="仿宋" w:hAnsi="仿宋" w:eastAsia="仿宋"/>
          <w:b/>
          <w:bCs/>
          <w:sz w:val="28"/>
          <w:szCs w:val="28"/>
        </w:rPr>
      </w:pPr>
      <w:r>
        <w:rPr>
          <w:rFonts w:hint="eastAsia" w:ascii="仿宋" w:hAnsi="仿宋" w:eastAsia="仿宋"/>
          <w:b/>
          <w:bCs/>
          <w:sz w:val="28"/>
          <w:szCs w:val="28"/>
        </w:rPr>
        <w:t>上海市药械化信用分级分类系统</w:t>
      </w:r>
    </w:p>
    <w:p>
      <w:pPr>
        <w:ind w:firstLine="420"/>
        <w:rPr>
          <w:rFonts w:hint="eastAsia" w:ascii="仿宋" w:hAnsi="仿宋" w:eastAsia="仿宋"/>
        </w:rPr>
      </w:pPr>
      <w:r>
        <w:rPr>
          <w:rFonts w:hint="eastAsia" w:ascii="Calibri" w:hAnsi="Calibri"/>
          <w:sz w:val="21"/>
          <w:szCs w:val="22"/>
        </w:rPr>
        <w:drawing>
          <wp:inline distT="0" distB="0" distL="0" distR="0">
            <wp:extent cx="5274310" cy="3727450"/>
            <wp:effectExtent l="0" t="0" r="2540" b="6350"/>
            <wp:docPr id="7164861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486100"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274310" cy="3727450"/>
                    </a:xfrm>
                    <a:prstGeom prst="rect">
                      <a:avLst/>
                    </a:prstGeom>
                    <a:noFill/>
                    <a:ln>
                      <a:noFill/>
                    </a:ln>
                  </pic:spPr>
                </pic:pic>
              </a:graphicData>
            </a:graphic>
          </wp:inline>
        </w:drawing>
      </w:r>
    </w:p>
    <w:p>
      <w:pPr>
        <w:pStyle w:val="61"/>
        <w:numPr>
          <w:ilvl w:val="1"/>
          <w:numId w:val="6"/>
        </w:numPr>
        <w:spacing w:line="560" w:lineRule="exact"/>
        <w:ind w:firstLineChars="0"/>
        <w:outlineLvl w:val="1"/>
        <w:rPr>
          <w:rFonts w:hint="eastAsia" w:ascii="仿宋" w:hAnsi="仿宋" w:eastAsia="仿宋"/>
          <w:b/>
          <w:bCs/>
          <w:sz w:val="30"/>
          <w:szCs w:val="30"/>
        </w:rPr>
      </w:pPr>
      <w:r>
        <w:rPr>
          <w:rFonts w:hint="eastAsia" w:ascii="仿宋" w:hAnsi="仿宋" w:eastAsia="仿宋"/>
          <w:b/>
          <w:bCs/>
          <w:sz w:val="30"/>
          <w:szCs w:val="30"/>
        </w:rPr>
        <w:t>系统性能需求</w:t>
      </w:r>
    </w:p>
    <w:p>
      <w:pPr>
        <w:rPr>
          <w:rFonts w:hint="eastAsia" w:ascii="仿宋" w:hAnsi="仿宋" w:eastAsia="仿宋"/>
        </w:rPr>
      </w:pPr>
      <w:r>
        <w:rPr>
          <w:rFonts w:hint="eastAsia" w:ascii="仿宋" w:hAnsi="仿宋" w:eastAsia="仿宋"/>
        </w:rPr>
        <w:t>本项目系统性能需求如下：</w:t>
      </w:r>
    </w:p>
    <w:p>
      <w:pPr>
        <w:pStyle w:val="61"/>
        <w:numPr>
          <w:ilvl w:val="0"/>
          <w:numId w:val="7"/>
        </w:numPr>
        <w:ind w:firstLineChars="0"/>
        <w:rPr>
          <w:rFonts w:hint="eastAsia" w:ascii="仿宋" w:hAnsi="仿宋" w:eastAsia="仿宋"/>
        </w:rPr>
      </w:pPr>
      <w:r>
        <w:rPr>
          <w:rFonts w:ascii="仿宋" w:hAnsi="仿宋" w:eastAsia="仿宋"/>
        </w:rPr>
        <w:t>同时在线用户数≥200；</w:t>
      </w:r>
    </w:p>
    <w:p>
      <w:pPr>
        <w:pStyle w:val="61"/>
        <w:numPr>
          <w:ilvl w:val="0"/>
          <w:numId w:val="7"/>
        </w:numPr>
        <w:ind w:firstLineChars="0"/>
        <w:rPr>
          <w:rFonts w:hint="eastAsia" w:ascii="仿宋" w:hAnsi="仿宋" w:eastAsia="仿宋"/>
        </w:rPr>
      </w:pPr>
      <w:r>
        <w:rPr>
          <w:rFonts w:ascii="仿宋" w:hAnsi="仿宋" w:eastAsia="仿宋"/>
        </w:rPr>
        <w:t>并发用户数≥100；</w:t>
      </w:r>
    </w:p>
    <w:p>
      <w:pPr>
        <w:pStyle w:val="61"/>
        <w:numPr>
          <w:ilvl w:val="0"/>
          <w:numId w:val="7"/>
        </w:numPr>
        <w:ind w:firstLineChars="0"/>
        <w:rPr>
          <w:rFonts w:hint="eastAsia" w:ascii="仿宋" w:hAnsi="仿宋" w:eastAsia="仿宋"/>
        </w:rPr>
      </w:pPr>
      <w:r>
        <w:rPr>
          <w:rFonts w:ascii="仿宋" w:hAnsi="仿宋" w:eastAsia="仿宋"/>
        </w:rPr>
        <w:t>系统登陆时间≤1秒；</w:t>
      </w:r>
    </w:p>
    <w:p>
      <w:pPr>
        <w:pStyle w:val="61"/>
        <w:numPr>
          <w:ilvl w:val="0"/>
          <w:numId w:val="7"/>
        </w:numPr>
        <w:ind w:firstLineChars="0"/>
        <w:rPr>
          <w:rFonts w:hint="eastAsia" w:ascii="仿宋" w:hAnsi="仿宋" w:eastAsia="仿宋"/>
        </w:rPr>
      </w:pPr>
      <w:r>
        <w:rPr>
          <w:rFonts w:ascii="仿宋" w:hAnsi="仿宋" w:eastAsia="仿宋"/>
        </w:rPr>
        <w:t>一般查询和写入操作响应时间（90%的操作页面）≤1秒；</w:t>
      </w:r>
    </w:p>
    <w:p>
      <w:pPr>
        <w:pStyle w:val="61"/>
        <w:numPr>
          <w:ilvl w:val="0"/>
          <w:numId w:val="7"/>
        </w:numPr>
        <w:ind w:firstLineChars="0"/>
        <w:rPr>
          <w:rFonts w:hint="eastAsia" w:ascii="仿宋" w:hAnsi="仿宋" w:eastAsia="仿宋"/>
        </w:rPr>
      </w:pPr>
      <w:r>
        <w:rPr>
          <w:rFonts w:ascii="仿宋" w:hAnsi="仿宋" w:eastAsia="仿宋"/>
        </w:rPr>
        <w:t>搜索类操作响应时间≤3秒；</w:t>
      </w:r>
    </w:p>
    <w:p>
      <w:pPr>
        <w:pStyle w:val="61"/>
        <w:numPr>
          <w:ilvl w:val="0"/>
          <w:numId w:val="7"/>
        </w:numPr>
        <w:ind w:firstLineChars="0"/>
        <w:rPr>
          <w:rFonts w:hint="eastAsia" w:ascii="仿宋" w:hAnsi="仿宋" w:eastAsia="仿宋"/>
        </w:rPr>
      </w:pPr>
      <w:r>
        <w:rPr>
          <w:rFonts w:ascii="仿宋" w:hAnsi="仿宋" w:eastAsia="仿宋"/>
        </w:rPr>
        <w:t>报表统计类操作响应时间≤5秒；</w:t>
      </w:r>
    </w:p>
    <w:p>
      <w:pPr>
        <w:pStyle w:val="61"/>
        <w:numPr>
          <w:ilvl w:val="0"/>
          <w:numId w:val="7"/>
        </w:numPr>
        <w:ind w:firstLineChars="0"/>
        <w:rPr>
          <w:rFonts w:hint="eastAsia" w:ascii="仿宋" w:hAnsi="仿宋" w:eastAsia="仿宋"/>
          <w:sz w:val="24"/>
        </w:rPr>
      </w:pPr>
      <w:r>
        <w:rPr>
          <w:rFonts w:ascii="仿宋" w:hAnsi="仿宋" w:eastAsia="仿宋"/>
        </w:rPr>
        <w:t>响应时间较长的操作页面应显示进度条。</w:t>
      </w:r>
    </w:p>
    <w:p>
      <w:pPr>
        <w:pStyle w:val="61"/>
        <w:numPr>
          <w:ilvl w:val="1"/>
          <w:numId w:val="6"/>
        </w:numPr>
        <w:spacing w:line="560" w:lineRule="exact"/>
        <w:ind w:firstLineChars="0"/>
        <w:outlineLvl w:val="1"/>
        <w:rPr>
          <w:rFonts w:hint="eastAsia" w:ascii="仿宋" w:hAnsi="仿宋" w:eastAsia="仿宋"/>
          <w:b/>
          <w:bCs/>
          <w:sz w:val="30"/>
          <w:szCs w:val="30"/>
        </w:rPr>
      </w:pPr>
      <w:r>
        <w:rPr>
          <w:rFonts w:hint="eastAsia" w:ascii="仿宋" w:hAnsi="仿宋" w:eastAsia="仿宋"/>
          <w:b/>
          <w:bCs/>
          <w:sz w:val="30"/>
          <w:szCs w:val="30"/>
        </w:rPr>
        <w:t>部署环境</w:t>
      </w:r>
    </w:p>
    <w:p>
      <w:pPr>
        <w:rPr>
          <w:rFonts w:hint="eastAsia" w:ascii="仿宋" w:hAnsi="仿宋" w:eastAsia="仿宋"/>
        </w:rPr>
      </w:pPr>
      <w:r>
        <w:rPr>
          <w:rFonts w:hint="eastAsia" w:ascii="仿宋" w:hAnsi="仿宋" w:eastAsia="仿宋"/>
        </w:rPr>
        <w:t>上海市电子政务云平台分为政务外网区域和互联网区域，分别面向政府部门和企业公众提供访问，两个区域之间通过安全隔离设备实现逻辑隔离。本项目应用系统根据业务访问需求分别部署在政务外网区域和互联网区域。</w:t>
      </w:r>
    </w:p>
    <w:p>
      <w:pPr>
        <w:ind w:firstLine="420"/>
        <w:rPr>
          <w:rFonts w:ascii="Calibri" w:hAnsi="Calibri"/>
          <w:sz w:val="21"/>
          <w:szCs w:val="22"/>
        </w:rPr>
      </w:pPr>
      <w:r>
        <w:rPr>
          <w:rFonts w:ascii="Calibri" w:hAnsi="Calibri"/>
          <w:sz w:val="21"/>
          <w:szCs w:val="22"/>
        </w:rPr>
        <w:object>
          <v:shape id="_x0000_i1027" o:spt="75" type="#_x0000_t75" style="height:198.45pt;width:418.85pt;" o:ole="t" filled="f" o:preferrelative="t" stroked="f" coordsize="21600,21600">
            <v:path/>
            <v:fill on="f" focussize="0,0"/>
            <v:stroke on="f" joinstyle="miter"/>
            <v:imagedata r:id="rId20" o:title=""/>
            <o:lock v:ext="edit" aspectratio="t"/>
            <w10:wrap type="none"/>
            <w10:anchorlock/>
          </v:shape>
          <o:OLEObject Type="Embed" ProgID="Visio.Drawing.15" ShapeID="_x0000_i1027" DrawAspect="Content" ObjectID="_1468075727" r:id="rId19">
            <o:LockedField>false</o:LockedField>
          </o:OLEObject>
        </w:object>
      </w:r>
    </w:p>
    <w:p>
      <w:pPr>
        <w:ind w:firstLine="420"/>
        <w:rPr>
          <w:rFonts w:ascii="Calibri" w:hAnsi="Calibri"/>
          <w:sz w:val="21"/>
          <w:szCs w:val="22"/>
        </w:rPr>
      </w:pPr>
    </w:p>
    <w:p>
      <w:pPr>
        <w:ind w:firstLine="420"/>
        <w:rPr>
          <w:rFonts w:ascii="Calibri" w:hAnsi="Calibri"/>
          <w:sz w:val="21"/>
          <w:szCs w:val="22"/>
        </w:rPr>
        <w:sectPr>
          <w:footerReference r:id="rId11" w:type="first"/>
          <w:pgSz w:w="11906" w:h="16838"/>
          <w:pgMar w:top="1134" w:right="1797" w:bottom="1135" w:left="1797" w:header="340" w:footer="7" w:gutter="0"/>
          <w:pgNumType w:start="1"/>
          <w:cols w:space="720" w:num="1"/>
          <w:titlePg/>
          <w:docGrid w:type="linesAndChars" w:linePitch="326" w:charSpace="0"/>
        </w:sectPr>
      </w:pPr>
    </w:p>
    <w:p>
      <w:pPr>
        <w:pStyle w:val="61"/>
        <w:numPr>
          <w:ilvl w:val="1"/>
          <w:numId w:val="6"/>
        </w:numPr>
        <w:spacing w:line="560" w:lineRule="exact"/>
        <w:ind w:firstLineChars="0"/>
        <w:outlineLvl w:val="1"/>
        <w:rPr>
          <w:rFonts w:hint="eastAsia" w:ascii="仿宋" w:hAnsi="仿宋" w:eastAsia="仿宋"/>
          <w:b/>
          <w:bCs/>
          <w:sz w:val="30"/>
          <w:szCs w:val="30"/>
        </w:rPr>
      </w:pPr>
      <w:r>
        <w:rPr>
          <w:rFonts w:hint="eastAsia" w:ascii="仿宋" w:hAnsi="仿宋" w:eastAsia="仿宋"/>
          <w:b/>
          <w:bCs/>
          <w:sz w:val="30"/>
          <w:szCs w:val="30"/>
        </w:rPr>
        <w:t>软件开发清单</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
        <w:gridCol w:w="2719"/>
        <w:gridCol w:w="3012"/>
        <w:gridCol w:w="8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ind w:firstLine="0" w:firstLineChars="0"/>
              <w:jc w:val="center"/>
              <w:rPr>
                <w:rFonts w:hint="eastAsia" w:ascii="仿宋" w:hAnsi="仿宋" w:eastAsia="仿宋"/>
                <w:b/>
                <w:bCs/>
              </w:rPr>
            </w:pPr>
            <w:r>
              <w:rPr>
                <w:rFonts w:hint="eastAsia" w:ascii="仿宋" w:hAnsi="仿宋" w:eastAsia="仿宋"/>
                <w:b/>
                <w:bCs/>
              </w:rPr>
              <w:t>序号</w:t>
            </w:r>
          </w:p>
        </w:tc>
        <w:tc>
          <w:tcPr>
            <w:tcW w:w="919" w:type="pct"/>
            <w:vAlign w:val="center"/>
          </w:tcPr>
          <w:p>
            <w:pPr>
              <w:ind w:firstLine="0" w:firstLineChars="0"/>
              <w:jc w:val="center"/>
              <w:rPr>
                <w:rFonts w:hint="eastAsia" w:ascii="仿宋" w:hAnsi="仿宋" w:eastAsia="仿宋"/>
                <w:b/>
                <w:bCs/>
              </w:rPr>
            </w:pPr>
            <w:r>
              <w:rPr>
                <w:rFonts w:hint="eastAsia" w:ascii="仿宋" w:hAnsi="仿宋" w:eastAsia="仿宋"/>
                <w:b/>
                <w:bCs/>
              </w:rPr>
              <w:t>应用系统名称</w:t>
            </w:r>
          </w:p>
        </w:tc>
        <w:tc>
          <w:tcPr>
            <w:tcW w:w="1018" w:type="pct"/>
            <w:vAlign w:val="center"/>
          </w:tcPr>
          <w:p>
            <w:pPr>
              <w:ind w:firstLine="0" w:firstLineChars="0"/>
              <w:jc w:val="center"/>
              <w:rPr>
                <w:rFonts w:hint="eastAsia" w:ascii="仿宋" w:hAnsi="仿宋" w:eastAsia="仿宋"/>
                <w:b/>
                <w:bCs/>
              </w:rPr>
            </w:pPr>
            <w:r>
              <w:rPr>
                <w:rFonts w:hint="eastAsia" w:ascii="仿宋" w:hAnsi="仿宋" w:eastAsia="仿宋"/>
                <w:b/>
                <w:bCs/>
              </w:rPr>
              <w:t>模块名称</w:t>
            </w:r>
          </w:p>
        </w:tc>
        <w:tc>
          <w:tcPr>
            <w:tcW w:w="2904" w:type="pct"/>
            <w:vAlign w:val="center"/>
          </w:tcPr>
          <w:p>
            <w:pPr>
              <w:ind w:firstLine="0" w:firstLineChars="0"/>
              <w:jc w:val="center"/>
              <w:rPr>
                <w:rFonts w:hint="eastAsia" w:ascii="仿宋" w:hAnsi="仿宋" w:eastAsia="仿宋"/>
                <w:b/>
                <w:bCs/>
              </w:rPr>
            </w:pPr>
            <w:r>
              <w:rPr>
                <w:rFonts w:hint="eastAsia" w:ascii="仿宋" w:hAnsi="仿宋" w:eastAsia="仿宋"/>
                <w:b/>
                <w:bCs/>
              </w:rPr>
              <w:t>模块描述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上海市药品监督管理局行政审批综合业务系统（升级）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上海市药品监督管理局行政审批综合业务系统（升级）-药械化行政审批功能（升级）-中药材生产质量管理规范符合性检查认证事项（新建）-GAP合性检查认证企业申报</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在行政审批系统中建设中药材生产质量管理规范符合性检查认证的企业申请功能，实现企业使用电子营业执照或者法人一证通登录系统后能进行申请填报和办理查询、文书下载。</w:t>
            </w:r>
            <w:r>
              <w:rPr>
                <w:rFonts w:hint="eastAsia" w:ascii="仿宋" w:hAnsi="仿宋" w:eastAsia="仿宋"/>
                <w:color w:val="000000"/>
              </w:rPr>
              <w:br w:type="textWrapping"/>
            </w:r>
            <w:r>
              <w:rPr>
                <w:rFonts w:hint="eastAsia" w:ascii="仿宋" w:hAnsi="仿宋" w:eastAsia="仿宋"/>
                <w:color w:val="000000"/>
              </w:rPr>
              <w:t>1、利用企业信息进行填报信息预填</w:t>
            </w:r>
            <w:r>
              <w:rPr>
                <w:rFonts w:hint="eastAsia" w:ascii="仿宋" w:hAnsi="仿宋" w:eastAsia="仿宋"/>
                <w:color w:val="000000"/>
              </w:rPr>
              <w:br w:type="textWrapping"/>
            </w:r>
            <w:r>
              <w:rPr>
                <w:rFonts w:hint="eastAsia" w:ascii="仿宋" w:hAnsi="仿宋" w:eastAsia="仿宋"/>
                <w:color w:val="000000"/>
              </w:rPr>
              <w:t>系统利用“一网通办”用户信息接口反馈的企业信息，在调用“法人库”接口读取更完整企业信息。实现申报时企业相关信息的预填。</w:t>
            </w:r>
            <w:r>
              <w:rPr>
                <w:rFonts w:hint="eastAsia" w:ascii="仿宋" w:hAnsi="仿宋" w:eastAsia="仿宋"/>
                <w:color w:val="000000"/>
              </w:rPr>
              <w:br w:type="textWrapping"/>
            </w:r>
            <w:r>
              <w:rPr>
                <w:rFonts w:hint="eastAsia" w:ascii="仿宋" w:hAnsi="仿宋" w:eastAsia="仿宋"/>
                <w:color w:val="000000"/>
              </w:rPr>
              <w:t>2、支持企业上传申请材料，其中申请表由系统根据填报信息生成，并能够进行电子签章。</w:t>
            </w:r>
            <w:r>
              <w:rPr>
                <w:rFonts w:hint="eastAsia" w:ascii="仿宋" w:hAnsi="仿宋" w:eastAsia="仿宋"/>
                <w:color w:val="000000"/>
              </w:rPr>
              <w:br w:type="textWrapping"/>
            </w:r>
            <w:r>
              <w:rPr>
                <w:rFonts w:hint="eastAsia" w:ascii="仿宋" w:hAnsi="仿宋" w:eastAsia="仿宋"/>
                <w:color w:val="000000"/>
              </w:rPr>
              <w:t>系统申请表单中支撑企业上传申报材料，利用“大家签”平台支持企业申请材料的签章。申请表有系统根据固定模板，自动导入企业录入的信息生成PDF，再由企业进行签章。</w:t>
            </w:r>
            <w:r>
              <w:rPr>
                <w:rFonts w:hint="eastAsia" w:ascii="仿宋" w:hAnsi="仿宋" w:eastAsia="仿宋"/>
                <w:color w:val="000000"/>
              </w:rPr>
              <w:br w:type="textWrapping"/>
            </w:r>
            <w:r>
              <w:rPr>
                <w:rFonts w:hint="eastAsia" w:ascii="仿宋" w:hAnsi="仿宋" w:eastAsia="仿宋"/>
                <w:color w:val="000000"/>
              </w:rPr>
              <w:t>3、对企业填报信息进行基本校验</w:t>
            </w:r>
            <w:r>
              <w:rPr>
                <w:rFonts w:hint="eastAsia" w:ascii="仿宋" w:hAnsi="仿宋" w:eastAsia="仿宋"/>
                <w:color w:val="000000"/>
              </w:rPr>
              <w:br w:type="textWrapping"/>
            </w:r>
            <w:r>
              <w:rPr>
                <w:rFonts w:hint="eastAsia" w:ascii="仿宋" w:hAnsi="仿宋" w:eastAsia="仿宋"/>
                <w:color w:val="000000"/>
              </w:rPr>
              <w:t>系统根据验证规则对企业录入的进行格式、规则的检查，提升申报数据质量。</w:t>
            </w:r>
            <w:r>
              <w:rPr>
                <w:rFonts w:hint="eastAsia" w:ascii="仿宋" w:hAnsi="仿宋" w:eastAsia="仿宋"/>
                <w:color w:val="000000"/>
              </w:rPr>
              <w:br w:type="textWrapping"/>
            </w:r>
            <w:r>
              <w:rPr>
                <w:rFonts w:hint="eastAsia" w:ascii="仿宋" w:hAnsi="仿宋" w:eastAsia="仿宋"/>
                <w:color w:val="000000"/>
              </w:rPr>
              <w:t>4、由于中药材监管的复杂度和专业度的特性，与化药、生物药的质量控制和监管更注重产品配方、生产工艺、偏差处理不同，中药材生产还要重视药材种植养殖环境、植物或动物的品种、种子种苗、收割收获等各个过程，可复用的页面、字段、校验等很少，系统需要根据以上业务材料需求，重新建设复杂的事项申报表单，执行各个信息、子表、文件的收集和关联校验，表单的业务特殊性和数据字段数量和复杂度很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上海市药品监督管理局行政审批综合业务系统（升级）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上海市药品监督管理局行政审批综合业务系统（升级）-药械化行政审批功能（升级）-中药材生产质量管理规范符合性检查认证事项（新建）-与药品审评系统对接GAP检查数据</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在市级受理企业的GAP检查后，现场建设工作是由上海市药品审评中间检查，将企业申报数据和文件、受理情况通过接口对接给药审中心药品审评系统。在其系统中完成检查后数据同步回市局行政审批系统。</w:t>
            </w:r>
            <w:r>
              <w:rPr>
                <w:rFonts w:hint="eastAsia" w:ascii="仿宋" w:hAnsi="仿宋" w:eastAsia="仿宋"/>
                <w:color w:val="000000"/>
              </w:rPr>
              <w:br w:type="textWrapping"/>
            </w:r>
            <w:r>
              <w:rPr>
                <w:rFonts w:hint="eastAsia" w:ascii="仿宋" w:hAnsi="仿宋" w:eastAsia="仿宋"/>
                <w:color w:val="000000"/>
              </w:rPr>
              <w:t>(1)申请受理，已受理的数据进行同步(2)推送数据内容(3)接收药审中心内容(4)信息同步方式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上海市药品监督管理局行政审批综合业务系统（升级）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上海市药品监督管理局行政审批综合业务系统（升级）-药械化行政审批功能（升级）-中药材生产质量管理规范符合性检查认证事项（新建）-GAP延查</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GAP延查条款管理：根据国家局“中药材GAP检查指南”设置GAP检查条款，建设条款的增加、查询、停用功能。</w:t>
            </w:r>
            <w:r>
              <w:rPr>
                <w:rFonts w:hint="eastAsia" w:ascii="仿宋" w:hAnsi="仿宋" w:eastAsia="仿宋"/>
                <w:color w:val="000000"/>
              </w:rPr>
              <w:br w:type="textWrapping"/>
            </w:r>
            <w:r>
              <w:rPr>
                <w:rFonts w:hint="eastAsia" w:ascii="仿宋" w:hAnsi="仿宋" w:eastAsia="仿宋"/>
                <w:color w:val="000000"/>
              </w:rPr>
              <w:t>GAP延查缺陷管理：根据检查情况，关联GAP检查条款数据，存储每次检查的缺陷项情况。在具体申请案中统计缺陷数量，便于审批。并建设单独菜单，对缺陷项进行直接查询,便于查询掌握整体缺陷情况。</w:t>
            </w:r>
            <w:r>
              <w:rPr>
                <w:rFonts w:hint="eastAsia" w:ascii="仿宋" w:hAnsi="仿宋" w:eastAsia="仿宋"/>
                <w:color w:val="000000"/>
              </w:rPr>
              <w:br w:type="textWrapping"/>
            </w:r>
            <w:r>
              <w:rPr>
                <w:rFonts w:hint="eastAsia" w:ascii="仿宋" w:hAnsi="仿宋" w:eastAsia="仿宋"/>
                <w:color w:val="000000"/>
              </w:rPr>
              <w:t>GAP延查审批制发文书：根据现场检查结果情况市药监局药品注册处进行结果审批，检查结果无误审批通过的制发“药品GAP延伸检查告知书”。</w:t>
            </w:r>
            <w:r>
              <w:rPr>
                <w:rFonts w:hint="eastAsia" w:ascii="仿宋" w:hAnsi="仿宋" w:eastAsia="仿宋"/>
                <w:color w:val="000000"/>
              </w:rPr>
              <w:br w:type="textWrapping"/>
            </w:r>
            <w:r>
              <w:rPr>
                <w:rFonts w:hint="eastAsia" w:ascii="仿宋" w:hAnsi="仿宋" w:eastAsia="仿宋"/>
                <w:color w:val="000000"/>
              </w:rPr>
              <w:t>GAP延查数据查询导出和结果公示查询：在综合查询模块中，新建GAP检查数据查询、导出的功能。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上海市药品监督管理局行政审批综合业务系统（升级）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上海市药品监督管理局行政审批综合业务系统（升级）-药械化行政审批功能（升级）-境外药品上市许可持有人指定境内责任人自查报告上报事项（新建）</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根据境外持有人指定成为境内责任人的，功能系统的“境内责任人自查报告申报”功能上报数据，用于监管部门进行书面检查。上报信息包括：企业基本信息、主要人员信息、境外药品上市许可持有人及其品种信息（多品种需做列表）、年度自查报告信息、上传材料附件。在行政审批端的综合查询模块中，系统新增一个页面菜单，用于查询和导出境内责任人自查报告的数据。用户可以根据企业名称、企业行政区划、境外持有人名称以及报告时间范围等条件进行精确查询。查询结果将以列表形式呈现，用户还可以选择查看具体数据的详细信息。查询结果支持导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上海市药品监督管理局行政审批综合业务系统（升级）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上海市药品监督管理局行政审批综合业务系统（升级）-药械化行政审批功能（升级）-医疗机构中药制剂提交年度人用经验收集整理与评估报告上报事项（新建）</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企业主动报告功能：建设“医疗机构中药制剂提交年度人用经验收集整理与评估报告”请求的企业主动报告功能，在系统中结合医疗机构制剂中药制剂年度报告情形进入申报，选择申请事项情形 1.医疗机构应用现代工艺配制的中药制剂;2.医疗机构应用传统工艺配制的中药制剂。申报页面增加选项上一年度是否配制使用，选择“是”则需要上传材料，“否”无需上传(零报告)。</w:t>
            </w:r>
            <w:r>
              <w:rPr>
                <w:rFonts w:hint="eastAsia" w:ascii="仿宋" w:hAnsi="仿宋" w:eastAsia="仿宋"/>
                <w:color w:val="000000"/>
              </w:rPr>
              <w:br w:type="textWrapping"/>
            </w:r>
            <w:r>
              <w:rPr>
                <w:rFonts w:hint="eastAsia" w:ascii="仿宋" w:hAnsi="仿宋" w:eastAsia="仿宋"/>
                <w:color w:val="000000"/>
              </w:rPr>
              <w:t>报告数据查询导出：在行政审批系统的综合查询模块中，将新增一个查询“医疗机构中药制剂提交年度人用经验收集整理与评估报告”的页面菜单。用户可以根据医疗机构名称、制剂品种名称以及上一年度是否配制使用等条件进行查询。查询结果将以列表形式清晰展示，用户点击列表中的具体数据条目，即可查看该条目对应的年度报告的详细信息，例如报告的具体内容、数据统计、评估结论等，方便用户快速浏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上海市药品监督管理局行政审批综合业务系统（升级）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上海市药品监督管理局行政审批综合业务系统（升级）-药械化行政审批功能（升级）-医疗器械融资租赁器械经营事项（升级）</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融资租赁企业申报器械经营改造：对医疗器械经营和备案申报进行改造，实现对融资租赁企业申报企业经营的支持。为融资租赁企业申报提供特定的经营范围选择、申请文件上传。</w:t>
            </w:r>
            <w:r>
              <w:rPr>
                <w:rFonts w:hint="eastAsia" w:ascii="仿宋" w:hAnsi="仿宋" w:eastAsia="仿宋"/>
                <w:color w:val="000000"/>
              </w:rPr>
              <w:br w:type="textWrapping"/>
            </w:r>
            <w:r>
              <w:rPr>
                <w:rFonts w:hint="eastAsia" w:ascii="仿宋" w:hAnsi="仿宋" w:eastAsia="仿宋"/>
                <w:color w:val="000000"/>
              </w:rPr>
              <w:t>融资租赁企业申报器械经营审批：为融资租赁企业申请经营“融资租赁适用于固定资产管理的各类医疗器械”的申请，新建独立审批流程。与常规器械经营进行区分。</w:t>
            </w:r>
            <w:r>
              <w:rPr>
                <w:rFonts w:hint="eastAsia" w:ascii="仿宋" w:hAnsi="仿宋" w:eastAsia="仿宋"/>
                <w:color w:val="000000"/>
              </w:rPr>
              <w:br w:type="textWrapping"/>
            </w:r>
            <w:r>
              <w:rPr>
                <w:rFonts w:hint="eastAsia" w:ascii="仿宋" w:hAnsi="仿宋" w:eastAsia="仿宋"/>
                <w:color w:val="000000"/>
              </w:rPr>
              <w:t>器械经营许可和备案事项变更与延续联办：目前，第二类医疗企业经营备案和第三类医疗器械经营许可在单一情形下可以同时联办，但无法在延续第三类医疗器械经营需要时联办第二类器械经营备案变更（备案无有效期）。结合业务需要实现第三类医疗器械经营延续时，同步联办申请第二类器械经营备案的变更。保障一次申请企业信息的一致性。一次联办生成三类经营、三类变更、二类变更三个申请，进行后台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上海市药品监督管理局行政审批综合业务系统（升级）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上海市药品监督管理局行政审批综合业务系统（升级）-药械化行政审批功能（升级）-自动售械机行政事项（新建）-自动售械机申报审批功能</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自动售械机申报：在第三类医疗器械经营许可、第二类医疗企业经营备案申请事项中，在经营场所增加自动售械机申报模块。每个申请案可以申请多个自动售械机，以售械机机器为单位，需要采集信息字段：机器编号、放置地址区县、公共场所名称、是否设计冷藏冷冻、拟经营产品；并上传机器实景图。</w:t>
            </w:r>
            <w:r>
              <w:rPr>
                <w:rFonts w:hint="eastAsia" w:ascii="仿宋" w:hAnsi="仿宋" w:eastAsia="仿宋"/>
                <w:color w:val="000000"/>
              </w:rPr>
              <w:br w:type="textWrapping"/>
            </w:r>
            <w:r>
              <w:rPr>
                <w:rFonts w:hint="eastAsia" w:ascii="仿宋" w:hAnsi="仿宋" w:eastAsia="仿宋"/>
                <w:color w:val="000000"/>
              </w:rPr>
              <w:t>医疗器械经营证书（升级）：由于自动售械机被视为经营场所，其许可证上理应打印经营场所地址。考虑到自动售械机的数量远超普通经营场所，证书的打印空间有限，无法完整罗列所有地址。(1)纸质医疗器械经营场所增加二维码提示，在纸质证书打印室，在经营地址显示【自动售械机】场地地址请扫描电子证照二维码。扫码地址二维码能查看证照对应售械机地址。(2)地址证照库推送，系统将电子证照证面信息按纸质证照同步调整，但向市电子证照库推送的结构化数据是完成全部自动售械机场所地址，实现扫码电子证照库二维码能查看完整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上海市药品监督管理局行政审批综合业务系统（升级）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上海市药品监督管理局行政审批综合业务系统（升级）-药械化行政审批功能（升级）-自动售械机行政事项（新建）-自动售械机物码生码、印发和应用</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在综合数据查询模块增加自动售械机查询，之前市局、区局分别进行数据查询，支持关联本区的企业或者设备的分别查询。系统在市、区两级行政审批系统中增加查询功能。</w:t>
            </w:r>
            <w:r>
              <w:rPr>
                <w:rFonts w:hint="eastAsia" w:ascii="仿宋" w:hAnsi="仿宋" w:eastAsia="仿宋"/>
                <w:color w:val="000000"/>
              </w:rPr>
              <w:br w:type="textWrapping"/>
            </w:r>
            <w:r>
              <w:rPr>
                <w:rFonts w:hint="eastAsia" w:ascii="仿宋" w:hAnsi="仿宋" w:eastAsia="仿宋"/>
                <w:color w:val="000000"/>
              </w:rPr>
              <w:t>(1)区级药品行政审批系统增加售械机查询</w:t>
            </w:r>
            <w:r>
              <w:rPr>
                <w:rFonts w:hint="eastAsia" w:ascii="仿宋" w:hAnsi="仿宋" w:eastAsia="仿宋"/>
                <w:color w:val="000000"/>
              </w:rPr>
              <w:br w:type="textWrapping"/>
            </w:r>
            <w:r>
              <w:rPr>
                <w:rFonts w:hint="eastAsia" w:ascii="仿宋" w:hAnsi="仿宋" w:eastAsia="仿宋"/>
                <w:color w:val="000000"/>
              </w:rPr>
              <w:t>查询本区企业申请自动售械机情况，主要查询信息包括企业名称、统一社会信用代码、证书编号（备案凭证号）等。查询结果是本区企业申请的，放置在全市的自动售械机。</w:t>
            </w:r>
            <w:r>
              <w:rPr>
                <w:rFonts w:hint="eastAsia" w:ascii="仿宋" w:hAnsi="仿宋" w:eastAsia="仿宋"/>
                <w:color w:val="000000"/>
              </w:rPr>
              <w:br w:type="textWrapping"/>
            </w:r>
            <w:r>
              <w:rPr>
                <w:rFonts w:hint="eastAsia" w:ascii="仿宋" w:hAnsi="仿宋" w:eastAsia="仿宋"/>
                <w:color w:val="000000"/>
              </w:rPr>
              <w:t>查询放置在本区的所有自动售械机数据，包括企业注册地址在其他区的但是其自动售械机部署在本区的，和本区企业的自动售械机部署在本区场所的。</w:t>
            </w:r>
            <w:r>
              <w:rPr>
                <w:rFonts w:hint="eastAsia" w:ascii="仿宋" w:hAnsi="仿宋" w:eastAsia="仿宋"/>
                <w:color w:val="000000"/>
              </w:rPr>
              <w:br w:type="textWrapping"/>
            </w:r>
            <w:r>
              <w:rPr>
                <w:rFonts w:hint="eastAsia" w:ascii="仿宋" w:hAnsi="仿宋" w:eastAsia="仿宋"/>
                <w:color w:val="000000"/>
              </w:rPr>
              <w:t>(2)市级行政审批系统增加售械机查询</w:t>
            </w:r>
            <w:r>
              <w:rPr>
                <w:rFonts w:hint="eastAsia" w:ascii="仿宋" w:hAnsi="仿宋" w:eastAsia="仿宋"/>
                <w:color w:val="000000"/>
              </w:rPr>
              <w:br w:type="textWrapping"/>
            </w:r>
            <w:r>
              <w:rPr>
                <w:rFonts w:hint="eastAsia" w:ascii="仿宋" w:hAnsi="仿宋" w:eastAsia="仿宋"/>
                <w:color w:val="000000"/>
              </w:rPr>
              <w:t>市级行政审批系统综合数据查询模块中增加自动售械机查询菜单，能够查询全市自动售械机信息。</w:t>
            </w:r>
            <w:r>
              <w:rPr>
                <w:rFonts w:hint="eastAsia" w:ascii="仿宋" w:hAnsi="仿宋" w:eastAsia="仿宋"/>
                <w:color w:val="000000"/>
              </w:rPr>
              <w:br w:type="textWrapping"/>
            </w:r>
            <w:r>
              <w:rPr>
                <w:rFonts w:hint="eastAsia" w:ascii="仿宋" w:hAnsi="仿宋" w:eastAsia="仿宋"/>
                <w:color w:val="000000"/>
              </w:rPr>
              <w:t>(3)查询结果数据能够导出</w:t>
            </w:r>
            <w:r>
              <w:rPr>
                <w:rFonts w:hint="eastAsia" w:ascii="仿宋" w:hAnsi="仿宋" w:eastAsia="仿宋"/>
                <w:color w:val="000000"/>
              </w:rPr>
              <w:br w:type="textWrapping"/>
            </w:r>
            <w:r>
              <w:rPr>
                <w:rFonts w:hint="eastAsia" w:ascii="仿宋" w:hAnsi="仿宋" w:eastAsia="仿宋"/>
                <w:color w:val="000000"/>
              </w:rPr>
              <w:t>数据查询结果都能够进行Excel导出，便于各区进行掌握本区部署的自动售械机情况，进而组织监管。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上海市药品监督管理局行政审批综合业务系统（升级）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上海市药品监督管理局行政审批综合业务系统（升级）-药械化行政审批功能（升级）-互联网药品医疗器械信息服务备案事项（升级）</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改造系统中原互联网药品医疗器械信息服务一般程序的申报和审批功能，调整为互联网药品医疗器械信息服务备案申请和审批的表单和审批流程。在备案通过后系统“同步制发”《药品、医疗器械互联网信息服务备案凭证》纸质和电子证照。系统根据模板，自动读取信息进行预填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上海市药品监督管理局行政审批综合业务系统（升级）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上海市药品监督管理局行政审批综合业务系统（升级）-药械化证照审批管理功能（升级）-药品经营许可证列异事项（新建）</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建设功能使各区市场局能够查询本区药品经营许可证，各区市场局经办人发起列异请求，可上传营业执照、药品经营许可证、市场主体列入异常名录的证明材料或截图、该经营地址房产权利人与拟标记企业解约等情况申明材料。区负责人员进行列异请求的审查。完成列异的药品经营许可证，在外网公示证书信息时标记为“列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上海市药品监督管理局行政审批综合业务系统（升级）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上海市药品监督管理局行政审批综合业务系统（升级）-药械化证照审批管理功能（升级）-医疗机构使用放射性药品许可事项（升级）</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系统调整医疗机构使用放射性药品许可申报功能，去除“一类、二类”申请类别。将使用科室信息调整为子表形式进行申报，医疗机构根据实际情况添加多条科室信息。系统配套调整医疗机构使用放射性药品许可申请表生成，支持科室信息的多条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上海市药品监督管理局行政审批综合业务系统（升级）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上海市药品监督管理局行政审批综合业务系统（升级）-药械化证照审批管理功能（升级）-药品经营总部和直营门店联合变更事项（新建）</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药品经营总部和直营门店联合变更申报：药品连锁总部企业变更药品经营许可证的法定代表人时，自动联合申请企业所有直营零售门店的法定代表人。包括(1)关联变更(2)申请案生成(3)“一网通办”对接</w:t>
            </w:r>
            <w:r>
              <w:rPr>
                <w:rFonts w:hint="eastAsia" w:ascii="仿宋" w:hAnsi="仿宋" w:eastAsia="仿宋"/>
                <w:color w:val="000000"/>
              </w:rPr>
              <w:br w:type="textWrapping"/>
            </w:r>
            <w:r>
              <w:rPr>
                <w:rFonts w:hint="eastAsia" w:ascii="仿宋" w:hAnsi="仿宋" w:eastAsia="仿宋"/>
                <w:color w:val="000000"/>
              </w:rPr>
              <w:t>药品经营总部和直营门店联合变更审批：因药品连锁总部企业的变更是市局审批，零售门店的变更是各区市场局审批。因联合变更的门店可能有10余家或数十家，系统将提供并联审批标示和审批制证功能。(1)为各区用户标示“并联审批”标识(2) 市级连锁总部完成变更审批，各区直营门店可并联完成审批(3)各区可分别对不同门店进行数据查询和制证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上海市药品监督管理局行政审批综合业务系统（升级）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上海市药品监督管理局行政审批综合业务系统（升级）-药械化证照审批管理功能（升级）-药品生产许可换证审批事项（升级）</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药品生产许可证二维码管理（新建）市级行政审批系统中建设“药品生产许可证二维码管理”功能。按照对应药品生产许可证一证号一码的规则，生成二维码。二维码内容是当前有效许可证信息的公示地址。包括(1)证照二维码查询(2) 证照打印二维码</w:t>
            </w:r>
            <w:r>
              <w:rPr>
                <w:rFonts w:hint="eastAsia" w:ascii="仿宋" w:hAnsi="仿宋" w:eastAsia="仿宋"/>
                <w:color w:val="000000"/>
              </w:rPr>
              <w:br w:type="textWrapping"/>
            </w:r>
            <w:r>
              <w:rPr>
                <w:rFonts w:hint="eastAsia" w:ascii="仿宋" w:hAnsi="仿宋" w:eastAsia="仿宋"/>
                <w:color w:val="000000"/>
              </w:rPr>
              <w:t>药品生产许可证扫码公示（新建）：系统建设移动端药品生产许可证信息公开功能，地址即二维码信息。实现扫描本市药品生产企业许可证二维码，系统能够解析请求参数，在打开的页面上显示企业基本信息、车间和生产线情况、委/受托生产情况、变更记录等正本和副本信息。药品生产许可证信息公示不只是证面信息的公开，根据国家药监局要求，生产企业经过许可的车间（列表数据）、生产线数据（列表数据）、委托生产情况（列表数据，含受托单位、产品、时间等信息）、受托生产情况（列表数据，含委托企业、产品、时间等信息）、许可变更记录等。由于要公示的信息较多(数据属性多、条数多），为在手机上能够合理显示，系统通过不同的TAB、不同的子页面等方式，实现信息的分别展示。</w:t>
            </w:r>
            <w:r>
              <w:rPr>
                <w:rFonts w:hint="eastAsia" w:ascii="仿宋" w:hAnsi="仿宋" w:eastAsia="仿宋"/>
                <w:color w:val="000000"/>
              </w:rPr>
              <w:br w:type="textWrapping"/>
            </w:r>
            <w:r>
              <w:rPr>
                <w:rFonts w:hint="eastAsia" w:ascii="仿宋" w:hAnsi="仿宋" w:eastAsia="仿宋"/>
                <w:color w:val="000000"/>
              </w:rPr>
              <w:t>药品生产许可的公示信息示例如下：A.许可证基础信息、B.委托情况、C.受托情况、D.生产车间和产线、E.变更情况、F.GMP符合性检查情况、G.监督检查情况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上海市药品监督管理局行政审批综合业务系统（升级）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上海市药品监督管理局行政审批综合业务系统（升级）-交互对接模块（升级）-“好差评”PAD接口（升级）</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好差评”PAD评价页面接入（新建）:系统根据《政务服务窗口“好差评”线下三对应PAD评价页面升级改造对接技术规范》实现“页面对接模式”的评价页面打开和评价页面关闭接口接入。实现受理窗口服务评价统一接入.</w:t>
            </w:r>
            <w:r>
              <w:rPr>
                <w:rFonts w:hint="eastAsia" w:ascii="仿宋" w:hAnsi="仿宋" w:eastAsia="仿宋"/>
                <w:color w:val="000000"/>
              </w:rPr>
              <w:br w:type="textWrapping"/>
            </w:r>
            <w:r>
              <w:rPr>
                <w:rFonts w:hint="eastAsia" w:ascii="仿宋" w:hAnsi="仿宋" w:eastAsia="仿宋"/>
                <w:color w:val="000000"/>
              </w:rPr>
              <w:t>实现行政审批PC对接窗口PAD（新建）:实现窗口PC和PAD的通信，在行政审批系统中办理完成一件申请后，在系统中操作发起评价就可能在对应的PAD上显示该申请的“好差评”评价页面。(1)受理窗口在PC端完成办件，在PC端发起评价请求；(2)PAD自动读取对应窗口，实现“好差评”页面加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上海市药品监督管理局行政审批综合业务系统（升级）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上海市药品监督管理局行政审批综合业务系统（升级）-交互对接模块（升级）- “一网通办”对接接口（升级）-办件数据推送（改造）</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根据大数据中心要求，行政审批系统各个事项办理数据的推送目标，要从目前的直接推送办件库改为，改为对接服务中台，通过服务中台推送数据到办件库。</w:t>
            </w:r>
            <w:r>
              <w:rPr>
                <w:rFonts w:hint="eastAsia" w:ascii="仿宋" w:hAnsi="仿宋" w:eastAsia="仿宋"/>
                <w:color w:val="000000"/>
              </w:rPr>
              <w:br w:type="textWrapping"/>
            </w:r>
            <w:r>
              <w:rPr>
                <w:rFonts w:hint="eastAsia" w:ascii="仿宋" w:hAnsi="仿宋" w:eastAsia="仿宋"/>
                <w:color w:val="000000"/>
              </w:rPr>
              <w:t>(1)推送数据至服务中台：按照《“一网通办”平台对接技术规范》7.0版改造办件数据推送接口，改为对接服务中台，通过服务中台推送数据到办件库。推送的接口应提交、收件、受理、审批、特殊环节、免申即享等各个环节。</w:t>
            </w:r>
            <w:r>
              <w:rPr>
                <w:rFonts w:hint="eastAsia" w:ascii="仿宋" w:hAnsi="仿宋" w:eastAsia="仿宋"/>
                <w:color w:val="000000"/>
              </w:rPr>
              <w:br w:type="textWrapping"/>
            </w:r>
            <w:r>
              <w:rPr>
                <w:rFonts w:hint="eastAsia" w:ascii="仿宋" w:hAnsi="仿宋" w:eastAsia="仿宋"/>
                <w:color w:val="000000"/>
              </w:rPr>
              <w:t>(2)从服务中台获取数据：按照《“一网通办”平台对接技术规范》7.0版改造办件库数据获取接口，改为对接服务中台，通过服务中台获取板件信息。获取数据接口主要是各类联办申请（“一业一证”、“一件事”）从服务中台，读取办件库中单事项待办件。系统通过定时轮询查询（5min一次）保障办件信息的及时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上海市药品监督管理局行政审批综合业务系统（升级）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上海市药品监督管理局行政审批综合业务系统（升级）-交互对接模块（升级）- “一网通办”对接接口（升级）-一业一证接口（升级）</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根据最新的一业一证工作要求，梳理对接数据要求，对“化妆品制造”业态一业一证、各业态药品经营许可、各业态第三类医疗器械经营许可、各业态第二类医疗器械经营备案、“互联网电商”业态一业一证等业务的相关接口进行升级。主要升级内容是配合大数据中心重新数据单事项表单和材料后，各个事项整合了近几年的业务升级情况，对接的数据接口会有调整；甚至业务流程有大的调整。需要升级接口，解析最新“一业一证”办件数据，下载申请材料。转换成申请案数据在本系统进行审批。</w:t>
            </w:r>
            <w:r>
              <w:rPr>
                <w:rFonts w:hint="eastAsia" w:ascii="仿宋" w:hAnsi="仿宋" w:eastAsia="仿宋"/>
                <w:color w:val="000000"/>
              </w:rPr>
              <w:br w:type="textWrapping"/>
            </w:r>
            <w:r>
              <w:rPr>
                <w:rFonts w:hint="eastAsia" w:ascii="仿宋" w:hAnsi="仿宋" w:eastAsia="仿宋"/>
                <w:color w:val="000000"/>
              </w:rPr>
              <w:t>“化妆品制造”业态一业一证接口（升级）：系统配合“化妆品制造”业态的升级，定时从服务中台轮询办件库化妆品生产许可待接收的数据。按照最新的化妆品生产许可申请案数据要求，将信息中的info属性的信息，按json结构进行解析。形成市药监局行政审批系统中的化妆品生产许可申请案。再根据文件id信息，通过接口下载申请材料存储在系统中。</w:t>
            </w:r>
            <w:r>
              <w:rPr>
                <w:rFonts w:hint="eastAsia" w:ascii="仿宋" w:hAnsi="仿宋" w:eastAsia="仿宋"/>
                <w:color w:val="000000"/>
              </w:rPr>
              <w:br w:type="textWrapping"/>
            </w:r>
            <w:r>
              <w:rPr>
                <w:rFonts w:hint="eastAsia" w:ascii="仿宋" w:hAnsi="仿宋" w:eastAsia="仿宋"/>
                <w:color w:val="000000"/>
              </w:rPr>
              <w:t>系统中标示该申请为“一业一证”，该申请在系统中正常进行审批。</w:t>
            </w:r>
            <w:r>
              <w:rPr>
                <w:rFonts w:hint="eastAsia" w:ascii="仿宋" w:hAnsi="仿宋" w:eastAsia="仿宋"/>
                <w:color w:val="000000"/>
              </w:rPr>
              <w:br w:type="textWrapping"/>
            </w:r>
            <w:r>
              <w:rPr>
                <w:rFonts w:hint="eastAsia" w:ascii="仿宋" w:hAnsi="仿宋" w:eastAsia="仿宋"/>
                <w:color w:val="000000"/>
              </w:rPr>
              <w:t>各业态药品经营许可接口（升级）：系统配合“药店”、“互联网电商”、“超市”、“便利店”业态的升级，定时从服务中台轮询办件库药品经营许可（零售）待接收的数据。按照最新的药品经营许可（零售）申请案数据要求，将信息中的info属性的信息，按json结构进行解析。形成各区药品行政审批系统中的药品经营许可（零售）申请案。再根据文件id信息，通过接口下载申请材料存储在系统中。</w:t>
            </w:r>
            <w:r>
              <w:rPr>
                <w:rFonts w:hint="eastAsia" w:ascii="仿宋" w:hAnsi="仿宋" w:eastAsia="仿宋"/>
                <w:color w:val="000000"/>
              </w:rPr>
              <w:br w:type="textWrapping"/>
            </w:r>
            <w:r>
              <w:rPr>
                <w:rFonts w:hint="eastAsia" w:ascii="仿宋" w:hAnsi="仿宋" w:eastAsia="仿宋"/>
                <w:color w:val="000000"/>
              </w:rPr>
              <w:t>系统中标示该申请为“一业一证”，此类申请案按企业所在区将任务分派给对应的区级办理。该申请在系统中正常进行审批。</w:t>
            </w:r>
            <w:r>
              <w:rPr>
                <w:rFonts w:hint="eastAsia" w:ascii="仿宋" w:hAnsi="仿宋" w:eastAsia="仿宋"/>
                <w:color w:val="000000"/>
              </w:rPr>
              <w:br w:type="textWrapping"/>
            </w:r>
            <w:r>
              <w:rPr>
                <w:rFonts w:hint="eastAsia" w:ascii="仿宋" w:hAnsi="仿宋" w:eastAsia="仿宋"/>
                <w:color w:val="000000"/>
              </w:rPr>
              <w:t>各业态第三类医疗器械经营许可接口（升级）：系统配合“药店”、“互联网电商”、“超市”、“便利店”业态的升级，定时从服务中台轮询办件库第三类医疗器械经营许可待接收的数据。按照最新的第三类医疗器械经营许可申请案数据要求，将信息中的info属性的信息，按json结构进行解析。形成各区药品行政审批系统中的第三类医疗器械经营许可申请案。再根据文件id信息，通过接口下载申请材料存储在系统中。系统中标示该申请为“一业一证”，此类申请案按企业所在区将任务分派给对应的区级办理。该申请在系统中正常进行审批。</w:t>
            </w:r>
            <w:r>
              <w:rPr>
                <w:rFonts w:hint="eastAsia" w:ascii="仿宋" w:hAnsi="仿宋" w:eastAsia="仿宋"/>
                <w:color w:val="000000"/>
              </w:rPr>
              <w:br w:type="textWrapping"/>
            </w:r>
            <w:r>
              <w:rPr>
                <w:rFonts w:hint="eastAsia" w:ascii="仿宋" w:hAnsi="仿宋" w:eastAsia="仿宋"/>
                <w:color w:val="000000"/>
              </w:rPr>
              <w:t>各业态第二类医疗器械经营备案接口（升级）：系统配合“药店”、“互联网电商”、“超市”、“便利店”业态的升级，定时从服务中台轮询办件库第二类医疗器械经营备案待接收的数据。按照最新的第二类医疗器械经营备案申请案数据要求，将信息中的info属性的信息，按json结构进行解析。形成各区药品行政审批系统中的第二类医疗器械经营备案申请案。再根据文件id信息，通过接口下载申请材料存储在系统中。系统中标示该申请为“一业一证”，此类申请案按企业所在区将任务分派给对应的区级办理。该申请在系统中正常进行审批。</w:t>
            </w:r>
            <w:r>
              <w:rPr>
                <w:rFonts w:hint="eastAsia" w:ascii="仿宋" w:hAnsi="仿宋" w:eastAsia="仿宋"/>
                <w:color w:val="000000"/>
              </w:rPr>
              <w:br w:type="textWrapping"/>
            </w:r>
            <w:r>
              <w:rPr>
                <w:rFonts w:hint="eastAsia" w:ascii="仿宋" w:hAnsi="仿宋" w:eastAsia="仿宋"/>
                <w:color w:val="000000"/>
              </w:rPr>
              <w:t>“互联网电商”业态一业一证接口（升级）：系统配合“互联网电商”业态的升级，定时从服务中台轮询办件库药品医疗器械互联网信息服务备案（原药品、医疗器械互联网信息服务许可）待接收的数据。按照最新的药品医疗器械互联网信息服务备案申请案数据要求，将信息中的info属性的信息，按json结构进行解析。形成各区药品行政审批系统中的药品医疗器械互联网信息服务备案申请案。再根据文件id信息，通过接口下载申请材料存储在系统中。系统中标示该申请为“一业一证”，此类申请案按企业所在区将任务分派给对应的区级办理。该申请在系统中正常进行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上海市药品监督管理局行政审批综合业务系统（升级）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上海市药品监督管理局行政审批综合业务系统（升级）-基于人工智能的智慧“好办”改造-药械经营申报材料信息预填</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为了提升企业申报效率，系统对药品零售企业经营许可、第三类医疗器械经营许可以及第二类医疗器械经营备案这三项高频事项的申报流程进行了优化。调整为企业可以先行上传申请材料，系统将利用大语言模型技术，自动识别并提取材料中的从业人员信息，并据此预先填写企业人员列表。</w:t>
            </w:r>
            <w:r>
              <w:rPr>
                <w:rFonts w:hint="eastAsia" w:ascii="仿宋" w:hAnsi="仿宋" w:eastAsia="仿宋"/>
                <w:color w:val="000000"/>
              </w:rPr>
              <w:br w:type="textWrapping"/>
            </w:r>
            <w:r>
              <w:rPr>
                <w:rFonts w:hint="eastAsia" w:ascii="仿宋" w:hAnsi="仿宋" w:eastAsia="仿宋"/>
                <w:color w:val="000000"/>
              </w:rPr>
              <w:t>通过磨合Prompt控制大模型反馈信息的格式，确保行政审批系统能够准确解析并填充数据。实现了人员列表的自动预填，大大提高了数据录入的效率和准确性。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上海市药品监督管理局行政审批综合业务系统（升级）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上海市药品监督管理局行政审批综合业务系统（升级）-基于人工智能的智慧“好办”改造-药械经营基于大模型的申请预审</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在药品零售企业经营许可、第三类医疗器械经营许可、第二类医疗器械经营备案三个高频事项，对企业申报的材料和填报的内容进行预审。</w:t>
            </w:r>
            <w:r>
              <w:rPr>
                <w:rFonts w:hint="eastAsia" w:ascii="仿宋" w:hAnsi="仿宋" w:eastAsia="仿宋"/>
                <w:color w:val="000000"/>
              </w:rPr>
              <w:br w:type="textWrapping"/>
            </w:r>
            <w:r>
              <w:rPr>
                <w:rFonts w:hint="eastAsia" w:ascii="仿宋" w:hAnsi="仿宋" w:eastAsia="仿宋"/>
                <w:color w:val="000000"/>
              </w:rPr>
              <w:t>(1) 对填报的进行一致性审查，减少信息错漏</w:t>
            </w:r>
            <w:r>
              <w:rPr>
                <w:rFonts w:hint="eastAsia" w:ascii="仿宋" w:hAnsi="仿宋" w:eastAsia="仿宋"/>
                <w:color w:val="000000"/>
              </w:rPr>
              <w:br w:type="textWrapping"/>
            </w:r>
            <w:r>
              <w:rPr>
                <w:rFonts w:hint="eastAsia" w:ascii="仿宋" w:hAnsi="仿宋" w:eastAsia="仿宋"/>
                <w:color w:val="000000"/>
              </w:rPr>
              <w:t>利用 Qwen 的文本理解能力，将企业上传的申请材料进行文本解析，提取关键信息。将提取出的信息与企业在系统中填报的内容进行对比，检查是否存在不一致或错漏。通过 Prompt 工程控制 Qwen 的输出格式，使其能够以结构化的方式呈现对比结果，便于系统进一步处理。</w:t>
            </w:r>
            <w:r>
              <w:rPr>
                <w:rFonts w:hint="eastAsia" w:ascii="仿宋" w:hAnsi="仿宋" w:eastAsia="仿宋"/>
                <w:color w:val="000000"/>
              </w:rPr>
              <w:br w:type="textWrapping"/>
            </w:r>
            <w:r>
              <w:rPr>
                <w:rFonts w:hint="eastAsia" w:ascii="仿宋" w:hAnsi="仿宋" w:eastAsia="仿宋"/>
                <w:color w:val="000000"/>
              </w:rPr>
              <w:t>(2) 对材料的审查要点进行智能预审</w:t>
            </w:r>
            <w:r>
              <w:rPr>
                <w:rFonts w:hint="eastAsia" w:ascii="仿宋" w:hAnsi="仿宋" w:eastAsia="仿宋"/>
                <w:color w:val="000000"/>
              </w:rPr>
              <w:br w:type="textWrapping"/>
            </w:r>
            <w:r>
              <w:rPr>
                <w:rFonts w:hint="eastAsia" w:ascii="仿宋" w:hAnsi="仿宋" w:eastAsia="仿宋"/>
                <w:color w:val="000000"/>
              </w:rPr>
              <w:t>基于MAP平台针对药品零售企业经营许可、第三类医疗器械经营许可、第二类医疗器械经营备案三个事项的审查要点，构建专门的审查规则库，并将其与 Qwen 模型结合。系统中当企业完成填报并上传材料后，Qwen 可以根据审查规则库对材料进行智能预审，识别出潜在的问题或不符合要求的地方。将预审结果以提示的形式告知企业，说明可能存在的问题和改进建议。企业可以选择采纳建议进行调整，也可以选择忽略并继续提交，系统不做强制限制。</w:t>
            </w:r>
            <w:r>
              <w:rPr>
                <w:rFonts w:hint="eastAsia" w:ascii="仿宋" w:hAnsi="仿宋" w:eastAsia="仿宋"/>
                <w:color w:val="000000"/>
              </w:rPr>
              <w:br w:type="textWrapping"/>
            </w:r>
            <w:r>
              <w:rPr>
                <w:rFonts w:hint="eastAsia" w:ascii="仿宋" w:hAnsi="仿宋" w:eastAsia="仿宋"/>
                <w:color w:val="000000"/>
              </w:rPr>
              <w:t>(3) 预审结果通过服务中台，上报预审结果</w:t>
            </w:r>
            <w:r>
              <w:rPr>
                <w:rFonts w:hint="eastAsia" w:ascii="仿宋" w:hAnsi="仿宋" w:eastAsia="仿宋"/>
                <w:color w:val="000000"/>
              </w:rPr>
              <w:br w:type="textWrapping"/>
            </w:r>
            <w:r>
              <w:rPr>
                <w:rFonts w:hint="eastAsia" w:ascii="仿宋" w:hAnsi="仿宋" w:eastAsia="仿宋"/>
                <w:color w:val="000000"/>
              </w:rPr>
              <w:t>实现智慧“好办”的预审接口，将智能预审结果通过接口上传“一网通办”平台。满足“一网通办”工作要求。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上海市药品监督管理局行政审批综合业务系统（升级）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大模型平台接口开发-数据上传、多模态文件上传-</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大模型平台接口开发-数据上传、多模态文件上传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上海市药械化现场监管检查码管理系统（新建）</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药械化现场监管检查码管理系统（新建）-检查码的申请和管理-单部门检查码管理-</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6.1.2.1.1.1申请检查码</w:t>
            </w:r>
            <w:r>
              <w:rPr>
                <w:rFonts w:hint="eastAsia" w:ascii="仿宋" w:hAnsi="仿宋" w:eastAsia="仿宋"/>
                <w:color w:val="000000"/>
              </w:rPr>
              <w:br w:type="textWrapping"/>
            </w:r>
            <w:r>
              <w:rPr>
                <w:rFonts w:hint="eastAsia" w:ascii="仿宋" w:hAnsi="仿宋" w:eastAsia="仿宋"/>
                <w:color w:val="000000"/>
              </w:rPr>
              <w:t>提供监管人员进行单部门检查码的申请，通过和法人库对接获取企业法人身份证等信息，通过和执法人员库对接获取执法人员执法证号等信息，完成申码后可以实时检查码图片等信息。</w:t>
            </w:r>
            <w:r>
              <w:rPr>
                <w:rFonts w:hint="eastAsia" w:ascii="仿宋" w:hAnsi="仿宋" w:eastAsia="仿宋"/>
                <w:color w:val="000000"/>
              </w:rPr>
              <w:br w:type="textWrapping"/>
            </w:r>
            <w:r>
              <w:rPr>
                <w:rFonts w:hint="eastAsia" w:ascii="仿宋" w:hAnsi="仿宋" w:eastAsia="仿宋"/>
                <w:color w:val="000000"/>
              </w:rPr>
              <w:t>1. 申请检查码：</w:t>
            </w:r>
            <w:r>
              <w:rPr>
                <w:rFonts w:hint="eastAsia" w:ascii="仿宋" w:hAnsi="仿宋" w:eastAsia="仿宋"/>
                <w:color w:val="000000"/>
              </w:rPr>
              <w:br w:type="textWrapping"/>
            </w:r>
            <w:r>
              <w:rPr>
                <w:rFonts w:hint="eastAsia" w:ascii="仿宋" w:hAnsi="仿宋" w:eastAsia="仿宋"/>
                <w:color w:val="000000"/>
              </w:rPr>
              <w:t>(1) 提供用户进行全库企业查询选择功能，选择企业后可以通过和法人库接口对接获取法人姓名、身份证和手机号等信息</w:t>
            </w:r>
            <w:r>
              <w:rPr>
                <w:rFonts w:hint="eastAsia" w:ascii="仿宋" w:hAnsi="仿宋" w:eastAsia="仿宋"/>
                <w:color w:val="000000"/>
              </w:rPr>
              <w:br w:type="textWrapping"/>
            </w:r>
            <w:r>
              <w:rPr>
                <w:rFonts w:hint="eastAsia" w:ascii="仿宋" w:hAnsi="仿宋" w:eastAsia="仿宋"/>
                <w:color w:val="000000"/>
              </w:rPr>
              <w:t>(2) 提供用户进行全库执法人员查询选择功能，可以通过和全市执法人员库对接获取执法人员执法证号等信息；</w:t>
            </w:r>
            <w:r>
              <w:rPr>
                <w:rFonts w:hint="eastAsia" w:ascii="仿宋" w:hAnsi="仿宋" w:eastAsia="仿宋"/>
                <w:color w:val="000000"/>
              </w:rPr>
              <w:br w:type="textWrapping"/>
            </w:r>
            <w:r>
              <w:rPr>
                <w:rFonts w:hint="eastAsia" w:ascii="仿宋" w:hAnsi="仿宋" w:eastAsia="仿宋"/>
                <w:color w:val="000000"/>
              </w:rPr>
              <w:t>(3) 通过对接市统一执法平台获取本单位审核通过计划列表，支持用户选择一个或多个计划，完成计划选择后系统可以自动将计划中的事项、情形和要点绑定到本次检查码申请中；</w:t>
            </w:r>
            <w:r>
              <w:rPr>
                <w:rFonts w:hint="eastAsia" w:ascii="仿宋" w:hAnsi="仿宋" w:eastAsia="仿宋"/>
                <w:color w:val="000000"/>
              </w:rPr>
              <w:br w:type="textWrapping"/>
            </w:r>
            <w:r>
              <w:rPr>
                <w:rFonts w:hint="eastAsia" w:ascii="仿宋" w:hAnsi="仿宋" w:eastAsia="仿宋"/>
                <w:color w:val="000000"/>
              </w:rPr>
              <w:t>(4) 支持用户选择申请立即发送和暂不发送的检查码，暂不放松的检查码在现场检查时可以再发送；</w:t>
            </w:r>
            <w:r>
              <w:rPr>
                <w:rFonts w:hint="eastAsia" w:ascii="仿宋" w:hAnsi="仿宋" w:eastAsia="仿宋"/>
                <w:color w:val="000000"/>
              </w:rPr>
              <w:br w:type="textWrapping"/>
            </w:r>
            <w:r>
              <w:rPr>
                <w:rFonts w:hint="eastAsia" w:ascii="仿宋" w:hAnsi="仿宋" w:eastAsia="仿宋"/>
                <w:color w:val="000000"/>
              </w:rPr>
              <w:t>(5) 支持用户在申码时选择性的添加企业现场检查负责人信息；</w:t>
            </w:r>
            <w:r>
              <w:rPr>
                <w:rFonts w:hint="eastAsia" w:ascii="仿宋" w:hAnsi="仿宋" w:eastAsia="仿宋"/>
                <w:color w:val="000000"/>
              </w:rPr>
              <w:br w:type="textWrapping"/>
            </w:r>
            <w:r>
              <w:rPr>
                <w:rFonts w:hint="eastAsia" w:ascii="仿宋" w:hAnsi="仿宋" w:eastAsia="仿宋"/>
                <w:color w:val="000000"/>
              </w:rPr>
              <w:t>(6) 申请成功后系统会实时展示检查码的图片信息。</w:t>
            </w:r>
            <w:r>
              <w:rPr>
                <w:rFonts w:hint="eastAsia" w:ascii="仿宋" w:hAnsi="仿宋" w:eastAsia="仿宋"/>
                <w:color w:val="000000"/>
              </w:rPr>
              <w:br w:type="textWrapping"/>
            </w:r>
            <w:r>
              <w:rPr>
                <w:rFonts w:hint="eastAsia" w:ascii="仿宋" w:hAnsi="仿宋" w:eastAsia="仿宋"/>
                <w:color w:val="000000"/>
              </w:rPr>
              <w:t>2.复用检查码</w:t>
            </w:r>
            <w:r>
              <w:rPr>
                <w:rFonts w:hint="eastAsia" w:ascii="仿宋" w:hAnsi="仿宋" w:eastAsia="仿宋"/>
                <w:color w:val="000000"/>
              </w:rPr>
              <w:br w:type="textWrapping"/>
            </w:r>
            <w:r>
              <w:rPr>
                <w:rFonts w:hint="eastAsia" w:ascii="仿宋" w:hAnsi="仿宋" w:eastAsia="仿宋"/>
                <w:color w:val="000000"/>
              </w:rPr>
              <w:t>当监管人员对企业进行复查时也可复用上次检查时申请的检查码，同时需要进行检查人员和时间的更新。</w:t>
            </w:r>
            <w:r>
              <w:rPr>
                <w:rFonts w:hint="eastAsia" w:ascii="仿宋" w:hAnsi="仿宋" w:eastAsia="仿宋"/>
                <w:color w:val="000000"/>
              </w:rPr>
              <w:br w:type="textWrapping"/>
            </w:r>
            <w:r>
              <w:rPr>
                <w:rFonts w:hint="eastAsia" w:ascii="仿宋" w:hAnsi="仿宋" w:eastAsia="仿宋"/>
                <w:color w:val="000000"/>
              </w:rPr>
              <w:t>(1) 可以获取当前企业、当前监管部门上次检查申请的检查码，并自动和当前检查进行绑定；</w:t>
            </w:r>
            <w:r>
              <w:rPr>
                <w:rFonts w:hint="eastAsia" w:ascii="仿宋" w:hAnsi="仿宋" w:eastAsia="仿宋"/>
                <w:color w:val="000000"/>
              </w:rPr>
              <w:br w:type="textWrapping"/>
            </w:r>
            <w:r>
              <w:rPr>
                <w:rFonts w:hint="eastAsia" w:ascii="仿宋" w:hAnsi="仿宋" w:eastAsia="仿宋"/>
                <w:color w:val="000000"/>
              </w:rPr>
              <w:t>(2) 绑定成功后，提供用户进行检查日期、检查人员和检查事项等信息的修改。</w:t>
            </w:r>
            <w:r>
              <w:rPr>
                <w:rFonts w:hint="eastAsia" w:ascii="仿宋" w:hAnsi="仿宋" w:eastAsia="仿宋"/>
                <w:color w:val="000000"/>
              </w:rPr>
              <w:br w:type="textWrapping"/>
            </w:r>
            <w:r>
              <w:rPr>
                <w:rFonts w:hint="eastAsia" w:ascii="仿宋" w:hAnsi="仿宋" w:eastAsia="仿宋"/>
                <w:color w:val="000000"/>
              </w:rPr>
              <w:t>6.1.2.1.1.2单部门检查码管理</w:t>
            </w:r>
            <w:r>
              <w:rPr>
                <w:rFonts w:hint="eastAsia" w:ascii="仿宋" w:hAnsi="仿宋" w:eastAsia="仿宋"/>
                <w:color w:val="000000"/>
              </w:rPr>
              <w:br w:type="textWrapping"/>
            </w:r>
            <w:r>
              <w:rPr>
                <w:rFonts w:hint="eastAsia" w:ascii="仿宋" w:hAnsi="仿宋" w:eastAsia="仿宋"/>
                <w:color w:val="000000"/>
              </w:rPr>
              <w:t>提供监管人员对已经申请成功的单部门检查码进行统一管理，可以进行查询、导出、注销、作废等操作。</w:t>
            </w:r>
            <w:r>
              <w:rPr>
                <w:rFonts w:hint="eastAsia" w:ascii="仿宋" w:hAnsi="仿宋" w:eastAsia="仿宋"/>
                <w:color w:val="000000"/>
              </w:rPr>
              <w:br w:type="textWrapping"/>
            </w:r>
            <w:r>
              <w:rPr>
                <w:rFonts w:hint="eastAsia" w:ascii="仿宋" w:hAnsi="仿宋" w:eastAsia="仿宋"/>
                <w:color w:val="000000"/>
              </w:rPr>
              <w:t>1. 查询检查码</w:t>
            </w:r>
            <w:r>
              <w:rPr>
                <w:rFonts w:hint="eastAsia" w:ascii="仿宋" w:hAnsi="仿宋" w:eastAsia="仿宋"/>
                <w:color w:val="000000"/>
              </w:rPr>
              <w:br w:type="textWrapping"/>
            </w:r>
            <w:r>
              <w:rPr>
                <w:rFonts w:hint="eastAsia" w:ascii="仿宋" w:hAnsi="仿宋" w:eastAsia="仿宋"/>
                <w:color w:val="000000"/>
              </w:rPr>
              <w:t>可以根据申码单位及部门、申码日期、申码企业、检查码状态、检查状态等进行查询，系统可以根据权限控制可以查询的检查码数据范围（全市、本单位、本部门、本人）。</w:t>
            </w:r>
            <w:r>
              <w:rPr>
                <w:rFonts w:hint="eastAsia" w:ascii="仿宋" w:hAnsi="仿宋" w:eastAsia="仿宋"/>
                <w:color w:val="000000"/>
              </w:rPr>
              <w:br w:type="textWrapping"/>
            </w:r>
            <w:r>
              <w:rPr>
                <w:rFonts w:hint="eastAsia" w:ascii="仿宋" w:hAnsi="仿宋" w:eastAsia="仿宋"/>
                <w:color w:val="000000"/>
              </w:rPr>
              <w:t>2. 导出检查码</w:t>
            </w:r>
            <w:r>
              <w:rPr>
                <w:rFonts w:hint="eastAsia" w:ascii="仿宋" w:hAnsi="仿宋" w:eastAsia="仿宋"/>
                <w:color w:val="000000"/>
              </w:rPr>
              <w:br w:type="textWrapping"/>
            </w:r>
            <w:r>
              <w:rPr>
                <w:rFonts w:hint="eastAsia" w:ascii="仿宋" w:hAnsi="仿宋" w:eastAsia="仿宋"/>
                <w:color w:val="000000"/>
              </w:rPr>
              <w:t>可以将检查码申请信息和检查结果导出为EXCEL。</w:t>
            </w:r>
            <w:r>
              <w:rPr>
                <w:rFonts w:hint="eastAsia" w:ascii="仿宋" w:hAnsi="仿宋" w:eastAsia="仿宋"/>
                <w:color w:val="000000"/>
              </w:rPr>
              <w:br w:type="textWrapping"/>
            </w:r>
            <w:r>
              <w:rPr>
                <w:rFonts w:hint="eastAsia" w:ascii="仿宋" w:hAnsi="仿宋" w:eastAsia="仿宋"/>
                <w:color w:val="000000"/>
              </w:rPr>
              <w:t>3. 注销检查码</w:t>
            </w:r>
            <w:r>
              <w:rPr>
                <w:rFonts w:hint="eastAsia" w:ascii="仿宋" w:hAnsi="仿宋" w:eastAsia="仿宋"/>
                <w:color w:val="000000"/>
              </w:rPr>
              <w:br w:type="textWrapping"/>
            </w:r>
            <w:r>
              <w:rPr>
                <w:rFonts w:hint="eastAsia" w:ascii="仿宋" w:hAnsi="仿宋" w:eastAsia="仿宋"/>
                <w:color w:val="000000"/>
              </w:rPr>
              <w:t>可以对没有激活发送的检查码进行注销，系统会进行权限控制并记录注销操作历史。</w:t>
            </w:r>
            <w:r>
              <w:rPr>
                <w:rFonts w:hint="eastAsia" w:ascii="仿宋" w:hAnsi="仿宋" w:eastAsia="仿宋"/>
                <w:color w:val="000000"/>
              </w:rPr>
              <w:br w:type="textWrapping"/>
            </w:r>
            <w:r>
              <w:rPr>
                <w:rFonts w:hint="eastAsia" w:ascii="仿宋" w:hAnsi="仿宋" w:eastAsia="仿宋"/>
                <w:color w:val="000000"/>
              </w:rPr>
              <w:t>4. 作废检查码</w:t>
            </w:r>
            <w:r>
              <w:rPr>
                <w:rFonts w:hint="eastAsia" w:ascii="仿宋" w:hAnsi="仿宋" w:eastAsia="仿宋"/>
                <w:color w:val="000000"/>
              </w:rPr>
              <w:br w:type="textWrapping"/>
            </w:r>
            <w:r>
              <w:rPr>
                <w:rFonts w:hint="eastAsia" w:ascii="仿宋" w:hAnsi="仿宋" w:eastAsia="仿宋"/>
                <w:color w:val="000000"/>
              </w:rPr>
              <w:t>可以对已经激活发送的检查码进行作废，系统会进行权限控制并记录作废操作历史。</w:t>
            </w:r>
            <w:r>
              <w:rPr>
                <w:rFonts w:hint="eastAsia" w:ascii="仿宋" w:hAnsi="仿宋" w:eastAsia="仿宋"/>
                <w:color w:val="000000"/>
              </w:rPr>
              <w:br w:type="textWrapping"/>
            </w:r>
            <w:r>
              <w:rPr>
                <w:rFonts w:hint="eastAsia" w:ascii="仿宋" w:hAnsi="仿宋" w:eastAsia="仿宋"/>
                <w:color w:val="000000"/>
              </w:rPr>
              <w:t>5. 查看检查码详情</w:t>
            </w:r>
            <w:r>
              <w:rPr>
                <w:rFonts w:hint="eastAsia" w:ascii="仿宋" w:hAnsi="仿宋" w:eastAsia="仿宋"/>
                <w:color w:val="000000"/>
              </w:rPr>
              <w:br w:type="textWrapping"/>
            </w:r>
            <w:r>
              <w:rPr>
                <w:rFonts w:hint="eastAsia" w:ascii="仿宋" w:hAnsi="仿宋" w:eastAsia="仿宋"/>
                <w:color w:val="000000"/>
              </w:rPr>
              <w:t>可以查看检查码的详情申请信息，包括申请人、申请时间、被检查企业、检查人员、检查事项、检查计划及检查码图片等信息。</w:t>
            </w:r>
            <w:r>
              <w:rPr>
                <w:rFonts w:hint="eastAsia" w:ascii="仿宋" w:hAnsi="仿宋" w:eastAsia="仿宋"/>
                <w:color w:val="000000"/>
              </w:rPr>
              <w:br w:type="textWrapping"/>
            </w:r>
            <w:r>
              <w:rPr>
                <w:rFonts w:hint="eastAsia" w:ascii="仿宋" w:hAnsi="仿宋" w:eastAsia="仿宋"/>
                <w:color w:val="000000"/>
              </w:rPr>
              <w:t>6. 查看检查结果</w:t>
            </w:r>
            <w:r>
              <w:rPr>
                <w:rFonts w:hint="eastAsia" w:ascii="仿宋" w:hAnsi="仿宋" w:eastAsia="仿宋"/>
                <w:color w:val="000000"/>
              </w:rPr>
              <w:br w:type="textWrapping"/>
            </w:r>
            <w:r>
              <w:rPr>
                <w:rFonts w:hint="eastAsia" w:ascii="仿宋" w:hAnsi="仿宋" w:eastAsia="仿宋"/>
                <w:color w:val="000000"/>
              </w:rPr>
              <w:t>针对已经完成检查的检查码，可以进行检查结果的查看，并可以直接调整到监管业务系统的详情页面中。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上海市药械化现场监管检查码管理系统（新建）</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药械化现场监管检查码管理系统（新建）-检查码的申请和管理-跨部门联合检查码管理-发起联合检查</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提供监管人员在发起联合检查，需要填写本部门的申码信息，还需要选择需要联合检查的其它委办局单位。发起成功后需要等所有参与部门都确认后才能正式获取联合检查码。</w:t>
            </w:r>
            <w:r>
              <w:rPr>
                <w:rFonts w:hint="eastAsia" w:ascii="仿宋" w:hAnsi="仿宋" w:eastAsia="仿宋"/>
                <w:color w:val="000000"/>
              </w:rPr>
              <w:br w:type="textWrapping"/>
            </w:r>
            <w:r>
              <w:rPr>
                <w:rFonts w:hint="eastAsia" w:ascii="仿宋" w:hAnsi="仿宋" w:eastAsia="仿宋"/>
                <w:color w:val="000000"/>
              </w:rPr>
              <w:t>1. 发起联合检查：</w:t>
            </w:r>
            <w:r>
              <w:rPr>
                <w:rFonts w:hint="eastAsia" w:ascii="仿宋" w:hAnsi="仿宋" w:eastAsia="仿宋"/>
                <w:color w:val="000000"/>
              </w:rPr>
              <w:br w:type="textWrapping"/>
            </w:r>
            <w:r>
              <w:rPr>
                <w:rFonts w:hint="eastAsia" w:ascii="仿宋" w:hAnsi="仿宋" w:eastAsia="仿宋"/>
                <w:color w:val="000000"/>
              </w:rPr>
              <w:t>(1) 提供用户进行全库企业查询选择功能，选择企业后可以通过和法人库接口对接获取法人姓名、身份证和手机号等信息</w:t>
            </w:r>
            <w:r>
              <w:rPr>
                <w:rFonts w:hint="eastAsia" w:ascii="仿宋" w:hAnsi="仿宋" w:eastAsia="仿宋"/>
                <w:color w:val="000000"/>
              </w:rPr>
              <w:br w:type="textWrapping"/>
            </w:r>
            <w:r>
              <w:rPr>
                <w:rFonts w:hint="eastAsia" w:ascii="仿宋" w:hAnsi="仿宋" w:eastAsia="仿宋"/>
                <w:color w:val="000000"/>
              </w:rPr>
              <w:t>(2) 提供用户进行全库执法人员查询选择功能，可以通过和全市执法人员库对接获取执法人员执法证号等信息；</w:t>
            </w:r>
            <w:r>
              <w:rPr>
                <w:rFonts w:hint="eastAsia" w:ascii="仿宋" w:hAnsi="仿宋" w:eastAsia="仿宋"/>
                <w:color w:val="000000"/>
              </w:rPr>
              <w:br w:type="textWrapping"/>
            </w:r>
            <w:r>
              <w:rPr>
                <w:rFonts w:hint="eastAsia" w:ascii="仿宋" w:hAnsi="仿宋" w:eastAsia="仿宋"/>
                <w:color w:val="000000"/>
              </w:rPr>
              <w:t>(3) 通过对接市统一执法平台获取本单位审核通过计划列表，支持用户选择一个或多个计划，完成计划选择后系统可以自动将计划中的事项、情形和要点绑定到本次检查码申请中；</w:t>
            </w:r>
            <w:r>
              <w:rPr>
                <w:rFonts w:hint="eastAsia" w:ascii="仿宋" w:hAnsi="仿宋" w:eastAsia="仿宋"/>
                <w:color w:val="000000"/>
              </w:rPr>
              <w:br w:type="textWrapping"/>
            </w:r>
            <w:r>
              <w:rPr>
                <w:rFonts w:hint="eastAsia" w:ascii="仿宋" w:hAnsi="仿宋" w:eastAsia="仿宋"/>
                <w:color w:val="000000"/>
              </w:rPr>
              <w:t>(4) 提供用户选择其他参与联合检查的委办局（如区市场局、医保局、卫健委、民政局等）。</w:t>
            </w:r>
            <w:r>
              <w:rPr>
                <w:rFonts w:hint="eastAsia" w:ascii="仿宋" w:hAnsi="仿宋" w:eastAsia="仿宋"/>
                <w:color w:val="000000"/>
              </w:rPr>
              <w:br w:type="textWrapping"/>
            </w:r>
            <w:r>
              <w:rPr>
                <w:rFonts w:hint="eastAsia" w:ascii="仿宋" w:hAnsi="仿宋" w:eastAsia="仿宋"/>
                <w:color w:val="000000"/>
              </w:rPr>
              <w:t>2. 获取联合检查码：</w:t>
            </w:r>
            <w:r>
              <w:rPr>
                <w:rFonts w:hint="eastAsia" w:ascii="仿宋" w:hAnsi="仿宋" w:eastAsia="仿宋"/>
                <w:color w:val="000000"/>
              </w:rPr>
              <w:br w:type="textWrapping"/>
            </w:r>
            <w:r>
              <w:rPr>
                <w:rFonts w:hint="eastAsia" w:ascii="仿宋" w:hAnsi="仿宋" w:eastAsia="仿宋"/>
                <w:color w:val="000000"/>
              </w:rPr>
              <w:t>待所有参与单位都确认参加本次联合检查后系统可以自动获取联合检查码。</w:t>
            </w:r>
            <w:r>
              <w:rPr>
                <w:rFonts w:hint="eastAsia" w:ascii="仿宋" w:hAnsi="仿宋" w:eastAsia="仿宋"/>
                <w:color w:val="000000"/>
              </w:rPr>
              <w:br w:type="textWrapping"/>
            </w:r>
            <w:r>
              <w:rPr>
                <w:rFonts w:hint="eastAsia" w:ascii="仿宋" w:hAnsi="仿宋" w:eastAsia="仿宋"/>
                <w:color w:val="000000"/>
              </w:rPr>
              <w:t>3. 激活联合检查码：</w:t>
            </w:r>
            <w:r>
              <w:rPr>
                <w:rFonts w:hint="eastAsia" w:ascii="仿宋" w:hAnsi="仿宋" w:eastAsia="仿宋"/>
                <w:color w:val="000000"/>
              </w:rPr>
              <w:br w:type="textWrapping"/>
            </w:r>
            <w:r>
              <w:rPr>
                <w:rFonts w:hint="eastAsia" w:ascii="仿宋" w:hAnsi="仿宋" w:eastAsia="仿宋"/>
                <w:color w:val="000000"/>
              </w:rPr>
              <w:t>用户可以对获取到的联合检查码进行激活发送，成功后企业法人将收到短信提示。</w:t>
            </w:r>
            <w:r>
              <w:rPr>
                <w:rFonts w:hint="eastAsia" w:ascii="仿宋" w:hAnsi="仿宋" w:eastAsia="仿宋"/>
                <w:color w:val="000000"/>
              </w:rPr>
              <w:br w:type="textWrapping"/>
            </w:r>
            <w:r>
              <w:rPr>
                <w:rFonts w:hint="eastAsia" w:ascii="仿宋" w:hAnsi="仿宋" w:eastAsia="仿宋"/>
                <w:color w:val="000000"/>
              </w:rPr>
              <w:t>4. 结束联合检查码：</w:t>
            </w:r>
            <w:r>
              <w:rPr>
                <w:rFonts w:hint="eastAsia" w:ascii="仿宋" w:hAnsi="仿宋" w:eastAsia="仿宋"/>
                <w:color w:val="000000"/>
              </w:rPr>
              <w:br w:type="textWrapping"/>
            </w:r>
            <w:r>
              <w:rPr>
                <w:rFonts w:hint="eastAsia" w:ascii="仿宋" w:hAnsi="仿宋" w:eastAsia="仿宋"/>
                <w:color w:val="000000"/>
              </w:rPr>
              <w:t>当出现有任意一个参与单位都确认不参加本次联合检查后系统自动结束本次联合检查。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上海市药械化现场监管检查码管理系统（新建）</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药械化现场监管检查码管理系统（新建）-检查码的申请和管理-跨部门联合检查码管理-主动确认联合检查</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提供监管人员对邀请本单位参与的联合检查进行确认，确认结果包括参与和不参与，参与后需要等所有参与部门都确认后才能正式获取联合检查码。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上海市药械化现场监管检查码管理系统（新建）</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药械化现场监管检查码管理系统（新建）-检查码的申请和管理-跨部门联合检查码管理-撮合加入</w:t>
            </w:r>
            <w:r>
              <w:rPr>
                <w:rFonts w:hint="eastAsia" w:ascii="仿宋" w:hAnsi="仿宋" w:eastAsia="仿宋"/>
                <w:color w:val="000000"/>
                <w:lang w:eastAsia="zh-CN"/>
              </w:rPr>
              <w:t>（</w:t>
            </w:r>
            <w:r>
              <w:rPr>
                <w:rFonts w:hint="default" w:ascii="仿宋" w:hAnsi="仿宋" w:eastAsia="仿宋"/>
                <w:color w:val="000000"/>
                <w:lang w:val="en-US" w:eastAsia="zh-CN"/>
              </w:rPr>
              <w:t>ru</w:t>
            </w:r>
            <w:r>
              <w:rPr>
                <w:rFonts w:hint="eastAsia" w:ascii="仿宋" w:hAnsi="仿宋" w:eastAsia="仿宋"/>
                <w:color w:val="000000"/>
                <w:lang w:eastAsia="zh-CN"/>
              </w:rPr>
              <w:t>）</w:t>
            </w:r>
            <w:r>
              <w:rPr>
                <w:rFonts w:hint="eastAsia" w:ascii="仿宋" w:hAnsi="仿宋" w:eastAsia="仿宋"/>
                <w:color w:val="000000"/>
              </w:rPr>
              <w:t>联合检查</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提供监管人员主动加入其它委办局已经确认完成的联合检查码，需要提交本单位的检查人员、检查事项等信息，可以实时获取联合检查码。</w:t>
            </w:r>
            <w:r>
              <w:rPr>
                <w:rFonts w:hint="eastAsia" w:ascii="仿宋" w:hAnsi="仿宋" w:eastAsia="仿宋"/>
                <w:color w:val="000000"/>
              </w:rPr>
              <w:br w:type="textWrapping"/>
            </w:r>
            <w:r>
              <w:rPr>
                <w:rFonts w:hint="eastAsia" w:ascii="仿宋" w:hAnsi="仿宋" w:eastAsia="仿宋"/>
                <w:color w:val="000000"/>
              </w:rPr>
              <w:t>1. 本单位可以加入的联合检查</w:t>
            </w:r>
            <w:r>
              <w:rPr>
                <w:rFonts w:hint="eastAsia" w:ascii="仿宋" w:hAnsi="仿宋" w:eastAsia="仿宋"/>
                <w:color w:val="000000"/>
              </w:rPr>
              <w:br w:type="textWrapping"/>
            </w:r>
            <w:r>
              <w:rPr>
                <w:rFonts w:hint="eastAsia" w:ascii="仿宋" w:hAnsi="仿宋" w:eastAsia="仿宋"/>
                <w:color w:val="000000"/>
              </w:rPr>
              <w:t>系统会自动列举出所有当前企业本单位可以参与的联合检查。</w:t>
            </w:r>
            <w:r>
              <w:rPr>
                <w:rFonts w:hint="eastAsia" w:ascii="仿宋" w:hAnsi="仿宋" w:eastAsia="仿宋"/>
                <w:color w:val="000000"/>
              </w:rPr>
              <w:br w:type="textWrapping"/>
            </w:r>
            <w:r>
              <w:rPr>
                <w:rFonts w:hint="eastAsia" w:ascii="仿宋" w:hAnsi="仿宋" w:eastAsia="仿宋"/>
                <w:color w:val="000000"/>
              </w:rPr>
              <w:t>2. 加</w:t>
            </w:r>
            <w:r>
              <w:rPr>
                <w:rFonts w:hint="default" w:ascii="仿宋" w:hAnsi="仿宋" w:eastAsia="仿宋"/>
                <w:color w:val="000000"/>
                <w:lang w:val="en-US"/>
              </w:rPr>
              <w:t>入（ru）联</w:t>
            </w:r>
            <w:r>
              <w:rPr>
                <w:rFonts w:hint="eastAsia" w:ascii="仿宋" w:hAnsi="仿宋" w:eastAsia="仿宋"/>
                <w:color w:val="000000"/>
              </w:rPr>
              <w:t>合检查：</w:t>
            </w:r>
            <w:r>
              <w:rPr>
                <w:rFonts w:hint="eastAsia" w:ascii="仿宋" w:hAnsi="仿宋" w:eastAsia="仿宋"/>
                <w:color w:val="000000"/>
              </w:rPr>
              <w:br w:type="textWrapping"/>
            </w:r>
            <w:r>
              <w:rPr>
                <w:rFonts w:hint="eastAsia" w:ascii="仿宋" w:hAnsi="仿宋" w:eastAsia="仿宋"/>
                <w:color w:val="000000"/>
              </w:rPr>
              <w:t>用户可以直接选择加</w:t>
            </w:r>
            <w:r>
              <w:rPr>
                <w:rFonts w:hint="default" w:ascii="仿宋" w:hAnsi="仿宋" w:eastAsia="仿宋"/>
                <w:color w:val="000000"/>
                <w:lang w:val="en-US"/>
              </w:rPr>
              <w:t>入（ru）联</w:t>
            </w:r>
            <w:r>
              <w:rPr>
                <w:rFonts w:hint="eastAsia" w:ascii="仿宋" w:hAnsi="仿宋" w:eastAsia="仿宋"/>
                <w:color w:val="000000"/>
              </w:rPr>
              <w:t>合检查，需要填写完整检查码申请信息（包括检查人员、检查事项、检查计划等），加入成功后可以实时获取到联合检查码。</w:t>
            </w:r>
            <w:r>
              <w:rPr>
                <w:rFonts w:hint="eastAsia" w:ascii="仿宋" w:hAnsi="仿宋" w:eastAsia="仿宋"/>
                <w:color w:val="000000"/>
              </w:rPr>
              <w:br w:type="textWrapping"/>
            </w:r>
            <w:r>
              <w:rPr>
                <w:rFonts w:hint="eastAsia" w:ascii="仿宋" w:hAnsi="仿宋" w:eastAsia="仿宋"/>
                <w:color w:val="000000"/>
              </w:rPr>
              <w:t>3. 激活联合检查码：</w:t>
            </w:r>
            <w:r>
              <w:rPr>
                <w:rFonts w:hint="eastAsia" w:ascii="仿宋" w:hAnsi="仿宋" w:eastAsia="仿宋"/>
                <w:color w:val="000000"/>
              </w:rPr>
              <w:br w:type="textWrapping"/>
            </w:r>
            <w:r>
              <w:rPr>
                <w:rFonts w:hint="eastAsia" w:ascii="仿宋" w:hAnsi="仿宋" w:eastAsia="仿宋"/>
                <w:color w:val="000000"/>
              </w:rPr>
              <w:t>用户可以对获取到的联合检查码进行激活发送，成功后企业法人将收到短信提示。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上海市药械化现场监管检查码管理系统（新建）</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药械化现场监管检查码管理系统（新建）-检查码的申请和管理-跨部门联合检查码管理-药监体系内自动撮合成联合检查</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实现第一个药品监管单位申请了单部门检查码，第二个药品监管单位在30天内也要对该企业进行检查时能够进行自动撮合，后台自动取消单部门检查码，并合并两个单位的申码信息申请联合检查码，实现联合检查码的自动撮合，最终以联合检查码的形式对企业进行检查。</w:t>
            </w:r>
            <w:r>
              <w:rPr>
                <w:rFonts w:hint="eastAsia" w:ascii="仿宋" w:hAnsi="仿宋" w:eastAsia="仿宋"/>
                <w:color w:val="000000"/>
              </w:rPr>
              <w:br w:type="textWrapping"/>
            </w:r>
            <w:r>
              <w:rPr>
                <w:rFonts w:hint="eastAsia" w:ascii="仿宋" w:hAnsi="仿宋" w:eastAsia="仿宋"/>
                <w:color w:val="000000"/>
              </w:rPr>
              <w:t>1. 本单位可以撮合单部门检查码</w:t>
            </w:r>
            <w:r>
              <w:rPr>
                <w:rFonts w:hint="eastAsia" w:ascii="仿宋" w:hAnsi="仿宋" w:eastAsia="仿宋"/>
                <w:color w:val="000000"/>
              </w:rPr>
              <w:br w:type="textWrapping"/>
            </w:r>
            <w:r>
              <w:rPr>
                <w:rFonts w:hint="eastAsia" w:ascii="仿宋" w:hAnsi="仿宋" w:eastAsia="仿宋"/>
                <w:color w:val="000000"/>
              </w:rPr>
              <w:t>系统会自动列举出所有当前企业其它委办局将要开展检查的单部门检查码。</w:t>
            </w:r>
            <w:r>
              <w:rPr>
                <w:rFonts w:hint="eastAsia" w:ascii="仿宋" w:hAnsi="仿宋" w:eastAsia="仿宋"/>
                <w:color w:val="000000"/>
              </w:rPr>
              <w:br w:type="textWrapping"/>
            </w:r>
            <w:r>
              <w:rPr>
                <w:rFonts w:hint="eastAsia" w:ascii="仿宋" w:hAnsi="仿宋" w:eastAsia="仿宋"/>
                <w:color w:val="000000"/>
              </w:rPr>
              <w:t>2. 自动撮合成联合检查：</w:t>
            </w:r>
            <w:r>
              <w:rPr>
                <w:rFonts w:hint="eastAsia" w:ascii="仿宋" w:hAnsi="仿宋" w:eastAsia="仿宋"/>
                <w:color w:val="000000"/>
              </w:rPr>
              <w:br w:type="textWrapping"/>
            </w:r>
            <w:r>
              <w:rPr>
                <w:rFonts w:hint="eastAsia" w:ascii="仿宋" w:hAnsi="仿宋" w:eastAsia="仿宋"/>
                <w:color w:val="000000"/>
              </w:rPr>
              <w:t>系统会自动获取其他委办局的申码信息和当前部门的申码信息，自动发起一个联合检查码申请，并自动完成联合检查码的确认参与，并获取到联合检查码。</w:t>
            </w:r>
            <w:r>
              <w:rPr>
                <w:rFonts w:hint="eastAsia" w:ascii="仿宋" w:hAnsi="仿宋" w:eastAsia="仿宋"/>
                <w:color w:val="000000"/>
              </w:rPr>
              <w:br w:type="textWrapping"/>
            </w:r>
            <w:r>
              <w:rPr>
                <w:rFonts w:hint="eastAsia" w:ascii="仿宋" w:hAnsi="仿宋" w:eastAsia="仿宋"/>
                <w:color w:val="000000"/>
              </w:rPr>
              <w:t>系统会通过短信通知相关的申码人员提示单部门检查码已经自动撮合成联合检查码。</w:t>
            </w:r>
            <w:r>
              <w:rPr>
                <w:rFonts w:hint="eastAsia" w:ascii="仿宋" w:hAnsi="仿宋" w:eastAsia="仿宋"/>
                <w:color w:val="000000"/>
              </w:rPr>
              <w:br w:type="textWrapping"/>
            </w:r>
            <w:r>
              <w:rPr>
                <w:rFonts w:hint="eastAsia" w:ascii="仿宋" w:hAnsi="仿宋" w:eastAsia="仿宋"/>
                <w:color w:val="000000"/>
              </w:rPr>
              <w:t>3. 激活联合检查码：</w:t>
            </w:r>
            <w:r>
              <w:rPr>
                <w:rFonts w:hint="eastAsia" w:ascii="仿宋" w:hAnsi="仿宋" w:eastAsia="仿宋"/>
                <w:color w:val="000000"/>
              </w:rPr>
              <w:br w:type="textWrapping"/>
            </w:r>
            <w:r>
              <w:rPr>
                <w:rFonts w:hint="eastAsia" w:ascii="仿宋" w:hAnsi="仿宋" w:eastAsia="仿宋"/>
                <w:color w:val="000000"/>
              </w:rPr>
              <w:t>用户可以对获取到的联合检查码进行激活发送，成功后企业法人将收到短信提示。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上海市药械化现场监管检查码管理系统（新建）</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药械化现场监管检查码管理系统（新建）-检查码的申请和管理-跨部门联合检查码管理-单部门跨条线复用联合检查</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提供区市场局监管人员可复用在市场监管系统中申请的检查码，可以实现监管人员同时对企业进行食品事项和药械事项检查时可以共用一个检查码。</w:t>
            </w:r>
            <w:r>
              <w:rPr>
                <w:rFonts w:hint="eastAsia" w:ascii="仿宋" w:hAnsi="仿宋" w:eastAsia="仿宋"/>
                <w:color w:val="000000"/>
              </w:rPr>
              <w:br w:type="textWrapping"/>
            </w:r>
            <w:r>
              <w:rPr>
                <w:rFonts w:hint="eastAsia" w:ascii="仿宋" w:hAnsi="仿宋" w:eastAsia="仿宋"/>
                <w:color w:val="000000"/>
              </w:rPr>
              <w:t>1. 本单位可以复用的单部门检查码</w:t>
            </w:r>
            <w:r>
              <w:rPr>
                <w:rFonts w:hint="eastAsia" w:ascii="仿宋" w:hAnsi="仿宋" w:eastAsia="仿宋"/>
                <w:color w:val="000000"/>
              </w:rPr>
              <w:br w:type="textWrapping"/>
            </w:r>
            <w:r>
              <w:rPr>
                <w:rFonts w:hint="eastAsia" w:ascii="仿宋" w:hAnsi="仿宋" w:eastAsia="仿宋"/>
                <w:color w:val="000000"/>
              </w:rPr>
              <w:t>系统会自动列举出所有本单位在市市监局监管系统中针对该企业已经完成申请但未完成检查的检查码。</w:t>
            </w:r>
            <w:r>
              <w:rPr>
                <w:rFonts w:hint="eastAsia" w:ascii="仿宋" w:hAnsi="仿宋" w:eastAsia="仿宋"/>
                <w:color w:val="000000"/>
              </w:rPr>
              <w:br w:type="textWrapping"/>
            </w:r>
            <w:r>
              <w:rPr>
                <w:rFonts w:hint="eastAsia" w:ascii="仿宋" w:hAnsi="仿宋" w:eastAsia="仿宋"/>
                <w:color w:val="000000"/>
              </w:rPr>
              <w:t>2. 复用单部门检查码：</w:t>
            </w:r>
            <w:r>
              <w:rPr>
                <w:rFonts w:hint="eastAsia" w:ascii="仿宋" w:hAnsi="仿宋" w:eastAsia="仿宋"/>
                <w:color w:val="000000"/>
              </w:rPr>
              <w:br w:type="textWrapping"/>
            </w:r>
            <w:r>
              <w:rPr>
                <w:rFonts w:hint="eastAsia" w:ascii="仿宋" w:hAnsi="仿宋" w:eastAsia="仿宋"/>
                <w:color w:val="000000"/>
              </w:rPr>
              <w:t>用户可以选择直接服用之前申请好的检查码，复用成功后可以获取检查码的图片及相应的申码信息。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上海市药械化现场监管检查码管理系统（新建）</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药械化现场监管检查码管理系统（新建）-检查码的申请和管理-跨部门联合检查码管理-联合检查管理</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提供监管人员对已经申请成功的联合检查码进行统一管理，可以进行查询、导出、作废等操作。</w:t>
            </w:r>
            <w:r>
              <w:rPr>
                <w:rFonts w:hint="eastAsia" w:ascii="仿宋" w:hAnsi="仿宋" w:eastAsia="仿宋"/>
                <w:color w:val="000000"/>
              </w:rPr>
              <w:br w:type="textWrapping"/>
            </w:r>
            <w:r>
              <w:rPr>
                <w:rFonts w:hint="eastAsia" w:ascii="仿宋" w:hAnsi="仿宋" w:eastAsia="仿宋"/>
                <w:color w:val="000000"/>
              </w:rPr>
              <w:t>1. 查询联合检查码</w:t>
            </w:r>
            <w:r>
              <w:rPr>
                <w:rFonts w:hint="eastAsia" w:ascii="仿宋" w:hAnsi="仿宋" w:eastAsia="仿宋"/>
                <w:color w:val="000000"/>
              </w:rPr>
              <w:br w:type="textWrapping"/>
            </w:r>
            <w:r>
              <w:rPr>
                <w:rFonts w:hint="eastAsia" w:ascii="仿宋" w:hAnsi="仿宋" w:eastAsia="仿宋"/>
                <w:color w:val="000000"/>
              </w:rPr>
              <w:t>可以根据申码单位及部门、申码日期、申码企业、检查码状态、检查状态等进行查询，系统可以根据权限控制可以查询的检查码数据范围（全市、本单位、本部门、本人）。</w:t>
            </w:r>
            <w:r>
              <w:rPr>
                <w:rFonts w:hint="eastAsia" w:ascii="仿宋" w:hAnsi="仿宋" w:eastAsia="仿宋"/>
                <w:color w:val="000000"/>
              </w:rPr>
              <w:br w:type="textWrapping"/>
            </w:r>
            <w:r>
              <w:rPr>
                <w:rFonts w:hint="eastAsia" w:ascii="仿宋" w:hAnsi="仿宋" w:eastAsia="仿宋"/>
                <w:color w:val="000000"/>
              </w:rPr>
              <w:t>2. 导出联合检查码</w:t>
            </w:r>
            <w:r>
              <w:rPr>
                <w:rFonts w:hint="eastAsia" w:ascii="仿宋" w:hAnsi="仿宋" w:eastAsia="仿宋"/>
                <w:color w:val="000000"/>
              </w:rPr>
              <w:br w:type="textWrapping"/>
            </w:r>
            <w:r>
              <w:rPr>
                <w:rFonts w:hint="eastAsia" w:ascii="仿宋" w:hAnsi="仿宋" w:eastAsia="仿宋"/>
                <w:color w:val="000000"/>
              </w:rPr>
              <w:t>可以将联合检查码申请信息和检查结果导出为EXCEL。</w:t>
            </w:r>
            <w:r>
              <w:rPr>
                <w:rFonts w:hint="eastAsia" w:ascii="仿宋" w:hAnsi="仿宋" w:eastAsia="仿宋"/>
                <w:color w:val="000000"/>
              </w:rPr>
              <w:br w:type="textWrapping"/>
            </w:r>
            <w:r>
              <w:rPr>
                <w:rFonts w:hint="eastAsia" w:ascii="仿宋" w:hAnsi="仿宋" w:eastAsia="仿宋"/>
                <w:color w:val="000000"/>
              </w:rPr>
              <w:t>3. 作废联合检查码</w:t>
            </w:r>
            <w:r>
              <w:rPr>
                <w:rFonts w:hint="eastAsia" w:ascii="仿宋" w:hAnsi="仿宋" w:eastAsia="仿宋"/>
                <w:color w:val="000000"/>
              </w:rPr>
              <w:br w:type="textWrapping"/>
            </w:r>
            <w:r>
              <w:rPr>
                <w:rFonts w:hint="eastAsia" w:ascii="仿宋" w:hAnsi="仿宋" w:eastAsia="仿宋"/>
                <w:color w:val="000000"/>
              </w:rPr>
              <w:t>可以对已经激活发送的联合检查码进行作废，系统会进行权限控制并记录作废操作历史。</w:t>
            </w:r>
            <w:r>
              <w:rPr>
                <w:rFonts w:hint="eastAsia" w:ascii="仿宋" w:hAnsi="仿宋" w:eastAsia="仿宋"/>
                <w:color w:val="000000"/>
              </w:rPr>
              <w:br w:type="textWrapping"/>
            </w:r>
            <w:r>
              <w:rPr>
                <w:rFonts w:hint="eastAsia" w:ascii="仿宋" w:hAnsi="仿宋" w:eastAsia="仿宋"/>
                <w:color w:val="000000"/>
              </w:rPr>
              <w:t>4. 查看联合检查码详情</w:t>
            </w:r>
            <w:r>
              <w:rPr>
                <w:rFonts w:hint="eastAsia" w:ascii="仿宋" w:hAnsi="仿宋" w:eastAsia="仿宋"/>
                <w:color w:val="000000"/>
              </w:rPr>
              <w:br w:type="textWrapping"/>
            </w:r>
            <w:r>
              <w:rPr>
                <w:rFonts w:hint="eastAsia" w:ascii="仿宋" w:hAnsi="仿宋" w:eastAsia="仿宋"/>
                <w:color w:val="000000"/>
              </w:rPr>
              <w:t>可以查看检查码的详情申请信息，包括申请人、申请时间、被检查企业、检查人员、检查事项、检查计划及检查码图片等信息。</w:t>
            </w:r>
            <w:r>
              <w:rPr>
                <w:rFonts w:hint="eastAsia" w:ascii="仿宋" w:hAnsi="仿宋" w:eastAsia="仿宋"/>
                <w:color w:val="000000"/>
              </w:rPr>
              <w:br w:type="textWrapping"/>
            </w:r>
            <w:r>
              <w:rPr>
                <w:rFonts w:hint="eastAsia" w:ascii="仿宋" w:hAnsi="仿宋" w:eastAsia="仿宋"/>
                <w:color w:val="000000"/>
              </w:rPr>
              <w:t>5. 查看检查结果</w:t>
            </w:r>
            <w:r>
              <w:rPr>
                <w:rFonts w:hint="eastAsia" w:ascii="仿宋" w:hAnsi="仿宋" w:eastAsia="仿宋"/>
                <w:color w:val="000000"/>
              </w:rPr>
              <w:br w:type="textWrapping"/>
            </w:r>
            <w:r>
              <w:rPr>
                <w:rFonts w:hint="eastAsia" w:ascii="仿宋" w:hAnsi="仿宋" w:eastAsia="仿宋"/>
                <w:color w:val="000000"/>
              </w:rPr>
              <w:t>针对已经完成检查的联合检查码，可以进行检查结果的查看，并可以直接调整到监管业务系统的详情页面中。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上海市药械化现场监管检查码管理系统（新建）</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药械化现场监管检查码管理系统（新建）-检查码的申请和管理-检查码亮码-</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提供监管人员在开展现场检查时向企业展示单部门检查码和联合检查码，同时可以激活发送和添加现场负责人等操作，激活发送成功后企业可以进行评价。</w:t>
            </w:r>
            <w:r>
              <w:rPr>
                <w:rFonts w:hint="eastAsia" w:ascii="仿宋" w:hAnsi="仿宋" w:eastAsia="仿宋"/>
                <w:color w:val="000000"/>
              </w:rPr>
              <w:br w:type="textWrapping"/>
            </w:r>
            <w:r>
              <w:rPr>
                <w:rFonts w:hint="eastAsia" w:ascii="仿宋" w:hAnsi="仿宋" w:eastAsia="仿宋"/>
                <w:color w:val="000000"/>
              </w:rPr>
              <w:t>在添加现场负责人时可以通过扫描企业人员的随申码进行快速采集。如果出现检查人员、检查事项等调整，也可以进行检查码修改。</w:t>
            </w:r>
            <w:r>
              <w:rPr>
                <w:rFonts w:hint="eastAsia" w:ascii="仿宋" w:hAnsi="仿宋" w:eastAsia="仿宋"/>
                <w:color w:val="000000"/>
              </w:rPr>
              <w:br w:type="textWrapping"/>
            </w:r>
            <w:r>
              <w:rPr>
                <w:rFonts w:hint="eastAsia" w:ascii="仿宋" w:hAnsi="仿宋" w:eastAsia="仿宋"/>
                <w:color w:val="000000"/>
              </w:rPr>
              <w:t>1. 展示单部门检查码</w:t>
            </w:r>
            <w:r>
              <w:rPr>
                <w:rFonts w:hint="eastAsia" w:ascii="仿宋" w:hAnsi="仿宋" w:eastAsia="仿宋"/>
                <w:color w:val="000000"/>
              </w:rPr>
              <w:br w:type="textWrapping"/>
            </w:r>
            <w:r>
              <w:rPr>
                <w:rFonts w:hint="eastAsia" w:ascii="仿宋" w:hAnsi="仿宋" w:eastAsia="仿宋"/>
                <w:color w:val="000000"/>
              </w:rPr>
              <w:t>系统会根据当前企业统一社会信用代码+检查日期+检查人员获取成功申请的检查码，并同时显示检查码的激活发送状态。</w:t>
            </w:r>
            <w:r>
              <w:rPr>
                <w:rFonts w:hint="eastAsia" w:ascii="仿宋" w:hAnsi="仿宋" w:eastAsia="仿宋"/>
                <w:color w:val="000000"/>
              </w:rPr>
              <w:br w:type="textWrapping"/>
            </w:r>
            <w:r>
              <w:rPr>
                <w:rFonts w:hint="eastAsia" w:ascii="仿宋" w:hAnsi="仿宋" w:eastAsia="仿宋"/>
                <w:color w:val="000000"/>
              </w:rPr>
              <w:t>2. 激活发送单部门检查码</w:t>
            </w:r>
            <w:r>
              <w:rPr>
                <w:rFonts w:hint="eastAsia" w:ascii="仿宋" w:hAnsi="仿宋" w:eastAsia="仿宋"/>
                <w:color w:val="000000"/>
              </w:rPr>
              <w:br w:type="textWrapping"/>
            </w:r>
            <w:r>
              <w:rPr>
                <w:rFonts w:hint="eastAsia" w:ascii="仿宋" w:hAnsi="仿宋" w:eastAsia="仿宋"/>
                <w:color w:val="000000"/>
              </w:rPr>
              <w:t>针对在申码时没有直接激活发送的检查码，可以进行激活发送操作，激活发送成功后会给企业法人发送短信信息。</w:t>
            </w:r>
            <w:r>
              <w:rPr>
                <w:rFonts w:hint="eastAsia" w:ascii="仿宋" w:hAnsi="仿宋" w:eastAsia="仿宋"/>
                <w:color w:val="000000"/>
              </w:rPr>
              <w:br w:type="textWrapping"/>
            </w:r>
            <w:r>
              <w:rPr>
                <w:rFonts w:hint="eastAsia" w:ascii="仿宋" w:hAnsi="仿宋" w:eastAsia="仿宋"/>
                <w:color w:val="000000"/>
              </w:rPr>
              <w:t>3. 展示联合检查码</w:t>
            </w:r>
            <w:r>
              <w:rPr>
                <w:rFonts w:hint="eastAsia" w:ascii="仿宋" w:hAnsi="仿宋" w:eastAsia="仿宋"/>
                <w:color w:val="000000"/>
              </w:rPr>
              <w:br w:type="textWrapping"/>
            </w:r>
            <w:r>
              <w:rPr>
                <w:rFonts w:hint="eastAsia" w:ascii="仿宋" w:hAnsi="仿宋" w:eastAsia="仿宋"/>
                <w:color w:val="000000"/>
              </w:rPr>
              <w:t>系统会根据当前企业统一社会信用代码+检查日期+检查人员获取成功申请的联合检查码，同时会展示本次联合检查码管理的全部委办局。</w:t>
            </w:r>
            <w:r>
              <w:rPr>
                <w:rFonts w:hint="eastAsia" w:ascii="仿宋" w:hAnsi="仿宋" w:eastAsia="仿宋"/>
                <w:color w:val="000000"/>
              </w:rPr>
              <w:br w:type="textWrapping"/>
            </w:r>
            <w:r>
              <w:rPr>
                <w:rFonts w:hint="eastAsia" w:ascii="仿宋" w:hAnsi="仿宋" w:eastAsia="仿宋"/>
                <w:color w:val="000000"/>
              </w:rPr>
              <w:t>4. 激活发送联合检查码</w:t>
            </w:r>
            <w:r>
              <w:rPr>
                <w:rFonts w:hint="eastAsia" w:ascii="仿宋" w:hAnsi="仿宋" w:eastAsia="仿宋"/>
                <w:color w:val="000000"/>
              </w:rPr>
              <w:br w:type="textWrapping"/>
            </w:r>
            <w:r>
              <w:rPr>
                <w:rFonts w:hint="eastAsia" w:ascii="仿宋" w:hAnsi="仿宋" w:eastAsia="仿宋"/>
                <w:color w:val="000000"/>
              </w:rPr>
              <w:t xml:space="preserve">  针对没有提前完成激活发送的联合检查码，可以进行激活发送操作，激活发送成功后会给企业法人发送短信信息，联合检查码所有的参与单位都需要单独激活发送。</w:t>
            </w:r>
            <w:r>
              <w:rPr>
                <w:rFonts w:hint="eastAsia" w:ascii="仿宋" w:hAnsi="仿宋" w:eastAsia="仿宋"/>
                <w:color w:val="000000"/>
              </w:rPr>
              <w:br w:type="textWrapping"/>
            </w:r>
            <w:r>
              <w:rPr>
                <w:rFonts w:hint="eastAsia" w:ascii="仿宋" w:hAnsi="仿宋" w:eastAsia="仿宋"/>
                <w:color w:val="000000"/>
              </w:rPr>
              <w:t>5. 补充现场负责人</w:t>
            </w:r>
            <w:r>
              <w:rPr>
                <w:rFonts w:hint="eastAsia" w:ascii="仿宋" w:hAnsi="仿宋" w:eastAsia="仿宋"/>
                <w:color w:val="000000"/>
              </w:rPr>
              <w:br w:type="textWrapping"/>
            </w:r>
            <w:r>
              <w:rPr>
                <w:rFonts w:hint="eastAsia" w:ascii="仿宋" w:hAnsi="仿宋" w:eastAsia="仿宋"/>
                <w:color w:val="000000"/>
              </w:rPr>
              <w:t>在亮码过程中，可以补充现场负责人，补充完成后现场负责人可以扫描检查码进行评价。</w:t>
            </w:r>
            <w:r>
              <w:rPr>
                <w:rFonts w:hint="eastAsia" w:ascii="仿宋" w:hAnsi="仿宋" w:eastAsia="仿宋"/>
                <w:color w:val="000000"/>
              </w:rPr>
              <w:br w:type="textWrapping"/>
            </w:r>
            <w:r>
              <w:rPr>
                <w:rFonts w:hint="eastAsia" w:ascii="仿宋" w:hAnsi="仿宋" w:eastAsia="仿宋"/>
                <w:color w:val="000000"/>
              </w:rPr>
              <w:t>(1) 监管人员可以手工输入现场负责人的姓名、身份证号和手机号；</w:t>
            </w:r>
            <w:r>
              <w:rPr>
                <w:rFonts w:hint="eastAsia" w:ascii="仿宋" w:hAnsi="仿宋" w:eastAsia="仿宋"/>
                <w:color w:val="000000"/>
              </w:rPr>
              <w:br w:type="textWrapping"/>
            </w:r>
            <w:r>
              <w:rPr>
                <w:rFonts w:hint="eastAsia" w:ascii="仿宋" w:hAnsi="仿宋" w:eastAsia="仿宋"/>
                <w:color w:val="000000"/>
              </w:rPr>
              <w:t>(2) 监管人员可以扫描企业人员随申码获取人员身份信息；</w:t>
            </w:r>
            <w:r>
              <w:rPr>
                <w:rFonts w:hint="eastAsia" w:ascii="仿宋" w:hAnsi="仿宋" w:eastAsia="仿宋"/>
                <w:color w:val="000000"/>
              </w:rPr>
              <w:br w:type="textWrapping"/>
            </w:r>
            <w:r>
              <w:rPr>
                <w:rFonts w:hint="eastAsia" w:ascii="仿宋" w:hAnsi="仿宋" w:eastAsia="仿宋"/>
                <w:color w:val="000000"/>
              </w:rPr>
              <w:t>(3) 企业人员扫描检查码后主动提交人员身份信息。</w:t>
            </w:r>
            <w:r>
              <w:rPr>
                <w:rFonts w:hint="eastAsia" w:ascii="仿宋" w:hAnsi="仿宋" w:eastAsia="仿宋"/>
                <w:color w:val="000000"/>
              </w:rPr>
              <w:br w:type="textWrapping"/>
            </w:r>
            <w:r>
              <w:rPr>
                <w:rFonts w:hint="eastAsia" w:ascii="仿宋" w:hAnsi="仿宋" w:eastAsia="仿宋"/>
                <w:color w:val="000000"/>
              </w:rPr>
              <w:t>6. 修改检查人员</w:t>
            </w:r>
            <w:r>
              <w:rPr>
                <w:rFonts w:hint="eastAsia" w:ascii="仿宋" w:hAnsi="仿宋" w:eastAsia="仿宋"/>
                <w:color w:val="000000"/>
              </w:rPr>
              <w:br w:type="textWrapping"/>
            </w:r>
            <w:r>
              <w:rPr>
                <w:rFonts w:hint="eastAsia" w:ascii="仿宋" w:hAnsi="仿宋" w:eastAsia="仿宋"/>
                <w:color w:val="000000"/>
              </w:rPr>
              <w:t>提供监管人员在现场检查时出现人员调整后进行人员修改。</w:t>
            </w:r>
            <w:r>
              <w:rPr>
                <w:rFonts w:hint="eastAsia" w:ascii="仿宋" w:hAnsi="仿宋" w:eastAsia="仿宋"/>
                <w:color w:val="000000"/>
              </w:rPr>
              <w:br w:type="textWrapping"/>
            </w:r>
            <w:r>
              <w:rPr>
                <w:rFonts w:hint="eastAsia" w:ascii="仿宋" w:hAnsi="仿宋" w:eastAsia="仿宋"/>
                <w:color w:val="000000"/>
              </w:rPr>
              <w:t>7. 修改检查事项</w:t>
            </w:r>
            <w:r>
              <w:rPr>
                <w:rFonts w:hint="eastAsia" w:ascii="仿宋" w:hAnsi="仿宋" w:eastAsia="仿宋"/>
                <w:color w:val="000000"/>
              </w:rPr>
              <w:br w:type="textWrapping"/>
            </w:r>
            <w:r>
              <w:rPr>
                <w:rFonts w:hint="eastAsia" w:ascii="仿宋" w:hAnsi="仿宋" w:eastAsia="仿宋"/>
                <w:color w:val="000000"/>
              </w:rPr>
              <w:t>提供监管人员在现场检查时进行检查事项的补充和修改。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上海市药械化现场监管检查码管理系统（新建）</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药械化现场监管检查码管理系统（新建）-检查码的申请和管理-基础库管理-</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6.1.2.1.4.1检查事项管理</w:t>
            </w:r>
            <w:r>
              <w:rPr>
                <w:rFonts w:hint="eastAsia" w:ascii="仿宋" w:hAnsi="仿宋" w:eastAsia="仿宋"/>
                <w:color w:val="000000"/>
              </w:rPr>
              <w:br w:type="textWrapping"/>
            </w:r>
            <w:r>
              <w:rPr>
                <w:rFonts w:hint="eastAsia" w:ascii="仿宋" w:hAnsi="仿宋" w:eastAsia="仿宋"/>
                <w:color w:val="000000"/>
              </w:rPr>
              <w:t>提供监管人员对检查事项进行统一管理，定期市综合执法系统获取最新的检查事项信息，并可以进行检查条线绑定、检查结果规则管理、标签管理等。</w:t>
            </w:r>
            <w:r>
              <w:rPr>
                <w:rFonts w:hint="eastAsia" w:ascii="仿宋" w:hAnsi="仿宋" w:eastAsia="仿宋"/>
                <w:color w:val="000000"/>
              </w:rPr>
              <w:br w:type="textWrapping"/>
            </w:r>
            <w:r>
              <w:rPr>
                <w:rFonts w:hint="eastAsia" w:ascii="仿宋" w:hAnsi="仿宋" w:eastAsia="仿宋"/>
                <w:color w:val="000000"/>
              </w:rPr>
              <w:t>1. 查询检查事项</w:t>
            </w:r>
            <w:r>
              <w:rPr>
                <w:rFonts w:hint="eastAsia" w:ascii="仿宋" w:hAnsi="仿宋" w:eastAsia="仿宋"/>
                <w:color w:val="000000"/>
              </w:rPr>
              <w:br w:type="textWrapping"/>
            </w:r>
            <w:r>
              <w:rPr>
                <w:rFonts w:hint="eastAsia" w:ascii="仿宋" w:hAnsi="仿宋" w:eastAsia="仿宋"/>
                <w:color w:val="000000"/>
              </w:rPr>
              <w:t>可以查询所有本单位在司法局统一执法系统上认领的所有检查事项，并可以查看详细的事项、情形和要点，也可以导出EXCEL。</w:t>
            </w:r>
            <w:r>
              <w:rPr>
                <w:rFonts w:hint="eastAsia" w:ascii="仿宋" w:hAnsi="仿宋" w:eastAsia="仿宋"/>
                <w:color w:val="000000"/>
              </w:rPr>
              <w:br w:type="textWrapping"/>
            </w:r>
            <w:r>
              <w:rPr>
                <w:rFonts w:hint="eastAsia" w:ascii="仿宋" w:hAnsi="仿宋" w:eastAsia="仿宋"/>
                <w:color w:val="000000"/>
              </w:rPr>
              <w:t>2. 绑定检查消息</w:t>
            </w:r>
            <w:r>
              <w:rPr>
                <w:rFonts w:hint="eastAsia" w:ascii="仿宋" w:hAnsi="仿宋" w:eastAsia="仿宋"/>
                <w:color w:val="000000"/>
              </w:rPr>
              <w:br w:type="textWrapping"/>
            </w:r>
            <w:r>
              <w:rPr>
                <w:rFonts w:hint="eastAsia" w:ascii="仿宋" w:hAnsi="仿宋" w:eastAsia="仿宋"/>
                <w:color w:val="000000"/>
              </w:rPr>
              <w:t>可以为每个事项绑定一个检查条线，可以确保后续检查内容和申码时选择的事项保持一致。</w:t>
            </w:r>
            <w:r>
              <w:rPr>
                <w:rFonts w:hint="eastAsia" w:ascii="仿宋" w:hAnsi="仿宋" w:eastAsia="仿宋"/>
                <w:color w:val="000000"/>
              </w:rPr>
              <w:br w:type="textWrapping"/>
            </w:r>
            <w:r>
              <w:rPr>
                <w:rFonts w:hint="eastAsia" w:ascii="仿宋" w:hAnsi="仿宋" w:eastAsia="仿宋"/>
                <w:color w:val="000000"/>
              </w:rPr>
              <w:t>3. 检查结果规则管理</w:t>
            </w:r>
            <w:r>
              <w:rPr>
                <w:rFonts w:hint="eastAsia" w:ascii="仿宋" w:hAnsi="仿宋" w:eastAsia="仿宋"/>
                <w:color w:val="000000"/>
              </w:rPr>
              <w:br w:type="textWrapping"/>
            </w:r>
            <w:r>
              <w:rPr>
                <w:rFonts w:hint="eastAsia" w:ascii="仿宋" w:hAnsi="仿宋" w:eastAsia="仿宋"/>
                <w:color w:val="000000"/>
              </w:rPr>
              <w:t>可以为每个检查事项单独设置检查结果对应规则，确保药监业务系统的检查结果能够准确对应司法局的检查结果。</w:t>
            </w:r>
            <w:r>
              <w:rPr>
                <w:rFonts w:hint="eastAsia" w:ascii="仿宋" w:hAnsi="仿宋" w:eastAsia="仿宋"/>
                <w:color w:val="000000"/>
              </w:rPr>
              <w:br w:type="textWrapping"/>
            </w:r>
            <w:r>
              <w:rPr>
                <w:rFonts w:hint="eastAsia" w:ascii="仿宋" w:hAnsi="仿宋" w:eastAsia="仿宋"/>
                <w:color w:val="000000"/>
              </w:rPr>
              <w:t>4. 标签管理</w:t>
            </w:r>
            <w:r>
              <w:rPr>
                <w:rFonts w:hint="eastAsia" w:ascii="仿宋" w:hAnsi="仿宋" w:eastAsia="仿宋"/>
                <w:color w:val="000000"/>
              </w:rPr>
              <w:br w:type="textWrapping"/>
            </w:r>
            <w:r>
              <w:rPr>
                <w:rFonts w:hint="eastAsia" w:ascii="仿宋" w:hAnsi="仿宋" w:eastAsia="仿宋"/>
                <w:color w:val="000000"/>
              </w:rPr>
              <w:t>可以对每个检查事项进行标签管理。</w:t>
            </w:r>
            <w:r>
              <w:rPr>
                <w:rFonts w:hint="eastAsia" w:ascii="仿宋" w:hAnsi="仿宋" w:eastAsia="仿宋"/>
                <w:color w:val="000000"/>
              </w:rPr>
              <w:br w:type="textWrapping"/>
            </w:r>
            <w:r>
              <w:rPr>
                <w:rFonts w:hint="eastAsia" w:ascii="仿宋" w:hAnsi="仿宋" w:eastAsia="仿宋"/>
                <w:color w:val="000000"/>
              </w:rPr>
              <w:t>6.1.2.1.4.2对象库管理</w:t>
            </w:r>
            <w:r>
              <w:rPr>
                <w:rFonts w:hint="eastAsia" w:ascii="仿宋" w:hAnsi="仿宋" w:eastAsia="仿宋"/>
                <w:color w:val="000000"/>
              </w:rPr>
              <w:br w:type="textWrapping"/>
            </w:r>
            <w:r>
              <w:rPr>
                <w:rFonts w:hint="eastAsia" w:ascii="仿宋" w:hAnsi="仿宋" w:eastAsia="仿宋"/>
                <w:color w:val="000000"/>
              </w:rPr>
              <w:t>提供监管人员对各条线的监管对象进行统一管理，通过对接行政检查系统获取最新对象库信息，并可以实时推送至市综合执法系统中。</w:t>
            </w:r>
            <w:r>
              <w:rPr>
                <w:rFonts w:hint="eastAsia" w:ascii="仿宋" w:hAnsi="仿宋" w:eastAsia="仿宋"/>
                <w:color w:val="000000"/>
              </w:rPr>
              <w:br w:type="textWrapping"/>
            </w:r>
            <w:r>
              <w:rPr>
                <w:rFonts w:hint="eastAsia" w:ascii="仿宋" w:hAnsi="仿宋" w:eastAsia="仿宋"/>
                <w:color w:val="000000"/>
              </w:rPr>
              <w:t>1. 查询对象库</w:t>
            </w:r>
            <w:r>
              <w:rPr>
                <w:rFonts w:hint="eastAsia" w:ascii="仿宋" w:hAnsi="仿宋" w:eastAsia="仿宋"/>
                <w:color w:val="000000"/>
              </w:rPr>
              <w:br w:type="textWrapping"/>
            </w:r>
            <w:r>
              <w:rPr>
                <w:rFonts w:hint="eastAsia" w:ascii="仿宋" w:hAnsi="仿宋" w:eastAsia="仿宋"/>
                <w:color w:val="000000"/>
              </w:rPr>
              <w:t>可以查询所有本单位监管范围内的监管对象，可以按对象的主体类型进行区分，并可以进行查看详情和导出EXCEL。</w:t>
            </w:r>
            <w:r>
              <w:rPr>
                <w:rFonts w:hint="eastAsia" w:ascii="仿宋" w:hAnsi="仿宋" w:eastAsia="仿宋"/>
                <w:color w:val="000000"/>
              </w:rPr>
              <w:br w:type="textWrapping"/>
            </w:r>
            <w:r>
              <w:rPr>
                <w:rFonts w:hint="eastAsia" w:ascii="仿宋" w:hAnsi="仿宋" w:eastAsia="仿宋"/>
                <w:color w:val="000000"/>
              </w:rPr>
              <w:t>2. 增量推送至市综合执法系统</w:t>
            </w:r>
            <w:r>
              <w:rPr>
                <w:rFonts w:hint="eastAsia" w:ascii="仿宋" w:hAnsi="仿宋" w:eastAsia="仿宋"/>
                <w:color w:val="000000"/>
              </w:rPr>
              <w:br w:type="textWrapping"/>
            </w:r>
            <w:r>
              <w:rPr>
                <w:rFonts w:hint="eastAsia" w:ascii="仿宋" w:hAnsi="仿宋" w:eastAsia="仿宋"/>
                <w:color w:val="000000"/>
              </w:rPr>
              <w:t>系统每天会将新增加的监管对象信息推送至市综合执法系统中。</w:t>
            </w:r>
            <w:r>
              <w:rPr>
                <w:rFonts w:hint="eastAsia" w:ascii="仿宋" w:hAnsi="仿宋" w:eastAsia="仿宋"/>
                <w:color w:val="000000"/>
              </w:rPr>
              <w:br w:type="textWrapping"/>
            </w:r>
            <w:r>
              <w:rPr>
                <w:rFonts w:hint="eastAsia" w:ascii="仿宋" w:hAnsi="仿宋" w:eastAsia="仿宋"/>
                <w:color w:val="000000"/>
              </w:rPr>
              <w:t>6.1.2.1.4.3监管计划备案</w:t>
            </w:r>
            <w:r>
              <w:rPr>
                <w:rFonts w:hint="eastAsia" w:ascii="仿宋" w:hAnsi="仿宋" w:eastAsia="仿宋"/>
                <w:color w:val="000000"/>
              </w:rPr>
              <w:br w:type="textWrapping"/>
            </w:r>
            <w:r>
              <w:rPr>
                <w:rFonts w:hint="eastAsia" w:ascii="仿宋" w:hAnsi="仿宋" w:eastAsia="仿宋"/>
                <w:color w:val="000000"/>
              </w:rPr>
              <w:t>提供监管人员对需要向市综合执法系统备案的监管计划进行统一管理，可以进行新增等，计划新增完成后可以实时推送至市综合执法系统中。</w:t>
            </w:r>
            <w:r>
              <w:rPr>
                <w:rFonts w:hint="eastAsia" w:ascii="仿宋" w:hAnsi="仿宋" w:eastAsia="仿宋"/>
                <w:color w:val="000000"/>
              </w:rPr>
              <w:br w:type="textWrapping"/>
            </w:r>
            <w:r>
              <w:rPr>
                <w:rFonts w:hint="eastAsia" w:ascii="仿宋" w:hAnsi="仿宋" w:eastAsia="仿宋"/>
                <w:color w:val="000000"/>
              </w:rPr>
              <w:t>1. 查询监管计划</w:t>
            </w:r>
            <w:r>
              <w:rPr>
                <w:rFonts w:hint="eastAsia" w:ascii="仿宋" w:hAnsi="仿宋" w:eastAsia="仿宋"/>
                <w:color w:val="000000"/>
              </w:rPr>
              <w:br w:type="textWrapping"/>
            </w:r>
            <w:r>
              <w:rPr>
                <w:rFonts w:hint="eastAsia" w:ascii="仿宋" w:hAnsi="仿宋" w:eastAsia="仿宋"/>
                <w:color w:val="000000"/>
              </w:rPr>
              <w:t>可以查询所有本单位在司法局统一执法系统上完成备案的计划，并可以查看计划详情和导出EXCEL。</w:t>
            </w:r>
            <w:r>
              <w:rPr>
                <w:rFonts w:hint="eastAsia" w:ascii="仿宋" w:hAnsi="仿宋" w:eastAsia="仿宋"/>
                <w:color w:val="000000"/>
              </w:rPr>
              <w:br w:type="textWrapping"/>
            </w:r>
            <w:r>
              <w:rPr>
                <w:rFonts w:hint="eastAsia" w:ascii="仿宋" w:hAnsi="仿宋" w:eastAsia="仿宋"/>
                <w:color w:val="000000"/>
              </w:rPr>
              <w:t>2. 新增监管计划</w:t>
            </w:r>
            <w:r>
              <w:rPr>
                <w:rFonts w:hint="eastAsia" w:ascii="仿宋" w:hAnsi="仿宋" w:eastAsia="仿宋"/>
                <w:color w:val="000000"/>
              </w:rPr>
              <w:br w:type="textWrapping"/>
            </w:r>
            <w:r>
              <w:rPr>
                <w:rFonts w:hint="eastAsia" w:ascii="仿宋" w:hAnsi="仿宋" w:eastAsia="仿宋"/>
                <w:color w:val="000000"/>
              </w:rPr>
              <w:t>可以在线进行监管计划的制定，制定完成后可以自动推送至市统一执法系统中，后续需要再市统一执法系统中完成审核后才可以使用。</w:t>
            </w:r>
            <w:r>
              <w:rPr>
                <w:rFonts w:hint="eastAsia" w:ascii="仿宋" w:hAnsi="仿宋" w:eastAsia="仿宋"/>
                <w:color w:val="000000"/>
              </w:rPr>
              <w:br w:type="textWrapping"/>
            </w:r>
            <w:r>
              <w:rPr>
                <w:rFonts w:hint="eastAsia" w:ascii="仿宋" w:hAnsi="仿宋" w:eastAsia="仿宋"/>
                <w:color w:val="000000"/>
              </w:rPr>
              <w:t>3. 修改监管计划</w:t>
            </w:r>
            <w:r>
              <w:rPr>
                <w:rFonts w:hint="eastAsia" w:ascii="仿宋" w:hAnsi="仿宋" w:eastAsia="仿宋"/>
                <w:color w:val="000000"/>
              </w:rPr>
              <w:br w:type="textWrapping"/>
            </w:r>
            <w:r>
              <w:rPr>
                <w:rFonts w:hint="eastAsia" w:ascii="仿宋" w:hAnsi="仿宋" w:eastAsia="仿宋"/>
                <w:color w:val="000000"/>
              </w:rPr>
              <w:t>可以在线进行监管计划的修改，可以进行监管企业对象的增加，完成后可以自动推送至市统一执法系统中。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上海市药械化现场监管检查码管理系统（新建）</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药械化现场监管检查码管理系统（新建）-涉企监管-化妆品经营企业双随机监管-</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6.1.2.2.1.1双随机执行</w:t>
            </w:r>
            <w:r>
              <w:rPr>
                <w:rFonts w:hint="eastAsia" w:ascii="仿宋" w:hAnsi="仿宋" w:eastAsia="仿宋"/>
                <w:color w:val="000000"/>
              </w:rPr>
              <w:br w:type="textWrapping"/>
            </w:r>
            <w:r>
              <w:rPr>
                <w:rFonts w:hint="eastAsia" w:ascii="仿宋" w:hAnsi="仿宋" w:eastAsia="仿宋"/>
                <w:color w:val="000000"/>
              </w:rPr>
              <w:t>提供监管人员基于对象库进行双随机执行（包括随机被检查企业和随机检查人员），在随机被检查企业时可以限定本次随机的企业范围，在随机检查人员时可以对待随机检查人员进行可用性设置（如休假、专业不符等），同时支持通过表格导入方式限定企业和人员的范围。</w:t>
            </w:r>
            <w:r>
              <w:rPr>
                <w:rFonts w:hint="eastAsia" w:ascii="仿宋" w:hAnsi="仿宋" w:eastAsia="仿宋"/>
                <w:color w:val="000000"/>
              </w:rPr>
              <w:br w:type="textWrapping"/>
            </w:r>
            <w:r>
              <w:rPr>
                <w:rFonts w:hint="eastAsia" w:ascii="仿宋" w:hAnsi="仿宋" w:eastAsia="仿宋"/>
                <w:color w:val="000000"/>
              </w:rPr>
              <w:t>1. 检查人员名单管理</w:t>
            </w:r>
            <w:r>
              <w:rPr>
                <w:rFonts w:hint="eastAsia" w:ascii="仿宋" w:hAnsi="仿宋" w:eastAsia="仿宋"/>
                <w:color w:val="000000"/>
              </w:rPr>
              <w:br w:type="textWrapping"/>
            </w:r>
            <w:r>
              <w:rPr>
                <w:rFonts w:hint="eastAsia" w:ascii="仿宋" w:hAnsi="仿宋" w:eastAsia="仿宋"/>
                <w:color w:val="000000"/>
              </w:rPr>
              <w:t>可以对本单位或本部门可以参与双随机的人员进行统一管理。</w:t>
            </w:r>
            <w:r>
              <w:rPr>
                <w:rFonts w:hint="eastAsia" w:ascii="仿宋" w:hAnsi="仿宋" w:eastAsia="仿宋"/>
                <w:color w:val="000000"/>
              </w:rPr>
              <w:br w:type="textWrapping"/>
            </w:r>
            <w:r>
              <w:rPr>
                <w:rFonts w:hint="eastAsia" w:ascii="仿宋" w:hAnsi="仿宋" w:eastAsia="仿宋"/>
                <w:color w:val="000000"/>
              </w:rPr>
              <w:t>（1）设置无法参与检查：设置检查人员在一段时间内无法参加检查，系统在随机时会自动规避这些人员；</w:t>
            </w:r>
            <w:r>
              <w:rPr>
                <w:rFonts w:hint="eastAsia" w:ascii="仿宋" w:hAnsi="仿宋" w:eastAsia="仿宋"/>
                <w:color w:val="000000"/>
              </w:rPr>
              <w:br w:type="textWrapping"/>
            </w:r>
            <w:r>
              <w:rPr>
                <w:rFonts w:hint="eastAsia" w:ascii="仿宋" w:hAnsi="仿宋" w:eastAsia="仿宋"/>
                <w:color w:val="000000"/>
              </w:rPr>
              <w:t>（2）取消无法参与检查设置：可以主动取消无法参与检查设置，检查人员恢复成可以双随机，到期后系统也会自动取消。</w:t>
            </w:r>
            <w:r>
              <w:rPr>
                <w:rFonts w:hint="eastAsia" w:ascii="仿宋" w:hAnsi="仿宋" w:eastAsia="仿宋"/>
                <w:color w:val="000000"/>
              </w:rPr>
              <w:br w:type="textWrapping"/>
            </w:r>
            <w:r>
              <w:rPr>
                <w:rFonts w:hint="eastAsia" w:ascii="仿宋" w:hAnsi="仿宋" w:eastAsia="仿宋"/>
                <w:color w:val="000000"/>
              </w:rPr>
              <w:t>2. 待检查企业名单管理</w:t>
            </w:r>
            <w:r>
              <w:rPr>
                <w:rFonts w:hint="eastAsia" w:ascii="仿宋" w:hAnsi="仿宋" w:eastAsia="仿宋"/>
                <w:color w:val="000000"/>
              </w:rPr>
              <w:br w:type="textWrapping"/>
            </w:r>
            <w:r>
              <w:rPr>
                <w:rFonts w:hint="eastAsia" w:ascii="仿宋" w:hAnsi="仿宋" w:eastAsia="仿宋"/>
                <w:color w:val="000000"/>
              </w:rPr>
              <w:t>可以设置本次双随机检查对应的检查企业名单，支持页面选择和批量导入。</w:t>
            </w:r>
            <w:r>
              <w:rPr>
                <w:rFonts w:hint="eastAsia" w:ascii="仿宋" w:hAnsi="仿宋" w:eastAsia="仿宋"/>
                <w:color w:val="000000"/>
              </w:rPr>
              <w:br w:type="textWrapping"/>
            </w:r>
            <w:r>
              <w:rPr>
                <w:rFonts w:hint="eastAsia" w:ascii="仿宋" w:hAnsi="仿宋" w:eastAsia="仿宋"/>
                <w:color w:val="000000"/>
              </w:rPr>
              <w:t>3. 随机筛选企业</w:t>
            </w:r>
            <w:r>
              <w:rPr>
                <w:rFonts w:hint="eastAsia" w:ascii="仿宋" w:hAnsi="仿宋" w:eastAsia="仿宋"/>
                <w:color w:val="000000"/>
              </w:rPr>
              <w:br w:type="textWrapping"/>
            </w:r>
            <w:r>
              <w:rPr>
                <w:rFonts w:hint="eastAsia" w:ascii="仿宋" w:hAnsi="仿宋" w:eastAsia="仿宋"/>
                <w:color w:val="000000"/>
              </w:rPr>
              <w:t>可以按照用户输入的随机企业数量自动筛选出需要检查的企业名单。</w:t>
            </w:r>
            <w:r>
              <w:rPr>
                <w:rFonts w:hint="eastAsia" w:ascii="仿宋" w:hAnsi="仿宋" w:eastAsia="仿宋"/>
                <w:color w:val="000000"/>
              </w:rPr>
              <w:br w:type="textWrapping"/>
            </w:r>
            <w:r>
              <w:rPr>
                <w:rFonts w:hint="eastAsia" w:ascii="仿宋" w:hAnsi="仿宋" w:eastAsia="仿宋"/>
                <w:color w:val="000000"/>
              </w:rPr>
              <w:t>4. 随机筛选检查人员</w:t>
            </w:r>
            <w:r>
              <w:rPr>
                <w:rFonts w:hint="eastAsia" w:ascii="仿宋" w:hAnsi="仿宋" w:eastAsia="仿宋"/>
                <w:color w:val="000000"/>
              </w:rPr>
              <w:br w:type="textWrapping"/>
            </w:r>
            <w:r>
              <w:rPr>
                <w:rFonts w:hint="eastAsia" w:ascii="仿宋" w:hAnsi="仿宋" w:eastAsia="仿宋"/>
                <w:color w:val="000000"/>
              </w:rPr>
              <w:t>可以按照用户输入的随机检查人员数量为所有筛选出来的被检查企业自动筛选出相应的检查人员。</w:t>
            </w:r>
            <w:r>
              <w:rPr>
                <w:rFonts w:hint="eastAsia" w:ascii="仿宋" w:hAnsi="仿宋" w:eastAsia="仿宋"/>
                <w:color w:val="000000"/>
              </w:rPr>
              <w:br w:type="textWrapping"/>
            </w:r>
            <w:r>
              <w:rPr>
                <w:rFonts w:hint="eastAsia" w:ascii="仿宋" w:hAnsi="仿宋" w:eastAsia="仿宋"/>
                <w:color w:val="000000"/>
              </w:rPr>
              <w:t>6.1.2.2.1.2双随机管理</w:t>
            </w:r>
            <w:r>
              <w:rPr>
                <w:rFonts w:hint="eastAsia" w:ascii="仿宋" w:hAnsi="仿宋" w:eastAsia="仿宋"/>
                <w:color w:val="000000"/>
              </w:rPr>
              <w:br w:type="textWrapping"/>
            </w:r>
            <w:r>
              <w:rPr>
                <w:rFonts w:hint="eastAsia" w:ascii="仿宋" w:hAnsi="仿宋" w:eastAsia="仿宋"/>
                <w:color w:val="000000"/>
              </w:rPr>
              <w:t>提供监管人员对双随机执行结果进行统一管理，可以查看每个双随机检查任务的企业和检查人员信息，也可以查看具体的完成检查情况，并支持导出。</w:t>
            </w:r>
            <w:r>
              <w:rPr>
                <w:rFonts w:hint="eastAsia" w:ascii="仿宋" w:hAnsi="仿宋" w:eastAsia="仿宋"/>
                <w:color w:val="000000"/>
              </w:rPr>
              <w:br w:type="textWrapping"/>
            </w:r>
            <w:r>
              <w:rPr>
                <w:rFonts w:hint="eastAsia" w:ascii="仿宋" w:hAnsi="仿宋" w:eastAsia="仿宋"/>
                <w:color w:val="000000"/>
              </w:rPr>
              <w:t>1. 双随机检查任务查询</w:t>
            </w:r>
            <w:r>
              <w:rPr>
                <w:rFonts w:hint="eastAsia" w:ascii="仿宋" w:hAnsi="仿宋" w:eastAsia="仿宋"/>
                <w:color w:val="000000"/>
              </w:rPr>
              <w:br w:type="textWrapping"/>
            </w:r>
            <w:r>
              <w:rPr>
                <w:rFonts w:hint="eastAsia" w:ascii="仿宋" w:hAnsi="仿宋" w:eastAsia="仿宋"/>
                <w:color w:val="000000"/>
              </w:rPr>
              <w:t>可以查询本单位或本部门所有通过执行完成的双随机任务。</w:t>
            </w:r>
            <w:r>
              <w:rPr>
                <w:rFonts w:hint="eastAsia" w:ascii="仿宋" w:hAnsi="仿宋" w:eastAsia="仿宋"/>
                <w:color w:val="000000"/>
              </w:rPr>
              <w:br w:type="textWrapping"/>
            </w:r>
            <w:r>
              <w:rPr>
                <w:rFonts w:hint="eastAsia" w:ascii="仿宋" w:hAnsi="仿宋" w:eastAsia="仿宋"/>
                <w:color w:val="000000"/>
              </w:rPr>
              <w:t>2. 查看双随机任务详情</w:t>
            </w:r>
            <w:r>
              <w:rPr>
                <w:rFonts w:hint="eastAsia" w:ascii="仿宋" w:hAnsi="仿宋" w:eastAsia="仿宋"/>
                <w:color w:val="000000"/>
              </w:rPr>
              <w:br w:type="textWrapping"/>
            </w:r>
            <w:r>
              <w:rPr>
                <w:rFonts w:hint="eastAsia" w:ascii="仿宋" w:hAnsi="仿宋" w:eastAsia="仿宋"/>
                <w:color w:val="000000"/>
              </w:rPr>
              <w:t>可以查看每次双随机任务产生的企业和每家企业对应的检查人员，并可以导出EXCEL。</w:t>
            </w:r>
            <w:r>
              <w:rPr>
                <w:rFonts w:hint="eastAsia" w:ascii="仿宋" w:hAnsi="仿宋" w:eastAsia="仿宋"/>
                <w:color w:val="000000"/>
              </w:rPr>
              <w:br w:type="textWrapping"/>
            </w:r>
            <w:r>
              <w:rPr>
                <w:rFonts w:hint="eastAsia" w:ascii="仿宋" w:hAnsi="仿宋" w:eastAsia="仿宋"/>
                <w:color w:val="000000"/>
              </w:rPr>
              <w:t>3. 查看完成检查情况</w:t>
            </w:r>
            <w:r>
              <w:rPr>
                <w:rFonts w:hint="eastAsia" w:ascii="仿宋" w:hAnsi="仿宋" w:eastAsia="仿宋"/>
                <w:color w:val="000000"/>
              </w:rPr>
              <w:br w:type="textWrapping"/>
            </w:r>
            <w:r>
              <w:rPr>
                <w:rFonts w:hint="eastAsia" w:ascii="仿宋" w:hAnsi="仿宋" w:eastAsia="仿宋"/>
                <w:color w:val="000000"/>
              </w:rPr>
              <w:t>可以查看每个双随机任务的完成检查情况，也可以查看每条双随机计划明细的完成检查情况。</w:t>
            </w:r>
            <w:r>
              <w:rPr>
                <w:rFonts w:hint="eastAsia" w:ascii="仿宋" w:hAnsi="仿宋" w:eastAsia="仿宋"/>
                <w:color w:val="000000"/>
              </w:rPr>
              <w:br w:type="textWrapping"/>
            </w:r>
            <w:r>
              <w:rPr>
                <w:rFonts w:hint="eastAsia" w:ascii="仿宋" w:hAnsi="仿宋" w:eastAsia="仿宋"/>
                <w:color w:val="000000"/>
              </w:rPr>
              <w:t>4. 取消检查</w:t>
            </w:r>
            <w:r>
              <w:rPr>
                <w:rFonts w:hint="eastAsia" w:ascii="仿宋" w:hAnsi="仿宋" w:eastAsia="仿宋"/>
                <w:color w:val="000000"/>
              </w:rPr>
              <w:br w:type="textWrapping"/>
            </w:r>
            <w:r>
              <w:rPr>
                <w:rFonts w:hint="eastAsia" w:ascii="仿宋" w:hAnsi="仿宋" w:eastAsia="仿宋"/>
                <w:color w:val="000000"/>
              </w:rPr>
              <w:t>可以对双随机产生的监管计划明细进行主动取消，取消后将不需要检查，系统会记录取消操作历史。</w:t>
            </w:r>
            <w:r>
              <w:rPr>
                <w:rFonts w:hint="eastAsia" w:ascii="仿宋" w:hAnsi="仿宋" w:eastAsia="仿宋"/>
                <w:color w:val="000000"/>
              </w:rPr>
              <w:br w:type="textWrapping"/>
            </w:r>
            <w:r>
              <w:rPr>
                <w:rFonts w:hint="eastAsia" w:ascii="仿宋" w:hAnsi="仿宋" w:eastAsia="仿宋"/>
                <w:color w:val="000000"/>
              </w:rPr>
              <w:t>6.1.2.2.1.3双随机对接行政检查系统</w:t>
            </w:r>
            <w:r>
              <w:rPr>
                <w:rFonts w:hint="eastAsia" w:ascii="仿宋" w:hAnsi="仿宋" w:eastAsia="仿宋"/>
                <w:color w:val="000000"/>
              </w:rPr>
              <w:br w:type="textWrapping"/>
            </w:r>
            <w:r>
              <w:rPr>
                <w:rFonts w:hint="eastAsia" w:ascii="仿宋" w:hAnsi="仿宋" w:eastAsia="仿宋"/>
                <w:color w:val="000000"/>
              </w:rPr>
              <w:t>产生的双随机结果会自动推送至药械化行政检查管理系统中进行后续的检查，检查完成后可以将结果反馈到本系统中。</w:t>
            </w:r>
            <w:r>
              <w:rPr>
                <w:rFonts w:hint="eastAsia" w:ascii="仿宋" w:hAnsi="仿宋" w:eastAsia="仿宋"/>
                <w:color w:val="000000"/>
              </w:rPr>
              <w:br w:type="textWrapping"/>
            </w:r>
            <w:r>
              <w:rPr>
                <w:rFonts w:hint="eastAsia" w:ascii="仿宋" w:hAnsi="仿宋" w:eastAsia="仿宋"/>
                <w:color w:val="000000"/>
              </w:rPr>
              <w:t>1. 推送双随机检查计划</w:t>
            </w:r>
            <w:r>
              <w:rPr>
                <w:rFonts w:hint="eastAsia" w:ascii="仿宋" w:hAnsi="仿宋" w:eastAsia="仿宋"/>
                <w:color w:val="000000"/>
              </w:rPr>
              <w:br w:type="textWrapping"/>
            </w:r>
            <w:r>
              <w:rPr>
                <w:rFonts w:hint="eastAsia" w:ascii="仿宋" w:hAnsi="仿宋" w:eastAsia="仿宋"/>
                <w:color w:val="000000"/>
              </w:rPr>
              <w:t>系统可以自动将双随机监管计划自动推送到行政检查系统中，后续监管人员可以在行政检查系统中继续完成检查。</w:t>
            </w:r>
            <w:r>
              <w:rPr>
                <w:rFonts w:hint="eastAsia" w:ascii="仿宋" w:hAnsi="仿宋" w:eastAsia="仿宋"/>
                <w:color w:val="000000"/>
              </w:rPr>
              <w:br w:type="textWrapping"/>
            </w:r>
            <w:r>
              <w:rPr>
                <w:rFonts w:hint="eastAsia" w:ascii="仿宋" w:hAnsi="仿宋" w:eastAsia="仿宋"/>
                <w:color w:val="000000"/>
              </w:rPr>
              <w:t>2. 接收双随机检查结果</w:t>
            </w:r>
            <w:r>
              <w:rPr>
                <w:rFonts w:hint="eastAsia" w:ascii="仿宋" w:hAnsi="仿宋" w:eastAsia="仿宋"/>
                <w:color w:val="000000"/>
              </w:rPr>
              <w:br w:type="textWrapping"/>
            </w:r>
            <w:r>
              <w:rPr>
                <w:rFonts w:hint="eastAsia" w:ascii="仿宋" w:hAnsi="仿宋" w:eastAsia="仿宋"/>
                <w:color w:val="000000"/>
              </w:rPr>
              <w:t>系统提供双随机检查计划检查结果的接收接口，行政检查系统在完成检查后可以调用接口推送检查结果信息。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上海市药械化现场监管检查码管理系统（新建）</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药械化现场监管检查码管理系统（新建）-涉企监管-无感监管-</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6.1.2.2.2.1无感监管企业设置</w:t>
            </w:r>
            <w:r>
              <w:rPr>
                <w:rFonts w:hint="eastAsia" w:ascii="仿宋" w:hAnsi="仿宋" w:eastAsia="仿宋"/>
                <w:color w:val="000000"/>
              </w:rPr>
              <w:br w:type="textWrapping"/>
            </w:r>
            <w:r>
              <w:rPr>
                <w:rFonts w:hint="eastAsia" w:ascii="仿宋" w:hAnsi="仿宋" w:eastAsia="仿宋"/>
                <w:color w:val="000000"/>
              </w:rPr>
              <w:t>提供监管人员进行无感监管企业名单的设置，可以手工设置，也可以基于规则进行自动设置，在设置时还需要明确取消无感监管的截止日期。</w:t>
            </w:r>
            <w:r>
              <w:rPr>
                <w:rFonts w:hint="eastAsia" w:ascii="仿宋" w:hAnsi="仿宋" w:eastAsia="仿宋"/>
                <w:color w:val="000000"/>
              </w:rPr>
              <w:br w:type="textWrapping"/>
            </w:r>
            <w:r>
              <w:rPr>
                <w:rFonts w:hint="eastAsia" w:ascii="仿宋" w:hAnsi="仿宋" w:eastAsia="仿宋"/>
                <w:color w:val="000000"/>
              </w:rPr>
              <w:t>1. 手工设置无感监管企业</w:t>
            </w:r>
            <w:r>
              <w:rPr>
                <w:rFonts w:hint="eastAsia" w:ascii="仿宋" w:hAnsi="仿宋" w:eastAsia="仿宋"/>
                <w:color w:val="000000"/>
              </w:rPr>
              <w:br w:type="textWrapping"/>
            </w:r>
            <w:r>
              <w:rPr>
                <w:rFonts w:hint="eastAsia" w:ascii="仿宋" w:hAnsi="仿宋" w:eastAsia="仿宋"/>
                <w:color w:val="000000"/>
              </w:rPr>
              <w:t>可以通过从对象库中选择或者批量导入的方式设置无感监管企业名单，需要明确无感监管的截止日期。</w:t>
            </w:r>
            <w:r>
              <w:rPr>
                <w:rFonts w:hint="eastAsia" w:ascii="仿宋" w:hAnsi="仿宋" w:eastAsia="仿宋"/>
                <w:color w:val="000000"/>
              </w:rPr>
              <w:br w:type="textWrapping"/>
            </w:r>
            <w:r>
              <w:rPr>
                <w:rFonts w:hint="eastAsia" w:ascii="仿宋" w:hAnsi="仿宋" w:eastAsia="仿宋"/>
                <w:color w:val="000000"/>
              </w:rPr>
              <w:t>2. 自动设置无感监管企业</w:t>
            </w:r>
            <w:r>
              <w:rPr>
                <w:rFonts w:hint="eastAsia" w:ascii="仿宋" w:hAnsi="仿宋" w:eastAsia="仿宋"/>
                <w:color w:val="000000"/>
              </w:rPr>
              <w:br w:type="textWrapping"/>
            </w:r>
            <w:r>
              <w:rPr>
                <w:rFonts w:hint="eastAsia" w:ascii="仿宋" w:hAnsi="仿宋" w:eastAsia="仿宋"/>
                <w:color w:val="000000"/>
              </w:rPr>
              <w:t>可以设置自动加入无感监管的企业规则，设置完成后系统会自动从对象库中获取企业加入无感监管企业名单。</w:t>
            </w:r>
            <w:r>
              <w:rPr>
                <w:rFonts w:hint="eastAsia" w:ascii="仿宋" w:hAnsi="仿宋" w:eastAsia="仿宋"/>
                <w:color w:val="000000"/>
              </w:rPr>
              <w:br w:type="textWrapping"/>
            </w:r>
            <w:r>
              <w:rPr>
                <w:rFonts w:hint="eastAsia" w:ascii="仿宋" w:hAnsi="仿宋" w:eastAsia="仿宋"/>
                <w:color w:val="000000"/>
              </w:rPr>
              <w:t>6.1.2.2.2.2无感监管企业管理</w:t>
            </w:r>
            <w:r>
              <w:rPr>
                <w:rFonts w:hint="eastAsia" w:ascii="仿宋" w:hAnsi="仿宋" w:eastAsia="仿宋"/>
                <w:color w:val="000000"/>
              </w:rPr>
              <w:br w:type="textWrapping"/>
            </w:r>
            <w:r>
              <w:rPr>
                <w:rFonts w:hint="eastAsia" w:ascii="仿宋" w:hAnsi="仿宋" w:eastAsia="仿宋"/>
                <w:color w:val="000000"/>
              </w:rPr>
              <w:t>提供监管人员对纳入无感监管名单的企业进行统一管理，可以进行查询、导出等操作，系统也会根据设置的截止日期将企业自动恢复正常监管模式，同时也支持监管人员进行手动恢复。</w:t>
            </w:r>
            <w:r>
              <w:rPr>
                <w:rFonts w:hint="eastAsia" w:ascii="仿宋" w:hAnsi="仿宋" w:eastAsia="仿宋"/>
                <w:color w:val="000000"/>
              </w:rPr>
              <w:br w:type="textWrapping"/>
            </w:r>
            <w:r>
              <w:rPr>
                <w:rFonts w:hint="eastAsia" w:ascii="仿宋" w:hAnsi="仿宋" w:eastAsia="仿宋"/>
                <w:color w:val="000000"/>
              </w:rPr>
              <w:t>1. 无感监管企业查询</w:t>
            </w:r>
            <w:r>
              <w:rPr>
                <w:rFonts w:hint="eastAsia" w:ascii="仿宋" w:hAnsi="仿宋" w:eastAsia="仿宋"/>
                <w:color w:val="000000"/>
              </w:rPr>
              <w:br w:type="textWrapping"/>
            </w:r>
            <w:r>
              <w:rPr>
                <w:rFonts w:hint="eastAsia" w:ascii="仿宋" w:hAnsi="仿宋" w:eastAsia="仿宋"/>
                <w:color w:val="000000"/>
              </w:rPr>
              <w:t>可以查询本单位或本部门所有加入无感监管的企业，并可以导出excel。</w:t>
            </w:r>
            <w:r>
              <w:rPr>
                <w:rFonts w:hint="eastAsia" w:ascii="仿宋" w:hAnsi="仿宋" w:eastAsia="仿宋"/>
                <w:color w:val="000000"/>
              </w:rPr>
              <w:br w:type="textWrapping"/>
            </w:r>
            <w:r>
              <w:rPr>
                <w:rFonts w:hint="eastAsia" w:ascii="仿宋" w:hAnsi="仿宋" w:eastAsia="仿宋"/>
                <w:color w:val="000000"/>
              </w:rPr>
              <w:t>2. 主动移出无感监管</w:t>
            </w:r>
            <w:r>
              <w:rPr>
                <w:rFonts w:hint="eastAsia" w:ascii="仿宋" w:hAnsi="仿宋" w:eastAsia="仿宋"/>
                <w:color w:val="000000"/>
              </w:rPr>
              <w:br w:type="textWrapping"/>
            </w:r>
            <w:r>
              <w:rPr>
                <w:rFonts w:hint="eastAsia" w:ascii="仿宋" w:hAnsi="仿宋" w:eastAsia="仿宋"/>
                <w:color w:val="000000"/>
              </w:rPr>
              <w:t>可以主动将企业从无感监管名单中移出。</w:t>
            </w:r>
            <w:r>
              <w:rPr>
                <w:rFonts w:hint="eastAsia" w:ascii="仿宋" w:hAnsi="仿宋" w:eastAsia="仿宋"/>
                <w:color w:val="000000"/>
              </w:rPr>
              <w:br w:type="textWrapping"/>
            </w:r>
            <w:r>
              <w:rPr>
                <w:rFonts w:hint="eastAsia" w:ascii="仿宋" w:hAnsi="仿宋" w:eastAsia="仿宋"/>
                <w:color w:val="000000"/>
              </w:rPr>
              <w:t>3. 到期自动异常无感监管</w:t>
            </w:r>
            <w:r>
              <w:rPr>
                <w:rFonts w:hint="eastAsia" w:ascii="仿宋" w:hAnsi="仿宋" w:eastAsia="仿宋"/>
                <w:color w:val="000000"/>
              </w:rPr>
              <w:br w:type="textWrapping"/>
            </w:r>
            <w:r>
              <w:rPr>
                <w:rFonts w:hint="eastAsia" w:ascii="仿宋" w:hAnsi="仿宋" w:eastAsia="仿宋"/>
                <w:color w:val="000000"/>
              </w:rPr>
              <w:t>待无感监管设置到期后，系统会自动将企业从无感监管名单中移出。</w:t>
            </w:r>
            <w:r>
              <w:rPr>
                <w:rFonts w:hint="eastAsia" w:ascii="仿宋" w:hAnsi="仿宋" w:eastAsia="仿宋"/>
                <w:color w:val="000000"/>
              </w:rPr>
              <w:br w:type="textWrapping"/>
            </w:r>
            <w:r>
              <w:rPr>
                <w:rFonts w:hint="eastAsia" w:ascii="仿宋" w:hAnsi="仿宋" w:eastAsia="仿宋"/>
                <w:color w:val="000000"/>
              </w:rPr>
              <w:t>6.1.2.2.2.3无感监管对接行政检查系统</w:t>
            </w:r>
            <w:r>
              <w:rPr>
                <w:rFonts w:hint="eastAsia" w:ascii="仿宋" w:hAnsi="仿宋" w:eastAsia="仿宋"/>
                <w:color w:val="000000"/>
              </w:rPr>
              <w:br w:type="textWrapping"/>
            </w:r>
            <w:r>
              <w:rPr>
                <w:rFonts w:hint="eastAsia" w:ascii="仿宋" w:hAnsi="仿宋" w:eastAsia="仿宋"/>
                <w:color w:val="000000"/>
              </w:rPr>
              <w:t>设置好的无感监管名单会自动推送至药械化行政检查系统中，并对自动给相关企业设置无感监管标签，并自动删除未执行的年度日常监管计划。</w:t>
            </w:r>
            <w:r>
              <w:rPr>
                <w:rFonts w:hint="eastAsia" w:ascii="仿宋" w:hAnsi="仿宋" w:eastAsia="仿宋"/>
                <w:color w:val="000000"/>
              </w:rPr>
              <w:br w:type="textWrapping"/>
            </w:r>
            <w:r>
              <w:rPr>
                <w:rFonts w:hint="eastAsia" w:ascii="仿宋" w:hAnsi="仿宋" w:eastAsia="仿宋"/>
                <w:color w:val="000000"/>
              </w:rPr>
              <w:t>1. 推送无感监管企业标签</w:t>
            </w:r>
            <w:r>
              <w:rPr>
                <w:rFonts w:hint="eastAsia" w:ascii="仿宋" w:hAnsi="仿宋" w:eastAsia="仿宋"/>
                <w:color w:val="000000"/>
              </w:rPr>
              <w:br w:type="textWrapping"/>
            </w:r>
            <w:r>
              <w:rPr>
                <w:rFonts w:hint="eastAsia" w:ascii="仿宋" w:hAnsi="仿宋" w:eastAsia="仿宋"/>
                <w:color w:val="000000"/>
              </w:rPr>
              <w:t>在完成无感监管企业设置后，系统可以自动向行政检查系统推送企业无感监管标签，行政检查系统同步删除当年度未执行的日常监管计划。</w:t>
            </w:r>
            <w:r>
              <w:rPr>
                <w:rFonts w:hint="eastAsia" w:ascii="仿宋" w:hAnsi="仿宋" w:eastAsia="仿宋"/>
                <w:color w:val="000000"/>
              </w:rPr>
              <w:br w:type="textWrapping"/>
            </w:r>
            <w:r>
              <w:rPr>
                <w:rFonts w:hint="eastAsia" w:ascii="仿宋" w:hAnsi="仿宋" w:eastAsia="仿宋"/>
                <w:color w:val="000000"/>
              </w:rPr>
              <w:t>2. 推送取消无感监管标签</w:t>
            </w:r>
            <w:r>
              <w:rPr>
                <w:rFonts w:hint="eastAsia" w:ascii="仿宋" w:hAnsi="仿宋" w:eastAsia="仿宋"/>
                <w:color w:val="000000"/>
              </w:rPr>
              <w:br w:type="textWrapping"/>
            </w:r>
            <w:r>
              <w:rPr>
                <w:rFonts w:hint="eastAsia" w:ascii="仿宋" w:hAnsi="仿宋" w:eastAsia="仿宋"/>
                <w:color w:val="000000"/>
              </w:rPr>
              <w:t>在完成无感监管企业取消设置后，系统可以自动向行政检查系统推送取消企业无感监管标签，行政检查系统同步恢复之前删除的当年度未执行的日常监管计划。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上海市药械化现场监管检查码管理系统（新建）</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药械化现场监管检查码管理系统（新建）-涉企监管-无事不扰监管-</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6.1.2.2.3.1无事不扰事项设置</w:t>
            </w:r>
            <w:r>
              <w:rPr>
                <w:rFonts w:hint="eastAsia" w:ascii="仿宋" w:hAnsi="仿宋" w:eastAsia="仿宋"/>
                <w:color w:val="000000"/>
              </w:rPr>
              <w:br w:type="textWrapping"/>
            </w:r>
            <w:r>
              <w:rPr>
                <w:rFonts w:hint="eastAsia" w:ascii="仿宋" w:hAnsi="仿宋" w:eastAsia="仿宋"/>
                <w:color w:val="000000"/>
              </w:rPr>
              <w:t>提供监管人员进行无事不扰监管事项的设置，被纳入无事不扰的事项将在申请检查码的时候进行校验，提示执法人员相关事项只能申请触发式检查码。</w:t>
            </w:r>
            <w:r>
              <w:rPr>
                <w:rFonts w:hint="eastAsia" w:ascii="仿宋" w:hAnsi="仿宋" w:eastAsia="仿宋"/>
                <w:color w:val="000000"/>
              </w:rPr>
              <w:br w:type="textWrapping"/>
            </w:r>
            <w:r>
              <w:rPr>
                <w:rFonts w:hint="eastAsia" w:ascii="仿宋" w:hAnsi="仿宋" w:eastAsia="仿宋"/>
                <w:color w:val="000000"/>
              </w:rPr>
              <w:t>1. 设置无事不扰事项</w:t>
            </w:r>
            <w:r>
              <w:rPr>
                <w:rFonts w:hint="eastAsia" w:ascii="仿宋" w:hAnsi="仿宋" w:eastAsia="仿宋"/>
                <w:color w:val="000000"/>
              </w:rPr>
              <w:br w:type="textWrapping"/>
            </w:r>
            <w:r>
              <w:rPr>
                <w:rFonts w:hint="eastAsia" w:ascii="仿宋" w:hAnsi="仿宋" w:eastAsia="仿宋"/>
                <w:color w:val="000000"/>
              </w:rPr>
              <w:t>可以通过从事项中选择的方式设置无事不扰事项清单，需要明确无事不扰的截止日期。</w:t>
            </w:r>
            <w:r>
              <w:rPr>
                <w:rFonts w:hint="eastAsia" w:ascii="仿宋" w:hAnsi="仿宋" w:eastAsia="仿宋"/>
                <w:color w:val="000000"/>
              </w:rPr>
              <w:br w:type="textWrapping"/>
            </w:r>
            <w:r>
              <w:rPr>
                <w:rFonts w:hint="eastAsia" w:ascii="仿宋" w:hAnsi="仿宋" w:eastAsia="仿宋"/>
                <w:color w:val="000000"/>
              </w:rPr>
              <w:t>6.1.2.2.3.2无事不扰事项管理</w:t>
            </w:r>
            <w:r>
              <w:rPr>
                <w:rFonts w:hint="eastAsia" w:ascii="仿宋" w:hAnsi="仿宋" w:eastAsia="仿宋"/>
                <w:color w:val="000000"/>
              </w:rPr>
              <w:br w:type="textWrapping"/>
            </w:r>
            <w:r>
              <w:rPr>
                <w:rFonts w:hint="eastAsia" w:ascii="仿宋" w:hAnsi="仿宋" w:eastAsia="仿宋"/>
                <w:color w:val="000000"/>
              </w:rPr>
              <w:t>提供监管人员对纳入无事不扰的事项进行统一管理，可以进行查询、移出及导出等操作。</w:t>
            </w:r>
            <w:r>
              <w:rPr>
                <w:rFonts w:hint="eastAsia" w:ascii="仿宋" w:hAnsi="仿宋" w:eastAsia="仿宋"/>
                <w:color w:val="000000"/>
              </w:rPr>
              <w:br w:type="textWrapping"/>
            </w:r>
            <w:r>
              <w:rPr>
                <w:rFonts w:hint="eastAsia" w:ascii="仿宋" w:hAnsi="仿宋" w:eastAsia="仿宋"/>
                <w:color w:val="000000"/>
              </w:rPr>
              <w:t>1. 无事不扰事项查询</w:t>
            </w:r>
            <w:r>
              <w:rPr>
                <w:rFonts w:hint="eastAsia" w:ascii="仿宋" w:hAnsi="仿宋" w:eastAsia="仿宋"/>
                <w:color w:val="000000"/>
              </w:rPr>
              <w:br w:type="textWrapping"/>
            </w:r>
            <w:r>
              <w:rPr>
                <w:rFonts w:hint="eastAsia" w:ascii="仿宋" w:hAnsi="仿宋" w:eastAsia="仿宋"/>
                <w:color w:val="000000"/>
              </w:rPr>
              <w:t>可以查询本单位所有加入无事不扰的事项，并可以导出excel。</w:t>
            </w:r>
            <w:r>
              <w:rPr>
                <w:rFonts w:hint="eastAsia" w:ascii="仿宋" w:hAnsi="仿宋" w:eastAsia="仿宋"/>
                <w:color w:val="000000"/>
              </w:rPr>
              <w:br w:type="textWrapping"/>
            </w:r>
            <w:r>
              <w:rPr>
                <w:rFonts w:hint="eastAsia" w:ascii="仿宋" w:hAnsi="仿宋" w:eastAsia="仿宋"/>
                <w:color w:val="000000"/>
              </w:rPr>
              <w:t>2. 主动移出无事不扰事项</w:t>
            </w:r>
            <w:r>
              <w:rPr>
                <w:rFonts w:hint="eastAsia" w:ascii="仿宋" w:hAnsi="仿宋" w:eastAsia="仿宋"/>
                <w:color w:val="000000"/>
              </w:rPr>
              <w:br w:type="textWrapping"/>
            </w:r>
            <w:r>
              <w:rPr>
                <w:rFonts w:hint="eastAsia" w:ascii="仿宋" w:hAnsi="仿宋" w:eastAsia="仿宋"/>
                <w:color w:val="000000"/>
              </w:rPr>
              <w:t>可以主动将检查事项从无事不扰事项清单中移出。</w:t>
            </w:r>
            <w:r>
              <w:rPr>
                <w:rFonts w:hint="eastAsia" w:ascii="仿宋" w:hAnsi="仿宋" w:eastAsia="仿宋"/>
                <w:color w:val="000000"/>
              </w:rPr>
              <w:br w:type="textWrapping"/>
            </w:r>
            <w:r>
              <w:rPr>
                <w:rFonts w:hint="eastAsia" w:ascii="仿宋" w:hAnsi="仿宋" w:eastAsia="仿宋"/>
                <w:color w:val="000000"/>
              </w:rPr>
              <w:t>3. 到期自动无事不扰事项</w:t>
            </w:r>
            <w:r>
              <w:rPr>
                <w:rFonts w:hint="eastAsia" w:ascii="仿宋" w:hAnsi="仿宋" w:eastAsia="仿宋"/>
                <w:color w:val="000000"/>
              </w:rPr>
              <w:br w:type="textWrapping"/>
            </w:r>
            <w:r>
              <w:rPr>
                <w:rFonts w:hint="eastAsia" w:ascii="仿宋" w:hAnsi="仿宋" w:eastAsia="仿宋"/>
                <w:color w:val="000000"/>
              </w:rPr>
              <w:t>待无事不扰设置到期后，系统会自动将检查事项从无事不扰事项清单中移出。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上海市药械化现场监管检查码管理系统（新建）</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药械化现场监管检查码管理系统（新建）-统计分析-检查码的申请和使用情况统计-</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6.1.2.3.1 检查码申请情况统计</w:t>
            </w:r>
            <w:r>
              <w:rPr>
                <w:rFonts w:hint="eastAsia" w:ascii="仿宋" w:hAnsi="仿宋" w:eastAsia="仿宋"/>
                <w:color w:val="000000"/>
              </w:rPr>
              <w:br w:type="textWrapping"/>
            </w:r>
            <w:r>
              <w:rPr>
                <w:rFonts w:hint="eastAsia" w:ascii="仿宋" w:hAnsi="仿宋" w:eastAsia="仿宋"/>
                <w:color w:val="000000"/>
              </w:rPr>
              <w:t>对各单位、各部门、各条线的申码情况进行统计，包括申码方式、申码数量、企业数量、激活数量、亮码数量、注销数量、作废数量等统计。</w:t>
            </w:r>
            <w:r>
              <w:rPr>
                <w:rFonts w:hint="eastAsia" w:ascii="仿宋" w:hAnsi="仿宋" w:eastAsia="仿宋"/>
                <w:color w:val="000000"/>
              </w:rPr>
              <w:br w:type="textWrapping"/>
            </w:r>
            <w:r>
              <w:rPr>
                <w:rFonts w:hint="eastAsia" w:ascii="仿宋" w:hAnsi="仿宋" w:eastAsia="仿宋"/>
                <w:color w:val="000000"/>
              </w:rPr>
              <w:t>1. 各单位检查码申请情况统计：根据用户输入的时间范围统计一段时间内的整体申码情况，市级用户看稽查局、直属单位和全市各区的申码情况统计，区级用户查看科室和各所的申码情况统计。</w:t>
            </w:r>
            <w:r>
              <w:rPr>
                <w:rFonts w:hint="eastAsia" w:ascii="仿宋" w:hAnsi="仿宋" w:eastAsia="仿宋"/>
                <w:color w:val="000000"/>
              </w:rPr>
              <w:br w:type="textWrapping"/>
            </w:r>
            <w:r>
              <w:rPr>
                <w:rFonts w:hint="eastAsia" w:ascii="仿宋" w:hAnsi="仿宋" w:eastAsia="仿宋"/>
                <w:color w:val="000000"/>
              </w:rPr>
              <w:t>2. 各条线检查码申请情况统计：根据用户输入的时间范围统计一段时间内的各条线（包括药品生产企业（药品上市许可持有人）、药品批发企业、药品连锁总部企业、药品零售企业、境外药品上市许可持有人境内责任人、药品网络交易服务第三方平台、药物非临床研究机构、药物临床试验机构、药品使用单位、取得《医疗机构制剂许可证》的医疗机构、医疗器械生产企业、医疗器械注册人/备案人、医疗器械经营企业、医疗器械临床试验机构、医疗器械境内代理人、医疗器械电子商务平台、医疗器械使用单位、化妆品注册人/备案人、化妆品生产企业、化妆品经营企业、化妆品电子商务平台经营者、化妆品境内责任人等）的检查码申请情况，市级用户查看全市范围内的数据，区级用户查看本区范围内的数据。</w:t>
            </w:r>
            <w:r>
              <w:rPr>
                <w:rFonts w:hint="eastAsia" w:ascii="仿宋" w:hAnsi="仿宋" w:eastAsia="仿宋"/>
                <w:color w:val="000000"/>
              </w:rPr>
              <w:br w:type="textWrapping"/>
            </w:r>
            <w:r>
              <w:rPr>
                <w:rFonts w:hint="eastAsia" w:ascii="仿宋" w:hAnsi="仿宋" w:eastAsia="仿宋"/>
                <w:color w:val="000000"/>
              </w:rPr>
              <w:t>3. 各单位每月亮码情况统计：根据用户输入的时间范围统计一段时间内的各单位每月的亮码情况，市级用户看稽查局、直属单位和全市各区的申码情况统计，区级用户查看科室和各所的申码情况统计</w:t>
            </w:r>
            <w:r>
              <w:rPr>
                <w:rFonts w:hint="eastAsia" w:ascii="仿宋" w:hAnsi="仿宋" w:eastAsia="仿宋"/>
                <w:color w:val="000000"/>
              </w:rPr>
              <w:br w:type="textWrapping"/>
            </w:r>
            <w:r>
              <w:rPr>
                <w:rFonts w:hint="eastAsia" w:ascii="仿宋" w:hAnsi="仿宋" w:eastAsia="仿宋"/>
                <w:color w:val="000000"/>
              </w:rPr>
              <w:t>6.1.2.3.2 问题发现率统计</w:t>
            </w:r>
            <w:r>
              <w:rPr>
                <w:rFonts w:hint="eastAsia" w:ascii="仿宋" w:hAnsi="仿宋" w:eastAsia="仿宋"/>
                <w:color w:val="000000"/>
              </w:rPr>
              <w:br w:type="textWrapping"/>
            </w:r>
            <w:r>
              <w:rPr>
                <w:rFonts w:hint="eastAsia" w:ascii="仿宋" w:hAnsi="仿宋" w:eastAsia="仿宋"/>
                <w:color w:val="000000"/>
              </w:rPr>
              <w:t>对各单位、各部门、各条线的问题发现率进行统计。</w:t>
            </w:r>
            <w:r>
              <w:rPr>
                <w:rFonts w:hint="eastAsia" w:ascii="仿宋" w:hAnsi="仿宋" w:eastAsia="仿宋"/>
                <w:color w:val="000000"/>
              </w:rPr>
              <w:br w:type="textWrapping"/>
            </w:r>
            <w:r>
              <w:rPr>
                <w:rFonts w:hint="eastAsia" w:ascii="仿宋" w:hAnsi="仿宋" w:eastAsia="仿宋"/>
                <w:color w:val="000000"/>
              </w:rPr>
              <w:t>1. 各单位问题发现率统计统：根据用户输入的时间范围统计一段时间内的问题发现率，市级用户看稽查局、直属单位和全市各区的问题发现率统计，区级用户查看科室和各所的问题发现率统计。</w:t>
            </w:r>
            <w:r>
              <w:rPr>
                <w:rFonts w:hint="eastAsia" w:ascii="仿宋" w:hAnsi="仿宋" w:eastAsia="仿宋"/>
                <w:color w:val="000000"/>
              </w:rPr>
              <w:br w:type="textWrapping"/>
            </w:r>
            <w:r>
              <w:rPr>
                <w:rFonts w:hint="eastAsia" w:ascii="仿宋" w:hAnsi="仿宋" w:eastAsia="仿宋"/>
                <w:color w:val="000000"/>
              </w:rPr>
              <w:t>2. 各条线问题发现率统计：根据用户输入的时间范围统计一段时间内的各条线的问题发现率情况，市级用户查看全市范围内的数据，区级用户查看本区范围内的数据。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上海市药械化现场监管检查码管理系统（新建）</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药械化现场监管检查码管理系统（新建）-系统对接-接入药监涉企监管业务系统-</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6.1.2.4.1.1单部门申码页面</w:t>
            </w:r>
            <w:r>
              <w:rPr>
                <w:rFonts w:hint="eastAsia" w:ascii="仿宋" w:hAnsi="仿宋" w:eastAsia="仿宋"/>
                <w:color w:val="000000"/>
              </w:rPr>
              <w:br w:type="textWrapping"/>
            </w:r>
            <w:r>
              <w:rPr>
                <w:rFonts w:hint="eastAsia" w:ascii="仿宋" w:hAnsi="仿宋" w:eastAsia="仿宋"/>
                <w:color w:val="000000"/>
              </w:rPr>
              <w:t>提供可供药监其它涉企监管系统嵌入的单部门申码页面，支持企业信息的传递和申码结果的回传。</w:t>
            </w:r>
            <w:r>
              <w:rPr>
                <w:rFonts w:hint="eastAsia" w:ascii="仿宋" w:hAnsi="仿宋" w:eastAsia="仿宋"/>
                <w:color w:val="000000"/>
              </w:rPr>
              <w:br w:type="textWrapping"/>
            </w:r>
            <w:r>
              <w:rPr>
                <w:rFonts w:hint="eastAsia" w:ascii="仿宋" w:hAnsi="仿宋" w:eastAsia="仿宋"/>
                <w:color w:val="000000"/>
              </w:rPr>
              <w:t>1. 传入申码人员和企业</w:t>
            </w:r>
            <w:r>
              <w:rPr>
                <w:rFonts w:hint="eastAsia" w:ascii="仿宋" w:hAnsi="仿宋" w:eastAsia="仿宋"/>
                <w:color w:val="000000"/>
              </w:rPr>
              <w:br w:type="textWrapping"/>
            </w:r>
            <w:r>
              <w:rPr>
                <w:rFonts w:hint="eastAsia" w:ascii="仿宋" w:hAnsi="仿宋" w:eastAsia="仿宋"/>
                <w:color w:val="000000"/>
              </w:rPr>
              <w:t>接收其他涉企监管业务系统传入的申码人员和企业信息，系统自动获取申码人员单位、申领事项等信息，自动获取企业法人库信息。</w:t>
            </w:r>
            <w:r>
              <w:rPr>
                <w:rFonts w:hint="eastAsia" w:ascii="仿宋" w:hAnsi="仿宋" w:eastAsia="仿宋"/>
                <w:color w:val="000000"/>
              </w:rPr>
              <w:br w:type="textWrapping"/>
            </w:r>
            <w:r>
              <w:rPr>
                <w:rFonts w:hint="eastAsia" w:ascii="仿宋" w:hAnsi="仿宋" w:eastAsia="仿宋"/>
                <w:color w:val="000000"/>
              </w:rPr>
              <w:t>2. 展示单部门申码页面</w:t>
            </w:r>
            <w:r>
              <w:rPr>
                <w:rFonts w:hint="eastAsia" w:ascii="仿宋" w:hAnsi="仿宋" w:eastAsia="仿宋"/>
                <w:color w:val="000000"/>
              </w:rPr>
              <w:br w:type="textWrapping"/>
            </w:r>
            <w:r>
              <w:rPr>
                <w:rFonts w:hint="eastAsia" w:ascii="仿宋" w:hAnsi="仿宋" w:eastAsia="仿宋"/>
                <w:color w:val="000000"/>
              </w:rPr>
              <w:t>根据申码人员和企业信息渲染出完整的单部门申码页面。</w:t>
            </w:r>
            <w:r>
              <w:rPr>
                <w:rFonts w:hint="eastAsia" w:ascii="仿宋" w:hAnsi="仿宋" w:eastAsia="仿宋"/>
                <w:color w:val="000000"/>
              </w:rPr>
              <w:br w:type="textWrapping"/>
            </w:r>
            <w:r>
              <w:rPr>
                <w:rFonts w:hint="eastAsia" w:ascii="仿宋" w:hAnsi="仿宋" w:eastAsia="仿宋"/>
                <w:color w:val="000000"/>
              </w:rPr>
              <w:t>3. 反馈申码结果</w:t>
            </w:r>
            <w:r>
              <w:rPr>
                <w:rFonts w:hint="eastAsia" w:ascii="仿宋" w:hAnsi="仿宋" w:eastAsia="仿宋"/>
                <w:color w:val="000000"/>
              </w:rPr>
              <w:br w:type="textWrapping"/>
            </w:r>
            <w:r>
              <w:rPr>
                <w:rFonts w:hint="eastAsia" w:ascii="仿宋" w:hAnsi="仿宋" w:eastAsia="仿宋"/>
                <w:color w:val="000000"/>
              </w:rPr>
              <w:t>完成申码后向对接的业务系统反馈申码结果。</w:t>
            </w:r>
            <w:r>
              <w:rPr>
                <w:rFonts w:hint="eastAsia" w:ascii="仿宋" w:hAnsi="仿宋" w:eastAsia="仿宋"/>
                <w:color w:val="000000"/>
              </w:rPr>
              <w:br w:type="textWrapping"/>
            </w:r>
            <w:r>
              <w:rPr>
                <w:rFonts w:hint="eastAsia" w:ascii="仿宋" w:hAnsi="仿宋" w:eastAsia="仿宋"/>
                <w:color w:val="000000"/>
              </w:rPr>
              <w:t xml:space="preserve">6.1.2.4.1.2检查码亮码页面 </w:t>
            </w:r>
            <w:r>
              <w:rPr>
                <w:rFonts w:hint="eastAsia" w:ascii="仿宋" w:hAnsi="仿宋" w:eastAsia="仿宋"/>
                <w:color w:val="000000"/>
              </w:rPr>
              <w:br w:type="textWrapping"/>
            </w:r>
            <w:r>
              <w:rPr>
                <w:rFonts w:hint="eastAsia" w:ascii="仿宋" w:hAnsi="仿宋" w:eastAsia="仿宋"/>
                <w:color w:val="000000"/>
              </w:rPr>
              <w:t>提供可供药监其它涉企监管系统嵌入的单部门检查码和联合检查码的亮码页面，支持企业信息的传递和亮码结果的回传。</w:t>
            </w:r>
            <w:r>
              <w:rPr>
                <w:rFonts w:hint="eastAsia" w:ascii="仿宋" w:hAnsi="仿宋" w:eastAsia="仿宋"/>
                <w:color w:val="000000"/>
              </w:rPr>
              <w:br w:type="textWrapping"/>
            </w:r>
            <w:r>
              <w:rPr>
                <w:rFonts w:hint="eastAsia" w:ascii="仿宋" w:hAnsi="仿宋" w:eastAsia="仿宋"/>
                <w:color w:val="000000"/>
              </w:rPr>
              <w:t>1. 传入检查人员、企业和检查日期</w:t>
            </w:r>
            <w:r>
              <w:rPr>
                <w:rFonts w:hint="eastAsia" w:ascii="仿宋" w:hAnsi="仿宋" w:eastAsia="仿宋"/>
                <w:color w:val="000000"/>
              </w:rPr>
              <w:br w:type="textWrapping"/>
            </w:r>
            <w:r>
              <w:rPr>
                <w:rFonts w:hint="eastAsia" w:ascii="仿宋" w:hAnsi="仿宋" w:eastAsia="仿宋"/>
                <w:color w:val="000000"/>
              </w:rPr>
              <w:t>接收其他涉企监管业务系统传入的检查人员、企业和检查日期，系统自动获取已经申请成功的联合检查码。</w:t>
            </w:r>
            <w:r>
              <w:rPr>
                <w:rFonts w:hint="eastAsia" w:ascii="仿宋" w:hAnsi="仿宋" w:eastAsia="仿宋"/>
                <w:color w:val="000000"/>
              </w:rPr>
              <w:br w:type="textWrapping"/>
            </w:r>
            <w:r>
              <w:rPr>
                <w:rFonts w:hint="eastAsia" w:ascii="仿宋" w:hAnsi="仿宋" w:eastAsia="仿宋"/>
                <w:color w:val="000000"/>
              </w:rPr>
              <w:t>2. 展示单部门检查码页面</w:t>
            </w:r>
            <w:r>
              <w:rPr>
                <w:rFonts w:hint="eastAsia" w:ascii="仿宋" w:hAnsi="仿宋" w:eastAsia="仿宋"/>
                <w:color w:val="000000"/>
              </w:rPr>
              <w:br w:type="textWrapping"/>
            </w:r>
            <w:r>
              <w:rPr>
                <w:rFonts w:hint="eastAsia" w:ascii="仿宋" w:hAnsi="仿宋" w:eastAsia="仿宋"/>
                <w:color w:val="000000"/>
              </w:rPr>
              <w:t>根据检查人员、企业和检查日期获取到检查码信息渲染出完整的联合检查码亮码页面（包括本单位的申码信息和其它参与单位的信息）。</w:t>
            </w:r>
            <w:r>
              <w:rPr>
                <w:rFonts w:hint="eastAsia" w:ascii="仿宋" w:hAnsi="仿宋" w:eastAsia="仿宋"/>
                <w:color w:val="000000"/>
              </w:rPr>
              <w:br w:type="textWrapping"/>
            </w:r>
            <w:r>
              <w:rPr>
                <w:rFonts w:hint="eastAsia" w:ascii="仿宋" w:hAnsi="仿宋" w:eastAsia="仿宋"/>
                <w:color w:val="000000"/>
              </w:rPr>
              <w:t>3. 反馈亮码结果</w:t>
            </w:r>
            <w:r>
              <w:rPr>
                <w:rFonts w:hint="eastAsia" w:ascii="仿宋" w:hAnsi="仿宋" w:eastAsia="仿宋"/>
                <w:color w:val="000000"/>
              </w:rPr>
              <w:br w:type="textWrapping"/>
            </w:r>
            <w:r>
              <w:rPr>
                <w:rFonts w:hint="eastAsia" w:ascii="仿宋" w:hAnsi="仿宋" w:eastAsia="仿宋"/>
                <w:color w:val="000000"/>
              </w:rPr>
              <w:t>完成亮码后向对接的业务系统反馈亮码结果。</w:t>
            </w:r>
            <w:r>
              <w:rPr>
                <w:rFonts w:hint="eastAsia" w:ascii="仿宋" w:hAnsi="仿宋" w:eastAsia="仿宋"/>
                <w:color w:val="000000"/>
              </w:rPr>
              <w:br w:type="textWrapping"/>
            </w:r>
            <w:r>
              <w:rPr>
                <w:rFonts w:hint="eastAsia" w:ascii="仿宋" w:hAnsi="仿宋" w:eastAsia="仿宋"/>
                <w:color w:val="000000"/>
              </w:rPr>
              <w:t>6.1.2.4.1.3接收检查结果接口</w:t>
            </w:r>
            <w:r>
              <w:rPr>
                <w:rFonts w:hint="eastAsia" w:ascii="仿宋" w:hAnsi="仿宋" w:eastAsia="仿宋"/>
                <w:color w:val="000000"/>
              </w:rPr>
              <w:br w:type="textWrapping"/>
            </w:r>
            <w:r>
              <w:rPr>
                <w:rFonts w:hint="eastAsia" w:ascii="仿宋" w:hAnsi="仿宋" w:eastAsia="仿宋"/>
                <w:color w:val="000000"/>
              </w:rPr>
              <w:t>提供检查结果保存接口，药监其它涉企监管系统完成检查信息录入后可以调用本接口，完成检查结果接收后会统一推送至市统一执法系统中，完成检查闭环。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上海市药械化现场监管检查码管理系统（新建）</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药械化现场监管检查码管理系统（新建）-系统对接-对接上海市综合执法系统-检查码相关接口-</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本系统通过和上海市综合执法系统提供的检查码相关接口实现检查码的申请、亮码和检查结果推送，主要接口类别包括：检查事项相关接口、监管计划相关接口、监管主体相关接口、单部门检查码相关接口、联合检查码相关接口、检查结果相关接口。</w:t>
            </w:r>
            <w:r>
              <w:rPr>
                <w:rFonts w:hint="eastAsia" w:ascii="仿宋" w:hAnsi="仿宋" w:eastAsia="仿宋"/>
                <w:color w:val="000000"/>
              </w:rPr>
              <w:br w:type="textWrapping"/>
            </w:r>
            <w:r>
              <w:rPr>
                <w:rFonts w:hint="eastAsia" w:ascii="仿宋" w:hAnsi="仿宋" w:eastAsia="仿宋"/>
                <w:color w:val="000000"/>
              </w:rPr>
              <w:t>具体接口如下：获取检查事项获取、获取统一计划编码列表，获取计划详情，申码—获取联合检查列表，申请—加</w:t>
            </w:r>
            <w:r>
              <w:rPr>
                <w:rFonts w:hint="default" w:ascii="仿宋" w:hAnsi="仿宋" w:eastAsia="仿宋"/>
                <w:color w:val="000000"/>
                <w:lang w:val="en-US"/>
              </w:rPr>
              <w:t>入（ru）联</w:t>
            </w:r>
            <w:r>
              <w:rPr>
                <w:rFonts w:hint="eastAsia" w:ascii="仿宋" w:hAnsi="仿宋" w:eastAsia="仿宋"/>
                <w:color w:val="000000"/>
              </w:rPr>
              <w:t>合检查、申码--申请检查码、申码--注销检查码、申码--作废检查码、申码--更新检查信息、亮码--推送其他人员、亮码--获取检查信息、亮码--推送亮码信息、亮码--获取附件、亮码--推送检查结果、历史检查记录查询、新增检查计划、联合检查-申请检查码、 联合检查-更新（文书附件）、联合检查-检查部门信息更新、联合检查-作废联合检查码、联合检查-任务下发查询、联合检查-是否参与反馈、联合检查-状态查询接口、联合检查-推送检查结果、联合检查-获取检查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上海市药械化现场监管检查码管理系统（新建）</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药械化现场监管检查码管理系统（新建）-系统对接-对接其它委办局接口-</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rPr>
            </w:pPr>
            <w:r>
              <w:rPr>
                <w:rFonts w:hint="eastAsia" w:ascii="仿宋" w:hAnsi="仿宋" w:eastAsia="仿宋"/>
                <w:color w:val="000000"/>
              </w:rPr>
              <w:t>本系统通过和其它为委办局系统接口获取法人信息、执法人员执法证信息和市民的身份信息，主要接口包括法人库相关接口、执法人员库相关接口、市民随申码接口。</w:t>
            </w:r>
            <w:r>
              <w:rPr>
                <w:rFonts w:hint="eastAsia" w:ascii="仿宋" w:hAnsi="仿宋" w:eastAsia="仿宋"/>
                <w:color w:val="000000"/>
              </w:rPr>
              <w:br w:type="textWrapping"/>
            </w:r>
            <w:r>
              <w:rPr>
                <w:rFonts w:hint="eastAsia" w:ascii="仿宋" w:hAnsi="仿宋" w:eastAsia="仿宋"/>
                <w:color w:val="000000"/>
              </w:rPr>
              <w:t>1. 法人库接口：通过企业名称获取统一社会信用代码、法人姓名、法人身份证号、法人联系手机等。</w:t>
            </w:r>
            <w:r>
              <w:rPr>
                <w:rFonts w:hint="eastAsia" w:ascii="仿宋" w:hAnsi="仿宋" w:eastAsia="仿宋"/>
                <w:color w:val="000000"/>
              </w:rPr>
              <w:br w:type="textWrapping"/>
            </w:r>
            <w:r>
              <w:rPr>
                <w:rFonts w:hint="eastAsia" w:ascii="仿宋" w:hAnsi="仿宋" w:eastAsia="仿宋"/>
                <w:color w:val="000000"/>
              </w:rPr>
              <w:t>2. 执法人员库接口：通过身份证获取执法证号。</w:t>
            </w:r>
            <w:r>
              <w:rPr>
                <w:rFonts w:hint="eastAsia" w:ascii="仿宋" w:hAnsi="仿宋" w:eastAsia="仿宋"/>
                <w:color w:val="000000"/>
              </w:rPr>
              <w:br w:type="textWrapping"/>
            </w:r>
            <w:r>
              <w:rPr>
                <w:rFonts w:hint="eastAsia" w:ascii="仿宋" w:hAnsi="仿宋" w:eastAsia="仿宋"/>
                <w:color w:val="000000"/>
              </w:rPr>
              <w:t>3. 市民随申码接口：通过扫描市民随申码图片获取人员的姓名、身份证号码和手机号。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药械化行政检查管理系统和移动监管模块（升级）-行政检查监督检查项目功能（升级）-自动售药机、自动售械机监管（新建）-</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6.1.3.1.1.1自动售药机及售械机管理</w:t>
            </w:r>
            <w:r>
              <w:rPr>
                <w:rFonts w:hint="eastAsia" w:ascii="仿宋" w:hAnsi="仿宋" w:eastAsia="仿宋"/>
                <w:color w:val="000000"/>
              </w:rPr>
              <w:br w:type="textWrapping"/>
            </w:r>
            <w:r>
              <w:rPr>
                <w:rFonts w:hint="eastAsia" w:ascii="仿宋" w:hAnsi="仿宋" w:eastAsia="仿宋"/>
                <w:color w:val="000000"/>
              </w:rPr>
              <w:t>提供监管人员进行自动售药机及自动售械机的管理功能，每天定期同步许可审批结果数据，可以进行企业的标签管理、查看详情和导出等。</w:t>
            </w:r>
            <w:r>
              <w:rPr>
                <w:rFonts w:hint="eastAsia" w:ascii="仿宋" w:hAnsi="仿宋" w:eastAsia="仿宋"/>
                <w:color w:val="000000"/>
              </w:rPr>
              <w:br w:type="textWrapping"/>
            </w:r>
            <w:r>
              <w:rPr>
                <w:rFonts w:hint="eastAsia" w:ascii="仿宋" w:hAnsi="仿宋" w:eastAsia="仿宋"/>
                <w:color w:val="000000"/>
              </w:rPr>
              <w:t>1. 同步许可审批结果数据</w:t>
            </w:r>
            <w:r>
              <w:rPr>
                <w:rFonts w:hint="eastAsia" w:ascii="仿宋" w:hAnsi="仿宋" w:eastAsia="仿宋"/>
                <w:color w:val="000000"/>
              </w:rPr>
              <w:br w:type="textWrapping"/>
            </w:r>
            <w:r>
              <w:rPr>
                <w:rFonts w:hint="eastAsia" w:ascii="仿宋" w:hAnsi="仿宋" w:eastAsia="仿宋"/>
                <w:color w:val="000000"/>
              </w:rPr>
              <w:t>每天定期同步完成许可审批的自动售药机、自动售械机信息，同步完成后可以进行后续监管工作。</w:t>
            </w:r>
            <w:r>
              <w:rPr>
                <w:rFonts w:hint="eastAsia" w:ascii="仿宋" w:hAnsi="仿宋" w:eastAsia="仿宋"/>
                <w:color w:val="000000"/>
              </w:rPr>
              <w:br w:type="textWrapping"/>
            </w:r>
            <w:r>
              <w:rPr>
                <w:rFonts w:hint="eastAsia" w:ascii="仿宋" w:hAnsi="仿宋" w:eastAsia="仿宋"/>
                <w:color w:val="000000"/>
              </w:rPr>
              <w:t>2. 自动售药机及自动售械机的查询和导出</w:t>
            </w:r>
            <w:r>
              <w:rPr>
                <w:rFonts w:hint="eastAsia" w:ascii="仿宋" w:hAnsi="仿宋" w:eastAsia="仿宋"/>
                <w:color w:val="000000"/>
              </w:rPr>
              <w:br w:type="textWrapping"/>
            </w:r>
            <w:r>
              <w:rPr>
                <w:rFonts w:hint="eastAsia" w:ascii="仿宋" w:hAnsi="仿宋" w:eastAsia="仿宋"/>
                <w:color w:val="000000"/>
              </w:rPr>
              <w:t>可以通过连锁企业名称、售药机编号、地址、监管部门等信息进行查询,市局用户可以查询全市范围的信息，区局用户只能查询本区范围内的信息，并可以详细的自动售药机及自动售械机详情，并导出为EXCEL。</w:t>
            </w:r>
            <w:r>
              <w:rPr>
                <w:rFonts w:hint="eastAsia" w:ascii="仿宋" w:hAnsi="仿宋" w:eastAsia="仿宋"/>
                <w:color w:val="000000"/>
              </w:rPr>
              <w:br w:type="textWrapping"/>
            </w:r>
            <w:r>
              <w:rPr>
                <w:rFonts w:hint="eastAsia" w:ascii="仿宋" w:hAnsi="仿宋" w:eastAsia="仿宋"/>
                <w:color w:val="000000"/>
              </w:rPr>
              <w:t>3. 标签管理</w:t>
            </w:r>
            <w:r>
              <w:rPr>
                <w:rFonts w:hint="eastAsia" w:ascii="仿宋" w:hAnsi="仿宋" w:eastAsia="仿宋"/>
                <w:color w:val="000000"/>
              </w:rPr>
              <w:br w:type="textWrapping"/>
            </w:r>
            <w:r>
              <w:rPr>
                <w:rFonts w:hint="eastAsia" w:ascii="仿宋" w:hAnsi="仿宋" w:eastAsia="仿宋"/>
                <w:color w:val="000000"/>
              </w:rPr>
              <w:t>可以对自动售药机及自动售械机进行标签管理，可以设置监管部门、监管属性等标签。</w:t>
            </w:r>
            <w:r>
              <w:rPr>
                <w:rFonts w:hint="eastAsia" w:ascii="仿宋" w:hAnsi="仿宋" w:eastAsia="仿宋"/>
                <w:color w:val="000000"/>
              </w:rPr>
              <w:br w:type="textWrapping"/>
            </w:r>
            <w:r>
              <w:rPr>
                <w:rFonts w:hint="eastAsia" w:ascii="仿宋" w:hAnsi="仿宋" w:eastAsia="仿宋"/>
                <w:color w:val="000000"/>
              </w:rPr>
              <w:t>6.1.3.1.1.2自动售药机监督检查</w:t>
            </w:r>
            <w:r>
              <w:rPr>
                <w:rFonts w:hint="eastAsia" w:ascii="仿宋" w:hAnsi="仿宋" w:eastAsia="仿宋"/>
                <w:color w:val="000000"/>
              </w:rPr>
              <w:br w:type="textWrapping"/>
            </w:r>
            <w:r>
              <w:rPr>
                <w:rFonts w:hint="eastAsia" w:ascii="仿宋" w:hAnsi="仿宋" w:eastAsia="仿宋"/>
                <w:color w:val="000000"/>
              </w:rPr>
              <w:t>根据药品经营和使用质量监督管理办法的要求监管人员对自动售药机开展监督检查，可以查看自动售药机的基本信息和对应的药品零售企业信息，并内置了自动售药机的规范SOP检查条款，按照自动售药机的检查要求输入检查内容后可以生成相应的检查文书。</w:t>
            </w:r>
            <w:r>
              <w:rPr>
                <w:rFonts w:hint="eastAsia" w:ascii="仿宋" w:hAnsi="仿宋" w:eastAsia="仿宋"/>
                <w:color w:val="000000"/>
              </w:rPr>
              <w:br w:type="textWrapping"/>
            </w:r>
            <w:r>
              <w:rPr>
                <w:rFonts w:hint="eastAsia" w:ascii="仿宋" w:hAnsi="仿宋" w:eastAsia="仿宋"/>
                <w:color w:val="000000"/>
              </w:rPr>
              <w:t>提供监管人员对自动售药机的监督检查结果进行统一管理，涉及需要进行整改时，还可以进行整改报告的上传。</w:t>
            </w:r>
            <w:r>
              <w:rPr>
                <w:rFonts w:hint="eastAsia" w:ascii="仿宋" w:hAnsi="仿宋" w:eastAsia="仿宋"/>
                <w:color w:val="000000"/>
              </w:rPr>
              <w:br w:type="textWrapping"/>
            </w:r>
            <w:r>
              <w:rPr>
                <w:rFonts w:hint="eastAsia" w:ascii="仿宋" w:hAnsi="仿宋" w:eastAsia="仿宋"/>
                <w:color w:val="000000"/>
              </w:rPr>
              <w:t>1. 自动售药机查询</w:t>
            </w:r>
            <w:r>
              <w:rPr>
                <w:rFonts w:hint="eastAsia" w:ascii="仿宋" w:hAnsi="仿宋" w:eastAsia="仿宋"/>
                <w:color w:val="000000"/>
              </w:rPr>
              <w:br w:type="textWrapping"/>
            </w:r>
            <w:r>
              <w:rPr>
                <w:rFonts w:hint="eastAsia" w:ascii="仿宋" w:hAnsi="仿宋" w:eastAsia="仿宋"/>
                <w:color w:val="000000"/>
              </w:rPr>
              <w:t>可以通过连锁企业名称、售药机编号、地址、监管部门等信息进行查询。</w:t>
            </w:r>
            <w:r>
              <w:rPr>
                <w:rFonts w:hint="eastAsia" w:ascii="仿宋" w:hAnsi="仿宋" w:eastAsia="仿宋"/>
                <w:color w:val="000000"/>
              </w:rPr>
              <w:br w:type="textWrapping"/>
            </w:r>
            <w:r>
              <w:rPr>
                <w:rFonts w:hint="eastAsia" w:ascii="仿宋" w:hAnsi="仿宋" w:eastAsia="仿宋"/>
                <w:color w:val="000000"/>
              </w:rPr>
              <w:t>2. 自动售药机监督检查</w:t>
            </w:r>
            <w:r>
              <w:rPr>
                <w:rFonts w:hint="eastAsia" w:ascii="仿宋" w:hAnsi="仿宋" w:eastAsia="仿宋"/>
                <w:color w:val="000000"/>
              </w:rPr>
              <w:br w:type="textWrapping"/>
            </w:r>
            <w:r>
              <w:rPr>
                <w:rFonts w:hint="eastAsia" w:ascii="仿宋" w:hAnsi="仿宋" w:eastAsia="仿宋"/>
                <w:color w:val="000000"/>
              </w:rPr>
              <w:t>可以开展对自动售药机的监督检查，可以查看自动售药机的基本信息、对应的药品零售企业的许可证信息和对自动售药机的历史检查记录等信息。</w:t>
            </w:r>
            <w:r>
              <w:rPr>
                <w:rFonts w:hint="eastAsia" w:ascii="仿宋" w:hAnsi="仿宋" w:eastAsia="仿宋"/>
                <w:color w:val="000000"/>
              </w:rPr>
              <w:br w:type="textWrapping"/>
            </w:r>
            <w:r>
              <w:rPr>
                <w:rFonts w:hint="eastAsia" w:ascii="仿宋" w:hAnsi="仿宋" w:eastAsia="仿宋"/>
                <w:color w:val="000000"/>
              </w:rPr>
              <w:t>在录入检查信息时可以选择检查日期、检查人员、检查地址、检查类型、检查结果等信息，并支持附件上传。</w:t>
            </w:r>
            <w:r>
              <w:rPr>
                <w:rFonts w:hint="eastAsia" w:ascii="仿宋" w:hAnsi="仿宋" w:eastAsia="仿宋"/>
                <w:color w:val="000000"/>
              </w:rPr>
              <w:br w:type="textWrapping"/>
            </w:r>
            <w:r>
              <w:rPr>
                <w:rFonts w:hint="eastAsia" w:ascii="仿宋" w:hAnsi="仿宋" w:eastAsia="仿宋"/>
                <w:color w:val="000000"/>
              </w:rPr>
              <w:t>系统内置符合自动售药机监管要求的SOP检查条款，用户可以选择后填写具体条款的检查结果信息，并针对每个条款上传相应的附件。</w:t>
            </w:r>
            <w:r>
              <w:rPr>
                <w:rFonts w:hint="eastAsia" w:ascii="仿宋" w:hAnsi="仿宋" w:eastAsia="仿宋"/>
                <w:color w:val="000000"/>
              </w:rPr>
              <w:br w:type="textWrapping"/>
            </w:r>
            <w:r>
              <w:rPr>
                <w:rFonts w:hint="eastAsia" w:ascii="仿宋" w:hAnsi="仿宋" w:eastAsia="仿宋"/>
                <w:color w:val="000000"/>
              </w:rPr>
              <w:t>完成检查信息录入后，系统还可以生成符合规范的检查文书。</w:t>
            </w:r>
            <w:r>
              <w:rPr>
                <w:rFonts w:hint="eastAsia" w:ascii="仿宋" w:hAnsi="仿宋" w:eastAsia="仿宋"/>
                <w:color w:val="000000"/>
              </w:rPr>
              <w:br w:type="textWrapping"/>
            </w:r>
            <w:r>
              <w:rPr>
                <w:rFonts w:hint="eastAsia" w:ascii="仿宋" w:hAnsi="仿宋" w:eastAsia="仿宋"/>
                <w:color w:val="000000"/>
              </w:rPr>
              <w:t>3. 自动售药机检查信息管理</w:t>
            </w:r>
            <w:r>
              <w:rPr>
                <w:rFonts w:hint="eastAsia" w:ascii="仿宋" w:hAnsi="仿宋" w:eastAsia="仿宋"/>
                <w:color w:val="000000"/>
              </w:rPr>
              <w:br w:type="textWrapping"/>
            </w:r>
            <w:r>
              <w:rPr>
                <w:rFonts w:hint="eastAsia" w:ascii="仿宋" w:hAnsi="仿宋" w:eastAsia="仿宋"/>
                <w:color w:val="000000"/>
              </w:rPr>
              <w:t>可以对已经完成的自动售药机的检查信息进行统一管理，可以进行查询、查看详情、导出、修改和删除。修改和删除时系统会记录详细的操作历史。</w:t>
            </w:r>
            <w:r>
              <w:rPr>
                <w:rFonts w:hint="eastAsia" w:ascii="仿宋" w:hAnsi="仿宋" w:eastAsia="仿宋"/>
                <w:color w:val="000000"/>
              </w:rPr>
              <w:br w:type="textWrapping"/>
            </w:r>
            <w:r>
              <w:rPr>
                <w:rFonts w:hint="eastAsia" w:ascii="仿宋" w:hAnsi="仿宋" w:eastAsia="仿宋"/>
                <w:color w:val="000000"/>
              </w:rPr>
              <w:t>4. 自动售药机整改报告上传</w:t>
            </w:r>
            <w:r>
              <w:rPr>
                <w:rFonts w:hint="eastAsia" w:ascii="仿宋" w:hAnsi="仿宋" w:eastAsia="仿宋"/>
                <w:color w:val="000000"/>
              </w:rPr>
              <w:br w:type="textWrapping"/>
            </w:r>
            <w:r>
              <w:rPr>
                <w:rFonts w:hint="eastAsia" w:ascii="仿宋" w:hAnsi="仿宋" w:eastAsia="仿宋"/>
                <w:color w:val="000000"/>
              </w:rPr>
              <w:t xml:space="preserve"> 针对需要提交整改报告的检查，可以将企业反馈的整改报告上传到系统中，上传完成后可以和检查信息进行合并展示。</w:t>
            </w:r>
            <w:r>
              <w:rPr>
                <w:rFonts w:hint="eastAsia" w:ascii="仿宋" w:hAnsi="仿宋" w:eastAsia="仿宋"/>
                <w:color w:val="000000"/>
              </w:rPr>
              <w:br w:type="textWrapping"/>
            </w:r>
            <w:r>
              <w:rPr>
                <w:rFonts w:hint="eastAsia" w:ascii="仿宋" w:hAnsi="仿宋" w:eastAsia="仿宋"/>
                <w:color w:val="000000"/>
              </w:rPr>
              <w:t>6.1.3.1.1.3自动售械机监督检查</w:t>
            </w:r>
            <w:r>
              <w:rPr>
                <w:rFonts w:hint="eastAsia" w:ascii="仿宋" w:hAnsi="仿宋" w:eastAsia="仿宋"/>
                <w:color w:val="000000"/>
              </w:rPr>
              <w:br w:type="textWrapping"/>
            </w:r>
            <w:r>
              <w:rPr>
                <w:rFonts w:hint="eastAsia" w:ascii="仿宋" w:hAnsi="仿宋" w:eastAsia="仿宋"/>
                <w:color w:val="000000"/>
              </w:rPr>
              <w:t>根据医疗器械经营监督管理办法的要求监管人员对自动售械机开展监督检查，可以查看自动售械机的基本信息和对应的医疗器械经营企业信息，并内置了自动售械机的规范SOP检查条款，按照自动售械机的检查要求输入检查内容后可以生成相应的检查文书。</w:t>
            </w:r>
            <w:r>
              <w:rPr>
                <w:rFonts w:hint="eastAsia" w:ascii="仿宋" w:hAnsi="仿宋" w:eastAsia="仿宋"/>
                <w:color w:val="000000"/>
              </w:rPr>
              <w:br w:type="textWrapping"/>
            </w:r>
            <w:r>
              <w:rPr>
                <w:rFonts w:hint="eastAsia" w:ascii="仿宋" w:hAnsi="仿宋" w:eastAsia="仿宋"/>
                <w:color w:val="000000"/>
              </w:rPr>
              <w:t>提供监管人员对自动售械机的监督检查结果进行统一管理，涉及需要进行整改时，还可以进行整改报告的上传。</w:t>
            </w:r>
            <w:r>
              <w:rPr>
                <w:rFonts w:hint="eastAsia" w:ascii="仿宋" w:hAnsi="仿宋" w:eastAsia="仿宋"/>
                <w:color w:val="000000"/>
              </w:rPr>
              <w:br w:type="textWrapping"/>
            </w:r>
            <w:r>
              <w:rPr>
                <w:rFonts w:hint="eastAsia" w:ascii="仿宋" w:hAnsi="仿宋" w:eastAsia="仿宋"/>
                <w:color w:val="000000"/>
              </w:rPr>
              <w:t>1. 自动售械机查询</w:t>
            </w:r>
            <w:r>
              <w:rPr>
                <w:rFonts w:hint="eastAsia" w:ascii="仿宋" w:hAnsi="仿宋" w:eastAsia="仿宋"/>
                <w:color w:val="000000"/>
              </w:rPr>
              <w:br w:type="textWrapping"/>
            </w:r>
            <w:r>
              <w:rPr>
                <w:rFonts w:hint="eastAsia" w:ascii="仿宋" w:hAnsi="仿宋" w:eastAsia="仿宋"/>
                <w:color w:val="000000"/>
              </w:rPr>
              <w:t>可以通过医疗器械经营企业业名称、售械机编号、地址、监管部门等信息进行查询。</w:t>
            </w:r>
            <w:r>
              <w:rPr>
                <w:rFonts w:hint="eastAsia" w:ascii="仿宋" w:hAnsi="仿宋" w:eastAsia="仿宋"/>
                <w:color w:val="000000"/>
              </w:rPr>
              <w:br w:type="textWrapping"/>
            </w:r>
            <w:r>
              <w:rPr>
                <w:rFonts w:hint="eastAsia" w:ascii="仿宋" w:hAnsi="仿宋" w:eastAsia="仿宋"/>
                <w:color w:val="000000"/>
              </w:rPr>
              <w:t>2. 自动售械机监督检查</w:t>
            </w:r>
            <w:r>
              <w:rPr>
                <w:rFonts w:hint="eastAsia" w:ascii="仿宋" w:hAnsi="仿宋" w:eastAsia="仿宋"/>
                <w:color w:val="000000"/>
              </w:rPr>
              <w:br w:type="textWrapping"/>
            </w:r>
            <w:r>
              <w:rPr>
                <w:rFonts w:hint="eastAsia" w:ascii="仿宋" w:hAnsi="仿宋" w:eastAsia="仿宋"/>
                <w:color w:val="000000"/>
              </w:rPr>
              <w:t>可以开展对自动售械机的监督检查，可以查看自动售械机的基本信息、对应的医疗器械经营企业的许可证信息和对自动售械机的历史检查记录等信息。</w:t>
            </w:r>
            <w:r>
              <w:rPr>
                <w:rFonts w:hint="eastAsia" w:ascii="仿宋" w:hAnsi="仿宋" w:eastAsia="仿宋"/>
                <w:color w:val="000000"/>
              </w:rPr>
              <w:br w:type="textWrapping"/>
            </w:r>
            <w:r>
              <w:rPr>
                <w:rFonts w:hint="eastAsia" w:ascii="仿宋" w:hAnsi="仿宋" w:eastAsia="仿宋"/>
                <w:color w:val="000000"/>
              </w:rPr>
              <w:t>在录入检查信息时可以选择检查日期、检查人员、检查地址、检查类型、检查结果等信息，并支持附件上传。</w:t>
            </w:r>
            <w:r>
              <w:rPr>
                <w:rFonts w:hint="eastAsia" w:ascii="仿宋" w:hAnsi="仿宋" w:eastAsia="仿宋"/>
                <w:color w:val="000000"/>
              </w:rPr>
              <w:br w:type="textWrapping"/>
            </w:r>
            <w:r>
              <w:rPr>
                <w:rFonts w:hint="eastAsia" w:ascii="仿宋" w:hAnsi="仿宋" w:eastAsia="仿宋"/>
                <w:color w:val="000000"/>
              </w:rPr>
              <w:t>系统内置了符合自动售械机监管要求的SOP检查条款，用户可以选择后填写具体条款的检查结果信息，并针对每个条款上传相应的附件。</w:t>
            </w:r>
            <w:r>
              <w:rPr>
                <w:rFonts w:hint="eastAsia" w:ascii="仿宋" w:hAnsi="仿宋" w:eastAsia="仿宋"/>
                <w:color w:val="000000"/>
              </w:rPr>
              <w:br w:type="textWrapping"/>
            </w:r>
            <w:r>
              <w:rPr>
                <w:rFonts w:hint="eastAsia" w:ascii="仿宋" w:hAnsi="仿宋" w:eastAsia="仿宋"/>
                <w:color w:val="000000"/>
              </w:rPr>
              <w:t>完成检查信息录入后，系统还可以生成符合规范的检查文书。</w:t>
            </w:r>
            <w:r>
              <w:rPr>
                <w:rFonts w:hint="eastAsia" w:ascii="仿宋" w:hAnsi="仿宋" w:eastAsia="仿宋"/>
                <w:color w:val="000000"/>
              </w:rPr>
              <w:br w:type="textWrapping"/>
            </w:r>
            <w:r>
              <w:rPr>
                <w:rFonts w:hint="eastAsia" w:ascii="仿宋" w:hAnsi="仿宋" w:eastAsia="仿宋"/>
                <w:color w:val="000000"/>
              </w:rPr>
              <w:t>3. 自动售械机检查信息管理</w:t>
            </w:r>
            <w:r>
              <w:rPr>
                <w:rFonts w:hint="eastAsia" w:ascii="仿宋" w:hAnsi="仿宋" w:eastAsia="仿宋"/>
                <w:color w:val="000000"/>
              </w:rPr>
              <w:br w:type="textWrapping"/>
            </w:r>
            <w:r>
              <w:rPr>
                <w:rFonts w:hint="eastAsia" w:ascii="仿宋" w:hAnsi="仿宋" w:eastAsia="仿宋"/>
                <w:color w:val="000000"/>
              </w:rPr>
              <w:t>可以对已经完成的自动售械机的检查信息进行统一管理，可以进行查询、查看详情、导出、修改和删除。</w:t>
            </w:r>
            <w:r>
              <w:rPr>
                <w:rFonts w:hint="eastAsia" w:ascii="仿宋" w:hAnsi="仿宋" w:eastAsia="仿宋"/>
                <w:color w:val="000000"/>
              </w:rPr>
              <w:br w:type="textWrapping"/>
            </w:r>
            <w:r>
              <w:rPr>
                <w:rFonts w:hint="eastAsia" w:ascii="仿宋" w:hAnsi="仿宋" w:eastAsia="仿宋"/>
                <w:color w:val="000000"/>
              </w:rPr>
              <w:t>修改和删除时系统会记录详细的操作历史。</w:t>
            </w:r>
            <w:r>
              <w:rPr>
                <w:rFonts w:hint="eastAsia" w:ascii="仿宋" w:hAnsi="仿宋" w:eastAsia="仿宋"/>
                <w:color w:val="000000"/>
              </w:rPr>
              <w:br w:type="textWrapping"/>
            </w:r>
            <w:r>
              <w:rPr>
                <w:rFonts w:hint="eastAsia" w:ascii="仿宋" w:hAnsi="仿宋" w:eastAsia="仿宋"/>
                <w:color w:val="000000"/>
              </w:rPr>
              <w:t>4. 自动售械机整改报告上传</w:t>
            </w:r>
            <w:r>
              <w:rPr>
                <w:rFonts w:hint="eastAsia" w:ascii="仿宋" w:hAnsi="仿宋" w:eastAsia="仿宋"/>
                <w:color w:val="000000"/>
              </w:rPr>
              <w:br w:type="textWrapping"/>
            </w:r>
            <w:r>
              <w:rPr>
                <w:rFonts w:hint="eastAsia" w:ascii="仿宋" w:hAnsi="仿宋" w:eastAsia="仿宋"/>
                <w:color w:val="000000"/>
              </w:rPr>
              <w:t xml:space="preserve"> 针对需要提交整改报告的检查，可以将企业反馈的整改报告上传到系统中，上传完成后可以和检查信息进行合并展示。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药械化行政检查管理系统和移动监管模块（升级）-行政检查监督检查项目功能（升级）-数字药仓监管（新建）-</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全市47家连锁总部都可以设置数字药仓库，根据《上海市药品零售企业许可验收实施细则》中要求药品零售连锁企业及时上报“数字药仓、远程审方等数据”。</w:t>
            </w:r>
            <w:r>
              <w:rPr>
                <w:rFonts w:hint="eastAsia" w:ascii="仿宋" w:hAnsi="仿宋" w:eastAsia="仿宋"/>
                <w:color w:val="000000"/>
              </w:rPr>
              <w:br w:type="textWrapping"/>
            </w:r>
            <w:r>
              <w:rPr>
                <w:rFonts w:hint="eastAsia" w:ascii="仿宋" w:hAnsi="仿宋" w:eastAsia="仿宋"/>
                <w:color w:val="000000"/>
              </w:rPr>
              <w:t>1.1.1.1.1.1企业-在线登记数字药仓</w:t>
            </w:r>
            <w:r>
              <w:rPr>
                <w:rFonts w:hint="eastAsia" w:ascii="仿宋" w:hAnsi="仿宋" w:eastAsia="仿宋"/>
                <w:color w:val="000000"/>
              </w:rPr>
              <w:br w:type="textWrapping"/>
            </w:r>
            <w:r>
              <w:rPr>
                <w:rFonts w:hint="eastAsia" w:ascii="仿宋" w:hAnsi="仿宋" w:eastAsia="仿宋"/>
                <w:color w:val="000000"/>
              </w:rPr>
              <w:t>提供药品连锁企业进行数字药仓信息的在线登记，需要填写相关的设备和地址信息。</w:t>
            </w:r>
            <w:r>
              <w:rPr>
                <w:rFonts w:hint="eastAsia" w:ascii="仿宋" w:hAnsi="仿宋" w:eastAsia="仿宋"/>
                <w:color w:val="000000"/>
              </w:rPr>
              <w:br w:type="textWrapping"/>
            </w:r>
            <w:r>
              <w:rPr>
                <w:rFonts w:hint="eastAsia" w:ascii="仿宋" w:hAnsi="仿宋" w:eastAsia="仿宋"/>
                <w:color w:val="000000"/>
              </w:rPr>
              <w:t>1. 数字药仓登记</w:t>
            </w:r>
            <w:r>
              <w:rPr>
                <w:rFonts w:hint="eastAsia" w:ascii="仿宋" w:hAnsi="仿宋" w:eastAsia="仿宋"/>
                <w:color w:val="000000"/>
              </w:rPr>
              <w:br w:type="textWrapping"/>
            </w:r>
            <w:r>
              <w:rPr>
                <w:rFonts w:hint="eastAsia" w:ascii="仿宋" w:hAnsi="仿宋" w:eastAsia="仿宋"/>
                <w:color w:val="000000"/>
              </w:rPr>
              <w:t>企业人员可以在线进行数字药仓的登记，需要填写药品连锁企业名称、数字药仓编号、名称、具体位置及辖区街道等信息。</w:t>
            </w:r>
            <w:r>
              <w:rPr>
                <w:rFonts w:hint="eastAsia" w:ascii="仿宋" w:hAnsi="仿宋" w:eastAsia="仿宋"/>
                <w:color w:val="000000"/>
              </w:rPr>
              <w:br w:type="textWrapping"/>
            </w:r>
            <w:r>
              <w:rPr>
                <w:rFonts w:hint="eastAsia" w:ascii="仿宋" w:hAnsi="仿宋" w:eastAsia="仿宋"/>
                <w:color w:val="000000"/>
              </w:rPr>
              <w:t>2. 数字药仓管理</w:t>
            </w:r>
            <w:r>
              <w:rPr>
                <w:rFonts w:hint="eastAsia" w:ascii="仿宋" w:hAnsi="仿宋" w:eastAsia="仿宋"/>
                <w:color w:val="000000"/>
              </w:rPr>
              <w:br w:type="textWrapping"/>
            </w:r>
            <w:r>
              <w:rPr>
                <w:rFonts w:hint="eastAsia" w:ascii="仿宋" w:hAnsi="仿宋" w:eastAsia="仿宋"/>
                <w:color w:val="000000"/>
              </w:rPr>
              <w:t>企业人员可以对自己登记的数字药仓进行统一管理，可以进行查询、修改和注销等操作。</w:t>
            </w:r>
            <w:r>
              <w:rPr>
                <w:rFonts w:hint="eastAsia" w:ascii="仿宋" w:hAnsi="仿宋" w:eastAsia="仿宋"/>
                <w:color w:val="000000"/>
              </w:rPr>
              <w:br w:type="textWrapping"/>
            </w:r>
            <w:r>
              <w:rPr>
                <w:rFonts w:hint="eastAsia" w:ascii="仿宋" w:hAnsi="仿宋" w:eastAsia="仿宋"/>
                <w:color w:val="000000"/>
              </w:rPr>
              <w:t>1.1.1.1.1.2监管-在线审核数字药仓</w:t>
            </w:r>
            <w:r>
              <w:rPr>
                <w:rFonts w:hint="eastAsia" w:ascii="仿宋" w:hAnsi="仿宋" w:eastAsia="仿宋"/>
                <w:color w:val="000000"/>
              </w:rPr>
              <w:br w:type="textWrapping"/>
            </w:r>
            <w:r>
              <w:rPr>
                <w:rFonts w:hint="eastAsia" w:ascii="仿宋" w:hAnsi="仿宋" w:eastAsia="仿宋"/>
                <w:color w:val="000000"/>
              </w:rPr>
              <w:t>提供监管人员对企业登记的数字药仓进行核准，核查通过后可以在药监局官网进行公示，同时可以进行后续的监督检查。</w:t>
            </w:r>
            <w:r>
              <w:rPr>
                <w:rFonts w:hint="eastAsia" w:ascii="仿宋" w:hAnsi="仿宋" w:eastAsia="仿宋"/>
                <w:color w:val="000000"/>
              </w:rPr>
              <w:br w:type="textWrapping"/>
            </w:r>
            <w:r>
              <w:rPr>
                <w:rFonts w:hint="eastAsia" w:ascii="仿宋" w:hAnsi="仿宋" w:eastAsia="仿宋"/>
                <w:color w:val="000000"/>
              </w:rPr>
              <w:t>1. 待审核数字药仓查询</w:t>
            </w:r>
            <w:r>
              <w:rPr>
                <w:rFonts w:hint="eastAsia" w:ascii="仿宋" w:hAnsi="仿宋" w:eastAsia="仿宋"/>
                <w:color w:val="000000"/>
              </w:rPr>
              <w:br w:type="textWrapping"/>
            </w:r>
            <w:r>
              <w:rPr>
                <w:rFonts w:hint="eastAsia" w:ascii="仿宋" w:hAnsi="仿宋" w:eastAsia="仿宋"/>
                <w:color w:val="000000"/>
              </w:rPr>
              <w:t>监管人员可以通过企业名称、辖区及位置等字段进行待审核数字药仓的查询。</w:t>
            </w:r>
            <w:r>
              <w:rPr>
                <w:rFonts w:hint="eastAsia" w:ascii="仿宋" w:hAnsi="仿宋" w:eastAsia="仿宋"/>
                <w:color w:val="000000"/>
              </w:rPr>
              <w:br w:type="textWrapping"/>
            </w:r>
            <w:r>
              <w:rPr>
                <w:rFonts w:hint="eastAsia" w:ascii="仿宋" w:hAnsi="仿宋" w:eastAsia="仿宋"/>
                <w:color w:val="000000"/>
              </w:rPr>
              <w:t>2. 数字药仓核准</w:t>
            </w:r>
            <w:r>
              <w:rPr>
                <w:rFonts w:hint="eastAsia" w:ascii="仿宋" w:hAnsi="仿宋" w:eastAsia="仿宋"/>
                <w:color w:val="000000"/>
              </w:rPr>
              <w:br w:type="textWrapping"/>
            </w:r>
            <w:r>
              <w:rPr>
                <w:rFonts w:hint="eastAsia" w:ascii="仿宋" w:hAnsi="仿宋" w:eastAsia="仿宋"/>
                <w:color w:val="000000"/>
              </w:rPr>
              <w:t>监管人员可以对企业登记完成的数字药仓进行审核（审核通过和退回修改），完成审核后会给企业发生短信通知，审核结果为退回修改时也会告知退回原因。</w:t>
            </w:r>
            <w:r>
              <w:rPr>
                <w:rFonts w:hint="eastAsia" w:ascii="仿宋" w:hAnsi="仿宋" w:eastAsia="仿宋"/>
                <w:color w:val="000000"/>
              </w:rPr>
              <w:br w:type="textWrapping"/>
            </w:r>
            <w:r>
              <w:rPr>
                <w:rFonts w:hint="eastAsia" w:ascii="仿宋" w:hAnsi="仿宋" w:eastAsia="仿宋"/>
                <w:color w:val="000000"/>
              </w:rPr>
              <w:t>3. 数字药仓公示</w:t>
            </w:r>
            <w:r>
              <w:rPr>
                <w:rFonts w:hint="eastAsia" w:ascii="仿宋" w:hAnsi="仿宋" w:eastAsia="仿宋"/>
                <w:color w:val="000000"/>
              </w:rPr>
              <w:br w:type="textWrapping"/>
            </w:r>
            <w:r>
              <w:rPr>
                <w:rFonts w:hint="eastAsia" w:ascii="仿宋" w:hAnsi="仿宋" w:eastAsia="仿宋"/>
                <w:color w:val="000000"/>
              </w:rPr>
              <w:t>针对审核通过的数字药仓系统会自动在药监局官网进行在线公示。</w:t>
            </w:r>
            <w:r>
              <w:rPr>
                <w:rFonts w:hint="eastAsia" w:ascii="仿宋" w:hAnsi="仿宋" w:eastAsia="仿宋"/>
                <w:color w:val="000000"/>
              </w:rPr>
              <w:br w:type="textWrapping"/>
            </w:r>
            <w:r>
              <w:rPr>
                <w:rFonts w:hint="eastAsia" w:ascii="仿宋" w:hAnsi="仿宋" w:eastAsia="仿宋"/>
                <w:color w:val="000000"/>
              </w:rPr>
              <w:br w:type="textWrapping"/>
            </w:r>
            <w:r>
              <w:rPr>
                <w:rFonts w:hint="eastAsia" w:ascii="仿宋" w:hAnsi="仿宋" w:eastAsia="仿宋"/>
                <w:color w:val="000000"/>
              </w:rPr>
              <w:t>1.1.1.1.1.3监管-数字药仓管理</w:t>
            </w:r>
            <w:r>
              <w:rPr>
                <w:rFonts w:hint="eastAsia" w:ascii="仿宋" w:hAnsi="仿宋" w:eastAsia="仿宋"/>
                <w:color w:val="000000"/>
              </w:rPr>
              <w:br w:type="textWrapping"/>
            </w:r>
            <w:r>
              <w:rPr>
                <w:rFonts w:hint="eastAsia" w:ascii="仿宋" w:hAnsi="仿宋" w:eastAsia="仿宋"/>
                <w:color w:val="000000"/>
              </w:rPr>
              <w:t>提供监管人员进行数字药仓的管理功能，每可以进行企业的标签管理、查看详情和导出等。</w:t>
            </w:r>
            <w:r>
              <w:rPr>
                <w:rFonts w:hint="eastAsia" w:ascii="仿宋" w:hAnsi="仿宋" w:eastAsia="仿宋"/>
                <w:color w:val="000000"/>
              </w:rPr>
              <w:br w:type="textWrapping"/>
            </w:r>
            <w:r>
              <w:rPr>
                <w:rFonts w:hint="eastAsia" w:ascii="仿宋" w:hAnsi="仿宋" w:eastAsia="仿宋"/>
                <w:color w:val="000000"/>
              </w:rPr>
              <w:t>1. 数字药仓的查询和导出</w:t>
            </w:r>
            <w:r>
              <w:rPr>
                <w:rFonts w:hint="eastAsia" w:ascii="仿宋" w:hAnsi="仿宋" w:eastAsia="仿宋"/>
                <w:color w:val="000000"/>
              </w:rPr>
              <w:br w:type="textWrapping"/>
            </w:r>
            <w:r>
              <w:rPr>
                <w:rFonts w:hint="eastAsia" w:ascii="仿宋" w:hAnsi="仿宋" w:eastAsia="仿宋"/>
                <w:color w:val="000000"/>
              </w:rPr>
              <w:t>可以通过连锁企业名称、数字药仓编号、位置、监管部门等信息进行查询,市局用户可以查询全市范围的信息，区局用户只能查询本区范围内的信息，并可以详细的数字药仓详情，并导出为EXCEL。</w:t>
            </w:r>
            <w:r>
              <w:rPr>
                <w:rFonts w:hint="eastAsia" w:ascii="仿宋" w:hAnsi="仿宋" w:eastAsia="仿宋"/>
                <w:color w:val="000000"/>
              </w:rPr>
              <w:br w:type="textWrapping"/>
            </w:r>
            <w:r>
              <w:rPr>
                <w:rFonts w:hint="eastAsia" w:ascii="仿宋" w:hAnsi="仿宋" w:eastAsia="仿宋"/>
                <w:color w:val="000000"/>
              </w:rPr>
              <w:t>2. 查看详情</w:t>
            </w:r>
            <w:r>
              <w:rPr>
                <w:rFonts w:hint="eastAsia" w:ascii="仿宋" w:hAnsi="仿宋" w:eastAsia="仿宋"/>
                <w:color w:val="000000"/>
              </w:rPr>
              <w:br w:type="textWrapping"/>
            </w:r>
            <w:r>
              <w:rPr>
                <w:rFonts w:hint="eastAsia" w:ascii="仿宋" w:hAnsi="仿宋" w:eastAsia="仿宋"/>
                <w:color w:val="000000"/>
              </w:rPr>
              <w:t>可以查看数字药仓的详细信息，包括数字药仓的基本信息、审核记录及历史监管记录。</w:t>
            </w:r>
            <w:r>
              <w:rPr>
                <w:rFonts w:hint="eastAsia" w:ascii="仿宋" w:hAnsi="仿宋" w:eastAsia="仿宋"/>
                <w:color w:val="000000"/>
              </w:rPr>
              <w:br w:type="textWrapping"/>
            </w:r>
            <w:r>
              <w:rPr>
                <w:rFonts w:hint="eastAsia" w:ascii="仿宋" w:hAnsi="仿宋" w:eastAsia="仿宋"/>
                <w:color w:val="000000"/>
              </w:rPr>
              <w:t>3. 标签管理</w:t>
            </w:r>
            <w:r>
              <w:rPr>
                <w:rFonts w:hint="eastAsia" w:ascii="仿宋" w:hAnsi="仿宋" w:eastAsia="仿宋"/>
                <w:color w:val="000000"/>
              </w:rPr>
              <w:br w:type="textWrapping"/>
            </w:r>
            <w:r>
              <w:rPr>
                <w:rFonts w:hint="eastAsia" w:ascii="仿宋" w:hAnsi="仿宋" w:eastAsia="仿宋"/>
                <w:color w:val="000000"/>
              </w:rPr>
              <w:t>可以对数字药仓进行标签管理，可以设置监管部门、监管属性等标签。</w:t>
            </w:r>
            <w:r>
              <w:rPr>
                <w:rFonts w:hint="eastAsia" w:ascii="仿宋" w:hAnsi="仿宋" w:eastAsia="仿宋"/>
                <w:color w:val="000000"/>
              </w:rPr>
              <w:br w:type="textWrapping"/>
            </w:r>
            <w:r>
              <w:rPr>
                <w:rFonts w:hint="eastAsia" w:ascii="仿宋" w:hAnsi="仿宋" w:eastAsia="仿宋"/>
                <w:color w:val="000000"/>
              </w:rPr>
              <w:t>1.1.1.1.1.4监管-数字药仓监督检查</w:t>
            </w:r>
            <w:r>
              <w:rPr>
                <w:rFonts w:hint="eastAsia" w:ascii="仿宋" w:hAnsi="仿宋" w:eastAsia="仿宋"/>
                <w:color w:val="000000"/>
              </w:rPr>
              <w:br w:type="textWrapping"/>
            </w:r>
            <w:r>
              <w:rPr>
                <w:rFonts w:hint="eastAsia" w:ascii="仿宋" w:hAnsi="仿宋" w:eastAsia="仿宋"/>
                <w:color w:val="000000"/>
              </w:rPr>
              <w:t>提供监管人员对数字药仓开展监督检查，可以查看数字药仓的基本信息和对应的药品零售企业信息，并内置了数字药仓的规范SOP检查条款，按照数字药仓的检查要求输入检查内容后可以生成相应的检查文书。</w:t>
            </w:r>
            <w:r>
              <w:rPr>
                <w:rFonts w:hint="eastAsia" w:ascii="仿宋" w:hAnsi="仿宋" w:eastAsia="仿宋"/>
                <w:color w:val="000000"/>
              </w:rPr>
              <w:br w:type="textWrapping"/>
            </w:r>
            <w:r>
              <w:rPr>
                <w:rFonts w:hint="eastAsia" w:ascii="仿宋" w:hAnsi="仿宋" w:eastAsia="仿宋"/>
                <w:color w:val="000000"/>
              </w:rPr>
              <w:t>提供监管人员对数字药仓的监督检查结果进行统一管理，涉及需要进行整改时，还可以进行整改报告的上传。</w:t>
            </w:r>
            <w:r>
              <w:rPr>
                <w:rFonts w:hint="eastAsia" w:ascii="仿宋" w:hAnsi="仿宋" w:eastAsia="仿宋"/>
                <w:color w:val="000000"/>
              </w:rPr>
              <w:br w:type="textWrapping"/>
            </w:r>
            <w:r>
              <w:rPr>
                <w:rFonts w:hint="eastAsia" w:ascii="仿宋" w:hAnsi="仿宋" w:eastAsia="仿宋"/>
                <w:color w:val="000000"/>
              </w:rPr>
              <w:t>1. 数字药仓查询</w:t>
            </w:r>
            <w:r>
              <w:rPr>
                <w:rFonts w:hint="eastAsia" w:ascii="仿宋" w:hAnsi="仿宋" w:eastAsia="仿宋"/>
                <w:color w:val="000000"/>
              </w:rPr>
              <w:br w:type="textWrapping"/>
            </w:r>
            <w:r>
              <w:rPr>
                <w:rFonts w:hint="eastAsia" w:ascii="仿宋" w:hAnsi="仿宋" w:eastAsia="仿宋"/>
                <w:color w:val="000000"/>
              </w:rPr>
              <w:t>可以通过连锁企业名称、数字药仓编号、位置、监管部门等信息进行查询。</w:t>
            </w:r>
            <w:r>
              <w:rPr>
                <w:rFonts w:hint="eastAsia" w:ascii="仿宋" w:hAnsi="仿宋" w:eastAsia="仿宋"/>
                <w:color w:val="000000"/>
              </w:rPr>
              <w:br w:type="textWrapping"/>
            </w:r>
            <w:r>
              <w:rPr>
                <w:rFonts w:hint="eastAsia" w:ascii="仿宋" w:hAnsi="仿宋" w:eastAsia="仿宋"/>
                <w:color w:val="000000"/>
              </w:rPr>
              <w:t>2. 数字药仓监督检查</w:t>
            </w:r>
            <w:r>
              <w:rPr>
                <w:rFonts w:hint="eastAsia" w:ascii="仿宋" w:hAnsi="仿宋" w:eastAsia="仿宋"/>
                <w:color w:val="000000"/>
              </w:rPr>
              <w:br w:type="textWrapping"/>
            </w:r>
            <w:r>
              <w:rPr>
                <w:rFonts w:hint="eastAsia" w:ascii="仿宋" w:hAnsi="仿宋" w:eastAsia="仿宋"/>
                <w:color w:val="000000"/>
              </w:rPr>
              <w:t>可以开展对数字药仓的监督检查，可以查看数字药仓的基本信息、对应的药品连锁企业的许可证信息和对数字药仓的历史检查记录等信息。</w:t>
            </w:r>
            <w:r>
              <w:rPr>
                <w:rFonts w:hint="eastAsia" w:ascii="仿宋" w:hAnsi="仿宋" w:eastAsia="仿宋"/>
                <w:color w:val="000000"/>
              </w:rPr>
              <w:br w:type="textWrapping"/>
            </w:r>
            <w:r>
              <w:rPr>
                <w:rFonts w:hint="eastAsia" w:ascii="仿宋" w:hAnsi="仿宋" w:eastAsia="仿宋"/>
                <w:color w:val="000000"/>
              </w:rPr>
              <w:t>在录入检查信息时可以选择检查日期、检查人员、检查地址、检查类型、检查结果等信息，并支持附件上传。</w:t>
            </w:r>
            <w:r>
              <w:rPr>
                <w:rFonts w:hint="eastAsia" w:ascii="仿宋" w:hAnsi="仿宋" w:eastAsia="仿宋"/>
                <w:color w:val="000000"/>
              </w:rPr>
              <w:br w:type="textWrapping"/>
            </w:r>
            <w:r>
              <w:rPr>
                <w:rFonts w:hint="eastAsia" w:ascii="仿宋" w:hAnsi="仿宋" w:eastAsia="仿宋"/>
                <w:color w:val="000000"/>
              </w:rPr>
              <w:t>系统内置内置了符合数字药仓监管要求的SOP检查条款，用户可以选择后填写具体条款的检查结果信息，并针对每个条款上传相应的附件。</w:t>
            </w:r>
            <w:r>
              <w:rPr>
                <w:rFonts w:hint="eastAsia" w:ascii="仿宋" w:hAnsi="仿宋" w:eastAsia="仿宋"/>
                <w:color w:val="000000"/>
              </w:rPr>
              <w:br w:type="textWrapping"/>
            </w:r>
            <w:r>
              <w:rPr>
                <w:rFonts w:hint="eastAsia" w:ascii="仿宋" w:hAnsi="仿宋" w:eastAsia="仿宋"/>
                <w:color w:val="000000"/>
              </w:rPr>
              <w:t>完成检查信息录入后，系统还可以生成符合规范的检查文书。</w:t>
            </w:r>
            <w:r>
              <w:rPr>
                <w:rFonts w:hint="eastAsia" w:ascii="仿宋" w:hAnsi="仿宋" w:eastAsia="仿宋"/>
                <w:color w:val="000000"/>
              </w:rPr>
              <w:br w:type="textWrapping"/>
            </w:r>
            <w:r>
              <w:rPr>
                <w:rFonts w:hint="eastAsia" w:ascii="仿宋" w:hAnsi="仿宋" w:eastAsia="仿宋"/>
                <w:color w:val="000000"/>
              </w:rPr>
              <w:t>3. 数字药仓检查信息管理</w:t>
            </w:r>
            <w:r>
              <w:rPr>
                <w:rFonts w:hint="eastAsia" w:ascii="仿宋" w:hAnsi="仿宋" w:eastAsia="仿宋"/>
                <w:color w:val="000000"/>
              </w:rPr>
              <w:br w:type="textWrapping"/>
            </w:r>
            <w:r>
              <w:rPr>
                <w:rFonts w:hint="eastAsia" w:ascii="仿宋" w:hAnsi="仿宋" w:eastAsia="仿宋"/>
                <w:color w:val="000000"/>
              </w:rPr>
              <w:t>可以对已经完成的数字药仓的检查信息进行统一管理，可以进行查询、查看详情、导出、修改和删除。</w:t>
            </w:r>
            <w:r>
              <w:rPr>
                <w:rFonts w:hint="eastAsia" w:ascii="仿宋" w:hAnsi="仿宋" w:eastAsia="仿宋"/>
                <w:color w:val="000000"/>
              </w:rPr>
              <w:br w:type="textWrapping"/>
            </w:r>
            <w:r>
              <w:rPr>
                <w:rFonts w:hint="eastAsia" w:ascii="仿宋" w:hAnsi="仿宋" w:eastAsia="仿宋"/>
                <w:color w:val="000000"/>
              </w:rPr>
              <w:t>修改和删除时系统会记录详细的操作历史。</w:t>
            </w:r>
            <w:r>
              <w:rPr>
                <w:rFonts w:hint="eastAsia" w:ascii="仿宋" w:hAnsi="仿宋" w:eastAsia="仿宋"/>
                <w:color w:val="000000"/>
              </w:rPr>
              <w:br w:type="textWrapping"/>
            </w:r>
            <w:r>
              <w:rPr>
                <w:rFonts w:hint="eastAsia" w:ascii="仿宋" w:hAnsi="仿宋" w:eastAsia="仿宋"/>
                <w:color w:val="000000"/>
              </w:rPr>
              <w:t>4. 数字药仓整改报告上传</w:t>
            </w:r>
            <w:r>
              <w:rPr>
                <w:rFonts w:hint="eastAsia" w:ascii="仿宋" w:hAnsi="仿宋" w:eastAsia="仿宋"/>
                <w:color w:val="000000"/>
              </w:rPr>
              <w:br w:type="textWrapping"/>
            </w:r>
            <w:r>
              <w:rPr>
                <w:rFonts w:hint="eastAsia" w:ascii="仿宋" w:hAnsi="仿宋" w:eastAsia="仿宋"/>
                <w:color w:val="000000"/>
              </w:rPr>
              <w:t xml:space="preserve"> 针对需要提交整改报告的检查，可以将企业反馈的整改报告上传到系统中，上传完成后可以和检查信息进行合并展示。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药械化行政检查管理系统和移动监管模块（升级）-行政检查监督检查项目功能（升级）-境外药品上市许可持有人境内责任人监管（新建）-</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6.1.3.1.3.1境内责任人企业管理</w:t>
            </w:r>
            <w:r>
              <w:rPr>
                <w:rFonts w:hint="eastAsia" w:ascii="仿宋" w:hAnsi="仿宋" w:eastAsia="仿宋"/>
                <w:color w:val="000000"/>
              </w:rPr>
              <w:br w:type="textWrapping"/>
            </w:r>
            <w:r>
              <w:rPr>
                <w:rFonts w:hint="eastAsia" w:ascii="仿宋" w:hAnsi="仿宋" w:eastAsia="仿宋"/>
                <w:color w:val="000000"/>
              </w:rPr>
              <w:t>提供监管人员进行境内责任人企业的维护和管理功能，可以进行企业的新增、修改、标签管理、查看详情和导出等。</w:t>
            </w:r>
            <w:r>
              <w:rPr>
                <w:rFonts w:hint="eastAsia" w:ascii="仿宋" w:hAnsi="仿宋" w:eastAsia="仿宋"/>
                <w:color w:val="000000"/>
              </w:rPr>
              <w:br w:type="textWrapping"/>
            </w:r>
            <w:r>
              <w:rPr>
                <w:rFonts w:hint="eastAsia" w:ascii="仿宋" w:hAnsi="仿宋" w:eastAsia="仿宋"/>
                <w:color w:val="000000"/>
              </w:rPr>
              <w:t>1. 新增和修改</w:t>
            </w:r>
            <w:r>
              <w:rPr>
                <w:rFonts w:hint="eastAsia" w:ascii="仿宋" w:hAnsi="仿宋" w:eastAsia="仿宋"/>
                <w:color w:val="000000"/>
              </w:rPr>
              <w:br w:type="textWrapping"/>
            </w:r>
            <w:r>
              <w:rPr>
                <w:rFonts w:hint="eastAsia" w:ascii="仿宋" w:hAnsi="仿宋" w:eastAsia="仿宋"/>
                <w:color w:val="000000"/>
              </w:rPr>
              <w:t>可以在线进行境内责任人企业的新增，需要填写企业名称、联系地址、境外药品上市许可人等信息，系统会通过对接法人库自动获取统一社会信用代码、法人及住所等信息。</w:t>
            </w:r>
            <w:r>
              <w:rPr>
                <w:rFonts w:hint="eastAsia" w:ascii="仿宋" w:hAnsi="仿宋" w:eastAsia="仿宋"/>
                <w:color w:val="000000"/>
              </w:rPr>
              <w:br w:type="textWrapping"/>
            </w:r>
            <w:r>
              <w:rPr>
                <w:rFonts w:hint="eastAsia" w:ascii="仿宋" w:hAnsi="仿宋" w:eastAsia="仿宋"/>
                <w:color w:val="000000"/>
              </w:rPr>
              <w:t>也可以对系统中现有的境内责任人企业信息进行修改，系统会记录详细的修改操作历史。</w:t>
            </w:r>
            <w:r>
              <w:rPr>
                <w:rFonts w:hint="eastAsia" w:ascii="仿宋" w:hAnsi="仿宋" w:eastAsia="仿宋"/>
                <w:color w:val="000000"/>
              </w:rPr>
              <w:br w:type="textWrapping"/>
            </w:r>
            <w:r>
              <w:rPr>
                <w:rFonts w:hint="eastAsia" w:ascii="仿宋" w:hAnsi="仿宋" w:eastAsia="仿宋"/>
                <w:color w:val="000000"/>
              </w:rPr>
              <w:t>2. 查询和导出</w:t>
            </w:r>
            <w:r>
              <w:rPr>
                <w:rFonts w:hint="eastAsia" w:ascii="仿宋" w:hAnsi="仿宋" w:eastAsia="仿宋"/>
                <w:color w:val="000000"/>
              </w:rPr>
              <w:br w:type="textWrapping"/>
            </w:r>
            <w:r>
              <w:rPr>
                <w:rFonts w:hint="eastAsia" w:ascii="仿宋" w:hAnsi="仿宋" w:eastAsia="仿宋"/>
                <w:color w:val="000000"/>
              </w:rPr>
              <w:t xml:space="preserve"> 可以通过企业名称、境外药品上市许可人名称等字段进行查询，并可以导出为EXCEL。</w:t>
            </w:r>
            <w:r>
              <w:rPr>
                <w:rFonts w:hint="eastAsia" w:ascii="仿宋" w:hAnsi="仿宋" w:eastAsia="仿宋"/>
                <w:color w:val="000000"/>
              </w:rPr>
              <w:br w:type="textWrapping"/>
            </w:r>
            <w:r>
              <w:rPr>
                <w:rFonts w:hint="eastAsia" w:ascii="仿宋" w:hAnsi="仿宋" w:eastAsia="仿宋"/>
                <w:color w:val="000000"/>
              </w:rPr>
              <w:t>3. 查看详情</w:t>
            </w:r>
            <w:r>
              <w:rPr>
                <w:rFonts w:hint="eastAsia" w:ascii="仿宋" w:hAnsi="仿宋" w:eastAsia="仿宋"/>
                <w:color w:val="000000"/>
              </w:rPr>
              <w:br w:type="textWrapping"/>
            </w:r>
            <w:r>
              <w:rPr>
                <w:rFonts w:hint="eastAsia" w:ascii="仿宋" w:hAnsi="仿宋" w:eastAsia="仿宋"/>
                <w:color w:val="000000"/>
              </w:rPr>
              <w:t>可以查看境内责任人的企业详情，包括企业基本信息、历史检查记录和相关药品信息。</w:t>
            </w:r>
            <w:r>
              <w:rPr>
                <w:rFonts w:hint="eastAsia" w:ascii="仿宋" w:hAnsi="仿宋" w:eastAsia="仿宋"/>
                <w:color w:val="000000"/>
              </w:rPr>
              <w:br w:type="textWrapping"/>
            </w:r>
            <w:r>
              <w:rPr>
                <w:rFonts w:hint="eastAsia" w:ascii="仿宋" w:hAnsi="仿宋" w:eastAsia="仿宋"/>
                <w:color w:val="000000"/>
              </w:rPr>
              <w:t>4. 标签管理</w:t>
            </w:r>
            <w:r>
              <w:rPr>
                <w:rFonts w:hint="eastAsia" w:ascii="仿宋" w:hAnsi="仿宋" w:eastAsia="仿宋"/>
                <w:color w:val="000000"/>
              </w:rPr>
              <w:br w:type="textWrapping"/>
            </w:r>
            <w:r>
              <w:rPr>
                <w:rFonts w:hint="eastAsia" w:ascii="仿宋" w:hAnsi="仿宋" w:eastAsia="仿宋"/>
                <w:color w:val="000000"/>
              </w:rPr>
              <w:t>可以对企业的标签统一管理，可以设置监管部门、监管属性等标签。</w:t>
            </w:r>
            <w:r>
              <w:rPr>
                <w:rFonts w:hint="eastAsia" w:ascii="仿宋" w:hAnsi="仿宋" w:eastAsia="仿宋"/>
                <w:color w:val="000000"/>
              </w:rPr>
              <w:br w:type="textWrapping"/>
            </w:r>
            <w:r>
              <w:rPr>
                <w:rFonts w:hint="eastAsia" w:ascii="仿宋" w:hAnsi="仿宋" w:eastAsia="仿宋"/>
                <w:color w:val="000000"/>
              </w:rPr>
              <w:t>6.1.3.1.3.2境内责任人日常监管计划管理</w:t>
            </w:r>
            <w:r>
              <w:rPr>
                <w:rFonts w:hint="eastAsia" w:ascii="仿宋" w:hAnsi="仿宋" w:eastAsia="仿宋"/>
                <w:color w:val="000000"/>
              </w:rPr>
              <w:br w:type="textWrapping"/>
            </w:r>
            <w:r>
              <w:rPr>
                <w:rFonts w:hint="eastAsia" w:ascii="仿宋" w:hAnsi="仿宋" w:eastAsia="仿宋"/>
                <w:color w:val="000000"/>
              </w:rPr>
              <w:t>提供监管人员进行境内责任人企业的日常监管计划管理，可以进行计划的新增和管理等，也可以查看计划的执行情况。</w:t>
            </w:r>
            <w:r>
              <w:rPr>
                <w:rFonts w:hint="eastAsia" w:ascii="仿宋" w:hAnsi="仿宋" w:eastAsia="仿宋"/>
                <w:color w:val="000000"/>
              </w:rPr>
              <w:br w:type="textWrapping"/>
            </w:r>
            <w:r>
              <w:rPr>
                <w:rFonts w:hint="eastAsia" w:ascii="仿宋" w:hAnsi="仿宋" w:eastAsia="仿宋"/>
                <w:color w:val="000000"/>
              </w:rPr>
              <w:t>1. 新增和修改</w:t>
            </w:r>
            <w:r>
              <w:rPr>
                <w:rFonts w:hint="eastAsia" w:ascii="仿宋" w:hAnsi="仿宋" w:eastAsia="仿宋"/>
                <w:color w:val="000000"/>
              </w:rPr>
              <w:br w:type="textWrapping"/>
            </w:r>
            <w:r>
              <w:rPr>
                <w:rFonts w:hint="eastAsia" w:ascii="仿宋" w:hAnsi="仿宋" w:eastAsia="仿宋"/>
                <w:color w:val="000000"/>
              </w:rPr>
              <w:t>可以在线进行境内责任人企业日常监管计划的新增，需要填写计划检查日期、检查部门和检查次数等信息。</w:t>
            </w:r>
            <w:r>
              <w:rPr>
                <w:rFonts w:hint="eastAsia" w:ascii="仿宋" w:hAnsi="仿宋" w:eastAsia="仿宋"/>
                <w:color w:val="000000"/>
              </w:rPr>
              <w:br w:type="textWrapping"/>
            </w:r>
            <w:r>
              <w:rPr>
                <w:rFonts w:hint="eastAsia" w:ascii="仿宋" w:hAnsi="仿宋" w:eastAsia="仿宋"/>
                <w:color w:val="000000"/>
              </w:rPr>
              <w:t>也可以对系统中现有的企业日常监管计划进行修改，系统会记录详细的修改操作历史。</w:t>
            </w:r>
            <w:r>
              <w:rPr>
                <w:rFonts w:hint="eastAsia" w:ascii="仿宋" w:hAnsi="仿宋" w:eastAsia="仿宋"/>
                <w:color w:val="000000"/>
              </w:rPr>
              <w:br w:type="textWrapping"/>
            </w:r>
            <w:r>
              <w:rPr>
                <w:rFonts w:hint="eastAsia" w:ascii="仿宋" w:hAnsi="仿宋" w:eastAsia="仿宋"/>
                <w:color w:val="000000"/>
              </w:rPr>
              <w:t>2. 查看执行情况</w:t>
            </w:r>
            <w:r>
              <w:rPr>
                <w:rFonts w:hint="eastAsia" w:ascii="仿宋" w:hAnsi="仿宋" w:eastAsia="仿宋"/>
                <w:color w:val="000000"/>
              </w:rPr>
              <w:br w:type="textWrapping"/>
            </w:r>
            <w:r>
              <w:rPr>
                <w:rFonts w:hint="eastAsia" w:ascii="仿宋" w:hAnsi="仿宋" w:eastAsia="仿宋"/>
                <w:color w:val="000000"/>
              </w:rPr>
              <w:t xml:space="preserve"> 可以通过企业名称、检查部门、计划检查日期、检查状态等字段进行计划执行情况的查询，并可以导出为EXCEL。</w:t>
            </w:r>
            <w:r>
              <w:rPr>
                <w:rFonts w:hint="eastAsia" w:ascii="仿宋" w:hAnsi="仿宋" w:eastAsia="仿宋"/>
                <w:color w:val="000000"/>
              </w:rPr>
              <w:br w:type="textWrapping"/>
            </w:r>
            <w:r>
              <w:rPr>
                <w:rFonts w:hint="eastAsia" w:ascii="仿宋" w:hAnsi="仿宋" w:eastAsia="仿宋"/>
                <w:color w:val="000000"/>
              </w:rPr>
              <w:t>6.1.3.1.3.3境内责任人专项监管计划管理</w:t>
            </w:r>
            <w:r>
              <w:rPr>
                <w:rFonts w:hint="eastAsia" w:ascii="仿宋" w:hAnsi="仿宋" w:eastAsia="仿宋"/>
                <w:color w:val="000000"/>
              </w:rPr>
              <w:br w:type="textWrapping"/>
            </w:r>
            <w:r>
              <w:rPr>
                <w:rFonts w:hint="eastAsia" w:ascii="仿宋" w:hAnsi="仿宋" w:eastAsia="仿宋"/>
                <w:color w:val="000000"/>
              </w:rPr>
              <w:t>提供监管人员进行境内责任人企业的专项监管计划管理，可以进行专项的发布和管理等，也可以查看专项的执行情况。</w:t>
            </w:r>
            <w:r>
              <w:rPr>
                <w:rFonts w:hint="eastAsia" w:ascii="仿宋" w:hAnsi="仿宋" w:eastAsia="仿宋"/>
                <w:color w:val="000000"/>
              </w:rPr>
              <w:br w:type="textWrapping"/>
            </w:r>
            <w:r>
              <w:rPr>
                <w:rFonts w:hint="eastAsia" w:ascii="仿宋" w:hAnsi="仿宋" w:eastAsia="仿宋"/>
                <w:color w:val="000000"/>
              </w:rPr>
              <w:t>1. 发布和修改</w:t>
            </w:r>
            <w:r>
              <w:rPr>
                <w:rFonts w:hint="eastAsia" w:ascii="仿宋" w:hAnsi="仿宋" w:eastAsia="仿宋"/>
                <w:color w:val="000000"/>
              </w:rPr>
              <w:br w:type="textWrapping"/>
            </w:r>
            <w:r>
              <w:rPr>
                <w:rFonts w:hint="eastAsia" w:ascii="仿宋" w:hAnsi="仿宋" w:eastAsia="仿宋"/>
                <w:color w:val="000000"/>
              </w:rPr>
              <w:t>可以在线进行境内责任人企业专项监管计划的发布，需要填写专项名称、检查日期范围、重点检查内容、关键检查条款，并选择本次专项对应企业名单。</w:t>
            </w:r>
            <w:r>
              <w:rPr>
                <w:rFonts w:hint="eastAsia" w:ascii="仿宋" w:hAnsi="仿宋" w:eastAsia="仿宋"/>
                <w:color w:val="000000"/>
              </w:rPr>
              <w:br w:type="textWrapping"/>
            </w:r>
            <w:r>
              <w:rPr>
                <w:rFonts w:hint="eastAsia" w:ascii="仿宋" w:hAnsi="仿宋" w:eastAsia="仿宋"/>
                <w:color w:val="000000"/>
              </w:rPr>
              <w:t>也可以对系统中现有的企业专项监管计划进行修改，系统会记录详细的修改操作历史。</w:t>
            </w:r>
            <w:r>
              <w:rPr>
                <w:rFonts w:hint="eastAsia" w:ascii="仿宋" w:hAnsi="仿宋" w:eastAsia="仿宋"/>
                <w:color w:val="000000"/>
              </w:rPr>
              <w:br w:type="textWrapping"/>
            </w:r>
            <w:r>
              <w:rPr>
                <w:rFonts w:hint="eastAsia" w:ascii="仿宋" w:hAnsi="仿宋" w:eastAsia="仿宋"/>
                <w:color w:val="000000"/>
              </w:rPr>
              <w:t>2. 查看执行情况</w:t>
            </w:r>
            <w:r>
              <w:rPr>
                <w:rFonts w:hint="eastAsia" w:ascii="仿宋" w:hAnsi="仿宋" w:eastAsia="仿宋"/>
                <w:color w:val="000000"/>
              </w:rPr>
              <w:br w:type="textWrapping"/>
            </w:r>
            <w:r>
              <w:rPr>
                <w:rFonts w:hint="eastAsia" w:ascii="仿宋" w:hAnsi="仿宋" w:eastAsia="仿宋"/>
                <w:color w:val="000000"/>
              </w:rPr>
              <w:t xml:space="preserve"> 可以通过专项名称、检查日期等字段进行专项执行情况的查询，可以查看每个专项中每家企业的检查执行情况，并可以导出为EXCEL。</w:t>
            </w:r>
            <w:r>
              <w:rPr>
                <w:rFonts w:hint="eastAsia" w:ascii="仿宋" w:hAnsi="仿宋" w:eastAsia="仿宋"/>
                <w:color w:val="000000"/>
              </w:rPr>
              <w:br w:type="textWrapping"/>
            </w:r>
            <w:r>
              <w:rPr>
                <w:rFonts w:hint="eastAsia" w:ascii="仿宋" w:hAnsi="仿宋" w:eastAsia="仿宋"/>
                <w:color w:val="000000"/>
              </w:rPr>
              <w:t>6.1.3.1.3.4境内责任人监督检查</w:t>
            </w:r>
            <w:r>
              <w:rPr>
                <w:rFonts w:hint="eastAsia" w:ascii="仿宋" w:hAnsi="仿宋" w:eastAsia="仿宋"/>
                <w:color w:val="000000"/>
              </w:rPr>
              <w:br w:type="textWrapping"/>
            </w:r>
            <w:r>
              <w:rPr>
                <w:rFonts w:hint="eastAsia" w:ascii="仿宋" w:hAnsi="仿宋" w:eastAsia="仿宋"/>
                <w:color w:val="000000"/>
              </w:rPr>
              <w:t>提供监管人员对境内责任人企业开展监督检查，可以查看境内责任人的基本信息和对应的境外上市许可持有的信息，并内置了境内责任人的规范SOP检查条款，按照境内责任人的检查要求输入检查内容后可以生成相应的检查文书。</w:t>
            </w:r>
            <w:r>
              <w:rPr>
                <w:rFonts w:hint="eastAsia" w:ascii="仿宋" w:hAnsi="仿宋" w:eastAsia="仿宋"/>
                <w:color w:val="000000"/>
              </w:rPr>
              <w:br w:type="textWrapping"/>
            </w:r>
            <w:r>
              <w:rPr>
                <w:rFonts w:hint="eastAsia" w:ascii="仿宋" w:hAnsi="仿宋" w:eastAsia="仿宋"/>
                <w:color w:val="000000"/>
              </w:rPr>
              <w:t>提供监管人员对境内代理人的监督检查结果进行统一管理，涉及需要进行整改时，还可以进行整改报告的上传，同时也会自动核销相应的日常监管计划和专项监管计划。</w:t>
            </w:r>
            <w:r>
              <w:rPr>
                <w:rFonts w:hint="eastAsia" w:ascii="仿宋" w:hAnsi="仿宋" w:eastAsia="仿宋"/>
                <w:color w:val="000000"/>
              </w:rPr>
              <w:br w:type="textWrapping"/>
            </w:r>
            <w:r>
              <w:rPr>
                <w:rFonts w:hint="eastAsia" w:ascii="仿宋" w:hAnsi="仿宋" w:eastAsia="仿宋"/>
                <w:color w:val="000000"/>
              </w:rPr>
              <w:t>1. 境内责任人企业查询</w:t>
            </w:r>
            <w:r>
              <w:rPr>
                <w:rFonts w:hint="eastAsia" w:ascii="仿宋" w:hAnsi="仿宋" w:eastAsia="仿宋"/>
                <w:color w:val="000000"/>
              </w:rPr>
              <w:br w:type="textWrapping"/>
            </w:r>
            <w:r>
              <w:rPr>
                <w:rFonts w:hint="eastAsia" w:ascii="仿宋" w:hAnsi="仿宋" w:eastAsia="仿宋"/>
                <w:color w:val="000000"/>
              </w:rPr>
              <w:t>可以通过企业名称、企业地址、监管部门等信息进行查询。</w:t>
            </w:r>
            <w:r>
              <w:rPr>
                <w:rFonts w:hint="eastAsia" w:ascii="仿宋" w:hAnsi="仿宋" w:eastAsia="仿宋"/>
                <w:color w:val="000000"/>
              </w:rPr>
              <w:br w:type="textWrapping"/>
            </w:r>
            <w:r>
              <w:rPr>
                <w:rFonts w:hint="eastAsia" w:ascii="仿宋" w:hAnsi="仿宋" w:eastAsia="仿宋"/>
                <w:color w:val="000000"/>
              </w:rPr>
              <w:t>2. 境内责任人企业监督检查</w:t>
            </w:r>
            <w:r>
              <w:rPr>
                <w:rFonts w:hint="eastAsia" w:ascii="仿宋" w:hAnsi="仿宋" w:eastAsia="仿宋"/>
                <w:color w:val="000000"/>
              </w:rPr>
              <w:br w:type="textWrapping"/>
            </w:r>
            <w:r>
              <w:rPr>
                <w:rFonts w:hint="eastAsia" w:ascii="仿宋" w:hAnsi="仿宋" w:eastAsia="仿宋"/>
                <w:color w:val="000000"/>
              </w:rPr>
              <w:t>可以开展对境内责任人企业的监督检查，可以查看境内责任人企业的基本信息、关联的药品信息和历史检查记录等信息。</w:t>
            </w:r>
            <w:r>
              <w:rPr>
                <w:rFonts w:hint="eastAsia" w:ascii="仿宋" w:hAnsi="仿宋" w:eastAsia="仿宋"/>
                <w:color w:val="000000"/>
              </w:rPr>
              <w:br w:type="textWrapping"/>
            </w:r>
            <w:r>
              <w:rPr>
                <w:rFonts w:hint="eastAsia" w:ascii="仿宋" w:hAnsi="仿宋" w:eastAsia="仿宋"/>
                <w:color w:val="000000"/>
              </w:rPr>
              <w:t>在录入检查信息时可以选择检查日期、检查人员、检查地址、检查类型、检查结果等信息，并支持附件上传。</w:t>
            </w:r>
            <w:r>
              <w:rPr>
                <w:rFonts w:hint="eastAsia" w:ascii="仿宋" w:hAnsi="仿宋" w:eastAsia="仿宋"/>
                <w:color w:val="000000"/>
              </w:rPr>
              <w:br w:type="textWrapping"/>
            </w:r>
            <w:r>
              <w:rPr>
                <w:rFonts w:hint="eastAsia" w:ascii="仿宋" w:hAnsi="仿宋" w:eastAsia="仿宋"/>
                <w:color w:val="000000"/>
              </w:rPr>
              <w:t>系统内置内置了符合境内责任人企业监管要求的SOP检查条款，用户可以选择后填写具体条款的检查结果信息，并针对每个条款上传相应的附件。</w:t>
            </w:r>
            <w:r>
              <w:rPr>
                <w:rFonts w:hint="eastAsia" w:ascii="仿宋" w:hAnsi="仿宋" w:eastAsia="仿宋"/>
                <w:color w:val="000000"/>
              </w:rPr>
              <w:br w:type="textWrapping"/>
            </w:r>
            <w:r>
              <w:rPr>
                <w:rFonts w:hint="eastAsia" w:ascii="仿宋" w:hAnsi="仿宋" w:eastAsia="仿宋"/>
                <w:color w:val="000000"/>
              </w:rPr>
              <w:t>完成检查信息录入后，系统还可以生成符合规范的检查文书。</w:t>
            </w:r>
            <w:r>
              <w:rPr>
                <w:rFonts w:hint="eastAsia" w:ascii="仿宋" w:hAnsi="仿宋" w:eastAsia="仿宋"/>
                <w:color w:val="000000"/>
              </w:rPr>
              <w:br w:type="textWrapping"/>
            </w:r>
            <w:r>
              <w:rPr>
                <w:rFonts w:hint="eastAsia" w:ascii="仿宋" w:hAnsi="仿宋" w:eastAsia="仿宋"/>
                <w:color w:val="000000"/>
              </w:rPr>
              <w:t>3. 境内责任人企业检查信息管理</w:t>
            </w:r>
            <w:r>
              <w:rPr>
                <w:rFonts w:hint="eastAsia" w:ascii="仿宋" w:hAnsi="仿宋" w:eastAsia="仿宋"/>
                <w:color w:val="000000"/>
              </w:rPr>
              <w:br w:type="textWrapping"/>
            </w:r>
            <w:r>
              <w:rPr>
                <w:rFonts w:hint="eastAsia" w:ascii="仿宋" w:hAnsi="仿宋" w:eastAsia="仿宋"/>
                <w:color w:val="000000"/>
              </w:rPr>
              <w:t>可以对已经完成的境内责任人企业的检查信息进行统一管理，可以进行查询、查看详情、导出、修改和删除。</w:t>
            </w:r>
            <w:r>
              <w:rPr>
                <w:rFonts w:hint="eastAsia" w:ascii="仿宋" w:hAnsi="仿宋" w:eastAsia="仿宋"/>
                <w:color w:val="000000"/>
              </w:rPr>
              <w:br w:type="textWrapping"/>
            </w:r>
            <w:r>
              <w:rPr>
                <w:rFonts w:hint="eastAsia" w:ascii="仿宋" w:hAnsi="仿宋" w:eastAsia="仿宋"/>
                <w:color w:val="000000"/>
              </w:rPr>
              <w:t>修改和删除时系统会记录详细的操作历史。</w:t>
            </w:r>
            <w:r>
              <w:rPr>
                <w:rFonts w:hint="eastAsia" w:ascii="仿宋" w:hAnsi="仿宋" w:eastAsia="仿宋"/>
                <w:color w:val="000000"/>
              </w:rPr>
              <w:br w:type="textWrapping"/>
            </w:r>
            <w:r>
              <w:rPr>
                <w:rFonts w:hint="eastAsia" w:ascii="仿宋" w:hAnsi="仿宋" w:eastAsia="仿宋"/>
                <w:color w:val="000000"/>
              </w:rPr>
              <w:t>4. 境内责任人企业整改报告上传</w:t>
            </w:r>
            <w:r>
              <w:rPr>
                <w:rFonts w:hint="eastAsia" w:ascii="仿宋" w:hAnsi="仿宋" w:eastAsia="仿宋"/>
                <w:color w:val="000000"/>
              </w:rPr>
              <w:br w:type="textWrapping"/>
            </w:r>
            <w:r>
              <w:rPr>
                <w:rFonts w:hint="eastAsia" w:ascii="仿宋" w:hAnsi="仿宋" w:eastAsia="仿宋"/>
                <w:color w:val="000000"/>
              </w:rPr>
              <w:t xml:space="preserve"> 针对需要提交整改报告的检查，可以将企业反馈的整改报告上传到系统中，上传完成后可以和检查信息进行合并展示。</w:t>
            </w:r>
            <w:r>
              <w:rPr>
                <w:rFonts w:hint="eastAsia" w:ascii="仿宋" w:hAnsi="仿宋" w:eastAsia="仿宋"/>
                <w:color w:val="000000"/>
              </w:rPr>
              <w:br w:type="textWrapping"/>
            </w:r>
            <w:r>
              <w:rPr>
                <w:rFonts w:hint="eastAsia" w:ascii="仿宋" w:hAnsi="仿宋" w:eastAsia="仿宋"/>
                <w:color w:val="000000"/>
              </w:rPr>
              <w:t>6.1.3.1.3.5境内责任人监管统计分析</w:t>
            </w:r>
            <w:r>
              <w:rPr>
                <w:rFonts w:hint="eastAsia" w:ascii="仿宋" w:hAnsi="仿宋" w:eastAsia="仿宋"/>
                <w:color w:val="000000"/>
              </w:rPr>
              <w:br w:type="textWrapping"/>
            </w:r>
            <w:r>
              <w:rPr>
                <w:rFonts w:hint="eastAsia" w:ascii="仿宋" w:hAnsi="仿宋" w:eastAsia="仿宋"/>
                <w:color w:val="000000"/>
              </w:rPr>
              <w:t>提供监管人员对境内责任人的检查情况进行统计分析，包括检查次数、缺陷条款、检查结果等统计。</w:t>
            </w:r>
            <w:r>
              <w:rPr>
                <w:rFonts w:hint="eastAsia" w:ascii="仿宋" w:hAnsi="仿宋" w:eastAsia="仿宋"/>
                <w:color w:val="000000"/>
              </w:rPr>
              <w:br w:type="textWrapping"/>
            </w:r>
            <w:r>
              <w:rPr>
                <w:rFonts w:hint="eastAsia" w:ascii="仿宋" w:hAnsi="仿宋" w:eastAsia="仿宋"/>
                <w:color w:val="000000"/>
              </w:rPr>
              <w:t>1. 检查次数统计</w:t>
            </w:r>
            <w:r>
              <w:rPr>
                <w:rFonts w:hint="eastAsia" w:ascii="仿宋" w:hAnsi="仿宋" w:eastAsia="仿宋"/>
                <w:color w:val="000000"/>
              </w:rPr>
              <w:br w:type="textWrapping"/>
            </w:r>
            <w:r>
              <w:rPr>
                <w:rFonts w:hint="eastAsia" w:ascii="仿宋" w:hAnsi="仿宋" w:eastAsia="仿宋"/>
                <w:color w:val="000000"/>
              </w:rPr>
              <w:t>可以对一段时间内各单位或各部门的检查次数进行统计，市局用户统计各区，区级用户统计本区各部门。</w:t>
            </w:r>
            <w:r>
              <w:rPr>
                <w:rFonts w:hint="eastAsia" w:ascii="仿宋" w:hAnsi="仿宋" w:eastAsia="仿宋"/>
                <w:color w:val="000000"/>
              </w:rPr>
              <w:br w:type="textWrapping"/>
            </w:r>
            <w:r>
              <w:rPr>
                <w:rFonts w:hint="eastAsia" w:ascii="仿宋" w:hAnsi="仿宋" w:eastAsia="仿宋"/>
                <w:color w:val="000000"/>
              </w:rPr>
              <w:t>2. 缺陷条款统计</w:t>
            </w:r>
            <w:r>
              <w:rPr>
                <w:rFonts w:hint="eastAsia" w:ascii="仿宋" w:hAnsi="仿宋" w:eastAsia="仿宋"/>
                <w:color w:val="000000"/>
              </w:rPr>
              <w:br w:type="textWrapping"/>
            </w:r>
            <w:r>
              <w:rPr>
                <w:rFonts w:hint="eastAsia" w:ascii="仿宋" w:hAnsi="仿宋" w:eastAsia="仿宋"/>
                <w:color w:val="000000"/>
              </w:rPr>
              <w:t>可以对一段时间内各单位或各部门的缺陷条款进行统计，可以统计每个缺陷条款的出现分布情况等，市局用户统计全市数据范围，区级用户统计本区数据范围。</w:t>
            </w:r>
            <w:r>
              <w:rPr>
                <w:rFonts w:hint="eastAsia" w:ascii="仿宋" w:hAnsi="仿宋" w:eastAsia="仿宋"/>
                <w:color w:val="000000"/>
              </w:rPr>
              <w:br w:type="textWrapping"/>
            </w:r>
            <w:r>
              <w:rPr>
                <w:rFonts w:hint="eastAsia" w:ascii="仿宋" w:hAnsi="仿宋" w:eastAsia="仿宋"/>
                <w:color w:val="000000"/>
              </w:rPr>
              <w:t>3. 检查结果统计</w:t>
            </w:r>
            <w:r>
              <w:rPr>
                <w:rFonts w:hint="eastAsia" w:ascii="仿宋" w:hAnsi="仿宋" w:eastAsia="仿宋"/>
                <w:color w:val="000000"/>
              </w:rPr>
              <w:br w:type="textWrapping"/>
            </w:r>
            <w:r>
              <w:rPr>
                <w:rFonts w:hint="eastAsia" w:ascii="仿宋" w:hAnsi="仿宋" w:eastAsia="仿宋"/>
                <w:color w:val="000000"/>
              </w:rPr>
              <w:t>可以对一段时间内各单位或各部门的检查结果进行统计，可以统计每个检查结果的情况，市局用户统计全市数据范围，区级用户统计本区数据范围。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药械化行政检查管理系统和移动监管模块（升级）-行政检查监督检查项目功能（升级）-器械临床试验机构监管（新建）-</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6.1.3.1.4.1器械临床试验机构管理</w:t>
            </w:r>
            <w:r>
              <w:rPr>
                <w:rFonts w:hint="eastAsia" w:ascii="仿宋" w:hAnsi="仿宋" w:eastAsia="仿宋"/>
                <w:color w:val="000000"/>
              </w:rPr>
              <w:br w:type="textWrapping"/>
            </w:r>
            <w:r>
              <w:rPr>
                <w:rFonts w:hint="eastAsia" w:ascii="仿宋" w:hAnsi="仿宋" w:eastAsia="仿宋"/>
                <w:color w:val="000000"/>
              </w:rPr>
              <w:t>通过同步“医疗器械临床试验机构备案管理信息系统”获取器械临床机构信息和主要研究者信息，并提供监管人员进行查询、标签管理、导出等。</w:t>
            </w:r>
            <w:r>
              <w:rPr>
                <w:rFonts w:hint="eastAsia" w:ascii="仿宋" w:hAnsi="仿宋" w:eastAsia="仿宋"/>
                <w:color w:val="000000"/>
              </w:rPr>
              <w:br w:type="textWrapping"/>
            </w:r>
            <w:r>
              <w:rPr>
                <w:rFonts w:hint="eastAsia" w:ascii="仿宋" w:hAnsi="仿宋" w:eastAsia="仿宋"/>
                <w:color w:val="000000"/>
              </w:rPr>
              <w:t>1. 同步“医疗器械临床试验机构备案管理信息系统”</w:t>
            </w:r>
            <w:r>
              <w:rPr>
                <w:rFonts w:hint="eastAsia" w:ascii="仿宋" w:hAnsi="仿宋" w:eastAsia="仿宋"/>
                <w:color w:val="000000"/>
              </w:rPr>
              <w:br w:type="textWrapping"/>
            </w:r>
            <w:r>
              <w:rPr>
                <w:rFonts w:hint="eastAsia" w:ascii="仿宋" w:hAnsi="仿宋" w:eastAsia="仿宋"/>
                <w:color w:val="000000"/>
              </w:rPr>
              <w:t>可以通过同步“医疗器械临床试验机构备案管理信息系统”获取医疗器械临床试验机构信息，可以获取机构名称、备案号、备案时间、备案状态、机构级别、地址、联系人、联系方式和完整的备案专业和主要研究者信息列表等信息。</w:t>
            </w:r>
            <w:r>
              <w:rPr>
                <w:rFonts w:hint="eastAsia" w:ascii="仿宋" w:hAnsi="仿宋" w:eastAsia="仿宋"/>
                <w:color w:val="000000"/>
              </w:rPr>
              <w:br w:type="textWrapping"/>
            </w:r>
            <w:r>
              <w:rPr>
                <w:rFonts w:hint="eastAsia" w:ascii="仿宋" w:hAnsi="仿宋" w:eastAsia="仿宋"/>
                <w:color w:val="000000"/>
              </w:rPr>
              <w:t>2. 查询和导出</w:t>
            </w:r>
            <w:r>
              <w:rPr>
                <w:rFonts w:hint="eastAsia" w:ascii="仿宋" w:hAnsi="仿宋" w:eastAsia="仿宋"/>
                <w:color w:val="000000"/>
              </w:rPr>
              <w:br w:type="textWrapping"/>
            </w:r>
            <w:r>
              <w:rPr>
                <w:rFonts w:hint="eastAsia" w:ascii="仿宋" w:hAnsi="仿宋" w:eastAsia="仿宋"/>
                <w:color w:val="000000"/>
              </w:rPr>
              <w:t xml:space="preserve"> 可以通过机构名称、地址、备案时间、备案号等字段进行查询，并可以导出为EXCEL。</w:t>
            </w:r>
            <w:r>
              <w:rPr>
                <w:rFonts w:hint="eastAsia" w:ascii="仿宋" w:hAnsi="仿宋" w:eastAsia="仿宋"/>
                <w:color w:val="000000"/>
              </w:rPr>
              <w:br w:type="textWrapping"/>
            </w:r>
            <w:r>
              <w:rPr>
                <w:rFonts w:hint="eastAsia" w:ascii="仿宋" w:hAnsi="仿宋" w:eastAsia="仿宋"/>
                <w:color w:val="000000"/>
              </w:rPr>
              <w:t>3. 查看详情</w:t>
            </w:r>
            <w:r>
              <w:rPr>
                <w:rFonts w:hint="eastAsia" w:ascii="仿宋" w:hAnsi="仿宋" w:eastAsia="仿宋"/>
                <w:color w:val="000000"/>
              </w:rPr>
              <w:br w:type="textWrapping"/>
            </w:r>
            <w:r>
              <w:rPr>
                <w:rFonts w:hint="eastAsia" w:ascii="仿宋" w:hAnsi="仿宋" w:eastAsia="仿宋"/>
                <w:color w:val="000000"/>
              </w:rPr>
              <w:t>可以查看医疗器械临床试验机构的企业详情，包括机构基本信息、机构备案专业和主要研究者、历史检查记录。</w:t>
            </w:r>
            <w:r>
              <w:rPr>
                <w:rFonts w:hint="eastAsia" w:ascii="仿宋" w:hAnsi="仿宋" w:eastAsia="仿宋"/>
                <w:color w:val="000000"/>
              </w:rPr>
              <w:br w:type="textWrapping"/>
            </w:r>
            <w:r>
              <w:rPr>
                <w:rFonts w:hint="eastAsia" w:ascii="仿宋" w:hAnsi="仿宋" w:eastAsia="仿宋"/>
                <w:color w:val="000000"/>
              </w:rPr>
              <w:t>4. 标签管理</w:t>
            </w:r>
            <w:r>
              <w:rPr>
                <w:rFonts w:hint="eastAsia" w:ascii="仿宋" w:hAnsi="仿宋" w:eastAsia="仿宋"/>
                <w:color w:val="000000"/>
              </w:rPr>
              <w:br w:type="textWrapping"/>
            </w:r>
            <w:r>
              <w:rPr>
                <w:rFonts w:hint="eastAsia" w:ascii="仿宋" w:hAnsi="仿宋" w:eastAsia="仿宋"/>
                <w:color w:val="000000"/>
              </w:rPr>
              <w:t>可以对医疗器械临床试验机构的标签统一管理，可以设置监管部门、监管属性等标签。</w:t>
            </w:r>
            <w:r>
              <w:rPr>
                <w:rFonts w:hint="eastAsia" w:ascii="仿宋" w:hAnsi="仿宋" w:eastAsia="仿宋"/>
                <w:color w:val="000000"/>
              </w:rPr>
              <w:br w:type="textWrapping"/>
            </w:r>
            <w:r>
              <w:rPr>
                <w:rFonts w:hint="eastAsia" w:ascii="仿宋" w:hAnsi="仿宋" w:eastAsia="仿宋"/>
                <w:color w:val="000000"/>
              </w:rPr>
              <w:t>6.1.3.1.4.2器械临床试验机构日常监管计划管理</w:t>
            </w:r>
            <w:r>
              <w:rPr>
                <w:rFonts w:hint="eastAsia" w:ascii="仿宋" w:hAnsi="仿宋" w:eastAsia="仿宋"/>
                <w:color w:val="000000"/>
              </w:rPr>
              <w:br w:type="textWrapping"/>
            </w:r>
            <w:r>
              <w:rPr>
                <w:rFonts w:hint="eastAsia" w:ascii="仿宋" w:hAnsi="仿宋" w:eastAsia="仿宋"/>
                <w:color w:val="000000"/>
              </w:rPr>
              <w:t>提供监管人员进行器械临床试验机构的日常监管计划管理，可以进行计划的新增和管理等，也可以查看计划的执行情况。</w:t>
            </w:r>
            <w:r>
              <w:rPr>
                <w:rFonts w:hint="eastAsia" w:ascii="仿宋" w:hAnsi="仿宋" w:eastAsia="仿宋"/>
                <w:color w:val="000000"/>
              </w:rPr>
              <w:br w:type="textWrapping"/>
            </w:r>
            <w:r>
              <w:rPr>
                <w:rFonts w:hint="eastAsia" w:ascii="仿宋" w:hAnsi="仿宋" w:eastAsia="仿宋"/>
                <w:color w:val="000000"/>
              </w:rPr>
              <w:t>1. 新增和修改</w:t>
            </w:r>
            <w:r>
              <w:rPr>
                <w:rFonts w:hint="eastAsia" w:ascii="仿宋" w:hAnsi="仿宋" w:eastAsia="仿宋"/>
                <w:color w:val="000000"/>
              </w:rPr>
              <w:br w:type="textWrapping"/>
            </w:r>
            <w:r>
              <w:rPr>
                <w:rFonts w:hint="eastAsia" w:ascii="仿宋" w:hAnsi="仿宋" w:eastAsia="仿宋"/>
                <w:color w:val="000000"/>
              </w:rPr>
              <w:t>可以在线进行器械临床试验机构日常监管计划的新增，需要填写计划检查日期、检查部门和检查次数等信息。</w:t>
            </w:r>
            <w:r>
              <w:rPr>
                <w:rFonts w:hint="eastAsia" w:ascii="仿宋" w:hAnsi="仿宋" w:eastAsia="仿宋"/>
                <w:color w:val="000000"/>
              </w:rPr>
              <w:br w:type="textWrapping"/>
            </w:r>
            <w:r>
              <w:rPr>
                <w:rFonts w:hint="eastAsia" w:ascii="仿宋" w:hAnsi="仿宋" w:eastAsia="仿宋"/>
                <w:color w:val="000000"/>
              </w:rPr>
              <w:t>也可以对系统中现有的企业日常监管计划进行修改，系统会记录详细的修改操作历史。</w:t>
            </w:r>
            <w:r>
              <w:rPr>
                <w:rFonts w:hint="eastAsia" w:ascii="仿宋" w:hAnsi="仿宋" w:eastAsia="仿宋"/>
                <w:color w:val="000000"/>
              </w:rPr>
              <w:br w:type="textWrapping"/>
            </w:r>
            <w:r>
              <w:rPr>
                <w:rFonts w:hint="eastAsia" w:ascii="仿宋" w:hAnsi="仿宋" w:eastAsia="仿宋"/>
                <w:color w:val="000000"/>
              </w:rPr>
              <w:t>2. 查看执行情况</w:t>
            </w:r>
            <w:r>
              <w:rPr>
                <w:rFonts w:hint="eastAsia" w:ascii="仿宋" w:hAnsi="仿宋" w:eastAsia="仿宋"/>
                <w:color w:val="000000"/>
              </w:rPr>
              <w:br w:type="textWrapping"/>
            </w:r>
            <w:r>
              <w:rPr>
                <w:rFonts w:hint="eastAsia" w:ascii="仿宋" w:hAnsi="仿宋" w:eastAsia="仿宋"/>
                <w:color w:val="000000"/>
              </w:rPr>
              <w:t xml:space="preserve"> 可以通过机构名称、检查部门、计划检查日期、检查状态等字段进行计划执行情况的查询，并可以导出为EXCEL。</w:t>
            </w:r>
            <w:r>
              <w:rPr>
                <w:rFonts w:hint="eastAsia" w:ascii="仿宋" w:hAnsi="仿宋" w:eastAsia="仿宋"/>
                <w:color w:val="000000"/>
              </w:rPr>
              <w:br w:type="textWrapping"/>
            </w:r>
            <w:r>
              <w:rPr>
                <w:rFonts w:hint="eastAsia" w:ascii="仿宋" w:hAnsi="仿宋" w:eastAsia="仿宋"/>
                <w:color w:val="000000"/>
              </w:rPr>
              <w:t>6.1.3.1.4.3器械临床试验机构专项监管计划管理</w:t>
            </w:r>
            <w:r>
              <w:rPr>
                <w:rFonts w:hint="eastAsia" w:ascii="仿宋" w:hAnsi="仿宋" w:eastAsia="仿宋"/>
                <w:color w:val="000000"/>
              </w:rPr>
              <w:br w:type="textWrapping"/>
            </w:r>
            <w:r>
              <w:rPr>
                <w:rFonts w:hint="eastAsia" w:ascii="仿宋" w:hAnsi="仿宋" w:eastAsia="仿宋"/>
                <w:color w:val="000000"/>
              </w:rPr>
              <w:t>提供监管人员进行器械临床试验机构的专项监管计划管理，可以进行专项的发布和管理等，也可以查看专项的执行情况。</w:t>
            </w:r>
            <w:r>
              <w:rPr>
                <w:rFonts w:hint="eastAsia" w:ascii="仿宋" w:hAnsi="仿宋" w:eastAsia="仿宋"/>
                <w:color w:val="000000"/>
              </w:rPr>
              <w:br w:type="textWrapping"/>
            </w:r>
            <w:r>
              <w:rPr>
                <w:rFonts w:hint="eastAsia" w:ascii="仿宋" w:hAnsi="仿宋" w:eastAsia="仿宋"/>
                <w:color w:val="000000"/>
              </w:rPr>
              <w:t>1. 发布和修改</w:t>
            </w:r>
            <w:r>
              <w:rPr>
                <w:rFonts w:hint="eastAsia" w:ascii="仿宋" w:hAnsi="仿宋" w:eastAsia="仿宋"/>
                <w:color w:val="000000"/>
              </w:rPr>
              <w:br w:type="textWrapping"/>
            </w:r>
            <w:r>
              <w:rPr>
                <w:rFonts w:hint="eastAsia" w:ascii="仿宋" w:hAnsi="仿宋" w:eastAsia="仿宋"/>
                <w:color w:val="000000"/>
              </w:rPr>
              <w:t>可以在线进行器械临床试验机构专项监管计划的发布，需要填写专项名称、检查日期范围、重点检查内容、关键检查条款，并选择本次专项对应企业名单。</w:t>
            </w:r>
            <w:r>
              <w:rPr>
                <w:rFonts w:hint="eastAsia" w:ascii="仿宋" w:hAnsi="仿宋" w:eastAsia="仿宋"/>
                <w:color w:val="000000"/>
              </w:rPr>
              <w:br w:type="textWrapping"/>
            </w:r>
            <w:r>
              <w:rPr>
                <w:rFonts w:hint="eastAsia" w:ascii="仿宋" w:hAnsi="仿宋" w:eastAsia="仿宋"/>
                <w:color w:val="000000"/>
              </w:rPr>
              <w:t>也可以对系统中现有的企业专项监管计划进行修改，系统会记录详细的修改操作历史。</w:t>
            </w:r>
            <w:r>
              <w:rPr>
                <w:rFonts w:hint="eastAsia" w:ascii="仿宋" w:hAnsi="仿宋" w:eastAsia="仿宋"/>
                <w:color w:val="000000"/>
              </w:rPr>
              <w:br w:type="textWrapping"/>
            </w:r>
            <w:r>
              <w:rPr>
                <w:rFonts w:hint="eastAsia" w:ascii="仿宋" w:hAnsi="仿宋" w:eastAsia="仿宋"/>
                <w:color w:val="000000"/>
              </w:rPr>
              <w:t>2. 查看执行情况</w:t>
            </w:r>
            <w:r>
              <w:rPr>
                <w:rFonts w:hint="eastAsia" w:ascii="仿宋" w:hAnsi="仿宋" w:eastAsia="仿宋"/>
                <w:color w:val="000000"/>
              </w:rPr>
              <w:br w:type="textWrapping"/>
            </w:r>
            <w:r>
              <w:rPr>
                <w:rFonts w:hint="eastAsia" w:ascii="仿宋" w:hAnsi="仿宋" w:eastAsia="仿宋"/>
                <w:color w:val="000000"/>
              </w:rPr>
              <w:t xml:space="preserve"> 可以通过专项名称、检查日期等字段进行专项执行情况的查询，可以查看每个专项中每家器械临床试验机构的检查执行情况，并可以导出为EXCEL。</w:t>
            </w:r>
            <w:r>
              <w:rPr>
                <w:rFonts w:hint="eastAsia" w:ascii="仿宋" w:hAnsi="仿宋" w:eastAsia="仿宋"/>
                <w:color w:val="000000"/>
              </w:rPr>
              <w:br w:type="textWrapping"/>
            </w:r>
            <w:r>
              <w:rPr>
                <w:rFonts w:hint="eastAsia" w:ascii="仿宋" w:hAnsi="仿宋" w:eastAsia="仿宋"/>
                <w:color w:val="000000"/>
              </w:rPr>
              <w:t>6.1.3.1.4.4器械临床试验机构监督检查</w:t>
            </w:r>
            <w:r>
              <w:rPr>
                <w:rFonts w:hint="eastAsia" w:ascii="仿宋" w:hAnsi="仿宋" w:eastAsia="仿宋"/>
                <w:color w:val="000000"/>
              </w:rPr>
              <w:br w:type="textWrapping"/>
            </w:r>
            <w:r>
              <w:rPr>
                <w:rFonts w:hint="eastAsia" w:ascii="仿宋" w:hAnsi="仿宋" w:eastAsia="仿宋"/>
                <w:color w:val="000000"/>
              </w:rPr>
              <w:t>提供监管人员对器械临床试验机构开展监督检查，可以查看器械临床试验机构的基本信息和备案专业和主要研究者信息，并内置了器械临床试验机构监管的规范SOP检查条款，按照器械临床试验机构的检查要求输入检查内容后可以生成相应的检查文书。</w:t>
            </w:r>
            <w:r>
              <w:rPr>
                <w:rFonts w:hint="eastAsia" w:ascii="仿宋" w:hAnsi="仿宋" w:eastAsia="仿宋"/>
                <w:color w:val="000000"/>
              </w:rPr>
              <w:br w:type="textWrapping"/>
            </w:r>
            <w:r>
              <w:rPr>
                <w:rFonts w:hint="eastAsia" w:ascii="仿宋" w:hAnsi="仿宋" w:eastAsia="仿宋"/>
                <w:color w:val="000000"/>
              </w:rPr>
              <w:t>提供监管人员对器械临床试验机构的监督检查结果进行统一管理，涉及需要进行整改时，还可以进行整改报告的上传，同时也会自动核销相应的日常监管计划和专项监管计划。</w:t>
            </w:r>
            <w:r>
              <w:rPr>
                <w:rFonts w:hint="eastAsia" w:ascii="仿宋" w:hAnsi="仿宋" w:eastAsia="仿宋"/>
                <w:color w:val="000000"/>
              </w:rPr>
              <w:br w:type="textWrapping"/>
            </w:r>
            <w:r>
              <w:rPr>
                <w:rFonts w:hint="eastAsia" w:ascii="仿宋" w:hAnsi="仿宋" w:eastAsia="仿宋"/>
                <w:color w:val="000000"/>
              </w:rPr>
              <w:t>1. 器械临床试验机构查询</w:t>
            </w:r>
            <w:r>
              <w:rPr>
                <w:rFonts w:hint="eastAsia" w:ascii="仿宋" w:hAnsi="仿宋" w:eastAsia="仿宋"/>
                <w:color w:val="000000"/>
              </w:rPr>
              <w:br w:type="textWrapping"/>
            </w:r>
            <w:r>
              <w:rPr>
                <w:rFonts w:hint="eastAsia" w:ascii="仿宋" w:hAnsi="仿宋" w:eastAsia="仿宋"/>
                <w:color w:val="000000"/>
              </w:rPr>
              <w:t>可以通过机构名称、机构地址、监管部门等信息进行查询。</w:t>
            </w:r>
            <w:r>
              <w:rPr>
                <w:rFonts w:hint="eastAsia" w:ascii="仿宋" w:hAnsi="仿宋" w:eastAsia="仿宋"/>
                <w:color w:val="000000"/>
              </w:rPr>
              <w:br w:type="textWrapping"/>
            </w:r>
            <w:r>
              <w:rPr>
                <w:rFonts w:hint="eastAsia" w:ascii="仿宋" w:hAnsi="仿宋" w:eastAsia="仿宋"/>
                <w:color w:val="000000"/>
              </w:rPr>
              <w:t>2. 器械临床试验机构监督检查</w:t>
            </w:r>
            <w:r>
              <w:rPr>
                <w:rFonts w:hint="eastAsia" w:ascii="仿宋" w:hAnsi="仿宋" w:eastAsia="仿宋"/>
                <w:color w:val="000000"/>
              </w:rPr>
              <w:br w:type="textWrapping"/>
            </w:r>
            <w:r>
              <w:rPr>
                <w:rFonts w:hint="eastAsia" w:ascii="仿宋" w:hAnsi="仿宋" w:eastAsia="仿宋"/>
                <w:color w:val="000000"/>
              </w:rPr>
              <w:t>可以开展对器械临床试验机构的监督检查，可以查看境器械临床试验机构的基本信息、备案专业和主要研究者信息和历史检查记录等信息。</w:t>
            </w:r>
            <w:r>
              <w:rPr>
                <w:rFonts w:hint="eastAsia" w:ascii="仿宋" w:hAnsi="仿宋" w:eastAsia="仿宋"/>
                <w:color w:val="000000"/>
              </w:rPr>
              <w:br w:type="textWrapping"/>
            </w:r>
            <w:r>
              <w:rPr>
                <w:rFonts w:hint="eastAsia" w:ascii="仿宋" w:hAnsi="仿宋" w:eastAsia="仿宋"/>
                <w:color w:val="000000"/>
              </w:rPr>
              <w:t>在录入检查信息时可以选择检查日期、检查人员、检查地址、检查类型、检查结果等信息，并支持附件上传。</w:t>
            </w:r>
            <w:r>
              <w:rPr>
                <w:rFonts w:hint="eastAsia" w:ascii="仿宋" w:hAnsi="仿宋" w:eastAsia="仿宋"/>
                <w:color w:val="000000"/>
              </w:rPr>
              <w:br w:type="textWrapping"/>
            </w:r>
            <w:r>
              <w:rPr>
                <w:rFonts w:hint="eastAsia" w:ascii="仿宋" w:hAnsi="仿宋" w:eastAsia="仿宋"/>
                <w:color w:val="000000"/>
              </w:rPr>
              <w:t>系统内置内置了符合器械临床试验机构企业监管要求的SOP检查条款，用户可以选择后填写具体条款的检查结果信息，并针对每个条款上传相应的附件。</w:t>
            </w:r>
            <w:r>
              <w:rPr>
                <w:rFonts w:hint="eastAsia" w:ascii="仿宋" w:hAnsi="仿宋" w:eastAsia="仿宋"/>
                <w:color w:val="000000"/>
              </w:rPr>
              <w:br w:type="textWrapping"/>
            </w:r>
            <w:r>
              <w:rPr>
                <w:rFonts w:hint="eastAsia" w:ascii="仿宋" w:hAnsi="仿宋" w:eastAsia="仿宋"/>
                <w:color w:val="000000"/>
              </w:rPr>
              <w:t>完成检查信息录入后，系统还可以生成符合规范的检查文书。</w:t>
            </w:r>
            <w:r>
              <w:rPr>
                <w:rFonts w:hint="eastAsia" w:ascii="仿宋" w:hAnsi="仿宋" w:eastAsia="仿宋"/>
                <w:color w:val="000000"/>
              </w:rPr>
              <w:br w:type="textWrapping"/>
            </w:r>
            <w:r>
              <w:rPr>
                <w:rFonts w:hint="eastAsia" w:ascii="仿宋" w:hAnsi="仿宋" w:eastAsia="仿宋"/>
                <w:color w:val="000000"/>
              </w:rPr>
              <w:t>3. 器械临床试验机构检查信息管理</w:t>
            </w:r>
            <w:r>
              <w:rPr>
                <w:rFonts w:hint="eastAsia" w:ascii="仿宋" w:hAnsi="仿宋" w:eastAsia="仿宋"/>
                <w:color w:val="000000"/>
              </w:rPr>
              <w:br w:type="textWrapping"/>
            </w:r>
            <w:r>
              <w:rPr>
                <w:rFonts w:hint="eastAsia" w:ascii="仿宋" w:hAnsi="仿宋" w:eastAsia="仿宋"/>
                <w:color w:val="000000"/>
              </w:rPr>
              <w:t>可以对已经完成的器械临床试验机构的检查信息进行统一管理，可以进行查询、查看详情、导出、修改和删除。</w:t>
            </w:r>
            <w:r>
              <w:rPr>
                <w:rFonts w:hint="eastAsia" w:ascii="仿宋" w:hAnsi="仿宋" w:eastAsia="仿宋"/>
                <w:color w:val="000000"/>
              </w:rPr>
              <w:br w:type="textWrapping"/>
            </w:r>
            <w:r>
              <w:rPr>
                <w:rFonts w:hint="eastAsia" w:ascii="仿宋" w:hAnsi="仿宋" w:eastAsia="仿宋"/>
                <w:color w:val="000000"/>
              </w:rPr>
              <w:t>修改和删除时系统会记录详细的操作历史。</w:t>
            </w:r>
            <w:r>
              <w:rPr>
                <w:rFonts w:hint="eastAsia" w:ascii="仿宋" w:hAnsi="仿宋" w:eastAsia="仿宋"/>
                <w:color w:val="000000"/>
              </w:rPr>
              <w:br w:type="textWrapping"/>
            </w:r>
            <w:r>
              <w:rPr>
                <w:rFonts w:hint="eastAsia" w:ascii="仿宋" w:hAnsi="仿宋" w:eastAsia="仿宋"/>
                <w:color w:val="000000"/>
              </w:rPr>
              <w:t>4. 器械临床试验机构整改报告上传</w:t>
            </w:r>
            <w:r>
              <w:rPr>
                <w:rFonts w:hint="eastAsia" w:ascii="仿宋" w:hAnsi="仿宋" w:eastAsia="仿宋"/>
                <w:color w:val="000000"/>
              </w:rPr>
              <w:br w:type="textWrapping"/>
            </w:r>
            <w:r>
              <w:rPr>
                <w:rFonts w:hint="eastAsia" w:ascii="仿宋" w:hAnsi="仿宋" w:eastAsia="仿宋"/>
                <w:color w:val="000000"/>
              </w:rPr>
              <w:t xml:space="preserve"> 针对需要提交整改报告的检查，可以将器械临床试验机构反馈的整改报告上传到系统中，上传完成后可以和检查信息进行合并展示。</w:t>
            </w:r>
            <w:r>
              <w:rPr>
                <w:rFonts w:hint="eastAsia" w:ascii="仿宋" w:hAnsi="仿宋" w:eastAsia="仿宋"/>
                <w:color w:val="000000"/>
              </w:rPr>
              <w:br w:type="textWrapping"/>
            </w:r>
            <w:r>
              <w:rPr>
                <w:rFonts w:hint="eastAsia" w:ascii="仿宋" w:hAnsi="仿宋" w:eastAsia="仿宋"/>
                <w:color w:val="000000"/>
              </w:rPr>
              <w:br w:type="textWrapping"/>
            </w:r>
            <w:r>
              <w:rPr>
                <w:rFonts w:hint="eastAsia" w:ascii="仿宋" w:hAnsi="仿宋" w:eastAsia="仿宋"/>
                <w:color w:val="000000"/>
              </w:rPr>
              <w:t>6.1.3.1.4.5器械临床试验机构监管统计分析</w:t>
            </w:r>
            <w:r>
              <w:rPr>
                <w:rFonts w:hint="eastAsia" w:ascii="仿宋" w:hAnsi="仿宋" w:eastAsia="仿宋"/>
                <w:color w:val="000000"/>
              </w:rPr>
              <w:br w:type="textWrapping"/>
            </w:r>
            <w:r>
              <w:rPr>
                <w:rFonts w:hint="eastAsia" w:ascii="仿宋" w:hAnsi="仿宋" w:eastAsia="仿宋"/>
                <w:color w:val="000000"/>
              </w:rPr>
              <w:t>提供监管人员对器械临床试验机构的检查情况进行统计分析，包括检查次数、缺陷条款、检查结果等统计。</w:t>
            </w:r>
            <w:r>
              <w:rPr>
                <w:rFonts w:hint="eastAsia" w:ascii="仿宋" w:hAnsi="仿宋" w:eastAsia="仿宋"/>
                <w:color w:val="000000"/>
              </w:rPr>
              <w:br w:type="textWrapping"/>
            </w:r>
            <w:r>
              <w:rPr>
                <w:rFonts w:hint="eastAsia" w:ascii="仿宋" w:hAnsi="仿宋" w:eastAsia="仿宋"/>
                <w:color w:val="000000"/>
              </w:rPr>
              <w:t>1. 检查次数统计</w:t>
            </w:r>
            <w:r>
              <w:rPr>
                <w:rFonts w:hint="eastAsia" w:ascii="仿宋" w:hAnsi="仿宋" w:eastAsia="仿宋"/>
                <w:color w:val="000000"/>
              </w:rPr>
              <w:br w:type="textWrapping"/>
            </w:r>
            <w:r>
              <w:rPr>
                <w:rFonts w:hint="eastAsia" w:ascii="仿宋" w:hAnsi="仿宋" w:eastAsia="仿宋"/>
                <w:color w:val="000000"/>
              </w:rPr>
              <w:t>可以对一段时间内各单位或各部门的检查次数进行统计。</w:t>
            </w:r>
            <w:r>
              <w:rPr>
                <w:rFonts w:hint="eastAsia" w:ascii="仿宋" w:hAnsi="仿宋" w:eastAsia="仿宋"/>
                <w:color w:val="000000"/>
              </w:rPr>
              <w:br w:type="textWrapping"/>
            </w:r>
            <w:r>
              <w:rPr>
                <w:rFonts w:hint="eastAsia" w:ascii="仿宋" w:hAnsi="仿宋" w:eastAsia="仿宋"/>
                <w:color w:val="000000"/>
              </w:rPr>
              <w:t>2. 缺陷条款统计</w:t>
            </w:r>
            <w:r>
              <w:rPr>
                <w:rFonts w:hint="eastAsia" w:ascii="仿宋" w:hAnsi="仿宋" w:eastAsia="仿宋"/>
                <w:color w:val="000000"/>
              </w:rPr>
              <w:br w:type="textWrapping"/>
            </w:r>
            <w:r>
              <w:rPr>
                <w:rFonts w:hint="eastAsia" w:ascii="仿宋" w:hAnsi="仿宋" w:eastAsia="仿宋"/>
                <w:color w:val="000000"/>
              </w:rPr>
              <w:t>可以对一段时间内各单位或各部门的缺陷条款进行统计，可以统计每个缺陷条款的出现分布情况。</w:t>
            </w:r>
            <w:r>
              <w:rPr>
                <w:rFonts w:hint="eastAsia" w:ascii="仿宋" w:hAnsi="仿宋" w:eastAsia="仿宋"/>
                <w:color w:val="000000"/>
              </w:rPr>
              <w:br w:type="textWrapping"/>
            </w:r>
            <w:r>
              <w:rPr>
                <w:rFonts w:hint="eastAsia" w:ascii="仿宋" w:hAnsi="仿宋" w:eastAsia="仿宋"/>
                <w:color w:val="000000"/>
              </w:rPr>
              <w:t>3. 检查结果统计</w:t>
            </w:r>
            <w:r>
              <w:rPr>
                <w:rFonts w:hint="eastAsia" w:ascii="仿宋" w:hAnsi="仿宋" w:eastAsia="仿宋"/>
                <w:color w:val="000000"/>
              </w:rPr>
              <w:br w:type="textWrapping"/>
            </w:r>
            <w:r>
              <w:rPr>
                <w:rFonts w:hint="eastAsia" w:ascii="仿宋" w:hAnsi="仿宋" w:eastAsia="仿宋"/>
                <w:color w:val="000000"/>
              </w:rPr>
              <w:t>可以对一段时间内各单位或各部门的检查结果进行统计，可以统计每个检查结果的分布情况。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药械化行政检查管理系统和移动监管模块（升级）-行政检查监督检查项目功能（升级）-连锁总部远程审方登记和监管（新建）-</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全市47家连锁总部都可以设置远程审方，根据《上海市药品零售企业许可验收实施细则》中要求药品零售连锁企业及时上报“数字药仓、远程审方等数据”。</w:t>
            </w:r>
            <w:r>
              <w:rPr>
                <w:rFonts w:hint="eastAsia" w:ascii="仿宋" w:hAnsi="仿宋" w:eastAsia="仿宋"/>
                <w:color w:val="000000"/>
              </w:rPr>
              <w:br w:type="textWrapping"/>
            </w:r>
            <w:r>
              <w:rPr>
                <w:rFonts w:hint="eastAsia" w:ascii="仿宋" w:hAnsi="仿宋" w:eastAsia="仿宋"/>
                <w:color w:val="000000"/>
              </w:rPr>
              <w:t>6.1.3.1.5.1企业-登记远程审方信息</w:t>
            </w:r>
            <w:r>
              <w:rPr>
                <w:rFonts w:hint="eastAsia" w:ascii="仿宋" w:hAnsi="仿宋" w:eastAsia="仿宋"/>
                <w:color w:val="000000"/>
              </w:rPr>
              <w:br w:type="textWrapping"/>
            </w:r>
            <w:r>
              <w:rPr>
                <w:rFonts w:hint="eastAsia" w:ascii="仿宋" w:hAnsi="仿宋" w:eastAsia="仿宋"/>
                <w:color w:val="000000"/>
              </w:rPr>
              <w:t>提供连锁企业进行远程审方信息的登记，包括药学服务信息、企业自查信息及开展药学服务申报表等。</w:t>
            </w:r>
            <w:r>
              <w:rPr>
                <w:rFonts w:hint="eastAsia" w:ascii="仿宋" w:hAnsi="仿宋" w:eastAsia="仿宋"/>
                <w:color w:val="000000"/>
              </w:rPr>
              <w:br w:type="textWrapping"/>
            </w:r>
            <w:r>
              <w:rPr>
                <w:rFonts w:hint="eastAsia" w:ascii="仿宋" w:hAnsi="仿宋" w:eastAsia="仿宋"/>
                <w:color w:val="000000"/>
              </w:rPr>
              <w:t>1. 远程审方信息登记</w:t>
            </w:r>
            <w:r>
              <w:rPr>
                <w:rFonts w:hint="eastAsia" w:ascii="仿宋" w:hAnsi="仿宋" w:eastAsia="仿宋"/>
                <w:color w:val="000000"/>
              </w:rPr>
              <w:br w:type="textWrapping"/>
            </w:r>
            <w:r>
              <w:rPr>
                <w:rFonts w:hint="eastAsia" w:ascii="仿宋" w:hAnsi="仿宋" w:eastAsia="仿宋"/>
                <w:color w:val="000000"/>
              </w:rPr>
              <w:t>企业用户可以在线进行远程审方信息的登记，需要填写药学服务信息、企业自查信息，并可以根据用户填写的信息生成药学服务申请表，企业还需要将盖章后的申请表上传系统。</w:t>
            </w:r>
            <w:r>
              <w:rPr>
                <w:rFonts w:hint="eastAsia" w:ascii="仿宋" w:hAnsi="仿宋" w:eastAsia="仿宋"/>
                <w:color w:val="000000"/>
              </w:rPr>
              <w:br w:type="textWrapping"/>
            </w:r>
            <w:r>
              <w:rPr>
                <w:rFonts w:hint="eastAsia" w:ascii="仿宋" w:hAnsi="仿宋" w:eastAsia="仿宋"/>
                <w:color w:val="000000"/>
              </w:rPr>
              <w:t>2. 远程审方信息修改</w:t>
            </w:r>
            <w:r>
              <w:rPr>
                <w:rFonts w:hint="eastAsia" w:ascii="仿宋" w:hAnsi="仿宋" w:eastAsia="仿宋"/>
                <w:color w:val="000000"/>
              </w:rPr>
              <w:br w:type="textWrapping"/>
            </w:r>
            <w:r>
              <w:rPr>
                <w:rFonts w:hint="eastAsia" w:ascii="仿宋" w:hAnsi="仿宋" w:eastAsia="仿宋"/>
                <w:color w:val="000000"/>
              </w:rPr>
              <w:t>企业用户可以对已经提交的远程审方信息进行修改。</w:t>
            </w:r>
            <w:r>
              <w:rPr>
                <w:rFonts w:hint="eastAsia" w:ascii="仿宋" w:hAnsi="仿宋" w:eastAsia="仿宋"/>
                <w:color w:val="000000"/>
              </w:rPr>
              <w:br w:type="textWrapping"/>
            </w:r>
            <w:r>
              <w:rPr>
                <w:rFonts w:hint="eastAsia" w:ascii="仿宋" w:hAnsi="仿宋" w:eastAsia="仿宋"/>
                <w:color w:val="000000"/>
              </w:rPr>
              <w:br w:type="textWrapping"/>
            </w:r>
            <w:r>
              <w:rPr>
                <w:rFonts w:hint="eastAsia" w:ascii="仿宋" w:hAnsi="仿宋" w:eastAsia="仿宋"/>
                <w:color w:val="000000"/>
              </w:rPr>
              <w:t>6.1.3.1.5.2监管-审核远程审方信息</w:t>
            </w:r>
            <w:r>
              <w:rPr>
                <w:rFonts w:hint="eastAsia" w:ascii="仿宋" w:hAnsi="仿宋" w:eastAsia="仿宋"/>
                <w:color w:val="000000"/>
              </w:rPr>
              <w:br w:type="textWrapping"/>
            </w:r>
            <w:r>
              <w:rPr>
                <w:rFonts w:hint="eastAsia" w:ascii="仿宋" w:hAnsi="仿宋" w:eastAsia="仿宋"/>
                <w:color w:val="000000"/>
              </w:rPr>
              <w:t>提供监管人员的企业登记的远程审方信息进行审核，审核通过的信息可以在药监局的官网进行公示，并可以整合到现有的药品连锁企业监管功能中进行监管。</w:t>
            </w:r>
            <w:r>
              <w:rPr>
                <w:rFonts w:hint="eastAsia" w:ascii="仿宋" w:hAnsi="仿宋" w:eastAsia="仿宋"/>
                <w:color w:val="000000"/>
              </w:rPr>
              <w:br w:type="textWrapping"/>
            </w:r>
            <w:r>
              <w:rPr>
                <w:rFonts w:hint="eastAsia" w:ascii="仿宋" w:hAnsi="仿宋" w:eastAsia="仿宋"/>
                <w:color w:val="000000"/>
              </w:rPr>
              <w:t>1. 远程审方信息查询</w:t>
            </w:r>
            <w:r>
              <w:rPr>
                <w:rFonts w:hint="eastAsia" w:ascii="仿宋" w:hAnsi="仿宋" w:eastAsia="仿宋"/>
                <w:color w:val="000000"/>
              </w:rPr>
              <w:br w:type="textWrapping"/>
            </w:r>
            <w:r>
              <w:rPr>
                <w:rFonts w:hint="eastAsia" w:ascii="仿宋" w:hAnsi="仿宋" w:eastAsia="仿宋"/>
                <w:color w:val="000000"/>
              </w:rPr>
              <w:t>监管人员可以对企业登记的远程审方信息进行查询、查看详情和导出EXCEL。</w:t>
            </w:r>
            <w:r>
              <w:rPr>
                <w:rFonts w:hint="eastAsia" w:ascii="仿宋" w:hAnsi="仿宋" w:eastAsia="仿宋"/>
                <w:color w:val="000000"/>
              </w:rPr>
              <w:br w:type="textWrapping"/>
            </w:r>
            <w:r>
              <w:rPr>
                <w:rFonts w:hint="eastAsia" w:ascii="仿宋" w:hAnsi="仿宋" w:eastAsia="仿宋"/>
                <w:color w:val="000000"/>
              </w:rPr>
              <w:t>2. 远程审方信息审核</w:t>
            </w:r>
            <w:r>
              <w:rPr>
                <w:rFonts w:hint="eastAsia" w:ascii="仿宋" w:hAnsi="仿宋" w:eastAsia="仿宋"/>
                <w:color w:val="000000"/>
              </w:rPr>
              <w:br w:type="textWrapping"/>
            </w:r>
            <w:r>
              <w:rPr>
                <w:rFonts w:hint="eastAsia" w:ascii="仿宋" w:hAnsi="仿宋" w:eastAsia="仿宋"/>
                <w:color w:val="000000"/>
              </w:rPr>
              <w:t xml:space="preserve"> 监管人员可以在线审核企业登记的远程审方信息，审核完成后会通过短信通知企业。。</w:t>
            </w:r>
            <w:r>
              <w:rPr>
                <w:rFonts w:hint="eastAsia" w:ascii="仿宋" w:hAnsi="仿宋" w:eastAsia="仿宋"/>
                <w:color w:val="000000"/>
              </w:rPr>
              <w:br w:type="textWrapping"/>
            </w:r>
            <w:r>
              <w:rPr>
                <w:rFonts w:hint="eastAsia" w:ascii="仿宋" w:hAnsi="仿宋" w:eastAsia="仿宋"/>
                <w:color w:val="000000"/>
              </w:rPr>
              <w:t>3. 远程审方信息公示</w:t>
            </w:r>
            <w:r>
              <w:rPr>
                <w:rFonts w:hint="eastAsia" w:ascii="仿宋" w:hAnsi="仿宋" w:eastAsia="仿宋"/>
                <w:color w:val="000000"/>
              </w:rPr>
              <w:br w:type="textWrapping"/>
            </w:r>
            <w:r>
              <w:rPr>
                <w:rFonts w:hint="eastAsia" w:ascii="仿宋" w:hAnsi="仿宋" w:eastAsia="仿宋"/>
                <w:color w:val="000000"/>
              </w:rPr>
              <w:t xml:space="preserve"> 审核通过的远程审方信息可以自动要药监局官网进行公示。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药械化行政检查管理系统和移动监管模块（升级）-行政检查监督检查项目功能（升级）-外省市器械经营企业跨省设库企业监管（新建）-</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6.1.3.1.6.1跨省设库企业管理</w:t>
            </w:r>
            <w:r>
              <w:rPr>
                <w:rFonts w:hint="eastAsia" w:ascii="仿宋" w:hAnsi="仿宋" w:eastAsia="仿宋"/>
                <w:color w:val="000000"/>
              </w:rPr>
              <w:br w:type="textWrapping"/>
            </w:r>
            <w:r>
              <w:rPr>
                <w:rFonts w:hint="eastAsia" w:ascii="仿宋" w:hAnsi="仿宋" w:eastAsia="仿宋"/>
                <w:color w:val="000000"/>
              </w:rPr>
              <w:t>提供监管人员进行在上海设置仓库的外省市经营企业（以下简称：跨省设库企业）的维护和管理功能，可以进行企业的新增、修改、标签管理、查看详情和导出等，新增成功后可以自动关联外省市的许可证和备案证信息。</w:t>
            </w:r>
            <w:r>
              <w:rPr>
                <w:rFonts w:hint="eastAsia" w:ascii="仿宋" w:hAnsi="仿宋" w:eastAsia="仿宋"/>
                <w:color w:val="000000"/>
              </w:rPr>
              <w:br w:type="textWrapping"/>
            </w:r>
            <w:r>
              <w:rPr>
                <w:rFonts w:hint="eastAsia" w:ascii="仿宋" w:hAnsi="仿宋" w:eastAsia="仿宋"/>
                <w:color w:val="000000"/>
              </w:rPr>
              <w:t>1. 新增和修改</w:t>
            </w:r>
            <w:r>
              <w:rPr>
                <w:rFonts w:hint="eastAsia" w:ascii="仿宋" w:hAnsi="仿宋" w:eastAsia="仿宋"/>
                <w:color w:val="000000"/>
              </w:rPr>
              <w:br w:type="textWrapping"/>
            </w:r>
            <w:r>
              <w:rPr>
                <w:rFonts w:hint="eastAsia" w:ascii="仿宋" w:hAnsi="仿宋" w:eastAsia="仿宋"/>
                <w:color w:val="000000"/>
              </w:rPr>
              <w:t>可以在线进行跨省设库企业的新增，需要填写企业名称、库存地址、库存地址所在区和街道、联系人、联系电话等信息,新增时同时会自动关联外省市的医疗器械经营许可证和备案证。</w:t>
            </w:r>
            <w:r>
              <w:rPr>
                <w:rFonts w:hint="eastAsia" w:ascii="仿宋" w:hAnsi="仿宋" w:eastAsia="仿宋"/>
                <w:color w:val="000000"/>
              </w:rPr>
              <w:br w:type="textWrapping"/>
            </w:r>
            <w:r>
              <w:rPr>
                <w:rFonts w:hint="eastAsia" w:ascii="仿宋" w:hAnsi="仿宋" w:eastAsia="仿宋"/>
                <w:color w:val="000000"/>
              </w:rPr>
              <w:t>也可以对系统中现有的跨省设库企业信息进行修改，系统会记录详细的修改操作历史。</w:t>
            </w:r>
            <w:r>
              <w:rPr>
                <w:rFonts w:hint="eastAsia" w:ascii="仿宋" w:hAnsi="仿宋" w:eastAsia="仿宋"/>
                <w:color w:val="000000"/>
              </w:rPr>
              <w:br w:type="textWrapping"/>
            </w:r>
            <w:r>
              <w:rPr>
                <w:rFonts w:hint="eastAsia" w:ascii="仿宋" w:hAnsi="仿宋" w:eastAsia="仿宋"/>
                <w:color w:val="000000"/>
              </w:rPr>
              <w:t>2. 查询和导出</w:t>
            </w:r>
            <w:r>
              <w:rPr>
                <w:rFonts w:hint="eastAsia" w:ascii="仿宋" w:hAnsi="仿宋" w:eastAsia="仿宋"/>
                <w:color w:val="000000"/>
              </w:rPr>
              <w:br w:type="textWrapping"/>
            </w:r>
            <w:r>
              <w:rPr>
                <w:rFonts w:hint="eastAsia" w:ascii="仿宋" w:hAnsi="仿宋" w:eastAsia="仿宋"/>
                <w:color w:val="000000"/>
              </w:rPr>
              <w:t xml:space="preserve"> 可以通过企业名称、仓库地址、仓库所在区和辖区等字段进行查询，并可以导出为EXCEL。</w:t>
            </w:r>
            <w:r>
              <w:rPr>
                <w:rFonts w:hint="eastAsia" w:ascii="仿宋" w:hAnsi="仿宋" w:eastAsia="仿宋"/>
                <w:color w:val="000000"/>
              </w:rPr>
              <w:br w:type="textWrapping"/>
            </w:r>
            <w:r>
              <w:rPr>
                <w:rFonts w:hint="eastAsia" w:ascii="仿宋" w:hAnsi="仿宋" w:eastAsia="仿宋"/>
                <w:color w:val="000000"/>
              </w:rPr>
              <w:t>3. 查看详情</w:t>
            </w:r>
            <w:r>
              <w:rPr>
                <w:rFonts w:hint="eastAsia" w:ascii="仿宋" w:hAnsi="仿宋" w:eastAsia="仿宋"/>
                <w:color w:val="000000"/>
              </w:rPr>
              <w:br w:type="textWrapping"/>
            </w:r>
            <w:r>
              <w:rPr>
                <w:rFonts w:hint="eastAsia" w:ascii="仿宋" w:hAnsi="仿宋" w:eastAsia="仿宋"/>
                <w:color w:val="000000"/>
              </w:rPr>
              <w:t>可以查看跨省设库企业的企业详情，包括企业仓库信息、历史检查记录和相关外省市的器械经营许可证信息。</w:t>
            </w:r>
            <w:r>
              <w:rPr>
                <w:rFonts w:hint="eastAsia" w:ascii="仿宋" w:hAnsi="仿宋" w:eastAsia="仿宋"/>
                <w:color w:val="000000"/>
              </w:rPr>
              <w:br w:type="textWrapping"/>
            </w:r>
            <w:r>
              <w:rPr>
                <w:rFonts w:hint="eastAsia" w:ascii="仿宋" w:hAnsi="仿宋" w:eastAsia="仿宋"/>
                <w:color w:val="000000"/>
              </w:rPr>
              <w:t>4. 标签管理</w:t>
            </w:r>
            <w:r>
              <w:rPr>
                <w:rFonts w:hint="eastAsia" w:ascii="仿宋" w:hAnsi="仿宋" w:eastAsia="仿宋"/>
                <w:color w:val="000000"/>
              </w:rPr>
              <w:br w:type="textWrapping"/>
            </w:r>
            <w:r>
              <w:rPr>
                <w:rFonts w:hint="eastAsia" w:ascii="仿宋" w:hAnsi="仿宋" w:eastAsia="仿宋"/>
                <w:color w:val="000000"/>
              </w:rPr>
              <w:t>可以对企业的标签统一管理，可以设置监管部门、监管属性等标签。</w:t>
            </w:r>
            <w:r>
              <w:rPr>
                <w:rFonts w:hint="eastAsia" w:ascii="仿宋" w:hAnsi="仿宋" w:eastAsia="仿宋"/>
                <w:color w:val="000000"/>
              </w:rPr>
              <w:br w:type="textWrapping"/>
            </w:r>
            <w:r>
              <w:rPr>
                <w:rFonts w:hint="eastAsia" w:ascii="仿宋" w:hAnsi="仿宋" w:eastAsia="仿宋"/>
                <w:color w:val="000000"/>
              </w:rPr>
              <w:t>6.1.3.1.6.2跨省设库企业管理监督检查</w:t>
            </w:r>
            <w:r>
              <w:rPr>
                <w:rFonts w:hint="eastAsia" w:ascii="仿宋" w:hAnsi="仿宋" w:eastAsia="仿宋"/>
                <w:color w:val="000000"/>
              </w:rPr>
              <w:br w:type="textWrapping"/>
            </w:r>
            <w:r>
              <w:rPr>
                <w:rFonts w:hint="eastAsia" w:ascii="仿宋" w:hAnsi="仿宋" w:eastAsia="仿宋"/>
                <w:color w:val="000000"/>
              </w:rPr>
              <w:t>提供监管人员对在上海跨省设库企业开展监督检查，可以查看跨省设库企业的外省市许可证和备案证信息和上海仓库信息，并内置了跨省设库企业的规范SOP检查条款，按照跨省设库企业的检查要求输入检查内容后可以生成相应的检查文书。</w:t>
            </w:r>
            <w:r>
              <w:rPr>
                <w:rFonts w:hint="eastAsia" w:ascii="仿宋" w:hAnsi="仿宋" w:eastAsia="仿宋"/>
                <w:color w:val="000000"/>
              </w:rPr>
              <w:br w:type="textWrapping"/>
            </w:r>
            <w:r>
              <w:rPr>
                <w:rFonts w:hint="eastAsia" w:ascii="仿宋" w:hAnsi="仿宋" w:eastAsia="仿宋"/>
                <w:color w:val="000000"/>
              </w:rPr>
              <w:t>提供监管人员对外省市器械经营企业跨省设库企业的监督检查结果进行统一管理，涉及需要进行整改时，还可以进行整改报告的上传。</w:t>
            </w:r>
            <w:r>
              <w:rPr>
                <w:rFonts w:hint="eastAsia" w:ascii="仿宋" w:hAnsi="仿宋" w:eastAsia="仿宋"/>
                <w:color w:val="000000"/>
              </w:rPr>
              <w:br w:type="textWrapping"/>
            </w:r>
            <w:r>
              <w:rPr>
                <w:rFonts w:hint="eastAsia" w:ascii="仿宋" w:hAnsi="仿宋" w:eastAsia="仿宋"/>
                <w:color w:val="000000"/>
              </w:rPr>
              <w:t>1. 跨省设库企业查询</w:t>
            </w:r>
            <w:r>
              <w:rPr>
                <w:rFonts w:hint="eastAsia" w:ascii="仿宋" w:hAnsi="仿宋" w:eastAsia="仿宋"/>
                <w:color w:val="000000"/>
              </w:rPr>
              <w:br w:type="textWrapping"/>
            </w:r>
            <w:r>
              <w:rPr>
                <w:rFonts w:hint="eastAsia" w:ascii="仿宋" w:hAnsi="仿宋" w:eastAsia="仿宋"/>
                <w:color w:val="000000"/>
              </w:rPr>
              <w:t>可以通过业名称、仓库地址、仓库所在区和辖区等信息进行查询。</w:t>
            </w:r>
            <w:r>
              <w:rPr>
                <w:rFonts w:hint="eastAsia" w:ascii="仿宋" w:hAnsi="仿宋" w:eastAsia="仿宋"/>
                <w:color w:val="000000"/>
              </w:rPr>
              <w:br w:type="textWrapping"/>
            </w:r>
            <w:r>
              <w:rPr>
                <w:rFonts w:hint="eastAsia" w:ascii="仿宋" w:hAnsi="仿宋" w:eastAsia="仿宋"/>
                <w:color w:val="000000"/>
              </w:rPr>
              <w:t>2. 跨省设库企业监督检查</w:t>
            </w:r>
            <w:r>
              <w:rPr>
                <w:rFonts w:hint="eastAsia" w:ascii="仿宋" w:hAnsi="仿宋" w:eastAsia="仿宋"/>
                <w:color w:val="000000"/>
              </w:rPr>
              <w:br w:type="textWrapping"/>
            </w:r>
            <w:r>
              <w:rPr>
                <w:rFonts w:hint="eastAsia" w:ascii="仿宋" w:hAnsi="仿宋" w:eastAsia="仿宋"/>
                <w:color w:val="000000"/>
              </w:rPr>
              <w:t>可以开展对跨省设库企业的监督检查，可以跨省设库企业的参考信息、对应的外省市的医疗器械经营可证信息和历史检查记录等信息。</w:t>
            </w:r>
            <w:r>
              <w:rPr>
                <w:rFonts w:hint="eastAsia" w:ascii="仿宋" w:hAnsi="仿宋" w:eastAsia="仿宋"/>
                <w:color w:val="000000"/>
              </w:rPr>
              <w:br w:type="textWrapping"/>
            </w:r>
            <w:r>
              <w:rPr>
                <w:rFonts w:hint="eastAsia" w:ascii="仿宋" w:hAnsi="仿宋" w:eastAsia="仿宋"/>
                <w:color w:val="000000"/>
              </w:rPr>
              <w:t>在录入检查信息时可以选择检查日期、检查人员、检查地址、检查类型、检查结果等信息，并支持附件上传。</w:t>
            </w:r>
            <w:r>
              <w:rPr>
                <w:rFonts w:hint="eastAsia" w:ascii="仿宋" w:hAnsi="仿宋" w:eastAsia="仿宋"/>
                <w:color w:val="000000"/>
              </w:rPr>
              <w:br w:type="textWrapping"/>
            </w:r>
            <w:r>
              <w:rPr>
                <w:rFonts w:hint="eastAsia" w:ascii="仿宋" w:hAnsi="仿宋" w:eastAsia="仿宋"/>
                <w:color w:val="000000"/>
              </w:rPr>
              <w:t>系统内置内置了符合跨省设库企业监管要求的SOP检查条款，用户可以选择后填写具体条款的检查结果信息，并针对每个条款上传相应的附件。</w:t>
            </w:r>
            <w:r>
              <w:rPr>
                <w:rFonts w:hint="eastAsia" w:ascii="仿宋" w:hAnsi="仿宋" w:eastAsia="仿宋"/>
                <w:color w:val="000000"/>
              </w:rPr>
              <w:br w:type="textWrapping"/>
            </w:r>
            <w:r>
              <w:rPr>
                <w:rFonts w:hint="eastAsia" w:ascii="仿宋" w:hAnsi="仿宋" w:eastAsia="仿宋"/>
                <w:color w:val="000000"/>
              </w:rPr>
              <w:t>完成检查信息录入后，系统还可以生成符合规范的检查文书。</w:t>
            </w:r>
            <w:r>
              <w:rPr>
                <w:rFonts w:hint="eastAsia" w:ascii="仿宋" w:hAnsi="仿宋" w:eastAsia="仿宋"/>
                <w:color w:val="000000"/>
              </w:rPr>
              <w:br w:type="textWrapping"/>
            </w:r>
            <w:r>
              <w:rPr>
                <w:rFonts w:hint="eastAsia" w:ascii="仿宋" w:hAnsi="仿宋" w:eastAsia="仿宋"/>
                <w:color w:val="000000"/>
              </w:rPr>
              <w:t>3. 跨省设库企业检查信息管理</w:t>
            </w:r>
            <w:r>
              <w:rPr>
                <w:rFonts w:hint="eastAsia" w:ascii="仿宋" w:hAnsi="仿宋" w:eastAsia="仿宋"/>
                <w:color w:val="000000"/>
              </w:rPr>
              <w:br w:type="textWrapping"/>
            </w:r>
            <w:r>
              <w:rPr>
                <w:rFonts w:hint="eastAsia" w:ascii="仿宋" w:hAnsi="仿宋" w:eastAsia="仿宋"/>
                <w:color w:val="000000"/>
              </w:rPr>
              <w:t>可以对已经完成的跨省设库企业的检查信息进行统一管理，可以进行查询、查看详情、导出、修改和删除。</w:t>
            </w:r>
            <w:r>
              <w:rPr>
                <w:rFonts w:hint="eastAsia" w:ascii="仿宋" w:hAnsi="仿宋" w:eastAsia="仿宋"/>
                <w:color w:val="000000"/>
              </w:rPr>
              <w:br w:type="textWrapping"/>
            </w:r>
            <w:r>
              <w:rPr>
                <w:rFonts w:hint="eastAsia" w:ascii="仿宋" w:hAnsi="仿宋" w:eastAsia="仿宋"/>
                <w:color w:val="000000"/>
              </w:rPr>
              <w:t>修改和删除时系统会记录详细的操作历史。</w:t>
            </w:r>
            <w:r>
              <w:rPr>
                <w:rFonts w:hint="eastAsia" w:ascii="仿宋" w:hAnsi="仿宋" w:eastAsia="仿宋"/>
                <w:color w:val="000000"/>
              </w:rPr>
              <w:br w:type="textWrapping"/>
            </w:r>
            <w:r>
              <w:rPr>
                <w:rFonts w:hint="eastAsia" w:ascii="仿宋" w:hAnsi="仿宋" w:eastAsia="仿宋"/>
                <w:color w:val="000000"/>
              </w:rPr>
              <w:t>4. 跨省设库企业整改报告上传</w:t>
            </w:r>
            <w:r>
              <w:rPr>
                <w:rFonts w:hint="eastAsia" w:ascii="仿宋" w:hAnsi="仿宋" w:eastAsia="仿宋"/>
                <w:color w:val="000000"/>
              </w:rPr>
              <w:br w:type="textWrapping"/>
            </w:r>
            <w:r>
              <w:rPr>
                <w:rFonts w:hint="eastAsia" w:ascii="仿宋" w:hAnsi="仿宋" w:eastAsia="仿宋"/>
                <w:color w:val="000000"/>
              </w:rPr>
              <w:t xml:space="preserve"> 针对需要提交整改报告的检查，可以将企业反馈的整改报告上传到系统中，上传完成后可以和检查信息进行合并展示。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药械化行政检查管理系统和移动监管模块（升级）-移动监管模块现场监督检查功能（升级）-自动售药机现场监督检查（新建）-自动售药机查询、监督检查</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 xml:space="preserve">6.1.3.2.1 自动售药机现场监督检查（新建） </w:t>
            </w:r>
            <w:r>
              <w:rPr>
                <w:rFonts w:hint="eastAsia" w:ascii="仿宋" w:hAnsi="仿宋" w:eastAsia="仿宋"/>
                <w:color w:val="000000"/>
              </w:rPr>
              <w:br w:type="textWrapping"/>
            </w:r>
            <w:r>
              <w:rPr>
                <w:rFonts w:hint="eastAsia" w:ascii="仿宋" w:hAnsi="仿宋" w:eastAsia="仿宋"/>
                <w:color w:val="000000"/>
              </w:rPr>
              <w:t>根据药品经营和使用质量监督管理办法的要求监管人员对自动售药机开展监督检查，可以查看自动售药机的基本信息和对应的药品零售企业信息，并内置了自动售药机的规范SOP检查条款，按照自动售药机的检查要求输入检查内容后可以生成相应的检查文书。</w:t>
            </w:r>
            <w:r>
              <w:rPr>
                <w:rFonts w:hint="eastAsia" w:ascii="仿宋" w:hAnsi="仿宋" w:eastAsia="仿宋"/>
                <w:color w:val="000000"/>
              </w:rPr>
              <w:br w:type="textWrapping"/>
            </w:r>
            <w:r>
              <w:rPr>
                <w:rFonts w:hint="eastAsia" w:ascii="仿宋" w:hAnsi="仿宋" w:eastAsia="仿宋"/>
                <w:color w:val="000000"/>
              </w:rPr>
              <w:t>1. 自动售药机查询</w:t>
            </w:r>
            <w:r>
              <w:rPr>
                <w:rFonts w:hint="eastAsia" w:ascii="仿宋" w:hAnsi="仿宋" w:eastAsia="仿宋"/>
                <w:color w:val="000000"/>
              </w:rPr>
              <w:br w:type="textWrapping"/>
            </w:r>
            <w:r>
              <w:rPr>
                <w:rFonts w:hint="eastAsia" w:ascii="仿宋" w:hAnsi="仿宋" w:eastAsia="仿宋"/>
                <w:color w:val="000000"/>
              </w:rPr>
              <w:t>可以通过连锁企业名称、售药机编号、地址、监管部门等信息进行查询。</w:t>
            </w:r>
            <w:r>
              <w:rPr>
                <w:rFonts w:hint="eastAsia" w:ascii="仿宋" w:hAnsi="仿宋" w:eastAsia="仿宋"/>
                <w:color w:val="000000"/>
              </w:rPr>
              <w:br w:type="textWrapping"/>
            </w:r>
            <w:r>
              <w:rPr>
                <w:rFonts w:hint="eastAsia" w:ascii="仿宋" w:hAnsi="仿宋" w:eastAsia="仿宋"/>
                <w:color w:val="000000"/>
              </w:rPr>
              <w:t>2. 自动售药机监督检查</w:t>
            </w:r>
            <w:r>
              <w:rPr>
                <w:rFonts w:hint="eastAsia" w:ascii="仿宋" w:hAnsi="仿宋" w:eastAsia="仿宋"/>
                <w:color w:val="000000"/>
              </w:rPr>
              <w:br w:type="textWrapping"/>
            </w:r>
            <w:r>
              <w:rPr>
                <w:rFonts w:hint="eastAsia" w:ascii="仿宋" w:hAnsi="仿宋" w:eastAsia="仿宋"/>
                <w:color w:val="000000"/>
              </w:rPr>
              <w:t>可以开展对自动售药机的监督检查，可以查看自动售药机的基本信息、对应的药品零售企业的许可证信息和对自动售药机的历史检查记录等信息。</w:t>
            </w:r>
            <w:r>
              <w:rPr>
                <w:rFonts w:hint="eastAsia" w:ascii="仿宋" w:hAnsi="仿宋" w:eastAsia="仿宋"/>
                <w:color w:val="000000"/>
              </w:rPr>
              <w:br w:type="textWrapping"/>
            </w:r>
            <w:r>
              <w:rPr>
                <w:rFonts w:hint="eastAsia" w:ascii="仿宋" w:hAnsi="仿宋" w:eastAsia="仿宋"/>
                <w:color w:val="000000"/>
              </w:rPr>
              <w:t>在录入检查信息时可以选择检查日期、检查人员、检查地址、检查类型、检查结果等信息，并支持附件上传。</w:t>
            </w:r>
            <w:r>
              <w:rPr>
                <w:rFonts w:hint="eastAsia" w:ascii="仿宋" w:hAnsi="仿宋" w:eastAsia="仿宋"/>
                <w:color w:val="000000"/>
              </w:rPr>
              <w:br w:type="textWrapping"/>
            </w:r>
            <w:r>
              <w:rPr>
                <w:rFonts w:hint="eastAsia" w:ascii="仿宋" w:hAnsi="仿宋" w:eastAsia="仿宋"/>
                <w:color w:val="000000"/>
              </w:rPr>
              <w:t>系统内置内置了符合自动售药机监管要求的SOP检查条款，用户可以选择后填写具体条款的检查结果信息，并针对每个条款上传相应的附件。完成检查信息录入后，系统还可以生成符合规范的检查文书。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药械化行政检查管理系统和移动监管模块（升级）-移动监管模块现场监督检查功能（升级）-自动售药机现场监督检查（新建）-自动售械机查询、监督检查</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 xml:space="preserve">6.1.3.2.2 自动售药机现场监督检查（新建） </w:t>
            </w:r>
            <w:r>
              <w:rPr>
                <w:rFonts w:hint="eastAsia" w:ascii="仿宋" w:hAnsi="仿宋" w:eastAsia="仿宋"/>
                <w:color w:val="000000"/>
              </w:rPr>
              <w:br w:type="textWrapping"/>
            </w:r>
            <w:r>
              <w:rPr>
                <w:rFonts w:hint="eastAsia" w:ascii="仿宋" w:hAnsi="仿宋" w:eastAsia="仿宋"/>
                <w:color w:val="000000"/>
              </w:rPr>
              <w:t>根据医疗器械经营监督管理办法的要求监管人员对自动售械机开展监督检查，可以查看自动售械机的基本信息和对应的医疗器械经营企业信息，并内置了自动售械机的规范SOP检查条款，按照自动售械机的检查要求输入检查内容后可以生成相应的检查文书。</w:t>
            </w:r>
            <w:r>
              <w:rPr>
                <w:rFonts w:hint="eastAsia" w:ascii="仿宋" w:hAnsi="仿宋" w:eastAsia="仿宋"/>
                <w:color w:val="000000"/>
              </w:rPr>
              <w:br w:type="textWrapping"/>
            </w:r>
            <w:r>
              <w:rPr>
                <w:rFonts w:hint="eastAsia" w:ascii="仿宋" w:hAnsi="仿宋" w:eastAsia="仿宋"/>
                <w:color w:val="000000"/>
              </w:rPr>
              <w:t>1. 自动售械机查询</w:t>
            </w:r>
            <w:r>
              <w:rPr>
                <w:rFonts w:hint="eastAsia" w:ascii="仿宋" w:hAnsi="仿宋" w:eastAsia="仿宋"/>
                <w:color w:val="000000"/>
              </w:rPr>
              <w:br w:type="textWrapping"/>
            </w:r>
            <w:r>
              <w:rPr>
                <w:rFonts w:hint="eastAsia" w:ascii="仿宋" w:hAnsi="仿宋" w:eastAsia="仿宋"/>
                <w:color w:val="000000"/>
              </w:rPr>
              <w:t>可以通过医疗器械经营企业名称、售械机编号、地址、监管部门等信息进行查询。</w:t>
            </w:r>
            <w:r>
              <w:rPr>
                <w:rFonts w:hint="eastAsia" w:ascii="仿宋" w:hAnsi="仿宋" w:eastAsia="仿宋"/>
                <w:color w:val="000000"/>
              </w:rPr>
              <w:br w:type="textWrapping"/>
            </w:r>
            <w:r>
              <w:rPr>
                <w:rFonts w:hint="eastAsia" w:ascii="仿宋" w:hAnsi="仿宋" w:eastAsia="仿宋"/>
                <w:color w:val="000000"/>
              </w:rPr>
              <w:t>2. 自动售械机监督检查</w:t>
            </w:r>
            <w:r>
              <w:rPr>
                <w:rFonts w:hint="eastAsia" w:ascii="仿宋" w:hAnsi="仿宋" w:eastAsia="仿宋"/>
                <w:color w:val="000000"/>
              </w:rPr>
              <w:br w:type="textWrapping"/>
            </w:r>
            <w:r>
              <w:rPr>
                <w:rFonts w:hint="eastAsia" w:ascii="仿宋" w:hAnsi="仿宋" w:eastAsia="仿宋"/>
                <w:color w:val="000000"/>
              </w:rPr>
              <w:t>可以开展对自动售械机的监督检查，可以查看自动售械机的基本信息、对应的医疗器械经营企业的许可证信息和对自动售械机的历史检查记录等信息。</w:t>
            </w:r>
            <w:r>
              <w:rPr>
                <w:rFonts w:hint="eastAsia" w:ascii="仿宋" w:hAnsi="仿宋" w:eastAsia="仿宋"/>
                <w:color w:val="000000"/>
              </w:rPr>
              <w:br w:type="textWrapping"/>
            </w:r>
            <w:r>
              <w:rPr>
                <w:rFonts w:hint="eastAsia" w:ascii="仿宋" w:hAnsi="仿宋" w:eastAsia="仿宋"/>
                <w:color w:val="000000"/>
              </w:rPr>
              <w:t>在录入检查信息时可以选择检查日期、检查人员、检查地址、检查类型、检查结果等信息，并支持附件上传。</w:t>
            </w:r>
            <w:r>
              <w:rPr>
                <w:rFonts w:hint="eastAsia" w:ascii="仿宋" w:hAnsi="仿宋" w:eastAsia="仿宋"/>
                <w:color w:val="000000"/>
              </w:rPr>
              <w:br w:type="textWrapping"/>
            </w:r>
            <w:r>
              <w:rPr>
                <w:rFonts w:hint="eastAsia" w:ascii="仿宋" w:hAnsi="仿宋" w:eastAsia="仿宋"/>
                <w:color w:val="000000"/>
              </w:rPr>
              <w:t>系统内置了符合自动售械机监管要求的SOP检查条款，用户可以选择后填写具体条款的检查结果信息，并针对每个条款上传相应的附件。完成检查信息录入后，系统还可以生成符合规范的检查文书。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药械化行政检查管理系统和移动监管模块（升级）-移动监管模块现场监督检查功能（升级）-数字药仓监管现场监督检查（新建）-</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提供监管人员对数字药仓开展监督检查，可以查看数字药仓的基本信息和对应的药品零售企业信息，并内置了数字药仓的规范SOP检查条款，按照数字药仓的检查要求输入检查内容后可以生成相应的检查文书。</w:t>
            </w:r>
            <w:r>
              <w:rPr>
                <w:rFonts w:hint="eastAsia" w:ascii="仿宋" w:hAnsi="仿宋" w:eastAsia="仿宋"/>
                <w:color w:val="000000"/>
              </w:rPr>
              <w:br w:type="textWrapping"/>
            </w:r>
            <w:r>
              <w:rPr>
                <w:rFonts w:hint="eastAsia" w:ascii="仿宋" w:hAnsi="仿宋" w:eastAsia="仿宋"/>
                <w:color w:val="000000"/>
              </w:rPr>
              <w:t>1. 数字药仓查询</w:t>
            </w:r>
            <w:r>
              <w:rPr>
                <w:rFonts w:hint="eastAsia" w:ascii="仿宋" w:hAnsi="仿宋" w:eastAsia="仿宋"/>
                <w:color w:val="000000"/>
              </w:rPr>
              <w:br w:type="textWrapping"/>
            </w:r>
            <w:r>
              <w:rPr>
                <w:rFonts w:hint="eastAsia" w:ascii="仿宋" w:hAnsi="仿宋" w:eastAsia="仿宋"/>
                <w:color w:val="000000"/>
              </w:rPr>
              <w:t>可以通过连锁企业名称、数字药仓编号、位置、监管部门等信息进行查询。</w:t>
            </w:r>
            <w:r>
              <w:rPr>
                <w:rFonts w:hint="eastAsia" w:ascii="仿宋" w:hAnsi="仿宋" w:eastAsia="仿宋"/>
                <w:color w:val="000000"/>
              </w:rPr>
              <w:br w:type="textWrapping"/>
            </w:r>
            <w:r>
              <w:rPr>
                <w:rFonts w:hint="eastAsia" w:ascii="仿宋" w:hAnsi="仿宋" w:eastAsia="仿宋"/>
                <w:color w:val="000000"/>
              </w:rPr>
              <w:t>2. 数字药仓监督检查</w:t>
            </w:r>
            <w:r>
              <w:rPr>
                <w:rFonts w:hint="eastAsia" w:ascii="仿宋" w:hAnsi="仿宋" w:eastAsia="仿宋"/>
                <w:color w:val="000000"/>
              </w:rPr>
              <w:br w:type="textWrapping"/>
            </w:r>
            <w:r>
              <w:rPr>
                <w:rFonts w:hint="eastAsia" w:ascii="仿宋" w:hAnsi="仿宋" w:eastAsia="仿宋"/>
                <w:color w:val="000000"/>
              </w:rPr>
              <w:t>可以开展对数字药仓的监督检查，可以查看数字药仓的基本信息、对应的药品连锁企业的许可证信息和对数字药仓的历史检查记录等信息。</w:t>
            </w:r>
            <w:r>
              <w:rPr>
                <w:rFonts w:hint="eastAsia" w:ascii="仿宋" w:hAnsi="仿宋" w:eastAsia="仿宋"/>
                <w:color w:val="000000"/>
              </w:rPr>
              <w:br w:type="textWrapping"/>
            </w:r>
            <w:r>
              <w:rPr>
                <w:rFonts w:hint="eastAsia" w:ascii="仿宋" w:hAnsi="仿宋" w:eastAsia="仿宋"/>
                <w:color w:val="000000"/>
              </w:rPr>
              <w:t>在录入检查信息时可以选择检查日期、检查人员、检查地址、检查类型、检查结果等信息，并支持附件上传。</w:t>
            </w:r>
            <w:r>
              <w:rPr>
                <w:rFonts w:hint="eastAsia" w:ascii="仿宋" w:hAnsi="仿宋" w:eastAsia="仿宋"/>
                <w:color w:val="000000"/>
              </w:rPr>
              <w:br w:type="textWrapping"/>
            </w:r>
            <w:r>
              <w:rPr>
                <w:rFonts w:hint="eastAsia" w:ascii="仿宋" w:hAnsi="仿宋" w:eastAsia="仿宋"/>
                <w:color w:val="000000"/>
              </w:rPr>
              <w:t>系统内置了符合数字药仓监管要求的SOP检查条款，用户可以选择后填写具体条款的检查结果信息，并针对每个条款上传相应的附件。</w:t>
            </w:r>
            <w:r>
              <w:rPr>
                <w:rFonts w:hint="eastAsia" w:ascii="仿宋" w:hAnsi="仿宋" w:eastAsia="仿宋"/>
                <w:color w:val="000000"/>
              </w:rPr>
              <w:br w:type="textWrapping"/>
            </w:r>
            <w:r>
              <w:rPr>
                <w:rFonts w:hint="eastAsia" w:ascii="仿宋" w:hAnsi="仿宋" w:eastAsia="仿宋"/>
                <w:color w:val="000000"/>
              </w:rPr>
              <w:t>完成检查信息录入后，系统还可以生成符合规范的检查文书。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药械化行政检查管理系统和移动监管模块（升级）-移动监管模块现场监督检查功能（升级）-境外药品上市许可持有人境内责任人监管现场监督检查（新建）-</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提供监管人员对境内责任人企业开展监督检查，可以查看境内责任人的基本信息和对应的境外上市许可持有的信息，并内置了境内责任人的规范SOP检查条款，按照境内责任人的检查要求输入检查内容后可以生成相应的检查文书。</w:t>
            </w:r>
            <w:r>
              <w:rPr>
                <w:rFonts w:hint="eastAsia" w:ascii="仿宋" w:hAnsi="仿宋" w:eastAsia="仿宋"/>
                <w:color w:val="000000"/>
              </w:rPr>
              <w:br w:type="textWrapping"/>
            </w:r>
            <w:r>
              <w:rPr>
                <w:rFonts w:hint="eastAsia" w:ascii="仿宋" w:hAnsi="仿宋" w:eastAsia="仿宋"/>
                <w:color w:val="000000"/>
              </w:rPr>
              <w:t>1. 境内责任人企业查询</w:t>
            </w:r>
            <w:r>
              <w:rPr>
                <w:rFonts w:hint="eastAsia" w:ascii="仿宋" w:hAnsi="仿宋" w:eastAsia="仿宋"/>
                <w:color w:val="000000"/>
              </w:rPr>
              <w:br w:type="textWrapping"/>
            </w:r>
            <w:r>
              <w:rPr>
                <w:rFonts w:hint="eastAsia" w:ascii="仿宋" w:hAnsi="仿宋" w:eastAsia="仿宋"/>
                <w:color w:val="000000"/>
              </w:rPr>
              <w:t>可以通过企业名称、企业地址、监管部门等信息进行查询。</w:t>
            </w:r>
            <w:r>
              <w:rPr>
                <w:rFonts w:hint="eastAsia" w:ascii="仿宋" w:hAnsi="仿宋" w:eastAsia="仿宋"/>
                <w:color w:val="000000"/>
              </w:rPr>
              <w:br w:type="textWrapping"/>
            </w:r>
            <w:r>
              <w:rPr>
                <w:rFonts w:hint="eastAsia" w:ascii="仿宋" w:hAnsi="仿宋" w:eastAsia="仿宋"/>
                <w:color w:val="000000"/>
              </w:rPr>
              <w:t>2. 境内责任人企业监督检查</w:t>
            </w:r>
            <w:r>
              <w:rPr>
                <w:rFonts w:hint="eastAsia" w:ascii="仿宋" w:hAnsi="仿宋" w:eastAsia="仿宋"/>
                <w:color w:val="000000"/>
              </w:rPr>
              <w:br w:type="textWrapping"/>
            </w:r>
            <w:r>
              <w:rPr>
                <w:rFonts w:hint="eastAsia" w:ascii="仿宋" w:hAnsi="仿宋" w:eastAsia="仿宋"/>
                <w:color w:val="000000"/>
              </w:rPr>
              <w:t>可以开展对境内责任人企业的监督检查，可以查看境内责任人企业的基本信息、关联的药品信息和历史检查记录等信息。</w:t>
            </w:r>
            <w:r>
              <w:rPr>
                <w:rFonts w:hint="eastAsia" w:ascii="仿宋" w:hAnsi="仿宋" w:eastAsia="仿宋"/>
                <w:color w:val="000000"/>
              </w:rPr>
              <w:br w:type="textWrapping"/>
            </w:r>
            <w:r>
              <w:rPr>
                <w:rFonts w:hint="eastAsia" w:ascii="仿宋" w:hAnsi="仿宋" w:eastAsia="仿宋"/>
                <w:color w:val="000000"/>
              </w:rPr>
              <w:t>在录入检查信息时可以选择检查日期、检查人员、检查地址、检查类型、检查结果等信息，并支持附件上传。</w:t>
            </w:r>
            <w:r>
              <w:rPr>
                <w:rFonts w:hint="eastAsia" w:ascii="仿宋" w:hAnsi="仿宋" w:eastAsia="仿宋"/>
                <w:color w:val="000000"/>
              </w:rPr>
              <w:br w:type="textWrapping"/>
            </w:r>
            <w:r>
              <w:rPr>
                <w:rFonts w:hint="eastAsia" w:ascii="仿宋" w:hAnsi="仿宋" w:eastAsia="仿宋"/>
                <w:color w:val="000000"/>
              </w:rPr>
              <w:t>系统内置内置了符合境内责任人企业监管要求的SOP检查条款，用户可以选择后填写具体条款的检查结果信息，并针对每个条款上传相应的附件。</w:t>
            </w:r>
            <w:r>
              <w:rPr>
                <w:rFonts w:hint="eastAsia" w:ascii="仿宋" w:hAnsi="仿宋" w:eastAsia="仿宋"/>
                <w:color w:val="000000"/>
              </w:rPr>
              <w:br w:type="textWrapping"/>
            </w:r>
            <w:r>
              <w:rPr>
                <w:rFonts w:hint="eastAsia" w:ascii="仿宋" w:hAnsi="仿宋" w:eastAsia="仿宋"/>
                <w:color w:val="000000"/>
              </w:rPr>
              <w:t>完成检查信息录入后，系统还可以生成符合规范的检查文书。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药械化行政检查管理系统和移动监管模块（升级）-移动监管模块现场监督检查功能（升级）-器械临床试验机构监管现场监督检查（新建）-</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实现监管人员对器械临床试验机构开展现场监督检查，可以查看器械临床试验机构的基本信息和主要研究者信息，并内置了器械临床试验机构监管的规范SOP检查条款，按照器械临床试验机构的检查要求输入检查内容后可以生成相应的检查文书。</w:t>
            </w:r>
            <w:r>
              <w:rPr>
                <w:rFonts w:hint="eastAsia" w:ascii="仿宋" w:hAnsi="仿宋" w:eastAsia="仿宋"/>
                <w:color w:val="000000"/>
              </w:rPr>
              <w:br w:type="textWrapping"/>
            </w:r>
            <w:r>
              <w:rPr>
                <w:rFonts w:hint="eastAsia" w:ascii="仿宋" w:hAnsi="仿宋" w:eastAsia="仿宋"/>
                <w:color w:val="000000"/>
              </w:rPr>
              <w:t>1. 器械临床试验机构查询</w:t>
            </w:r>
            <w:r>
              <w:rPr>
                <w:rFonts w:hint="eastAsia" w:ascii="仿宋" w:hAnsi="仿宋" w:eastAsia="仿宋"/>
                <w:color w:val="000000"/>
              </w:rPr>
              <w:br w:type="textWrapping"/>
            </w:r>
            <w:r>
              <w:rPr>
                <w:rFonts w:hint="eastAsia" w:ascii="仿宋" w:hAnsi="仿宋" w:eastAsia="仿宋"/>
                <w:color w:val="000000"/>
              </w:rPr>
              <w:t>可以通过机构名称、机构地址、监管部门等信息进行查询。</w:t>
            </w:r>
            <w:r>
              <w:rPr>
                <w:rFonts w:hint="eastAsia" w:ascii="仿宋" w:hAnsi="仿宋" w:eastAsia="仿宋"/>
                <w:color w:val="000000"/>
              </w:rPr>
              <w:br w:type="textWrapping"/>
            </w:r>
            <w:r>
              <w:rPr>
                <w:rFonts w:hint="eastAsia" w:ascii="仿宋" w:hAnsi="仿宋" w:eastAsia="仿宋"/>
                <w:color w:val="000000"/>
              </w:rPr>
              <w:t>2. 器械临床试验机构监督检查</w:t>
            </w:r>
            <w:r>
              <w:rPr>
                <w:rFonts w:hint="eastAsia" w:ascii="仿宋" w:hAnsi="仿宋" w:eastAsia="仿宋"/>
                <w:color w:val="000000"/>
              </w:rPr>
              <w:br w:type="textWrapping"/>
            </w:r>
            <w:r>
              <w:rPr>
                <w:rFonts w:hint="eastAsia" w:ascii="仿宋" w:hAnsi="仿宋" w:eastAsia="仿宋"/>
                <w:color w:val="000000"/>
              </w:rPr>
              <w:t>可以开展对器械临床试验机构的监督检查，可以查看境器械临床试验机构的基本信息、备案专业和主要研究者信息和历史检查记录等信息。</w:t>
            </w:r>
            <w:r>
              <w:rPr>
                <w:rFonts w:hint="eastAsia" w:ascii="仿宋" w:hAnsi="仿宋" w:eastAsia="仿宋"/>
                <w:color w:val="000000"/>
              </w:rPr>
              <w:br w:type="textWrapping"/>
            </w:r>
            <w:r>
              <w:rPr>
                <w:rFonts w:hint="eastAsia" w:ascii="仿宋" w:hAnsi="仿宋" w:eastAsia="仿宋"/>
                <w:color w:val="000000"/>
              </w:rPr>
              <w:t>在录入检查信息时可以选择检查日期、检查人员、检查地址、检查类型、检查结果等信息，并支持附件上传。</w:t>
            </w:r>
            <w:r>
              <w:rPr>
                <w:rFonts w:hint="eastAsia" w:ascii="仿宋" w:hAnsi="仿宋" w:eastAsia="仿宋"/>
                <w:color w:val="000000"/>
              </w:rPr>
              <w:br w:type="textWrapping"/>
            </w:r>
            <w:r>
              <w:rPr>
                <w:rFonts w:hint="eastAsia" w:ascii="仿宋" w:hAnsi="仿宋" w:eastAsia="仿宋"/>
                <w:color w:val="000000"/>
              </w:rPr>
              <w:t>系统内置了符合器械临床试验机构企业监管要求的SOP检查条款，用户可以选择后填写具体条款的检查结果信息，并针对每个条款上传相应的附件。</w:t>
            </w:r>
            <w:r>
              <w:rPr>
                <w:rFonts w:hint="eastAsia" w:ascii="仿宋" w:hAnsi="仿宋" w:eastAsia="仿宋"/>
                <w:color w:val="000000"/>
              </w:rPr>
              <w:br w:type="textWrapping"/>
            </w:r>
            <w:r>
              <w:rPr>
                <w:rFonts w:hint="eastAsia" w:ascii="仿宋" w:hAnsi="仿宋" w:eastAsia="仿宋"/>
                <w:color w:val="000000"/>
              </w:rPr>
              <w:t>完成检查信息录入后，系统还可以生成符合规范的检查文书。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药械化行政检查管理系统和移动监管模块（升级）-移动监管模块现场监督检查功能（升级）-外省市器械经营企业跨省库监管现场监督检查（新建）-</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提供监管人员对在上海跨省设库企业开展现场监督检查，可以查看跨省设库企业的外省市许可证和备案证信息和上海仓库信息，并内置了跨省设库企业的规范SOP检查条款，按照跨省设库企业的检查要求输入检查内容后可以生成相应的检查文书。</w:t>
            </w:r>
            <w:r>
              <w:rPr>
                <w:rFonts w:hint="eastAsia" w:ascii="仿宋" w:hAnsi="仿宋" w:eastAsia="仿宋"/>
                <w:color w:val="000000"/>
              </w:rPr>
              <w:br w:type="textWrapping"/>
            </w:r>
            <w:r>
              <w:rPr>
                <w:rFonts w:hint="eastAsia" w:ascii="仿宋" w:hAnsi="仿宋" w:eastAsia="仿宋"/>
                <w:color w:val="000000"/>
              </w:rPr>
              <w:t>1. 跨省设库企业查询</w:t>
            </w:r>
            <w:r>
              <w:rPr>
                <w:rFonts w:hint="eastAsia" w:ascii="仿宋" w:hAnsi="仿宋" w:eastAsia="仿宋"/>
                <w:color w:val="000000"/>
              </w:rPr>
              <w:br w:type="textWrapping"/>
            </w:r>
            <w:r>
              <w:rPr>
                <w:rFonts w:hint="eastAsia" w:ascii="仿宋" w:hAnsi="仿宋" w:eastAsia="仿宋"/>
                <w:color w:val="000000"/>
              </w:rPr>
              <w:t>可以通过业名称、仓库地址、仓库所在区和辖区等信息进行查询。</w:t>
            </w:r>
            <w:r>
              <w:rPr>
                <w:rFonts w:hint="eastAsia" w:ascii="仿宋" w:hAnsi="仿宋" w:eastAsia="仿宋"/>
                <w:color w:val="000000"/>
              </w:rPr>
              <w:br w:type="textWrapping"/>
            </w:r>
            <w:r>
              <w:rPr>
                <w:rFonts w:hint="eastAsia" w:ascii="仿宋" w:hAnsi="仿宋" w:eastAsia="仿宋"/>
                <w:color w:val="000000"/>
              </w:rPr>
              <w:t>2. 跨省设库企业监督检查</w:t>
            </w:r>
            <w:r>
              <w:rPr>
                <w:rFonts w:hint="eastAsia" w:ascii="仿宋" w:hAnsi="仿宋" w:eastAsia="仿宋"/>
                <w:color w:val="000000"/>
              </w:rPr>
              <w:br w:type="textWrapping"/>
            </w:r>
            <w:r>
              <w:rPr>
                <w:rFonts w:hint="eastAsia" w:ascii="仿宋" w:hAnsi="仿宋" w:eastAsia="仿宋"/>
                <w:color w:val="000000"/>
              </w:rPr>
              <w:t>可以开展对跨省设库企业的监督检查，可以跨省设库企业的参考信息、对应的外省市的医疗器械经营可证信息和历史检查记录等信息。</w:t>
            </w:r>
            <w:r>
              <w:rPr>
                <w:rFonts w:hint="eastAsia" w:ascii="仿宋" w:hAnsi="仿宋" w:eastAsia="仿宋"/>
                <w:color w:val="000000"/>
              </w:rPr>
              <w:br w:type="textWrapping"/>
            </w:r>
            <w:r>
              <w:rPr>
                <w:rFonts w:hint="eastAsia" w:ascii="仿宋" w:hAnsi="仿宋" w:eastAsia="仿宋"/>
                <w:color w:val="000000"/>
              </w:rPr>
              <w:t>在录入检查信息时可以选择检查日期、检查人员、检查地址、检查类型、检查结果等信息，并支持附件上传。</w:t>
            </w:r>
            <w:r>
              <w:rPr>
                <w:rFonts w:hint="eastAsia" w:ascii="仿宋" w:hAnsi="仿宋" w:eastAsia="仿宋"/>
                <w:color w:val="000000"/>
              </w:rPr>
              <w:br w:type="textWrapping"/>
            </w:r>
            <w:r>
              <w:rPr>
                <w:rFonts w:hint="eastAsia" w:ascii="仿宋" w:hAnsi="仿宋" w:eastAsia="仿宋"/>
                <w:color w:val="000000"/>
              </w:rPr>
              <w:t>系统内置了符合跨省设库企业监管要求的SOP检查条款，用户可以选择后填写具体条款的检查结果信息，并针对每个条款上传相应的附件。</w:t>
            </w:r>
            <w:r>
              <w:rPr>
                <w:rFonts w:hint="eastAsia" w:ascii="仿宋" w:hAnsi="仿宋" w:eastAsia="仿宋"/>
                <w:color w:val="000000"/>
              </w:rPr>
              <w:br w:type="textWrapping"/>
            </w:r>
            <w:r>
              <w:rPr>
                <w:rFonts w:hint="eastAsia" w:ascii="仿宋" w:hAnsi="仿宋" w:eastAsia="仿宋"/>
                <w:color w:val="000000"/>
              </w:rPr>
              <w:t>完成检查信息录入后，系统还可以生成符合规范的检查文书。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药械化行政检查管理系统和移动监管模块（升级）-行政检查监管数据上报和对接（升级）-融资租赁医疗器械企业产品购销关系对接（新建）-</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6.1.3.3.2.1接收产品购销关系数据接口</w:t>
            </w:r>
            <w:r>
              <w:rPr>
                <w:rFonts w:hint="eastAsia" w:ascii="仿宋" w:hAnsi="仿宋" w:eastAsia="仿宋"/>
                <w:color w:val="000000"/>
              </w:rPr>
              <w:br w:type="textWrapping"/>
            </w:r>
            <w:r>
              <w:rPr>
                <w:rFonts w:hint="eastAsia" w:ascii="仿宋" w:hAnsi="仿宋" w:eastAsia="仿宋"/>
                <w:color w:val="000000"/>
              </w:rPr>
              <w:t>提供标准的数据接口，实现“上海市融资租赁(医疗器械)管理平台”能够定期推送企业的产品购销关系数据。</w:t>
            </w:r>
            <w:r>
              <w:rPr>
                <w:rFonts w:hint="eastAsia" w:ascii="仿宋" w:hAnsi="仿宋" w:eastAsia="仿宋"/>
                <w:color w:val="000000"/>
              </w:rPr>
              <w:br w:type="textWrapping"/>
            </w:r>
            <w:r>
              <w:rPr>
                <w:rFonts w:hint="eastAsia" w:ascii="仿宋" w:hAnsi="仿宋" w:eastAsia="仿宋"/>
                <w:color w:val="000000"/>
              </w:rPr>
              <w:t>1. 购销关系数据保存接口</w:t>
            </w:r>
            <w:r>
              <w:rPr>
                <w:rFonts w:hint="eastAsia" w:ascii="仿宋" w:hAnsi="仿宋" w:eastAsia="仿宋"/>
                <w:color w:val="000000"/>
              </w:rPr>
              <w:br w:type="textWrapping"/>
            </w:r>
            <w:r>
              <w:rPr>
                <w:rFonts w:hint="eastAsia" w:ascii="仿宋" w:hAnsi="仿宋" w:eastAsia="仿宋"/>
                <w:color w:val="000000"/>
              </w:rPr>
              <w:t>可以实时进行购销关系的新增保存，需要推送产品名称、注册证号、企业名称、业务类型（采购、销售）、供货者/购货者企业名称、供货者/购货者统一社会信用代码、供货者/购货者许可证号、业务开始日期等。</w:t>
            </w:r>
            <w:r>
              <w:rPr>
                <w:rFonts w:hint="eastAsia" w:ascii="仿宋" w:hAnsi="仿宋" w:eastAsia="仿宋"/>
                <w:color w:val="000000"/>
              </w:rPr>
              <w:br w:type="textWrapping"/>
            </w:r>
            <w:r>
              <w:rPr>
                <w:rFonts w:hint="eastAsia" w:ascii="仿宋" w:hAnsi="仿宋" w:eastAsia="仿宋"/>
                <w:color w:val="000000"/>
              </w:rPr>
              <w:t>2. 购销关系数据删除接口</w:t>
            </w:r>
            <w:r>
              <w:rPr>
                <w:rFonts w:hint="eastAsia" w:ascii="仿宋" w:hAnsi="仿宋" w:eastAsia="仿宋"/>
                <w:color w:val="000000"/>
              </w:rPr>
              <w:br w:type="textWrapping"/>
            </w:r>
            <w:r>
              <w:rPr>
                <w:rFonts w:hint="eastAsia" w:ascii="仿宋" w:hAnsi="仿宋" w:eastAsia="仿宋"/>
                <w:color w:val="000000"/>
              </w:rPr>
              <w:t>可以实时进行购销关系的删除，需要推送注册证号、企业名称、业务类型（采购、销售）、供货者/购货者统一社会信用代码。</w:t>
            </w:r>
            <w:r>
              <w:rPr>
                <w:rFonts w:hint="eastAsia" w:ascii="仿宋" w:hAnsi="仿宋" w:eastAsia="仿宋"/>
                <w:color w:val="000000"/>
              </w:rPr>
              <w:br w:type="textWrapping"/>
            </w:r>
            <w:r>
              <w:rPr>
                <w:rFonts w:hint="eastAsia" w:ascii="仿宋" w:hAnsi="仿宋" w:eastAsia="仿宋"/>
                <w:color w:val="000000"/>
              </w:rPr>
              <w:t>6.1.3.3.2.2产品购销关系数据管理</w:t>
            </w:r>
            <w:r>
              <w:rPr>
                <w:rFonts w:hint="eastAsia" w:ascii="仿宋" w:hAnsi="仿宋" w:eastAsia="仿宋"/>
                <w:color w:val="000000"/>
              </w:rPr>
              <w:br w:type="textWrapping"/>
            </w:r>
            <w:r>
              <w:rPr>
                <w:rFonts w:hint="eastAsia" w:ascii="仿宋" w:hAnsi="仿宋" w:eastAsia="仿宋"/>
                <w:color w:val="000000"/>
              </w:rPr>
              <w:t>提供监管人员对接收到的产品购销关系进行统一管理，可以进行查询和导出。</w:t>
            </w:r>
            <w:r>
              <w:rPr>
                <w:rFonts w:hint="eastAsia" w:ascii="仿宋" w:hAnsi="仿宋" w:eastAsia="仿宋"/>
                <w:color w:val="000000"/>
              </w:rPr>
              <w:br w:type="textWrapping"/>
            </w:r>
            <w:r>
              <w:rPr>
                <w:rFonts w:hint="eastAsia" w:ascii="仿宋" w:hAnsi="仿宋" w:eastAsia="仿宋"/>
                <w:color w:val="000000"/>
              </w:rPr>
              <w:t xml:space="preserve">1. 购销关系数据查询 </w:t>
            </w:r>
            <w:r>
              <w:rPr>
                <w:rFonts w:hint="eastAsia" w:ascii="仿宋" w:hAnsi="仿宋" w:eastAsia="仿宋"/>
                <w:color w:val="000000"/>
              </w:rPr>
              <w:br w:type="textWrapping"/>
            </w:r>
            <w:r>
              <w:rPr>
                <w:rFonts w:hint="eastAsia" w:ascii="仿宋" w:hAnsi="仿宋" w:eastAsia="仿宋"/>
                <w:color w:val="000000"/>
              </w:rPr>
              <w:t>可以通过企业名称、产品名称、产品注册证号、供货者/购货者企业名称等字段进行查询。</w:t>
            </w:r>
            <w:r>
              <w:rPr>
                <w:rFonts w:hint="eastAsia" w:ascii="仿宋" w:hAnsi="仿宋" w:eastAsia="仿宋"/>
                <w:color w:val="000000"/>
              </w:rPr>
              <w:br w:type="textWrapping"/>
            </w:r>
            <w:r>
              <w:rPr>
                <w:rFonts w:hint="eastAsia" w:ascii="仿宋" w:hAnsi="仿宋" w:eastAsia="仿宋"/>
                <w:color w:val="000000"/>
              </w:rPr>
              <w:t>2. 购销关系数据导出</w:t>
            </w:r>
            <w:r>
              <w:rPr>
                <w:rFonts w:hint="eastAsia" w:ascii="仿宋" w:hAnsi="仿宋" w:eastAsia="仿宋"/>
                <w:color w:val="000000"/>
              </w:rPr>
              <w:br w:type="textWrapping"/>
            </w:r>
            <w:r>
              <w:rPr>
                <w:rFonts w:hint="eastAsia" w:ascii="仿宋" w:hAnsi="仿宋" w:eastAsia="仿宋"/>
                <w:color w:val="000000"/>
              </w:rPr>
              <w:t xml:space="preserve"> 可以将查询出的购销关系数据导出为EXCEL。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药械化行政检查管理系统和移动监管模块（升级）-行政检查监管数据上报和对接（升级）-融资租赁医疗器械企业年度自查报告对接（新建）-</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6.1.3.3.3.1接收企业年报数据接口</w:t>
            </w:r>
            <w:r>
              <w:rPr>
                <w:rFonts w:hint="eastAsia" w:ascii="仿宋" w:hAnsi="仿宋" w:eastAsia="仿宋"/>
                <w:color w:val="000000"/>
              </w:rPr>
              <w:br w:type="textWrapping"/>
            </w:r>
            <w:r>
              <w:rPr>
                <w:rFonts w:hint="eastAsia" w:ascii="仿宋" w:hAnsi="仿宋" w:eastAsia="仿宋"/>
                <w:color w:val="000000"/>
              </w:rPr>
              <w:t>提供标准的数据接口，实现“上海市融资租赁(医疗器械)管理平台”能够定期推送企业的年报数据。</w:t>
            </w:r>
            <w:r>
              <w:rPr>
                <w:rFonts w:hint="eastAsia" w:ascii="仿宋" w:hAnsi="仿宋" w:eastAsia="仿宋"/>
                <w:color w:val="000000"/>
              </w:rPr>
              <w:br w:type="textWrapping"/>
            </w:r>
            <w:r>
              <w:rPr>
                <w:rFonts w:hint="eastAsia" w:ascii="仿宋" w:hAnsi="仿宋" w:eastAsia="仿宋"/>
                <w:color w:val="000000"/>
              </w:rPr>
              <w:t>1. 企业年报数据保存接口</w:t>
            </w:r>
            <w:r>
              <w:rPr>
                <w:rFonts w:hint="eastAsia" w:ascii="仿宋" w:hAnsi="仿宋" w:eastAsia="仿宋"/>
                <w:color w:val="000000"/>
              </w:rPr>
              <w:br w:type="textWrapping"/>
            </w:r>
            <w:r>
              <w:rPr>
                <w:rFonts w:hint="eastAsia" w:ascii="仿宋" w:hAnsi="仿宋" w:eastAsia="仿宋"/>
                <w:color w:val="000000"/>
              </w:rPr>
              <w:t>可以实时进行企业年报数据的新增保存，需要推送经营信息、人员信息、网络销售、产品信息、质量自查、不良事件和召回等。</w:t>
            </w:r>
            <w:r>
              <w:rPr>
                <w:rFonts w:hint="eastAsia" w:ascii="仿宋" w:hAnsi="仿宋" w:eastAsia="仿宋"/>
                <w:color w:val="000000"/>
              </w:rPr>
              <w:br w:type="textWrapping"/>
            </w:r>
            <w:r>
              <w:rPr>
                <w:rFonts w:hint="eastAsia" w:ascii="仿宋" w:hAnsi="仿宋" w:eastAsia="仿宋"/>
                <w:color w:val="000000"/>
              </w:rPr>
              <w:t>6.1.3.3.3.2企业年报数据管理</w:t>
            </w:r>
            <w:r>
              <w:rPr>
                <w:rFonts w:hint="eastAsia" w:ascii="仿宋" w:hAnsi="仿宋" w:eastAsia="仿宋"/>
                <w:color w:val="000000"/>
              </w:rPr>
              <w:br w:type="textWrapping"/>
            </w:r>
            <w:r>
              <w:rPr>
                <w:rFonts w:hint="eastAsia" w:ascii="仿宋" w:hAnsi="仿宋" w:eastAsia="仿宋"/>
                <w:color w:val="000000"/>
              </w:rPr>
              <w:t>提供监管人员对接收到的企业年报进行统一管理，可以进行查询、导出等操作。</w:t>
            </w:r>
            <w:r>
              <w:rPr>
                <w:rFonts w:hint="eastAsia" w:ascii="仿宋" w:hAnsi="仿宋" w:eastAsia="仿宋"/>
                <w:color w:val="000000"/>
              </w:rPr>
              <w:br w:type="textWrapping"/>
            </w:r>
            <w:r>
              <w:rPr>
                <w:rFonts w:hint="eastAsia" w:ascii="仿宋" w:hAnsi="仿宋" w:eastAsia="仿宋"/>
                <w:color w:val="000000"/>
              </w:rPr>
              <w:t xml:space="preserve">1. 企业年报查询 </w:t>
            </w:r>
            <w:r>
              <w:rPr>
                <w:rFonts w:hint="eastAsia" w:ascii="仿宋" w:hAnsi="仿宋" w:eastAsia="仿宋"/>
                <w:color w:val="000000"/>
              </w:rPr>
              <w:br w:type="textWrapping"/>
            </w:r>
            <w:r>
              <w:rPr>
                <w:rFonts w:hint="eastAsia" w:ascii="仿宋" w:hAnsi="仿宋" w:eastAsia="仿宋"/>
                <w:color w:val="000000"/>
              </w:rPr>
              <w:t>可以通过企业名称、上报年份等字段进行企业年报的查询。</w:t>
            </w:r>
            <w:r>
              <w:rPr>
                <w:rFonts w:hint="eastAsia" w:ascii="仿宋" w:hAnsi="仿宋" w:eastAsia="仿宋"/>
                <w:color w:val="000000"/>
              </w:rPr>
              <w:br w:type="textWrapping"/>
            </w:r>
            <w:r>
              <w:rPr>
                <w:rFonts w:hint="eastAsia" w:ascii="仿宋" w:hAnsi="仿宋" w:eastAsia="仿宋"/>
                <w:color w:val="000000"/>
              </w:rPr>
              <w:t>2. 查看企业年报详情</w:t>
            </w:r>
            <w:r>
              <w:rPr>
                <w:rFonts w:hint="eastAsia" w:ascii="仿宋" w:hAnsi="仿宋" w:eastAsia="仿宋"/>
                <w:color w:val="000000"/>
              </w:rPr>
              <w:br w:type="textWrapping"/>
            </w:r>
            <w:r>
              <w:rPr>
                <w:rFonts w:hint="eastAsia" w:ascii="仿宋" w:hAnsi="仿宋" w:eastAsia="仿宋"/>
                <w:color w:val="000000"/>
              </w:rPr>
              <w:t>可以查看企业上报的年报的详细信息，包括经营信息、人员信息、网络销售、产品信息、质量自查、不良事件和召回。</w:t>
            </w:r>
            <w:r>
              <w:rPr>
                <w:rFonts w:hint="eastAsia" w:ascii="仿宋" w:hAnsi="仿宋" w:eastAsia="仿宋"/>
                <w:color w:val="000000"/>
              </w:rPr>
              <w:br w:type="textWrapping"/>
            </w:r>
            <w:r>
              <w:rPr>
                <w:rFonts w:hint="eastAsia" w:ascii="仿宋" w:hAnsi="仿宋" w:eastAsia="仿宋"/>
                <w:color w:val="000000"/>
              </w:rPr>
              <w:t>3. 企业年报导出</w:t>
            </w:r>
            <w:r>
              <w:rPr>
                <w:rFonts w:hint="eastAsia" w:ascii="仿宋" w:hAnsi="仿宋" w:eastAsia="仿宋"/>
                <w:color w:val="000000"/>
              </w:rPr>
              <w:br w:type="textWrapping"/>
            </w:r>
            <w:r>
              <w:rPr>
                <w:rFonts w:hint="eastAsia" w:ascii="仿宋" w:hAnsi="仿宋" w:eastAsia="仿宋"/>
                <w:color w:val="000000"/>
              </w:rPr>
              <w:t xml:space="preserve"> 可以将查询出的企业年报数据导出为EXCEL。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药械化行政检查管理系统和移动监管模块（升级）-行政检查监管数据上报和对接（升级）-医疗器械注册人（备案人）、经营企业和电子商务平台的网络销售体系自查（升级）-</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对现有的医疗器械注册人（备案人）、经营企业和电子商务平台的年度自查报告进行升级改造，增加医疗器械网络销售相关质量管理体系的运行情况的上报，并同步升级自查报告的查询和审核功能。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药械化行政检查管理系统和移动监管模块（升级）-接入检查码--</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6.1.3.4.1 药械化行政检查系统接入检查码（新建）</w:t>
            </w:r>
            <w:r>
              <w:rPr>
                <w:rFonts w:hint="eastAsia" w:ascii="仿宋" w:hAnsi="仿宋" w:eastAsia="仿宋"/>
                <w:color w:val="000000"/>
              </w:rPr>
              <w:br w:type="textWrapping"/>
            </w:r>
            <w:r>
              <w:rPr>
                <w:rFonts w:hint="eastAsia" w:ascii="仿宋" w:hAnsi="仿宋" w:eastAsia="仿宋"/>
                <w:color w:val="000000"/>
              </w:rPr>
              <w:t>通过嵌入药械化现场监管检查码管理系统提供的检查码申码和亮码页面实现检查码相关功能的接入，在完成检查信息录入后可以将检查结果推送至械化现场监管检查码管理系统中。</w:t>
            </w:r>
            <w:r>
              <w:rPr>
                <w:rFonts w:hint="eastAsia" w:ascii="仿宋" w:hAnsi="仿宋" w:eastAsia="仿宋"/>
                <w:color w:val="000000"/>
              </w:rPr>
              <w:br w:type="textWrapping"/>
            </w:r>
            <w:r>
              <w:rPr>
                <w:rFonts w:hint="eastAsia" w:ascii="仿宋" w:hAnsi="仿宋" w:eastAsia="仿宋"/>
                <w:color w:val="000000"/>
              </w:rPr>
              <w:t xml:space="preserve">1. 嵌入单部门申码页面 </w:t>
            </w:r>
            <w:r>
              <w:rPr>
                <w:rFonts w:hint="eastAsia" w:ascii="仿宋" w:hAnsi="仿宋" w:eastAsia="仿宋"/>
                <w:color w:val="000000"/>
              </w:rPr>
              <w:br w:type="textWrapping"/>
            </w:r>
            <w:r>
              <w:rPr>
                <w:rFonts w:hint="eastAsia" w:ascii="仿宋" w:hAnsi="仿宋" w:eastAsia="仿宋"/>
                <w:color w:val="000000"/>
              </w:rPr>
              <w:t>通过嵌入检查码管理系统的单部门申码页面实现在检查前进行检查码申请，申请成功后可以获取检查码的结果信息。</w:t>
            </w:r>
            <w:r>
              <w:rPr>
                <w:rFonts w:hint="eastAsia" w:ascii="仿宋" w:hAnsi="仿宋" w:eastAsia="仿宋"/>
                <w:color w:val="000000"/>
              </w:rPr>
              <w:br w:type="textWrapping"/>
            </w:r>
            <w:r>
              <w:rPr>
                <w:rFonts w:hint="eastAsia" w:ascii="仿宋" w:hAnsi="仿宋" w:eastAsia="仿宋"/>
                <w:color w:val="000000"/>
              </w:rPr>
              <w:t>2. 嵌入单部门检查码亮码页面</w:t>
            </w:r>
            <w:r>
              <w:rPr>
                <w:rFonts w:hint="eastAsia" w:ascii="仿宋" w:hAnsi="仿宋" w:eastAsia="仿宋"/>
                <w:color w:val="000000"/>
              </w:rPr>
              <w:br w:type="textWrapping"/>
            </w:r>
            <w:r>
              <w:rPr>
                <w:rFonts w:hint="eastAsia" w:ascii="仿宋" w:hAnsi="仿宋" w:eastAsia="仿宋"/>
                <w:color w:val="000000"/>
              </w:rPr>
              <w:t>通过嵌入检查码管理系统的单部门亮码页面实现在检查时进行检查码的激活和亮码。</w:t>
            </w:r>
            <w:r>
              <w:rPr>
                <w:rFonts w:hint="eastAsia" w:ascii="仿宋" w:hAnsi="仿宋" w:eastAsia="仿宋"/>
                <w:color w:val="000000"/>
              </w:rPr>
              <w:br w:type="textWrapping"/>
            </w:r>
            <w:r>
              <w:rPr>
                <w:rFonts w:hint="eastAsia" w:ascii="仿宋" w:hAnsi="仿宋" w:eastAsia="仿宋"/>
                <w:color w:val="000000"/>
              </w:rPr>
              <w:t>3. 嵌</w:t>
            </w:r>
            <w:r>
              <w:rPr>
                <w:rFonts w:hint="default" w:ascii="仿宋" w:hAnsi="仿宋" w:eastAsia="仿宋"/>
                <w:color w:val="000000"/>
                <w:lang w:val="en-US"/>
              </w:rPr>
              <w:t>入（ru）联</w:t>
            </w:r>
            <w:r>
              <w:rPr>
                <w:rFonts w:hint="eastAsia" w:ascii="仿宋" w:hAnsi="仿宋" w:eastAsia="仿宋"/>
                <w:color w:val="000000"/>
              </w:rPr>
              <w:t>合检查码亮码页面</w:t>
            </w:r>
            <w:r>
              <w:rPr>
                <w:rFonts w:hint="eastAsia" w:ascii="仿宋" w:hAnsi="仿宋" w:eastAsia="仿宋"/>
                <w:color w:val="000000"/>
              </w:rPr>
              <w:br w:type="textWrapping"/>
            </w:r>
            <w:r>
              <w:rPr>
                <w:rFonts w:hint="eastAsia" w:ascii="仿宋" w:hAnsi="仿宋" w:eastAsia="仿宋"/>
                <w:color w:val="000000"/>
              </w:rPr>
              <w:t>通过嵌入检查码管理系统的联合亮码页面实现在检查时进行检查码的激活和亮码。</w:t>
            </w:r>
            <w:r>
              <w:rPr>
                <w:rFonts w:hint="eastAsia" w:ascii="仿宋" w:hAnsi="仿宋" w:eastAsia="仿宋"/>
                <w:color w:val="000000"/>
              </w:rPr>
              <w:br w:type="textWrapping"/>
            </w:r>
            <w:r>
              <w:rPr>
                <w:rFonts w:hint="eastAsia" w:ascii="仿宋" w:hAnsi="仿宋" w:eastAsia="仿宋"/>
                <w:color w:val="000000"/>
              </w:rPr>
              <w:t>4. 推送检查结果</w:t>
            </w:r>
            <w:r>
              <w:rPr>
                <w:rFonts w:hint="eastAsia" w:ascii="仿宋" w:hAnsi="仿宋" w:eastAsia="仿宋"/>
                <w:color w:val="000000"/>
              </w:rPr>
              <w:br w:type="textWrapping"/>
            </w:r>
            <w:r>
              <w:rPr>
                <w:rFonts w:hint="eastAsia" w:ascii="仿宋" w:hAnsi="仿宋" w:eastAsia="仿宋"/>
                <w:color w:val="000000"/>
              </w:rPr>
              <w:t>通过调用检查码管理系统的接收检查结果接口推送检查结果。</w:t>
            </w:r>
            <w:r>
              <w:rPr>
                <w:rFonts w:hint="eastAsia" w:ascii="仿宋" w:hAnsi="仿宋" w:eastAsia="仿宋"/>
                <w:color w:val="000000"/>
              </w:rPr>
              <w:br w:type="textWrapping"/>
            </w:r>
            <w:r>
              <w:rPr>
                <w:rFonts w:hint="eastAsia" w:ascii="仿宋" w:hAnsi="仿宋" w:eastAsia="仿宋"/>
                <w:color w:val="000000"/>
              </w:rPr>
              <w:t>6.1.3.4.2 药品移动监管模块接入检查码（新建）</w:t>
            </w:r>
            <w:r>
              <w:rPr>
                <w:rFonts w:hint="eastAsia" w:ascii="仿宋" w:hAnsi="仿宋" w:eastAsia="仿宋"/>
                <w:color w:val="000000"/>
              </w:rPr>
              <w:br w:type="textWrapping"/>
            </w:r>
            <w:r>
              <w:rPr>
                <w:rFonts w:hint="eastAsia" w:ascii="仿宋" w:hAnsi="仿宋" w:eastAsia="仿宋"/>
                <w:color w:val="000000"/>
              </w:rPr>
              <w:t>通过嵌入药械化现场监管检查码管理系统提供的检查码申码和亮码页面实现检查码相关功能的接入，在完成检查信息录入后可以将检查结果推送至械化现场监管检查码管理系统中。</w:t>
            </w:r>
            <w:r>
              <w:rPr>
                <w:rFonts w:hint="eastAsia" w:ascii="仿宋" w:hAnsi="仿宋" w:eastAsia="仿宋"/>
                <w:color w:val="000000"/>
              </w:rPr>
              <w:br w:type="textWrapping"/>
            </w:r>
            <w:r>
              <w:rPr>
                <w:rFonts w:hint="eastAsia" w:ascii="仿宋" w:hAnsi="仿宋" w:eastAsia="仿宋"/>
                <w:color w:val="000000"/>
              </w:rPr>
              <w:t xml:space="preserve">1. 嵌入单部门申码页面 </w:t>
            </w:r>
            <w:r>
              <w:rPr>
                <w:rFonts w:hint="eastAsia" w:ascii="仿宋" w:hAnsi="仿宋" w:eastAsia="仿宋"/>
                <w:color w:val="000000"/>
              </w:rPr>
              <w:br w:type="textWrapping"/>
            </w:r>
            <w:r>
              <w:rPr>
                <w:rFonts w:hint="eastAsia" w:ascii="仿宋" w:hAnsi="仿宋" w:eastAsia="仿宋"/>
                <w:color w:val="000000"/>
              </w:rPr>
              <w:t>通过嵌入检查码管理系统的单部门申码页面实现在检查前进行检查码申请，申请成功后可以获取检查码的结果信息。</w:t>
            </w:r>
            <w:r>
              <w:rPr>
                <w:rFonts w:hint="eastAsia" w:ascii="仿宋" w:hAnsi="仿宋" w:eastAsia="仿宋"/>
                <w:color w:val="000000"/>
              </w:rPr>
              <w:br w:type="textWrapping"/>
            </w:r>
            <w:r>
              <w:rPr>
                <w:rFonts w:hint="eastAsia" w:ascii="仿宋" w:hAnsi="仿宋" w:eastAsia="仿宋"/>
                <w:color w:val="000000"/>
              </w:rPr>
              <w:t>2. 嵌入单部门检查码亮码页面</w:t>
            </w:r>
            <w:r>
              <w:rPr>
                <w:rFonts w:hint="eastAsia" w:ascii="仿宋" w:hAnsi="仿宋" w:eastAsia="仿宋"/>
                <w:color w:val="000000"/>
              </w:rPr>
              <w:br w:type="textWrapping"/>
            </w:r>
            <w:r>
              <w:rPr>
                <w:rFonts w:hint="eastAsia" w:ascii="仿宋" w:hAnsi="仿宋" w:eastAsia="仿宋"/>
                <w:color w:val="000000"/>
              </w:rPr>
              <w:t>通过嵌入检查码管理系统的单部门亮码页面实现在检查时进行检查码的激活和亮码。</w:t>
            </w:r>
            <w:r>
              <w:rPr>
                <w:rFonts w:hint="eastAsia" w:ascii="仿宋" w:hAnsi="仿宋" w:eastAsia="仿宋"/>
                <w:color w:val="000000"/>
              </w:rPr>
              <w:br w:type="textWrapping"/>
            </w:r>
            <w:r>
              <w:rPr>
                <w:rFonts w:hint="eastAsia" w:ascii="仿宋" w:hAnsi="仿宋" w:eastAsia="仿宋"/>
                <w:color w:val="000000"/>
              </w:rPr>
              <w:t>3. 嵌</w:t>
            </w:r>
            <w:r>
              <w:rPr>
                <w:rFonts w:hint="default" w:ascii="仿宋" w:hAnsi="仿宋" w:eastAsia="仿宋"/>
                <w:color w:val="000000"/>
                <w:lang w:val="en-US"/>
              </w:rPr>
              <w:t>入（ru）联</w:t>
            </w:r>
            <w:r>
              <w:rPr>
                <w:rFonts w:hint="eastAsia" w:ascii="仿宋" w:hAnsi="仿宋" w:eastAsia="仿宋"/>
                <w:color w:val="000000"/>
              </w:rPr>
              <w:t>合检查码亮码页面</w:t>
            </w:r>
            <w:r>
              <w:rPr>
                <w:rFonts w:hint="eastAsia" w:ascii="仿宋" w:hAnsi="仿宋" w:eastAsia="仿宋"/>
                <w:color w:val="000000"/>
              </w:rPr>
              <w:br w:type="textWrapping"/>
            </w:r>
            <w:r>
              <w:rPr>
                <w:rFonts w:hint="eastAsia" w:ascii="仿宋" w:hAnsi="仿宋" w:eastAsia="仿宋"/>
                <w:color w:val="000000"/>
              </w:rPr>
              <w:t>通过嵌入检查码管理系统的联合亮码页面实现在检查时进行检查码的激活和亮码。</w:t>
            </w:r>
            <w:r>
              <w:rPr>
                <w:rFonts w:hint="eastAsia" w:ascii="仿宋" w:hAnsi="仿宋" w:eastAsia="仿宋"/>
                <w:color w:val="000000"/>
              </w:rPr>
              <w:br w:type="textWrapping"/>
            </w:r>
            <w:r>
              <w:rPr>
                <w:rFonts w:hint="eastAsia" w:ascii="仿宋" w:hAnsi="仿宋" w:eastAsia="仿宋"/>
                <w:color w:val="000000"/>
              </w:rPr>
              <w:t>4. 推送检查结果</w:t>
            </w:r>
            <w:r>
              <w:rPr>
                <w:rFonts w:hint="eastAsia" w:ascii="仿宋" w:hAnsi="仿宋" w:eastAsia="仿宋"/>
                <w:color w:val="000000"/>
              </w:rPr>
              <w:br w:type="textWrapping"/>
            </w:r>
            <w:r>
              <w:rPr>
                <w:rFonts w:hint="eastAsia" w:ascii="仿宋" w:hAnsi="仿宋" w:eastAsia="仿宋"/>
                <w:color w:val="000000"/>
              </w:rPr>
              <w:t>通过调用检查码管理系统的接收检查结果接口推送检查结果。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药械化行政检查管理系统和移动监管模块（升级）-稽查办案助手-涉案主体分析-</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通过稽查办案助手，快速描绘案件主体的基本信息，包括企业名称、法定代表人、注册地址、经营范围等。利用知识图谱技术，整合多源数据，确保信息的准确性和完整性，为办案人员提供全面的主体信息支持。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药械化行政检查管理系统和移动监管模块（升级）-稽查办案助手-主体历史案件分析-</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支持查询案件主体的历史案件记录，包括案件类型、处理结果、处罚措施等。通过数据分析技术，对历史案件进行统计分析，挖掘案件主体的违规行为模式和趋势，为当前案件的办理提供参考依据。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药械化行政检查管理系统和移动监管模块（升级）-稽查办案助手-类案推荐-</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根据案件类型和关键特征，利用机器学习算法对案例知识库进行检索，智能推荐类似案件。办案人员可以对比类似案件的处理结果和证据材料，借鉴经验，提高办案效率和准确性。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药械化行政检查管理系统和移动监管模块（升级）-监管文书智能服务-智能文书生成-</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文书模板选择：系统提供多种预设的文书模板，涵盖常见的监管文书类型，用户可以根据实际需求选择合适的模板，系统自动加载模板的基本框架和格式要求。</w:t>
            </w:r>
            <w:r>
              <w:rPr>
                <w:rFonts w:hint="eastAsia" w:ascii="仿宋" w:hAnsi="仿宋" w:eastAsia="仿宋"/>
                <w:color w:val="000000"/>
              </w:rPr>
              <w:br w:type="textWrapping"/>
            </w:r>
            <w:r>
              <w:rPr>
                <w:rFonts w:hint="eastAsia" w:ascii="仿宋" w:hAnsi="仿宋" w:eastAsia="仿宋"/>
                <w:color w:val="000000"/>
              </w:rPr>
              <w:t>文书信息整合：系统自动对输入信息进行整合和分类，为文书生成提供基础数据并对采集到的信息进行实时校验，对错误信息高亮提示确保输入信息的完整性和准确性。</w:t>
            </w:r>
            <w:r>
              <w:rPr>
                <w:rFonts w:hint="eastAsia" w:ascii="仿宋" w:hAnsi="仿宋" w:eastAsia="仿宋"/>
                <w:color w:val="000000"/>
              </w:rPr>
              <w:br w:type="textWrapping"/>
            </w:r>
            <w:r>
              <w:rPr>
                <w:rFonts w:hint="eastAsia" w:ascii="仿宋" w:hAnsi="仿宋" w:eastAsia="仿宋"/>
                <w:color w:val="000000"/>
              </w:rPr>
              <w:t>智能内容生成：根据系统采集的事实信息，系统运用自然语言生成技术，按照逻辑顺序清晰陈述文书关键要素，确保事实描述准确、完整。结合陈述事实，系统智能匹配并引用相关法律法规条文，详细阐述法律适用的理由和依据，确保法律依据准确无误。基于事实和法律依据，系统生成明确、合理的处理决定说明，包括处罚措施、整改要求等内容，使处理决定具有说服力和可执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药械化行政检查管理系统和移动监管模块（升级）-监管文书智能服务-智能文书校核-</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系统内置格式校核规则，涵盖各类监管文书的格式标准，检查文书的格式是否符合监管要求，确保文书格式规范统一。支持用户自定义格式规则，用户可以根据实际需求调整格式校核标准，系统保存用户自定义规则供后续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药械化行政检查管理系统和移动监管模块（升级）-监管文书智能服务-文书修改建议-</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法律风险预警：基于法律知识库，对文书中的法律适用准确性进行深度分析，一旦发现潜在法律风险，系统立即发出预警提示，高亮显示风险内容，并提供风险描述和可能的法律后果。</w:t>
            </w:r>
            <w:r>
              <w:rPr>
                <w:rFonts w:hint="eastAsia" w:ascii="仿宋" w:hAnsi="仿宋" w:eastAsia="仿宋"/>
                <w:color w:val="000000"/>
              </w:rPr>
              <w:br w:type="textWrapping"/>
            </w:r>
            <w:r>
              <w:rPr>
                <w:rFonts w:hint="eastAsia" w:ascii="仿宋" w:hAnsi="仿宋" w:eastAsia="仿宋"/>
                <w:color w:val="000000"/>
              </w:rPr>
              <w:t>修改建议：针对发现的风险或错误，结合法律专业知识和文书规范，为用户提供具体的修改建议；对于格式错误，系统提供一键修复功能，同时给出修复后的格式示例，方便用户理解；对于逻辑问题，系统提供详细的修改建；对于法律风险，系统提供修改后的法律依据建议，解释修改后的法律适用理由，确保修改后的文书符合法律要求；修改建议以批注的形式展示，用户可以直接在文书编辑界面进行修改操作，系统实时更新内容并再次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药械化行政检查管理系统和移动监管模块（升级）-监管智能问数-问数解析-</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常用语理解：针对问数场景进行常用语定制化，提升问数模型对不同常用语的理解程度，使大模型更加贴近业务要求并进行对应的查询。</w:t>
            </w:r>
            <w:r>
              <w:rPr>
                <w:rFonts w:hint="eastAsia" w:ascii="仿宋" w:hAnsi="仿宋" w:eastAsia="仿宋"/>
                <w:color w:val="000000"/>
              </w:rPr>
              <w:br w:type="textWrapping"/>
            </w:r>
            <w:r>
              <w:rPr>
                <w:rFonts w:hint="eastAsia" w:ascii="仿宋" w:hAnsi="仿宋" w:eastAsia="仿宋"/>
                <w:color w:val="000000"/>
              </w:rPr>
              <w:t>表格解读配置：应对数据表格进行主动治理，将表格中的字段进行注释，并且结合可能会提到的问题对表格进行清洗和预解读，保证大模型可以更好地进行数据查询。系统应提供大模型配置和解读表格的能力，使大模型能够更容易地完成解读。</w:t>
            </w:r>
            <w:r>
              <w:rPr>
                <w:rFonts w:hint="eastAsia" w:ascii="仿宋" w:hAnsi="仿宋" w:eastAsia="仿宋"/>
                <w:color w:val="000000"/>
              </w:rPr>
              <w:br w:type="textWrapping"/>
            </w:r>
            <w:r>
              <w:rPr>
                <w:rFonts w:hint="eastAsia" w:ascii="仿宋" w:hAnsi="仿宋" w:eastAsia="仿宋"/>
                <w:color w:val="000000"/>
              </w:rPr>
              <w:t>专属词库设计：提供一个专属词库，进行专属词标注，辅助大模型进行进一步分析切词，提升问答准确率。</w:t>
            </w:r>
            <w:r>
              <w:rPr>
                <w:rFonts w:hint="eastAsia" w:ascii="仿宋" w:hAnsi="仿宋" w:eastAsia="仿宋"/>
                <w:color w:val="000000"/>
              </w:rPr>
              <w:br w:type="textWrapping"/>
            </w:r>
            <w:r>
              <w:rPr>
                <w:rFonts w:hint="eastAsia" w:ascii="仿宋" w:hAnsi="仿宋" w:eastAsia="仿宋"/>
                <w:color w:val="000000"/>
              </w:rPr>
              <w:t>多轮对话分析：在多轮对话中，基于历史信息，自动补全当前问题缺失的主要组成部分，从而使问答的过程更顺畅。在问数中，应提供多种不同的补齐能力，保障对前序对话的记忆，就是在省略表达下依然有较好的表现。</w:t>
            </w:r>
            <w:r>
              <w:rPr>
                <w:rFonts w:hint="eastAsia" w:ascii="仿宋" w:hAnsi="仿宋" w:eastAsia="仿宋"/>
                <w:color w:val="000000"/>
              </w:rPr>
              <w:br w:type="textWrapping"/>
            </w:r>
            <w:r>
              <w:rPr>
                <w:rFonts w:hint="eastAsia" w:ascii="仿宋" w:hAnsi="仿宋" w:eastAsia="仿宋"/>
                <w:color w:val="000000"/>
              </w:rPr>
              <w:t>主动澄清：对于表达中的模糊目标，应可以结合对表的理解，进行主动澄清，确认具体的查询目标，返回符合要求的结果。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药械化行政检查管理系统和移动监管模块（升级）-监管智能问数-监管态势洞察-</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包括检查业务量分布意图解析、涉企检查频率意图解析、排序查询意图解析、聚类分析意图解析、多条件查询意图解析、文本模糊匹配意图解析、时间推断查询意图解析、统计意图解析、最值查询意图解析、平均值查询意图解析、比率查询意图解析、区间数值意图解析、比较查询意图解析、分类统计查询意图解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药械化行政检查管理系统和移动监管模块（升级）-药械化政务智能问答-问答首页-</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包括多模态智能输入、热门问题展示、个性化推荐、历史管理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药械化行政检查管理系统和移动监管模块（升级）-药械化政务智能问答-智能问答服务-</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系统设置答案置信度评估机制，根据机器学习模型的输出为每个回答设定置信度评分；当评分低于预设阈值时，自动触发“暂无法回答”的提示，避免传播不准确信息。系统在每个答案的末尾自动标注数据来源和更新日期，增强信息的透明度和可信度；支持管理员定期审核和更新数据源，确保信息的准确性和权威性。系统根据用户权限级别返回不同详细程度的答案，确保信息访问的安全性和适当性。通过识别用户角色和权限等级，动态调整答案的详细程度。系统根据用户输入的提示词自动生成相关答案，并直接展示在对话框中，提供即时反馈；提供快速编辑和反馈选项，允许用户对生成的答案进行调整或请求进一步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药械化行政检查管理系统和移动监管模块（升级）-药械化政务智能问答--</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系统自动将生成的答案与知识库中的检索结果进行比对，检测两者之间是否存在冲突。当发现不一致时，触发告警或启动复核流程，确保信息的准确性和一致性。实时比对生成答案与知识库条目，识别潜在的内容冲突或矛盾。触发告警机制，通知相关人员进行进一步审查，并在必要时暂停发布该答案。记录冲突案例及其处理结果，用于后续分析和系统优化，持续提升自动化水平和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药械化行政检查管理系统和移动监管模块（升级）-大模型数据集预处理-数据预处理-数据去噪去重</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清理无意义字符、重复段落，使用哈希算法对文本进行指纹提取，去除完全重复条目，对近似重复项采用相似度计算进行合并或标记。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药械化行政检查管理系统和移动监管模块（升级）-大模型数据集预处理-数据预处理-缺失值处理</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对结构化字段缺失的情况，采取填充默认值、删除无效记录、插值补全等方法；对非结构化文本中缺失部分内容，视情况保留或标注“缺失”。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药械化行政检查管理系统和移动监管模块（升级）-大模型数据集预处理-数据预处理-数据格式统一和标准化处理</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将各类原始格式转换为统一的JSON结构；定义标准化字段命名规范。统一时间、单位、数值格式，对专业术语进行规范化处理，构建映射表实现术语标准化.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药械化行政检查管理系统和移动监管模块（升级）-大模型数据集预处理-数据预处理-数据脱敏</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对涉及个人隐私、企业敏感信息的内容进行脱敏处理，使用正则表达式识别身份证号、电话号码、地址、企业名称等字段，并替换为占位符；对于无法直接脱敏的文本，采用模糊匹配+人工审核机制。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药械化行政检查管理系统和移动监管模块（升级）-大模型数据集预处理-药品监管数据收集-</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对接公开数据、国家局数据和市药监局业务数据库，并整合相关部门的公开信息源，实现药监领域监管数据的自动化采集与动态更新。根据数据敏感度设置严格的访问权限，采用基于角色的权限控制机制。采用语义相似度计算技术来识别新增数据与已有数据版本之间的差异，支持智能更新功能，仅在检测到实质变更时才进行数据替换或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药械化行政检查管理系统和移动监管模块（升级）-大模型数据集预处理-数据集构建治理-多维度分类</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构建多维分类结构，支持按照主题领域、业务场景、知识类型等多个维度进行标签化分类。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药械化行政检查管理系统和移动监管模块（升级）-大模型数据集预处理-数据集构建治理-动态知识推理</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基于业务规则梳理监管数据的逻辑推理与隐式关系挖掘，扩展数据集深度。通过系统梳理各领域业务规则，构建可复用的推理引擎。基于监管数据间的显性关联，运用逻辑推演算法挖掘隐藏关系，如跨部门数据的因果关联、异常数据的连锁影响等，同时支持规则动态更新，持续扩展数据集的深度与维度，为智能监管决策提供多维度知识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药械化行政检查管理系统和移动监管模块（升级）-大模型数据集预处理-数据集构建治理-数据版本管理</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记录监管数据集变更历史，实现数据集的版本化管理。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药械化行政检查管理系统和移动监管模块（升级）-大模型数据集预处理-向量化-多粒度向量编码</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采用分层编码策略，推动段落级向量捕获整体语义，句子级向量定位细节，实体级向量强化专业术语表征。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药械化行政检查管理系统和移动监管模块（升级）-大模型数据集预处理-向量化-领域自适应</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以市级政务大模型底座 MAP 平台的预训练模型为基础，针对行业特性，引入海量行业语料进行定向微调。通过优化模型参数，强化专业术语在向量空间的独特表征，精准区分易混淆术语的语义边界，显著提升模型对行业专属语言的理解与处理能力，为监管服务提供更精准的语义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药械化行政检查管理系统和移动监管模块（升级）-大模型数据集预处理-向量化-向量更新</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设计增量学习机制，当新增数据入库时仅更新局部向量空间，避免全量重建。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药械化行政检查管理系统和移动监管模块（升级）-大模型数据集预处理-向量检索匹配-混合检索</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结合稀疏检索与稠密检索，通过算法融合结果，兼顾关键词匹配与语义泛化能力。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药械化行政检查管理系统和移动监管模块（升级）-大模型数据集预处理-向量检索匹配-多条件过滤</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支持检索结果按时间范围、知识类型、置信度阈值动态过滤，提升结果精准度。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药械化行政检查管理系统和移动监管模块（升级）-大模型数据集预处理-向量检索匹配-上下文感知</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将用户当前对话历史编码为上下文向量，与数据集向量进行注意力加权计算，实现动态检索意图感知。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药械化行政检查管理系统和移动监管模块（升级）-大模型数据集预处理-向量检索匹配-匹配结果展示</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展示检索结果的匹配情况，如关键词命中率、语义相似度、时效性信息等。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药械化行政检查管理系统和移动监管模块（升级）-大模型数据集预处理-数据更新机制-</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数据源变更管理：数据源变更时，通过数据集同步任务，完成更新管理。</w:t>
            </w:r>
            <w:r>
              <w:rPr>
                <w:rFonts w:hint="eastAsia" w:ascii="仿宋" w:hAnsi="仿宋" w:eastAsia="仿宋"/>
                <w:color w:val="000000"/>
              </w:rPr>
              <w:br w:type="textWrapping"/>
            </w:r>
            <w:r>
              <w:rPr>
                <w:rFonts w:hint="eastAsia" w:ascii="仿宋" w:hAnsi="仿宋" w:eastAsia="仿宋"/>
                <w:color w:val="000000"/>
              </w:rPr>
              <w:t>数据生命周期展示：根据定义的数据有效期，展示数据生命周期阶段。</w:t>
            </w:r>
            <w:r>
              <w:rPr>
                <w:rFonts w:hint="eastAsia" w:ascii="仿宋" w:hAnsi="仿宋" w:eastAsia="仿宋"/>
                <w:color w:val="000000"/>
              </w:rPr>
              <w:br w:type="textWrapping"/>
            </w:r>
            <w:r>
              <w:rPr>
                <w:rFonts w:hint="eastAsia" w:ascii="仿宋" w:hAnsi="仿宋" w:eastAsia="仿宋"/>
                <w:color w:val="000000"/>
              </w:rPr>
              <w:t>数据更新记录：数据集数据信息动态更新。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药械化行政检查管理系统和移动监管模块（升级）-接口建设-智能体能力集成-预警监管智能体能力集成</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对接系统：药品实时监控系统、药械化风险监测智控子系统、医疗器械追溯申报系统、药品稽查办案管理系统、药械化行政检查管理系统、药械化抽检管理系统、药械化安全监管信用档案系统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药械化行政检查管理系统和移动监管模块（升级）-接口建设-智能体能力集成-风险任务识别智能体能力集成</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对接系统：药品实时监控系统、药械化风险监测智控子系统、药品稽查办案管理系统、药械化行政检查管理系统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药械化行政检查管理系统和移动监管模块（升级）-接口建设-智能体能力集成-涉案主体分析智能体能力集成</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对接系统：药品实时监控系统、药械化风险监测智控子系统、药品稽查办案管理系统、药械化行政检查管理系统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药械化行政检查管理系统和移动监管模块（升级）-接口建设-智能体能力集成-类案推荐智能体能力集成</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对接系统：药品实时监控系统、药械化风险监测智控子系统、药品稽查办案管理系统、药械化行政检查管理系统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药械化行政检查管理系统和移动监管模块（升级）-接口建设-智能体能力集成-事实整理智能体能力集成</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对接系统：药品稽查办案管理系统、药械化行政检查管理系统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药械化行政检查管理系统和移动监管模块（升级）-接口建设-智能体能力集成-法条适用智能体能力集成</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对接系统：药品稽查办案管理系统、药械化行政检查管理系统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上海市药械化行政检查管理系统和移动监管模块(升级)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药械化行政检查管理系统和移动监管模块（升级）-接口建设-智能体能力集成-处理意见智能体能力集成</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对接系统：药品稽查办案管理系统、药械化行政检查管理系统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上海市药械化信用分级分类系统（升级）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上海市药械化信用分级分类系统（升级）-信用分级分类模型（新建）-医疗器械经营企业综合风险信用分级分类模型-</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根结合相关分级指标，制定医疗器械分类分级模型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上海市药械化信用分级分类系统（升级）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上海市药械化信用分级分类系统（升级）-信用分级分类模型（新建）-药品批发分级分类模型-</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结合相关分级指标，制定药品信用分类分级模型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上海市药械化信用分级分类系统（升级）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上海市药械化信用分级分类系统（升级）-信用分级分类模型（新建）-药品零售分级分类模型-</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结合相关分级指标，制定药品零售分级分类模型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上海市药械化信用分级分类系统（升级）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上海市药械化信用分级分类系统（升级）-信用分级分类模型（新建）-化妆品生产分级分类模型-</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结合相关分级指标，制定化妆品信用分类分级模型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上海市药械化信用分级分类系统（升级）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上海市药械化信用分级分类系统（升级）-医疗器械生产企业分级分类管理规格（升级）-范围扩展和规则优化-</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监管对象从生产企业延伸至注册人、备案人；</w:t>
            </w:r>
            <w:r>
              <w:rPr>
                <w:rFonts w:hint="eastAsia" w:ascii="仿宋" w:hAnsi="仿宋" w:eastAsia="仿宋"/>
                <w:color w:val="000000"/>
              </w:rPr>
              <w:br w:type="textWrapping"/>
            </w:r>
            <w:r>
              <w:rPr>
                <w:rFonts w:hint="eastAsia" w:ascii="仿宋" w:hAnsi="仿宋" w:eastAsia="仿宋"/>
                <w:color w:val="000000"/>
              </w:rPr>
              <w:t>信用评级体系升级为覆盖注册许可、生产、日常监管、抽检及不良反应监测等全生命周期环节，新增质量管理能力、第三方认证等评价维度。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上海市药械化信用分级分类系统（升级）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上海市药械化信用分级分类系统（升级）-医疗器械生产企业分级分类管理规格（升级）-协同评价与结果应用-</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采取“多部门联合复核（如医疗器械协会、市场监管部门等）+企业自评确认”模式生成评级；</w:t>
            </w:r>
            <w:r>
              <w:rPr>
                <w:rFonts w:hint="eastAsia" w:ascii="仿宋" w:hAnsi="仿宋" w:eastAsia="仿宋"/>
                <w:color w:val="000000"/>
              </w:rPr>
              <w:br w:type="textWrapping"/>
            </w:r>
            <w:r>
              <w:rPr>
                <w:rFonts w:hint="eastAsia" w:ascii="仿宋" w:hAnsi="仿宋" w:eastAsia="仿宋"/>
                <w:color w:val="000000"/>
              </w:rPr>
              <w:t>评级结果直接联动监管等级、检查频次及年度计划制定，实现精准动态监管。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上海市药械化信用分级分类系统（升级）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上海市药械化信用分级分类系统（升级）-信用分级管理系统（新建包括药品批发、药品零售、医疗器械经营企业综合风险、化妆品生产）-企业自评模版管理-</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按照《药品生产监督管理办法》、《药品管理法》、《疫苗管理法》、《关于推进企业信用风险分类管理进一步提升监管效能的意见》、《化妆品监督管理条例》、《化妆品生产经营监督管理办法》《化妆品注册备案管理办法》、《化妆品检查管理办法》、《关于推进企业信用风险分类管理进一步提升监管效能的意见》等法规要求，根据药品批发、药品零售、医疗器械经营企业综合风险、化妆品生产分类分级标准，提供相应标准化、可配置、易操作的自评模版，帮助企业高效、规范地开展内部合规性自查，识别经营过程中的风险点，提升质量管理体系运行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上海市药械化信用分级分类系统（升级）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上海市药械化信用分级分类系统（升级）-信用分级管理系统（新建包括药品批发、药品零售、医疗器械经营企业综合风险、化妆品生产）-企业自评审批-自评提交与接收</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按照药品批发、药品零售、医疗器械经营企业综合风险、化妆品生产条线，系统自动接收以上企业提交的自评报告，包括自评表、佐证材料（如制度文件、记录、照片等）及整改计划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上海市药械化信用分级分类系统（升级）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上海市药械化信用分级分类系统（升级）-信用分级管理系统（新建包括药品批发、药品零售、医疗器械经营企业综合风险、化妆品生产）-企业自评审批-自评退回处理</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按照药品批发、药品零售、医疗器械经营企业综合风险、化妆品生产条线，审批人发现自评报告存在问题（如数据不真实、佐证材料不足、整改措施不合理等），可执行退回操作。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上海市药械化信用分级分类系统（升级）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上海市药械化信用分级分类系统（升级）-信用分级管理系统（新建包括药品批发、药品零售、医疗器械经营企业综合风险、化妆品生产）-企业自评审批-自评审批流程</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按照药品批发、药品零售、医疗器械经营企业综合风险、化妆品生产条线，支持多级审批，审批流程可自定义配置，审批人可在线查看自评报告详情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上海市药械化信用分级分类系统（升级）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上海市药械化信用分级分类系统（升级）-信用分级管理系统（新建包括药品批发、药品零售、医疗器械经营企业综合风险、化妆品生产）-企业自评审批-自评查询与统计</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按照药品批发、药品零售、医疗器械经营企业综合风险、化妆品生产条线，支持多维度查询，包括按企业名称、自评时间、风险等级、审批状态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上海市药械化信用分级分类系统（升级）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上海市药械化信用分级分类系统（升级）-信用分级管理系统（新建包括药品批发、药品零售、医疗器械经营企业综合风险、化妆品生产）-信用名单查询-</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提供按照药品批发、药品零售、医疗器械经营企业综合风险、化妆品生产的风险等级、信用评分及监管记录查询，支持按名称、地区、风险等级等筛选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上海市药械化信用分级分类系统（升级）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上海市药械化信用分级分类系统（升级）-信用分级管理系统（新建包括药品批发、药品零售、医疗器械经营企业综合风险、化妆品生产）-企业异议管理-异议接收与登记</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按照药品批发、药品零售、医疗器械经营企业综合风险、化妆品生产条线，自动接收企业提交的异议申请，支持文本、附件（如证明材料）上传，并进行完整性校验，确保必填信息（如异议事项、依据条款）完整后进入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上海市药械化信用分级分类系统（升级）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上海市药械化信用分级分类系统（升级）-信用分级管理系统（新建包括药品批发、药品零售、医疗器械经营企业综合风险、化妆品生产）-企业异议管理-异议退回与补正</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按照药品批发、药品零售、医疗器械经营企业综合风险、化妆品生产条线，支持对材料不全或依据不足的异议，审批人可退回并注明原因（如“缺少佐证文件”），企业可补充后重新提交，系统保留修改记录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上海市药械化信用分级分类系统（升级）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上海市药械化信用分级分类系统（升级）-信用分级管理系统（新建包括药品批发、药品零售、医疗器械经营企业综合风险、化妆品生产）-企业异议管理-异议审核与批复</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按照药品批发、药品零售、医疗器械经营企业综合风险、化妆品生产条线，审批功能支持分级审核（如初审→终审），审批人核查异议合理性，调取原始评级数据比对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上海市药械化信用分级分类系统（升级）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上海市药械化信用分级分类系统（升级）-信用分级管理系统（新建包括药品批发、药品零售、医疗器械经营企业综合风险、化妆品生产）-企业异议管理-异议查询与追溯</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按照药品批发、药品零售、医疗器械经营企业综合风险、化妆品生产条线，企业可实时查询异议处理进度及历史记录，监管端支持按企业、时间、状态等筛选，生成统计分析报表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上海市药械化信用分级分类系统（升级）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上海市药械化信用分级分类系统（升级）-信用分级管理系统（新建包括药品批发、药品零售、医疗器械经营企业综合风险、化妆品生产）-重点监管名单-重点名单规则管理</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按照药品批发、药品零售、医疗器械经营企业综合风险、化妆品生产条线，支持重点名单规则管理，如监管部门自定义重点监管企业筛选条件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上海市药械化信用分级分类系统（升级）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上海市药械化信用分级分类系统（升级）-信用分级管理系统（新建包括药品批发、药品零售、医疗器械经营企业综合风险、化妆品生产）-重点监管名单-重点名单生成</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按照药品批发、药品零售、医疗器械经营企业综合风险、化妆品生产条线，系统定期（如每月）或实时（如发生重大违规时）按规则扫描企业库，生成名单草案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上海市药械化信用分级分类系统（升级）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上海市药械化信用分级分类系统（升级）-信用分级管理系统（新建包括药品批发、药品零售、医疗器械经营企业综合风险、化妆品生产）-重点监管名单-协同任务发布</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按照药品批发、药品零售、医疗器械经营企业综合风险、化妆品生产条线，任务分派，将重点企业关联检查任务，定向推送至属地监管人员，明确检查要求和时限。支持共享企业风险信息及处置进展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上海市药械化信用分级分类系统（升级）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上海市药械化信用分级分类系统（升级）-信用分级管理系统（新建包括药品批发、药品零售、医疗器械经营企业综合风险、化妆品生产）-企业信用信息统计-信用信息查询</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按照药品批发、药品零售、医疗器械经营企业综合风险、化妆品生产，信息查询功能支持精准查询、多维筛选、详情展示等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上海市药械化信用分级分类系统（升级）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上海市药械化信用分级分类系统（升级）-信用分级管理系统（新建包括药品批发、药品零售、医疗器械经营企业综合风险、化妆品生产）-分级分类规则设置-</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按照药品批发、药品零售、医疗器械经营企业综合风险、化妆品生产条线，信用分级管理中分级分类规则设置功能允许监管部门自定义医疗器械经营企业风险信用评价标准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上海市药械化信用分级分类系统（升级）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上海市药械化信用分级分类系统（升级）-信用分级管理系统（新建包括药品批发、药品零售、医疗器械经营企业综合风险、化妆品生产）-企业自评公告-</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按照药品批发、药品零售、医疗器械经营企业综合风险、化妆品生产条线，支持监管部门发布企业信用自评通知，包括自评时间、要求及模板下载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上海市药械化信用分级分类系统（升级）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上海市药械化信用分级分类系统（升级）-信用分级管理系统（新建包括药品批发、药品零售、医疗器械经营企业综合风险、化妆品生产）-数据模板-</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按照药品批发、药品零售、医疗器械经营企业综合风险、化妆品生产条线，提供标准化填报模板，覆盖企业基础信息、经营数据、信用指标等结构化字段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上海市药械化信用分级分类系统（升级）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上海市药械化信用分级分类系统（升级）-药械化分类分级企业端（新建）-企业自评-</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按照药品批发、药品零售、医疗器械经营企业综合风险、化妆品生产条线，企业自评流程含申报填写、提交、撤回修改、材料补充、自评跟踪环节。提供标准化电子表单，智能填信息，支持分步填与暂存；一键提交生成回执号，同步通知；审批前可撤回修改，系统留历史版本；审批中能补传材料，关联原申报；还可实时查进度，接收状态提醒，关联历史记录与信用评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上海市药械化信用分级分类系统（升级）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上海市药械化信用分级分类系统（升级）-药械化分类分级企业端（新建）-分级分类信息查询-</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按照药品批发、药品零售、医疗器械经营企业综合风险、化妆品生产条线，支持企业查询监管部门发布的分类分级政策文件、评定标准及动态公告，企业可实时查看自身信用等级、评分明细及关键指标表现，支持历史结果对比与整改建议查看，数据可视化展示便于分析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上海市药械化信用分级分类系统（升级）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上海市药械化信用分级分类系统（升级）-药械化分类分级企业端（新建）-异议申报-</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按照药品批发、药品零售、医疗器械经营企业综合风险、化妆品生产条线，异议申报流程涵盖申报填写、提交、撤回修改、材料补充、申报查询环节。结构化表单关联信用数据，分步填、自动校验；一键加密提交，生成流水号并通知；审批前可撤回改后重提，系统留版本记录；审批中能追加材料，关联原申请并更新进度；还可实时跟踪状态，查历史记录与结果，数据可导出存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上海市药械化信用分级分类系统（升级）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上海市药械化信用分级分类系统（升级）-药械化分类分级企业端（新建）-公告查询管理-</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按照药品批发、药品零售、医疗器械经营企业综合风险、化妆品生产条线，支持企业实时查询监管部门发布的政策法规、分级标准、信用公示等权威信息，提供关键词检索、分类筛选及订阅提醒服务，确保企业及时获取最新监管动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上海市药械化信用分级分类系统（升级）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上海市药械化信用分级分类系统（升级）-药械化智能辅助监管-风险信息接收-</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风险信息接收：从预警系统接收风险信息，能够自动识别并解析不同类型的风险信息。实时处理风险信息，确保信息在预警监管应用中完成接收和初步处理。</w:t>
            </w:r>
            <w:r>
              <w:rPr>
                <w:rFonts w:hint="eastAsia" w:ascii="仿宋" w:hAnsi="仿宋" w:eastAsia="仿宋"/>
                <w:color w:val="000000"/>
              </w:rPr>
              <w:br w:type="textWrapping"/>
            </w:r>
            <w:r>
              <w:rPr>
                <w:rFonts w:hint="eastAsia" w:ascii="仿宋" w:hAnsi="仿宋" w:eastAsia="仿宋"/>
                <w:color w:val="000000"/>
              </w:rPr>
              <w:t>风险信息解析：调用自然语言处理技术解析风险信息内容，自动分类为监管任务或案件任务支撑任务发布。对于自动分类结果，提供人工审核接口，允许业务人员对分类结果进行复核和调整。将人工审核结果反馈至分类模型，通过在线学习或增量学习的方式，持续优化分类算法，提升分类准确率。针对高风险等级且涉及特定行业的风险信息，支持分类规则自定义。</w:t>
            </w:r>
            <w:r>
              <w:rPr>
                <w:rFonts w:hint="eastAsia" w:ascii="仿宋" w:hAnsi="仿宋" w:eastAsia="仿宋"/>
                <w:color w:val="000000"/>
              </w:rPr>
              <w:br w:type="textWrapping"/>
            </w:r>
            <w:r>
              <w:rPr>
                <w:rFonts w:hint="eastAsia" w:ascii="仿宋" w:hAnsi="仿宋" w:eastAsia="仿宋"/>
                <w:color w:val="000000"/>
              </w:rPr>
              <w:t>风险信息评估：根据风险等级、任务类型和业务紧急程度，对风险信息进行优先级评估；根据不同任务类型的业务重要性，配置相应的权重值；结合业务场景和实际需求，评估任务的紧急程度；根据业务情况和任务处理进度，动态调整风险等级；在系统界面中以颜色标记、排序列表等直观的方式展示任务优先级，方便业务人员快速了解任务处理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上海市药械化信用分级分类系统（升级）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上海市药械化信用分级分类系统（升级）-药械化智能辅助监管-风险任务生成-</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任务生成规则引擎：从风险信息中提取任务信息；支持灵活配置任务生成规则，根据业务需求和风险特征，定义不同风险信息所对应监管任务或办案任务的规则；根据提取的任务信息和匹配规则，自动生成风险任务；当风险信息特征发生变化或业务需求调整时，能够实时更新任务生成规则。</w:t>
            </w:r>
            <w:r>
              <w:rPr>
                <w:rFonts w:hint="eastAsia" w:ascii="仿宋" w:hAnsi="仿宋" w:eastAsia="仿宋"/>
                <w:color w:val="000000"/>
              </w:rPr>
              <w:br w:type="textWrapping"/>
            </w:r>
            <w:r>
              <w:rPr>
                <w:rFonts w:hint="eastAsia" w:ascii="仿宋" w:hAnsi="仿宋" w:eastAsia="仿宋"/>
                <w:color w:val="000000"/>
              </w:rPr>
              <w:t>任务智能判定：对历史任务数据进行分析，基于历史数据和风险等级评估模型，对任务评估结果进行不断优化和调整</w:t>
            </w:r>
            <w:r>
              <w:rPr>
                <w:rFonts w:hint="eastAsia" w:ascii="仿宋" w:hAnsi="仿宋" w:eastAsia="仿宋"/>
                <w:color w:val="000000"/>
              </w:rPr>
              <w:br w:type="textWrapping"/>
            </w:r>
            <w:r>
              <w:rPr>
                <w:rFonts w:hint="eastAsia" w:ascii="仿宋" w:hAnsi="仿宋" w:eastAsia="仿宋"/>
                <w:color w:val="000000"/>
              </w:rPr>
              <w:t>任务发布：提供标准化的任务发布接口，支持与监管系统和案件系统的无缝对接。支持多种通知渠道，如系统消息、邮件、短信、即时通讯工具等，及时通知任务负责人任务的发布情况。对任务发布过程进行实时监控，记录任务发布的时间、状态、目标系统等信息。对于发布失败的任务，系统自动记录错误信息，并提供重试机制。同时，系统支持任务发布结果的反馈功能，将发布结果及时反馈给预警系统，形成任务发布的闭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上海市药械化信用分级分类系统（升级）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上海市药械化信用分级分类系统（升级）-药械化智能辅助监管-案件任务协同-</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案件任务协同：发布到案件系统的任务，通过案件任务协同，实时了解协同任务的办理情况，直观展示任务进度。</w:t>
            </w:r>
            <w:r>
              <w:rPr>
                <w:rFonts w:hint="eastAsia" w:ascii="仿宋" w:hAnsi="仿宋" w:eastAsia="仿宋"/>
                <w:color w:val="000000"/>
              </w:rPr>
              <w:br w:type="textWrapping"/>
            </w:r>
            <w:r>
              <w:rPr>
                <w:rFonts w:hint="eastAsia" w:ascii="仿宋" w:hAnsi="仿宋" w:eastAsia="仿宋"/>
                <w:color w:val="000000"/>
              </w:rPr>
              <w:t>协同结果反馈与归档：案件办理完成后，系统接收案件系统的办理结果，将结果汇入信用档案系统，支持结果数据的结构化存储和查询，为后续监管提供依据。同时，系统将案件信息反馈给风险预警系统，完成预警管理信息和流程的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上海市药械化信用分级分类系统（升级）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上海市药械化信用分级分类系统（升级）-药械化智能辅助监管-监管任务协同-</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监管检查任务接收执行：系统根据角色权限、任务量、工作经验等规则自动将任务推送至指定用户。支持用户在无法处理任务时提交拒绝申请，任务退回至发起方或重新分配。通过规则或模型识别并处置非法或错误任务，包括重复提交、主体矛盾等异常情况，识别出的异常任务，系统向任务发起方返回明确的异常原因。监管任务完成后，监管任务协同将任务结果反馈给预警监管模块，完成协同任务处理。</w:t>
            </w:r>
            <w:r>
              <w:rPr>
                <w:rFonts w:hint="eastAsia" w:ascii="仿宋" w:hAnsi="仿宋" w:eastAsia="仿宋"/>
                <w:color w:val="000000"/>
              </w:rPr>
              <w:br w:type="textWrapping"/>
            </w:r>
            <w:r>
              <w:rPr>
                <w:rFonts w:hint="eastAsia" w:ascii="仿宋" w:hAnsi="仿宋" w:eastAsia="仿宋"/>
                <w:color w:val="000000"/>
              </w:rPr>
              <w:t>抽检任务发布：在监管任务执行中，需要对产品发起抽检任务时，监管人员可在预警监管模块中一键发起抽检任务，系统自动生成抽检任务并完成任务信息采集，自动发布到抽检系统；抽检系统完成抽检任务后，本模块接收抽检反馈结果，形成抽检任务闭环；支持抽检结果的实时共享，将抽检结果推送给相关部门和人员，实现信息共享和协同监管；支持抽检结果的可视化展示，通过图表、地图等方式直观展示抽检结果的分布和趋势。</w:t>
            </w:r>
            <w:r>
              <w:rPr>
                <w:rFonts w:hint="eastAsia" w:ascii="仿宋" w:hAnsi="仿宋" w:eastAsia="仿宋"/>
                <w:color w:val="000000"/>
              </w:rPr>
              <w:br w:type="textWrapping"/>
            </w:r>
            <w:r>
              <w:rPr>
                <w:rFonts w:hint="eastAsia" w:ascii="仿宋" w:hAnsi="仿宋" w:eastAsia="仿宋"/>
                <w:color w:val="000000"/>
              </w:rPr>
              <w:t>追溯任务发布：在监管任务执行中，当发现涉及医疗器械相关问题时，监管人员可发布追溯需求给医疗器械追溯系统；医疗器械追溯系统接收追溯任务后，实时将追溯结果反馈至预警监管系统，完成追溯任务闭环；系统支持对追溯结果的解析和处理，提取产品流向、使用情况、涉及主体等关键信息，并以直观的方式展示给监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 w:type="pct"/>
            <w:vAlign w:val="center"/>
          </w:tcPr>
          <w:p>
            <w:pPr>
              <w:pStyle w:val="61"/>
              <w:numPr>
                <w:ilvl w:val="0"/>
                <w:numId w:val="8"/>
              </w:numPr>
              <w:ind w:firstLineChars="0"/>
              <w:jc w:val="center"/>
              <w:rPr>
                <w:rFonts w:hint="eastAsia" w:ascii="仿宋" w:hAnsi="仿宋" w:eastAsia="仿宋"/>
              </w:rPr>
            </w:pPr>
          </w:p>
        </w:tc>
        <w:tc>
          <w:tcPr>
            <w:tcW w:w="919" w:type="pct"/>
            <w:vAlign w:val="center"/>
          </w:tcPr>
          <w:p>
            <w:pPr>
              <w:ind w:firstLine="0" w:firstLineChars="0"/>
              <w:rPr>
                <w:rFonts w:hint="eastAsia" w:ascii="仿宋" w:hAnsi="仿宋" w:eastAsia="仿宋"/>
              </w:rPr>
            </w:pPr>
            <w:r>
              <w:rPr>
                <w:rFonts w:hint="eastAsia" w:ascii="仿宋" w:hAnsi="仿宋" w:eastAsia="仿宋"/>
              </w:rPr>
              <w:t>上海市药械化信用分级分类系统（升级）</w:t>
            </w:r>
          </w:p>
        </w:tc>
        <w:tc>
          <w:tcPr>
            <w:tcW w:w="1018"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上海市药械化信用分级分类系统（升级）-药械化智能辅助监管-风险信息处理反馈-</w:t>
            </w:r>
          </w:p>
        </w:tc>
        <w:tc>
          <w:tcPr>
            <w:tcW w:w="2904" w:type="pct"/>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仿宋" w:hAnsi="仿宋" w:eastAsia="仿宋"/>
                <w:color w:val="000000"/>
              </w:rPr>
            </w:pPr>
            <w:r>
              <w:rPr>
                <w:rFonts w:hint="eastAsia" w:ascii="仿宋" w:hAnsi="仿宋" w:eastAsia="仿宋"/>
                <w:color w:val="000000"/>
              </w:rPr>
              <w:t>风险信息处理进程跟踪：对风险信息的处理进程进行实时跟踪，记录任务状态和办理节点，能够实时查询到风险信息处理阶段；支持任务状态的自动推送功能，当任务状态发生变化时，及时通知相关人员；实现对风险信息处理历史进度的查询和分析。</w:t>
            </w:r>
            <w:r>
              <w:rPr>
                <w:rFonts w:hint="eastAsia" w:ascii="仿宋" w:hAnsi="仿宋" w:eastAsia="仿宋"/>
                <w:color w:val="000000"/>
              </w:rPr>
              <w:br w:type="textWrapping"/>
            </w:r>
            <w:r>
              <w:rPr>
                <w:rFonts w:hint="eastAsia" w:ascii="仿宋" w:hAnsi="仿宋" w:eastAsia="仿宋"/>
                <w:color w:val="000000"/>
              </w:rPr>
              <w:t>处理结果反馈与闭环：将风险信息处理结果反馈到预警系统，完成整个预警信息处理任务的闭环，支持结果反馈的自动化和标准化。</w:t>
            </w:r>
            <w:r>
              <w:rPr>
                <w:rFonts w:hint="eastAsia" w:ascii="仿宋" w:hAnsi="仿宋" w:eastAsia="仿宋"/>
                <w:color w:val="000000"/>
              </w:rPr>
              <w:br w:type="textWrapping"/>
            </w:r>
            <w:r>
              <w:rPr>
                <w:rFonts w:hint="eastAsia" w:ascii="仿宋" w:hAnsi="仿宋" w:eastAsia="仿宋"/>
                <w:color w:val="000000"/>
              </w:rPr>
              <w:t>风险信息处理效果评估：构建多维度的风险信息处理效果评估，通过综合评估这些指标，全面衡量风险信息处理的整体效果；利用大数据分析技术，对风险信息处理的历史数据进行深度挖掘和分析，直观展示风险信息处理效果的评估结果；根据风险信息处理效果评估结果，系统自动生成优化建议和改进措施，并反馈给相关部门和人员，指导实际工作中的流程优化和资源配置调整。</w:t>
            </w:r>
          </w:p>
        </w:tc>
      </w:tr>
    </w:tbl>
    <w:p>
      <w:pPr>
        <w:rPr>
          <w:rFonts w:hint="eastAsia" w:ascii="仿宋" w:hAnsi="仿宋" w:eastAsia="仿宋"/>
        </w:rPr>
      </w:pPr>
    </w:p>
    <w:p>
      <w:pPr>
        <w:rPr>
          <w:rFonts w:hint="eastAsia" w:ascii="仿宋" w:hAnsi="仿宋" w:eastAsia="仿宋"/>
        </w:rPr>
        <w:sectPr>
          <w:pgSz w:w="16838" w:h="11906" w:orient="landscape"/>
          <w:pgMar w:top="1797" w:right="1134" w:bottom="1797" w:left="1135" w:header="340" w:footer="7" w:gutter="0"/>
          <w:cols w:space="720" w:num="1"/>
          <w:titlePg/>
          <w:docGrid w:type="linesAndChars" w:linePitch="326" w:charSpace="0"/>
        </w:sectPr>
      </w:pPr>
    </w:p>
    <w:p>
      <w:pPr>
        <w:pStyle w:val="2"/>
        <w:rPr>
          <w:rFonts w:hint="eastAsia"/>
        </w:rPr>
      </w:pPr>
      <w:bookmarkStart w:id="11" w:name="_Toc63785503"/>
      <w:r>
        <w:rPr>
          <w:rFonts w:hint="eastAsia"/>
        </w:rPr>
        <w:t>电子政务云资源需求</w:t>
      </w:r>
    </w:p>
    <w:p>
      <w:pPr>
        <w:rPr>
          <w:rFonts w:hint="eastAsia" w:ascii="仿宋" w:hAnsi="仿宋" w:eastAsia="仿宋"/>
        </w:rPr>
      </w:pPr>
      <w:r>
        <w:rPr>
          <w:rFonts w:hint="eastAsia" w:ascii="仿宋" w:hAnsi="仿宋" w:eastAsia="仿宋"/>
        </w:rPr>
        <w:t>本项目利旧现有的政务云资源。</w:t>
      </w:r>
    </w:p>
    <w:p>
      <w:pPr>
        <w:pStyle w:val="2"/>
        <w:rPr>
          <w:rFonts w:hint="eastAsia"/>
        </w:rPr>
      </w:pPr>
      <w:r>
        <w:rPr>
          <w:rFonts w:hint="eastAsia"/>
        </w:rPr>
        <w:t>其他工作要求</w:t>
      </w:r>
      <w:bookmarkEnd w:id="11"/>
    </w:p>
    <w:p>
      <w:pPr>
        <w:keepNext/>
        <w:keepLines/>
        <w:numPr>
          <w:ilvl w:val="1"/>
          <w:numId w:val="9"/>
        </w:numPr>
        <w:tabs>
          <w:tab w:val="left" w:pos="360"/>
        </w:tabs>
        <w:spacing w:before="120" w:line="240" w:lineRule="auto"/>
        <w:ind w:left="0" w:firstLine="0" w:firstLineChars="0"/>
        <w:outlineLvl w:val="1"/>
        <w:rPr>
          <w:rFonts w:hint="eastAsia" w:ascii="仿宋" w:hAnsi="仿宋" w:eastAsia="仿宋"/>
          <w:b/>
          <w:vanish/>
          <w:color w:val="000000"/>
          <w:sz w:val="28"/>
          <w:szCs w:val="20"/>
        </w:rPr>
      </w:pPr>
      <w:bookmarkStart w:id="12" w:name="_Toc63762370"/>
      <w:bookmarkEnd w:id="12"/>
      <w:bookmarkStart w:id="13" w:name="_Toc62209488"/>
      <w:bookmarkEnd w:id="13"/>
      <w:bookmarkStart w:id="14" w:name="_Toc63151871"/>
      <w:bookmarkEnd w:id="14"/>
      <w:bookmarkStart w:id="15" w:name="_Toc62219358"/>
      <w:bookmarkEnd w:id="15"/>
      <w:bookmarkStart w:id="16" w:name="_Toc63585480"/>
      <w:bookmarkEnd w:id="16"/>
      <w:bookmarkStart w:id="17" w:name="_Toc61968111"/>
      <w:bookmarkEnd w:id="17"/>
      <w:bookmarkStart w:id="18" w:name="_Toc63785504"/>
      <w:bookmarkEnd w:id="18"/>
      <w:bookmarkStart w:id="19" w:name="_Toc63785439"/>
      <w:bookmarkEnd w:id="19"/>
    </w:p>
    <w:p>
      <w:pPr>
        <w:pStyle w:val="61"/>
        <w:numPr>
          <w:ilvl w:val="1"/>
          <w:numId w:val="10"/>
        </w:numPr>
        <w:spacing w:line="560" w:lineRule="exact"/>
        <w:ind w:firstLineChars="0"/>
        <w:outlineLvl w:val="1"/>
        <w:rPr>
          <w:rFonts w:hint="eastAsia" w:ascii="仿宋" w:hAnsi="仿宋" w:eastAsia="仿宋"/>
          <w:b/>
          <w:bCs/>
          <w:sz w:val="30"/>
          <w:szCs w:val="30"/>
        </w:rPr>
      </w:pPr>
      <w:bookmarkStart w:id="20" w:name="_Toc63785505"/>
      <w:r>
        <w:rPr>
          <w:rFonts w:hint="eastAsia" w:ascii="仿宋" w:hAnsi="仿宋" w:eastAsia="仿宋"/>
          <w:b/>
          <w:bCs/>
          <w:sz w:val="30"/>
          <w:szCs w:val="30"/>
        </w:rPr>
        <w:t>售后服务要求</w:t>
      </w:r>
      <w:bookmarkEnd w:id="20"/>
    </w:p>
    <w:p>
      <w:pPr>
        <w:rPr>
          <w:rFonts w:hint="eastAsia" w:ascii="仿宋" w:hAnsi="仿宋" w:eastAsia="仿宋"/>
        </w:rPr>
      </w:pPr>
      <w:r>
        <w:rPr>
          <w:rFonts w:hint="eastAsia" w:ascii="仿宋" w:hAnsi="仿宋" w:eastAsia="仿宋"/>
        </w:rPr>
        <w:t>本项目从系统验收通过之日起1年内提供</w:t>
      </w:r>
      <w:r>
        <w:rPr>
          <w:rFonts w:ascii="仿宋" w:hAnsi="仿宋" w:eastAsia="仿宋"/>
        </w:rPr>
        <w:t>7*24小时免费技术支持</w:t>
      </w:r>
      <w:r>
        <w:rPr>
          <w:rFonts w:hint="eastAsia" w:ascii="仿宋" w:hAnsi="仿宋" w:eastAsia="仿宋"/>
        </w:rPr>
        <w:t>和售后服务，1年后进入有偿维护期。</w:t>
      </w:r>
    </w:p>
    <w:p>
      <w:pPr>
        <w:rPr>
          <w:rFonts w:hint="eastAsia" w:ascii="仿宋" w:hAnsi="仿宋" w:eastAsia="仿宋"/>
        </w:rPr>
      </w:pPr>
      <w:r>
        <w:rPr>
          <w:rFonts w:hint="eastAsia" w:ascii="仿宋" w:hAnsi="仿宋" w:eastAsia="仿宋"/>
        </w:rPr>
        <w:t>在质量保证期内，供应商将按照售后服务的承诺提供保修和运行维护服务，如果厂商对信息系统中软、硬件设备等产品中的部分保修期超过上述期限的，则按照厂商的规定进行免费保修。</w:t>
      </w:r>
    </w:p>
    <w:p>
      <w:pPr>
        <w:rPr>
          <w:rFonts w:hint="eastAsia" w:ascii="仿宋" w:hAnsi="仿宋" w:eastAsia="仿宋"/>
        </w:rPr>
      </w:pPr>
      <w:r>
        <w:rPr>
          <w:rFonts w:hint="eastAsia" w:ascii="仿宋" w:hAnsi="仿宋" w:eastAsia="仿宋"/>
        </w:rPr>
        <w:t>在质量保证期内，供应商负责信息系统的运行维护工作，确保信息系统安全、稳定、可靠地运行。本项目涉及的运行维护工作范围为：负责项目相关软硬件的安装、调试、软硬件集成、日常巡查、故障修复以及日常运维管理工作，协助对接完成云资源租赁服务。项目运维团队按照服务质量保证的标准要求提供各种售后服务，负责对其提供的系统进行维护或升级。</w:t>
      </w:r>
    </w:p>
    <w:p>
      <w:pPr>
        <w:pStyle w:val="61"/>
        <w:numPr>
          <w:ilvl w:val="1"/>
          <w:numId w:val="10"/>
        </w:numPr>
        <w:spacing w:line="560" w:lineRule="exact"/>
        <w:ind w:firstLineChars="0"/>
        <w:outlineLvl w:val="1"/>
        <w:rPr>
          <w:rFonts w:hint="eastAsia" w:ascii="仿宋" w:hAnsi="仿宋" w:eastAsia="仿宋"/>
          <w:b/>
          <w:bCs/>
          <w:sz w:val="30"/>
          <w:szCs w:val="30"/>
        </w:rPr>
      </w:pPr>
      <w:bookmarkStart w:id="21" w:name="_Toc63785506"/>
      <w:r>
        <w:rPr>
          <w:rFonts w:hint="eastAsia" w:ascii="仿宋" w:hAnsi="仿宋" w:eastAsia="仿宋"/>
          <w:b/>
          <w:bCs/>
          <w:sz w:val="30"/>
          <w:szCs w:val="30"/>
        </w:rPr>
        <w:t>应急响应要求</w:t>
      </w:r>
      <w:bookmarkEnd w:id="21"/>
    </w:p>
    <w:p>
      <w:pPr>
        <w:rPr>
          <w:rFonts w:hint="eastAsia" w:ascii="仿宋" w:hAnsi="仿宋" w:eastAsia="仿宋"/>
        </w:rPr>
      </w:pPr>
      <w:r>
        <w:rPr>
          <w:rFonts w:hint="eastAsia" w:ascii="仿宋" w:hAnsi="仿宋" w:eastAsia="仿宋"/>
        </w:rPr>
        <w:t>供应商对系统故障应能够实时响应，若系统发生故障，接到通知后30分钟之内响应，专业工程师2小时内到达现场。特殊故障与采购人沟通协商后，按照协商的方式制定解决方案并进行处理。</w:t>
      </w:r>
    </w:p>
    <w:p>
      <w:pPr>
        <w:rPr>
          <w:rFonts w:hint="eastAsia" w:ascii="仿宋" w:hAnsi="仿宋" w:eastAsia="仿宋"/>
        </w:rPr>
      </w:pPr>
      <w:r>
        <w:rPr>
          <w:rFonts w:hint="eastAsia" w:ascii="仿宋" w:hAnsi="仿宋" w:eastAsia="仿宋"/>
        </w:rPr>
        <w:t>具体故障级别及对应的应急响应要求如下：</w:t>
      </w:r>
    </w:p>
    <w:p>
      <w:pPr>
        <w:rPr>
          <w:rFonts w:hint="eastAsia" w:ascii="仿宋" w:hAnsi="仿宋" w:eastAsia="仿宋"/>
        </w:rPr>
      </w:pPr>
      <w:r>
        <w:rPr>
          <w:rFonts w:hint="eastAsia" w:ascii="仿宋" w:hAnsi="仿宋" w:eastAsia="仿宋"/>
        </w:rPr>
        <w:t>一级故障：在1小时内确诊，总故障解决时间不超过4小时。</w:t>
      </w:r>
    </w:p>
    <w:p>
      <w:pPr>
        <w:rPr>
          <w:rFonts w:hint="eastAsia" w:ascii="仿宋" w:hAnsi="仿宋" w:eastAsia="仿宋"/>
        </w:rPr>
      </w:pPr>
      <w:r>
        <w:rPr>
          <w:rFonts w:hint="eastAsia" w:ascii="仿宋" w:hAnsi="仿宋" w:eastAsia="仿宋"/>
        </w:rPr>
        <w:t>二级故障：在2小时内确诊，并在4小时内由专家到达现场确诊并解决，总故障解决时间不超过8小时；</w:t>
      </w:r>
    </w:p>
    <w:p>
      <w:pPr>
        <w:rPr>
          <w:rFonts w:hint="eastAsia" w:ascii="仿宋" w:hAnsi="仿宋" w:eastAsia="仿宋"/>
        </w:rPr>
      </w:pPr>
      <w:r>
        <w:rPr>
          <w:rFonts w:hint="eastAsia" w:ascii="仿宋" w:hAnsi="仿宋" w:eastAsia="仿宋"/>
        </w:rPr>
        <w:t>三、四级故障：在4小时内确诊故障，总故障解决时间不超过16小时。</w:t>
      </w:r>
    </w:p>
    <w:p>
      <w:pPr>
        <w:rPr>
          <w:rFonts w:hint="eastAsia" w:ascii="仿宋" w:hAnsi="仿宋" w:eastAsia="仿宋"/>
        </w:rPr>
      </w:pPr>
      <w:r>
        <w:rPr>
          <w:rFonts w:hint="eastAsia" w:ascii="仿宋" w:hAnsi="仿宋" w:eastAsia="仿宋"/>
        </w:rPr>
        <w:t>依据故障时间及故障范围划分故障级别，故障级别分为四级，依次为Ⅰ级（紧急）、Ⅱ级（严重）、Ⅲ级（较大）和Ⅳ级（一般），分别定义如下：</w:t>
      </w:r>
    </w:p>
    <w:p>
      <w:pPr>
        <w:rPr>
          <w:rFonts w:hint="eastAsia" w:ascii="仿宋" w:hAnsi="仿宋" w:eastAsia="仿宋"/>
        </w:rPr>
      </w:pPr>
      <w:r>
        <w:rPr>
          <w:rFonts w:hint="eastAsia" w:ascii="仿宋" w:hAnsi="仿宋" w:eastAsia="仿宋"/>
        </w:rPr>
        <w:t>Ⅰ级（紧急）故障为工作时间段（8:30——17:30）内大范围故障；</w:t>
      </w:r>
    </w:p>
    <w:p>
      <w:pPr>
        <w:rPr>
          <w:rFonts w:hint="eastAsia" w:ascii="仿宋" w:hAnsi="仿宋" w:eastAsia="仿宋"/>
        </w:rPr>
      </w:pPr>
      <w:r>
        <w:rPr>
          <w:rFonts w:hint="eastAsia" w:ascii="仿宋" w:hAnsi="仿宋" w:eastAsia="仿宋"/>
        </w:rPr>
        <w:t>Ⅱ级（严重）故障为非工作时间段（17:30——次日8:30）内大范围故障；</w:t>
      </w:r>
    </w:p>
    <w:p>
      <w:pPr>
        <w:rPr>
          <w:rFonts w:hint="eastAsia" w:ascii="仿宋" w:hAnsi="仿宋" w:eastAsia="仿宋"/>
        </w:rPr>
      </w:pPr>
      <w:r>
        <w:rPr>
          <w:rFonts w:hint="eastAsia" w:ascii="仿宋" w:hAnsi="仿宋" w:eastAsia="仿宋"/>
        </w:rPr>
        <w:t>Ⅲ级（较大）故障为工作时间段（8:30——17:30）内小范围故障；</w:t>
      </w:r>
    </w:p>
    <w:p>
      <w:pPr>
        <w:rPr>
          <w:rFonts w:hint="eastAsia" w:ascii="仿宋" w:hAnsi="仿宋" w:eastAsia="仿宋"/>
        </w:rPr>
      </w:pPr>
      <w:r>
        <w:rPr>
          <w:rFonts w:hint="eastAsia" w:ascii="仿宋" w:hAnsi="仿宋" w:eastAsia="仿宋"/>
        </w:rPr>
        <w:t>Ⅳ级（一般）故障为非工作时间段（17:30——次日8:30）内小范围故障</w:t>
      </w:r>
      <w:r>
        <w:rPr>
          <w:rFonts w:ascii="仿宋" w:hAnsi="仿宋" w:eastAsia="仿宋"/>
        </w:rPr>
        <w:t>。</w:t>
      </w:r>
    </w:p>
    <w:p>
      <w:pPr>
        <w:pStyle w:val="61"/>
        <w:numPr>
          <w:ilvl w:val="1"/>
          <w:numId w:val="10"/>
        </w:numPr>
        <w:spacing w:line="560" w:lineRule="exact"/>
        <w:ind w:firstLineChars="0"/>
        <w:outlineLvl w:val="1"/>
        <w:rPr>
          <w:rFonts w:hint="eastAsia" w:ascii="仿宋" w:hAnsi="仿宋" w:eastAsia="仿宋"/>
          <w:b/>
          <w:bCs/>
          <w:sz w:val="30"/>
          <w:szCs w:val="30"/>
        </w:rPr>
      </w:pPr>
      <w:bookmarkStart w:id="22" w:name="_Toc63785507"/>
      <w:r>
        <w:rPr>
          <w:rFonts w:hint="eastAsia" w:ascii="仿宋" w:hAnsi="仿宋" w:eastAsia="仿宋"/>
          <w:b/>
          <w:bCs/>
          <w:sz w:val="30"/>
          <w:szCs w:val="30"/>
        </w:rPr>
        <w:t>网络与数据安全</w:t>
      </w:r>
    </w:p>
    <w:p>
      <w:pPr>
        <w:rPr>
          <w:rFonts w:hint="eastAsia" w:ascii="仿宋" w:hAnsi="仿宋" w:eastAsia="仿宋"/>
        </w:rPr>
      </w:pPr>
      <w:r>
        <w:rPr>
          <w:rFonts w:hint="eastAsia" w:ascii="仿宋" w:hAnsi="仿宋" w:eastAsia="仿宋"/>
        </w:rPr>
        <w:t>(1)供应商应在项目深化设计阶段，应开展安全需求调研和数据分类分级工作，制定网络和数据安全设计方案，制定总体安全技术架构，明确边界防护、访问控制、权限管理、系统安全配置、身份鉴别、入侵防范等系统安全防护措施，制定差异化的数据安全防护手段，确保数据全生命周期安全。</w:t>
      </w:r>
    </w:p>
    <w:p>
      <w:pPr>
        <w:rPr>
          <w:rFonts w:hint="eastAsia" w:ascii="仿宋" w:hAnsi="仿宋" w:eastAsia="仿宋"/>
        </w:rPr>
      </w:pPr>
      <w:r>
        <w:rPr>
          <w:rFonts w:hint="eastAsia" w:ascii="仿宋" w:hAnsi="仿宋" w:eastAsia="仿宋"/>
        </w:rPr>
        <w:t>(2)供应商应配合采购人开展相关安全制度和规范的制定，并根据项目实际，制定项目实施过程安全管理方案。</w:t>
      </w:r>
    </w:p>
    <w:p>
      <w:pPr>
        <w:rPr>
          <w:rFonts w:hint="eastAsia" w:ascii="仿宋" w:hAnsi="仿宋" w:eastAsia="仿宋"/>
        </w:rPr>
      </w:pPr>
      <w:r>
        <w:rPr>
          <w:rFonts w:hint="eastAsia" w:ascii="仿宋" w:hAnsi="仿宋" w:eastAsia="仿宋"/>
        </w:rPr>
        <w:t>(3)供应商应确保所提供的软件产品和定制开发内容所涉及的供应链满足采购人的管理要求，提供供应链物料清单，落实供应链安全控制措施，包括代码安全检测和质量评估、漏洞扫描、第三方组件评估等工作，并于系统上线前，完成信息化资产的梳理。</w:t>
      </w:r>
    </w:p>
    <w:p>
      <w:pPr>
        <w:rPr>
          <w:rFonts w:hint="eastAsia" w:ascii="仿宋" w:hAnsi="仿宋" w:eastAsia="仿宋"/>
        </w:rPr>
      </w:pPr>
      <w:r>
        <w:rPr>
          <w:rFonts w:hint="eastAsia" w:ascii="仿宋" w:hAnsi="仿宋" w:eastAsia="仿宋"/>
        </w:rPr>
        <w:t>(4)供应商应在项目实施过程中，推动安全开发控制工作的实施，按照安全设计方案和采购人安全开发要求，落实安全开发规范，确保代码质量和安全性。供应商应确保系统开发及生产环境安全，落实安全管理策略及安全配置。</w:t>
      </w:r>
    </w:p>
    <w:p>
      <w:pPr>
        <w:rPr>
          <w:rFonts w:hint="eastAsia" w:ascii="仿宋" w:hAnsi="仿宋" w:eastAsia="仿宋"/>
        </w:rPr>
      </w:pPr>
      <w:r>
        <w:rPr>
          <w:rFonts w:hint="eastAsia" w:ascii="仿宋" w:hAnsi="仿宋" w:eastAsia="仿宋"/>
        </w:rPr>
        <w:t>(5)供应商应在项目实施过程中，按照数据差异化安全防护策略，根据系统需要采取数据加密、数据访问控制、日志记录、流转监测等防护能力及相关管理流程，切实保障数据安全。</w:t>
      </w:r>
    </w:p>
    <w:p>
      <w:pPr>
        <w:rPr>
          <w:rFonts w:hint="eastAsia" w:ascii="仿宋" w:hAnsi="仿宋" w:eastAsia="仿宋"/>
        </w:rPr>
      </w:pPr>
      <w:r>
        <w:rPr>
          <w:rFonts w:hint="eastAsia" w:ascii="仿宋" w:hAnsi="仿宋" w:eastAsia="仿宋"/>
        </w:rPr>
        <w:t>(6)供应商应按照采购人场地及人员安全管理制度，加强人员管理，配合采购人落实人员背调、入离场、终端管理、网络限制、数据权限最小化等管控措施。</w:t>
      </w:r>
    </w:p>
    <w:p>
      <w:pPr>
        <w:rPr>
          <w:rFonts w:hint="eastAsia" w:ascii="仿宋" w:hAnsi="仿宋" w:eastAsia="仿宋"/>
        </w:rPr>
      </w:pPr>
      <w:r>
        <w:rPr>
          <w:rFonts w:hint="eastAsia" w:ascii="仿宋" w:hAnsi="仿宋" w:eastAsia="仿宋"/>
        </w:rPr>
        <w:t>(7)供应商应配合采购人开展系统安全事件（含业务故障）级别划分，制定应急预案，并落实应急预案中规定的应急响应要求。</w:t>
      </w:r>
    </w:p>
    <w:p>
      <w:pPr>
        <w:rPr>
          <w:rFonts w:hint="eastAsia" w:ascii="仿宋" w:hAnsi="仿宋" w:eastAsia="仿宋"/>
        </w:rPr>
      </w:pPr>
      <w:r>
        <w:rPr>
          <w:rFonts w:hint="eastAsia" w:ascii="仿宋" w:hAnsi="仿宋" w:eastAsia="仿宋"/>
        </w:rPr>
        <w:t>8)供应商应于系统上线部署前对系统运行环境、应用软件等开展安全自查，并于项目初验及系统试运行阶段，配合采购人开展安测、密测、等保、密评、数据安全风险评估等系列安全测试、评估工作，针对发现的问题及时完成整改，确保系统上线安全。</w:t>
      </w:r>
    </w:p>
    <w:p>
      <w:pPr>
        <w:rPr>
          <w:rFonts w:hint="eastAsia" w:ascii="仿宋" w:hAnsi="仿宋" w:eastAsia="仿宋"/>
        </w:rPr>
      </w:pPr>
      <w:r>
        <w:rPr>
          <w:rFonts w:hint="eastAsia" w:ascii="仿宋" w:hAnsi="仿宋" w:eastAsia="仿宋"/>
        </w:rPr>
        <w:t>(9)供应商应在系统免维期内承担系统安全运维管理责任，落实安全管理保障措施，包括但不限于制度修订、风险排查、应急响应、漏洞修复、重保等工作。</w:t>
      </w:r>
    </w:p>
    <w:p>
      <w:pPr>
        <w:pStyle w:val="61"/>
        <w:numPr>
          <w:ilvl w:val="1"/>
          <w:numId w:val="10"/>
        </w:numPr>
        <w:spacing w:line="560" w:lineRule="exact"/>
        <w:ind w:firstLineChars="0"/>
        <w:outlineLvl w:val="1"/>
        <w:rPr>
          <w:rFonts w:hint="eastAsia" w:ascii="仿宋" w:hAnsi="仿宋" w:eastAsia="仿宋"/>
          <w:b/>
          <w:bCs/>
          <w:sz w:val="30"/>
          <w:szCs w:val="30"/>
        </w:rPr>
      </w:pPr>
      <w:r>
        <w:rPr>
          <w:rFonts w:hint="eastAsia" w:ascii="仿宋" w:hAnsi="仿宋" w:eastAsia="仿宋"/>
          <w:b/>
          <w:bCs/>
          <w:sz w:val="30"/>
          <w:szCs w:val="30"/>
        </w:rPr>
        <w:t>培训要求</w:t>
      </w:r>
      <w:bookmarkEnd w:id="22"/>
    </w:p>
    <w:p>
      <w:pPr>
        <w:rPr>
          <w:rFonts w:hint="eastAsia" w:ascii="仿宋" w:hAnsi="仿宋" w:eastAsia="仿宋"/>
        </w:rPr>
      </w:pPr>
      <w:r>
        <w:rPr>
          <w:rFonts w:hint="eastAsia" w:ascii="仿宋" w:hAnsi="仿宋" w:eastAsia="仿宋"/>
        </w:rPr>
        <w:t>对系统使用单位提供业务操作培训，应提供详细培训方案。</w:t>
      </w:r>
    </w:p>
    <w:p>
      <w:pPr>
        <w:rPr>
          <w:rFonts w:hint="eastAsia" w:ascii="仿宋" w:hAnsi="仿宋" w:eastAsia="仿宋"/>
        </w:rPr>
      </w:pPr>
      <w:r>
        <w:rPr>
          <w:rFonts w:hint="eastAsia" w:ascii="仿宋" w:hAnsi="仿宋" w:eastAsia="仿宋"/>
        </w:rPr>
        <w:t>(1)在12个月的质量保证期内，提供</w:t>
      </w:r>
      <w:r>
        <w:rPr>
          <w:rFonts w:hint="eastAsia" w:ascii="仿宋" w:hAnsi="仿宋" w:eastAsia="仿宋"/>
          <w:highlight w:val="none"/>
        </w:rPr>
        <w:t>2</w:t>
      </w:r>
      <w:r>
        <w:rPr>
          <w:rFonts w:hint="eastAsia" w:ascii="仿宋" w:hAnsi="仿宋" w:eastAsia="仿宋"/>
        </w:rPr>
        <w:t>次与项目相关的必要培训。</w:t>
      </w:r>
    </w:p>
    <w:p>
      <w:pPr>
        <w:rPr>
          <w:rFonts w:hint="eastAsia" w:ascii="仿宋" w:hAnsi="仿宋" w:eastAsia="仿宋"/>
        </w:rPr>
      </w:pPr>
      <w:r>
        <w:rPr>
          <w:rFonts w:hint="eastAsia" w:ascii="仿宋" w:hAnsi="仿宋" w:eastAsia="仿宋"/>
        </w:rPr>
        <w:t>(2)供应商需要开展分层次的人员培训工作，每次培训后应对参加培训人员进行测试，评估培训成果。培训应具有培训教材、培训环境和高水平的培训讲师。</w:t>
      </w:r>
    </w:p>
    <w:p>
      <w:pPr>
        <w:rPr>
          <w:rFonts w:hint="eastAsia" w:ascii="仿宋" w:hAnsi="仿宋" w:eastAsia="仿宋"/>
        </w:rPr>
      </w:pPr>
      <w:r>
        <w:rPr>
          <w:rFonts w:hint="eastAsia" w:ascii="仿宋" w:hAnsi="仿宋" w:eastAsia="仿宋"/>
        </w:rPr>
        <w:t>(3)供应商应提供一般用户的基础操作培训和部门信息管理员的日常应用维护的培训，确保用户对象能够掌握对应的操作技能。</w:t>
      </w:r>
    </w:p>
    <w:p>
      <w:pPr>
        <w:pStyle w:val="61"/>
        <w:numPr>
          <w:ilvl w:val="1"/>
          <w:numId w:val="10"/>
        </w:numPr>
        <w:spacing w:line="560" w:lineRule="exact"/>
        <w:ind w:firstLineChars="0"/>
        <w:outlineLvl w:val="1"/>
        <w:rPr>
          <w:rFonts w:hint="eastAsia" w:ascii="仿宋" w:hAnsi="仿宋" w:eastAsia="仿宋"/>
          <w:b/>
          <w:bCs/>
          <w:sz w:val="30"/>
          <w:szCs w:val="30"/>
        </w:rPr>
      </w:pPr>
      <w:bookmarkStart w:id="23" w:name="_Toc63785508"/>
      <w:r>
        <w:rPr>
          <w:rFonts w:hint="eastAsia" w:ascii="仿宋" w:hAnsi="仿宋" w:eastAsia="仿宋"/>
          <w:b/>
          <w:bCs/>
          <w:sz w:val="30"/>
          <w:szCs w:val="30"/>
        </w:rPr>
        <w:t>验收要求</w:t>
      </w:r>
      <w:bookmarkEnd w:id="23"/>
    </w:p>
    <w:p>
      <w:pPr>
        <w:rPr>
          <w:rFonts w:hint="eastAsia" w:ascii="仿宋" w:hAnsi="仿宋" w:eastAsia="仿宋"/>
        </w:rPr>
      </w:pPr>
      <w:r>
        <w:rPr>
          <w:rFonts w:hint="eastAsia" w:ascii="仿宋" w:hAnsi="仿宋" w:eastAsia="仿宋"/>
        </w:rPr>
        <w:t>本项目按下述方式开展验收。</w:t>
      </w:r>
    </w:p>
    <w:p>
      <w:pPr>
        <w:rPr>
          <w:rFonts w:hint="eastAsia" w:ascii="仿宋" w:hAnsi="仿宋" w:eastAsia="仿宋"/>
        </w:rPr>
      </w:pPr>
      <w:r>
        <w:rPr>
          <w:rFonts w:hint="eastAsia" w:ascii="仿宋" w:hAnsi="仿宋" w:eastAsia="仿宋"/>
        </w:rPr>
        <w:t>（</w:t>
      </w:r>
      <w:r>
        <w:rPr>
          <w:rFonts w:ascii="仿宋" w:hAnsi="仿宋" w:eastAsia="仿宋"/>
        </w:rPr>
        <w:t>1）验收分初验和终验。</w:t>
      </w:r>
    </w:p>
    <w:p>
      <w:pPr>
        <w:rPr>
          <w:rFonts w:hint="eastAsia" w:ascii="仿宋" w:hAnsi="仿宋" w:eastAsia="仿宋"/>
        </w:rPr>
      </w:pPr>
      <w:r>
        <w:rPr>
          <w:rFonts w:hint="eastAsia" w:ascii="仿宋" w:hAnsi="仿宋" w:eastAsia="仿宋"/>
        </w:rPr>
        <w:t>（</w:t>
      </w:r>
      <w:r>
        <w:rPr>
          <w:rFonts w:ascii="仿宋" w:hAnsi="仿宋" w:eastAsia="仿宋"/>
        </w:rPr>
        <w:t>2）初验前，供应商须完成软件开发、软硬件安装和信息系统的调试等，并对本项目进行功能和运行检测，确保所有信息系统功能模块能够正常运行且已达到本项目约定的各类标准要求。供应商应以书面形式向</w:t>
      </w:r>
      <w:r>
        <w:rPr>
          <w:rFonts w:hint="eastAsia" w:ascii="仿宋" w:hAnsi="仿宋" w:eastAsia="仿宋"/>
          <w:lang w:eastAsia="zh-CN"/>
        </w:rPr>
        <w:t>采购人</w:t>
      </w:r>
      <w:r>
        <w:rPr>
          <w:rFonts w:ascii="仿宋" w:hAnsi="仿宋" w:eastAsia="仿宋"/>
        </w:rPr>
        <w:t>递交初验通知书。</w:t>
      </w:r>
      <w:r>
        <w:rPr>
          <w:rFonts w:hint="eastAsia" w:ascii="仿宋" w:hAnsi="仿宋" w:eastAsia="仿宋"/>
          <w:lang w:eastAsia="zh-CN"/>
        </w:rPr>
        <w:t>采购人</w:t>
      </w:r>
      <w:r>
        <w:rPr>
          <w:rFonts w:ascii="仿宋" w:hAnsi="仿宋" w:eastAsia="仿宋"/>
        </w:rPr>
        <w:t>应当在接到通知后的</w:t>
      </w:r>
      <w:r>
        <w:rPr>
          <w:rFonts w:ascii="仿宋" w:hAnsi="仿宋" w:eastAsia="仿宋"/>
          <w:highlight w:val="none"/>
        </w:rPr>
        <w:t>5</w:t>
      </w:r>
      <w:r>
        <w:rPr>
          <w:rFonts w:ascii="仿宋" w:hAnsi="仿宋" w:eastAsia="仿宋"/>
        </w:rPr>
        <w:t>个工作日内确定初验的具体日期，由双方按照本项目的约定完成本项目的初验。</w:t>
      </w:r>
      <w:r>
        <w:rPr>
          <w:rFonts w:hint="eastAsia" w:ascii="仿宋" w:hAnsi="仿宋" w:eastAsia="仿宋"/>
          <w:lang w:eastAsia="zh-CN"/>
        </w:rPr>
        <w:t>采购人</w:t>
      </w:r>
      <w:r>
        <w:rPr>
          <w:rFonts w:ascii="仿宋" w:hAnsi="仿宋" w:eastAsia="仿宋"/>
        </w:rPr>
        <w:t>有权委托第三方检测机构进行验收，对此供应商应当配合。</w:t>
      </w:r>
    </w:p>
    <w:p>
      <w:pPr>
        <w:rPr>
          <w:rFonts w:hint="eastAsia" w:ascii="仿宋" w:hAnsi="仿宋" w:eastAsia="仿宋"/>
        </w:rPr>
      </w:pPr>
      <w:r>
        <w:rPr>
          <w:rFonts w:hint="eastAsia" w:ascii="仿宋" w:hAnsi="仿宋" w:eastAsia="仿宋"/>
        </w:rPr>
        <w:t>（</w:t>
      </w:r>
      <w:r>
        <w:rPr>
          <w:rFonts w:ascii="仿宋" w:hAnsi="仿宋" w:eastAsia="仿宋"/>
        </w:rPr>
        <w:t>3）初验时，供应商须提供软件文档包括《用户需求说明书》、《系统概要设计说明书》、《系统详细设计说明书》、</w:t>
      </w:r>
      <w:r>
        <w:rPr>
          <w:rFonts w:hint="eastAsia" w:ascii="仿宋" w:hAnsi="仿宋" w:eastAsia="仿宋"/>
        </w:rPr>
        <w:t>《三方功能需求确认单》、</w:t>
      </w:r>
      <w:r>
        <w:rPr>
          <w:rFonts w:ascii="仿宋" w:hAnsi="仿宋" w:eastAsia="仿宋"/>
        </w:rPr>
        <w:t>《测试报告》、《用户使用手册》、《系统部署文档》等）及可安装的程序运行文件。所交付的文档与文件应当是可供自然人阅读的书面和电子文档。软件文档及可安装的程序运行文件验收通过后，视为初验通过。如有缺陷，</w:t>
      </w:r>
      <w:r>
        <w:rPr>
          <w:rFonts w:hint="eastAsia" w:ascii="仿宋" w:hAnsi="仿宋" w:eastAsia="仿宋"/>
          <w:lang w:eastAsia="zh-CN"/>
        </w:rPr>
        <w:t>采购人</w:t>
      </w:r>
      <w:r>
        <w:rPr>
          <w:rFonts w:ascii="仿宋" w:hAnsi="仿宋" w:eastAsia="仿宋"/>
        </w:rPr>
        <w:t>应向供应商出具书面报告，陈述需要改进的缺陷。供应商应立即严格依照</w:t>
      </w:r>
      <w:r>
        <w:rPr>
          <w:rFonts w:hint="eastAsia" w:ascii="仿宋" w:hAnsi="仿宋" w:eastAsia="仿宋"/>
          <w:lang w:eastAsia="zh-CN"/>
        </w:rPr>
        <w:t>采购人</w:t>
      </w:r>
      <w:r>
        <w:rPr>
          <w:rFonts w:ascii="仿宋" w:hAnsi="仿宋" w:eastAsia="仿宋"/>
        </w:rPr>
        <w:t>的书面报告中的要求改进缺陷，并再次进行初验。</w:t>
      </w:r>
    </w:p>
    <w:p>
      <w:pPr>
        <w:rPr>
          <w:rFonts w:hint="eastAsia" w:ascii="仿宋" w:hAnsi="仿宋" w:eastAsia="仿宋"/>
        </w:rPr>
      </w:pPr>
      <w:r>
        <w:rPr>
          <w:rFonts w:hint="eastAsia" w:ascii="仿宋" w:hAnsi="仿宋" w:eastAsia="仿宋"/>
        </w:rPr>
        <w:t>（</w:t>
      </w:r>
      <w:r>
        <w:rPr>
          <w:rFonts w:ascii="仿宋" w:hAnsi="仿宋" w:eastAsia="仿宋"/>
        </w:rPr>
        <w:t>4）自初验通过之日起，</w:t>
      </w:r>
      <w:r>
        <w:rPr>
          <w:rFonts w:hint="eastAsia" w:ascii="仿宋" w:hAnsi="仿宋" w:eastAsia="仿宋"/>
          <w:lang w:eastAsia="zh-CN"/>
        </w:rPr>
        <w:t>采购人</w:t>
      </w:r>
      <w:r>
        <w:rPr>
          <w:rFonts w:ascii="仿宋" w:hAnsi="仿宋" w:eastAsia="仿宋"/>
        </w:rPr>
        <w:t>享有供应商免费提供的</w:t>
      </w:r>
      <w:r>
        <w:rPr>
          <w:rFonts w:hint="eastAsia" w:ascii="仿宋" w:hAnsi="仿宋" w:eastAsia="仿宋"/>
          <w:highlight w:val="none"/>
        </w:rPr>
        <w:t>30</w:t>
      </w:r>
      <w:r>
        <w:rPr>
          <w:rFonts w:ascii="仿宋" w:hAnsi="仿宋" w:eastAsia="仿宋"/>
        </w:rPr>
        <w:t>天的信息系统试运行现场驻场服务期。该期间内，供应商应当按照</w:t>
      </w:r>
      <w:r>
        <w:rPr>
          <w:rFonts w:hint="eastAsia" w:ascii="仿宋" w:hAnsi="仿宋" w:eastAsia="仿宋"/>
          <w:lang w:eastAsia="zh-CN"/>
        </w:rPr>
        <w:t>采购人</w:t>
      </w:r>
      <w:r>
        <w:rPr>
          <w:rFonts w:ascii="仿宋" w:hAnsi="仿宋" w:eastAsia="仿宋"/>
        </w:rPr>
        <w:t>的要求提供现场技术支持服务，解决信息系统试运行期间可能出现的各类问题，或进一步提高与完善信息系统运行水平。</w:t>
      </w:r>
    </w:p>
    <w:p>
      <w:pPr>
        <w:rPr>
          <w:rFonts w:hint="eastAsia" w:ascii="仿宋" w:hAnsi="仿宋" w:eastAsia="仿宋"/>
        </w:rPr>
      </w:pPr>
      <w:r>
        <w:rPr>
          <w:rFonts w:hint="eastAsia" w:ascii="仿宋" w:hAnsi="仿宋" w:eastAsia="仿宋"/>
        </w:rPr>
        <w:t>（</w:t>
      </w:r>
      <w:r>
        <w:rPr>
          <w:rFonts w:ascii="仿宋" w:hAnsi="仿宋" w:eastAsia="仿宋"/>
        </w:rPr>
        <w:t>5）初验通过且信息系统试运行期已经达到本项目约定的时间，经供应商确认信息系统具备正常运行条件，且信息系统通过运行测试，供应商应以书面形式通知</w:t>
      </w:r>
      <w:r>
        <w:rPr>
          <w:rFonts w:hint="eastAsia" w:ascii="仿宋" w:hAnsi="仿宋" w:eastAsia="仿宋"/>
          <w:lang w:eastAsia="zh-CN"/>
        </w:rPr>
        <w:t>采购人</w:t>
      </w:r>
      <w:r>
        <w:rPr>
          <w:rFonts w:ascii="仿宋" w:hAnsi="仿宋" w:eastAsia="仿宋"/>
        </w:rPr>
        <w:t>信息系统已准备就绪等待终验。</w:t>
      </w:r>
      <w:r>
        <w:rPr>
          <w:rFonts w:hint="eastAsia" w:ascii="仿宋" w:hAnsi="仿宋" w:eastAsia="仿宋"/>
          <w:lang w:eastAsia="zh-CN"/>
        </w:rPr>
        <w:t>采购人</w:t>
      </w:r>
      <w:r>
        <w:rPr>
          <w:rFonts w:ascii="仿宋" w:hAnsi="仿宋" w:eastAsia="仿宋"/>
        </w:rPr>
        <w:t>在收到终验通知后的</w:t>
      </w:r>
      <w:r>
        <w:rPr>
          <w:rFonts w:hint="eastAsia" w:ascii="仿宋" w:hAnsi="仿宋" w:eastAsia="仿宋"/>
          <w:highlight w:val="none"/>
        </w:rPr>
        <w:t>20</w:t>
      </w:r>
      <w:r>
        <w:rPr>
          <w:rFonts w:ascii="仿宋" w:hAnsi="仿宋" w:eastAsia="仿宋"/>
        </w:rPr>
        <w:t>个工作日内发起组织专家验收会。</w:t>
      </w:r>
    </w:p>
    <w:p>
      <w:pPr>
        <w:rPr>
          <w:rFonts w:hint="eastAsia" w:ascii="仿宋" w:hAnsi="仿宋" w:eastAsia="仿宋"/>
        </w:rPr>
      </w:pPr>
      <w:r>
        <w:rPr>
          <w:rFonts w:hint="eastAsia" w:ascii="仿宋" w:hAnsi="仿宋" w:eastAsia="仿宋"/>
        </w:rPr>
        <w:t>（6</w:t>
      </w:r>
      <w:r>
        <w:rPr>
          <w:rFonts w:ascii="仿宋" w:hAnsi="仿宋" w:eastAsia="仿宋"/>
        </w:rPr>
        <w:t>）如果属于供应商原因致使本项目未能通过终验，供应商应当排除缺陷，直至本项目完全符合验收标准，由上述情形而产生的相关费用应由供应商自行承担。</w:t>
      </w:r>
    </w:p>
    <w:p>
      <w:pPr>
        <w:rPr>
          <w:rFonts w:hint="eastAsia" w:ascii="仿宋" w:hAnsi="仿宋" w:eastAsia="仿宋"/>
        </w:rPr>
      </w:pPr>
      <w:r>
        <w:rPr>
          <w:rFonts w:hint="eastAsia" w:ascii="仿宋" w:hAnsi="仿宋" w:eastAsia="仿宋"/>
        </w:rPr>
        <w:t>（7</w:t>
      </w:r>
      <w:r>
        <w:rPr>
          <w:rFonts w:ascii="仿宋" w:hAnsi="仿宋" w:eastAsia="仿宋"/>
        </w:rPr>
        <w:t>）如果由于</w:t>
      </w:r>
      <w:r>
        <w:rPr>
          <w:rFonts w:hint="eastAsia" w:ascii="仿宋" w:hAnsi="仿宋" w:eastAsia="仿宋"/>
          <w:lang w:eastAsia="zh-CN"/>
        </w:rPr>
        <w:t>采购人</w:t>
      </w:r>
      <w:r>
        <w:rPr>
          <w:rFonts w:ascii="仿宋" w:hAnsi="仿宋" w:eastAsia="仿宋"/>
        </w:rPr>
        <w:t>原因导致本项目在终验通过前出现故障或问题，供应商应及时配合排除该方面的故障或问题。</w:t>
      </w:r>
    </w:p>
    <w:p>
      <w:pPr>
        <w:rPr>
          <w:rFonts w:hint="eastAsia" w:ascii="仿宋" w:hAnsi="仿宋" w:eastAsia="仿宋"/>
        </w:rPr>
      </w:pPr>
      <w:r>
        <w:rPr>
          <w:rFonts w:hint="eastAsia" w:ascii="仿宋" w:hAnsi="仿宋" w:eastAsia="仿宋"/>
        </w:rPr>
        <w:t>（8</w:t>
      </w:r>
      <w:r>
        <w:rPr>
          <w:rFonts w:ascii="仿宋" w:hAnsi="仿宋" w:eastAsia="仿宋"/>
        </w:rPr>
        <w:t>）如本项目连续</w:t>
      </w:r>
      <w:r>
        <w:rPr>
          <w:rFonts w:hint="eastAsia" w:ascii="仿宋" w:hAnsi="仿宋" w:eastAsia="仿宋"/>
        </w:rPr>
        <w:t>2</w:t>
      </w:r>
      <w:r>
        <w:rPr>
          <w:rFonts w:ascii="仿宋" w:hAnsi="仿宋" w:eastAsia="仿宋"/>
        </w:rPr>
        <w:t>次验收未通过（含初验未通过或终验未通过），</w:t>
      </w:r>
      <w:r>
        <w:rPr>
          <w:rFonts w:hint="eastAsia" w:ascii="仿宋" w:hAnsi="仿宋" w:eastAsia="仿宋"/>
          <w:lang w:eastAsia="zh-CN"/>
        </w:rPr>
        <w:t>采购人</w:t>
      </w:r>
      <w:r>
        <w:rPr>
          <w:rFonts w:ascii="仿宋" w:hAnsi="仿宋" w:eastAsia="仿宋"/>
        </w:rPr>
        <w:t>有权解除项目，并有权依照本项目约定的违约条款追究供应商的违约责任。</w:t>
      </w:r>
    </w:p>
    <w:p>
      <w:pPr>
        <w:pStyle w:val="61"/>
        <w:numPr>
          <w:ilvl w:val="1"/>
          <w:numId w:val="10"/>
        </w:numPr>
        <w:spacing w:line="560" w:lineRule="exact"/>
        <w:ind w:firstLineChars="0"/>
        <w:outlineLvl w:val="1"/>
        <w:rPr>
          <w:rFonts w:hint="eastAsia" w:ascii="仿宋" w:hAnsi="仿宋" w:eastAsia="仿宋"/>
          <w:b/>
          <w:bCs/>
          <w:sz w:val="30"/>
          <w:szCs w:val="30"/>
        </w:rPr>
      </w:pPr>
      <w:bookmarkStart w:id="24" w:name="_Toc63785509"/>
      <w:r>
        <w:rPr>
          <w:rFonts w:hint="eastAsia" w:ascii="仿宋" w:hAnsi="仿宋" w:eastAsia="仿宋"/>
          <w:b/>
          <w:bCs/>
          <w:sz w:val="30"/>
          <w:szCs w:val="30"/>
        </w:rPr>
        <w:t>进度要求</w:t>
      </w:r>
      <w:bookmarkEnd w:id="24"/>
    </w:p>
    <w:p>
      <w:pPr>
        <w:rPr>
          <w:rFonts w:hint="eastAsia" w:ascii="仿宋" w:hAnsi="仿宋" w:eastAsia="仿宋"/>
        </w:rPr>
      </w:pPr>
      <w:r>
        <w:rPr>
          <w:rFonts w:hint="eastAsia" w:ascii="仿宋" w:hAnsi="仿宋" w:eastAsia="仿宋"/>
        </w:rPr>
        <w:t>总建设周期为8个月，分为6个阶段。</w:t>
      </w:r>
    </w:p>
    <w:p>
      <w:pPr>
        <w:rPr>
          <w:rFonts w:hint="eastAsia" w:ascii="仿宋" w:hAnsi="仿宋" w:eastAsia="仿宋"/>
        </w:rPr>
      </w:pPr>
      <w:r>
        <w:rPr>
          <w:rFonts w:hint="eastAsia" w:ascii="仿宋" w:hAnsi="仿宋" w:eastAsia="仿宋"/>
        </w:rPr>
        <w:t>第一阶段为0.5个月，完成需求调研。</w:t>
      </w:r>
    </w:p>
    <w:p>
      <w:pPr>
        <w:rPr>
          <w:rFonts w:hint="eastAsia" w:ascii="仿宋" w:hAnsi="仿宋" w:eastAsia="仿宋"/>
        </w:rPr>
      </w:pPr>
      <w:r>
        <w:rPr>
          <w:rFonts w:hint="eastAsia" w:ascii="仿宋" w:hAnsi="仿宋" w:eastAsia="仿宋"/>
        </w:rPr>
        <w:t>第二阶段为0.5个月，完成系统设计。</w:t>
      </w:r>
    </w:p>
    <w:p>
      <w:pPr>
        <w:rPr>
          <w:rFonts w:hint="eastAsia" w:ascii="仿宋" w:hAnsi="仿宋" w:eastAsia="仿宋"/>
        </w:rPr>
      </w:pPr>
      <w:r>
        <w:rPr>
          <w:rFonts w:hint="eastAsia" w:ascii="仿宋" w:hAnsi="仿宋" w:eastAsia="仿宋"/>
        </w:rPr>
        <w:t>第三阶段为5个月，开展所有项目内容建设。</w:t>
      </w:r>
    </w:p>
    <w:p>
      <w:pPr>
        <w:rPr>
          <w:rFonts w:hint="eastAsia" w:ascii="仿宋" w:hAnsi="仿宋" w:eastAsia="仿宋"/>
        </w:rPr>
      </w:pPr>
      <w:r>
        <w:rPr>
          <w:rFonts w:hint="eastAsia" w:ascii="仿宋" w:hAnsi="仿宋" w:eastAsia="仿宋"/>
        </w:rPr>
        <w:t>第四阶段为0.5个月，完成系统测试。</w:t>
      </w:r>
    </w:p>
    <w:p>
      <w:pPr>
        <w:rPr>
          <w:rFonts w:hint="eastAsia" w:ascii="仿宋" w:hAnsi="仿宋" w:eastAsia="仿宋"/>
        </w:rPr>
      </w:pPr>
      <w:r>
        <w:rPr>
          <w:rFonts w:hint="eastAsia" w:ascii="仿宋" w:hAnsi="仿宋" w:eastAsia="仿宋"/>
        </w:rPr>
        <w:t>第五阶段为1个月，完成系统试运行。</w:t>
      </w:r>
    </w:p>
    <w:p>
      <w:pPr>
        <w:rPr>
          <w:rFonts w:hint="eastAsia" w:ascii="仿宋" w:hAnsi="仿宋" w:eastAsia="仿宋"/>
        </w:rPr>
      </w:pPr>
      <w:r>
        <w:rPr>
          <w:rFonts w:hint="eastAsia" w:ascii="仿宋" w:hAnsi="仿宋" w:eastAsia="仿宋"/>
        </w:rPr>
        <w:t>第六阶段为0.5个月，完成系统验收上线。</w:t>
      </w:r>
    </w:p>
    <w:p>
      <w:pPr>
        <w:pStyle w:val="61"/>
        <w:numPr>
          <w:ilvl w:val="1"/>
          <w:numId w:val="10"/>
        </w:numPr>
        <w:spacing w:line="560" w:lineRule="exact"/>
        <w:ind w:firstLineChars="0"/>
        <w:outlineLvl w:val="1"/>
        <w:rPr>
          <w:rFonts w:hint="eastAsia" w:ascii="仿宋" w:hAnsi="仿宋" w:eastAsia="仿宋"/>
          <w:b/>
          <w:bCs/>
          <w:sz w:val="30"/>
          <w:szCs w:val="30"/>
        </w:rPr>
      </w:pPr>
      <w:bookmarkStart w:id="25" w:name="_Toc63785510"/>
      <w:r>
        <w:rPr>
          <w:rFonts w:hint="eastAsia" w:ascii="仿宋" w:hAnsi="仿宋" w:eastAsia="仿宋"/>
          <w:b/>
          <w:bCs/>
          <w:sz w:val="30"/>
          <w:szCs w:val="30"/>
        </w:rPr>
        <w:t>项目团队及驻场人员要求</w:t>
      </w:r>
      <w:bookmarkEnd w:id="25"/>
    </w:p>
    <w:p>
      <w:pPr>
        <w:rPr>
          <w:rFonts w:hint="eastAsia" w:ascii="仿宋" w:hAnsi="仿宋" w:eastAsia="仿宋"/>
        </w:rPr>
      </w:pPr>
      <w:r>
        <w:rPr>
          <w:rFonts w:ascii="仿宋" w:hAnsi="仿宋" w:eastAsia="仿宋"/>
        </w:rPr>
        <w:t>1）</w:t>
      </w:r>
      <w:r>
        <w:rPr>
          <w:rFonts w:hint="eastAsia" w:ascii="仿宋" w:hAnsi="仿宋" w:eastAsia="仿宋"/>
          <w:lang w:eastAsia="zh-CN"/>
        </w:rPr>
        <w:t>供应商</w:t>
      </w:r>
      <w:r>
        <w:rPr>
          <w:rFonts w:ascii="仿宋" w:hAnsi="仿宋" w:eastAsia="仿宋"/>
        </w:rPr>
        <w:t>须具有稳定的在职技术保障力量，能够提供及时的技术支援或服务，应针对本项目提供不少于</w:t>
      </w:r>
      <w:r>
        <w:rPr>
          <w:rFonts w:hint="eastAsia" w:ascii="仿宋" w:hAnsi="仿宋" w:eastAsia="仿宋"/>
        </w:rPr>
        <w:t>19</w:t>
      </w:r>
      <w:r>
        <w:rPr>
          <w:rFonts w:ascii="仿宋" w:hAnsi="仿宋" w:eastAsia="仿宋"/>
        </w:rPr>
        <w:t>人的项目服务团队（包括项目经理、产品经理、技术负责人、研发等），</w:t>
      </w:r>
      <w:r>
        <w:rPr>
          <w:rFonts w:hint="eastAsia" w:ascii="仿宋" w:hAnsi="仿宋" w:eastAsia="仿宋"/>
          <w:lang w:eastAsia="zh-CN"/>
        </w:rPr>
        <w:t>供应商</w:t>
      </w:r>
      <w:r>
        <w:rPr>
          <w:rFonts w:ascii="仿宋" w:hAnsi="仿宋" w:eastAsia="仿宋"/>
        </w:rPr>
        <w:t>的相关服务人员需具备相应的服务能力，需提供相关证明。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2505"/>
        <w:gridCol w:w="1276"/>
        <w:gridCol w:w="1984"/>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0" w:type="auto"/>
            <w:noWrap/>
            <w:vAlign w:val="center"/>
          </w:tcPr>
          <w:p>
            <w:pPr>
              <w:widowControl/>
              <w:spacing w:line="240" w:lineRule="auto"/>
              <w:ind w:firstLine="0" w:firstLineChars="0"/>
              <w:jc w:val="center"/>
              <w:rPr>
                <w:rFonts w:hint="eastAsia" w:ascii="仿宋" w:hAnsi="仿宋" w:eastAsia="仿宋"/>
                <w:b/>
              </w:rPr>
            </w:pPr>
            <w:r>
              <w:rPr>
                <w:rFonts w:ascii="仿宋" w:hAnsi="仿宋" w:eastAsia="仿宋"/>
                <w:b/>
              </w:rPr>
              <w:t>角色</w:t>
            </w:r>
          </w:p>
        </w:tc>
        <w:tc>
          <w:tcPr>
            <w:tcW w:w="2505" w:type="dxa"/>
            <w:noWrap/>
            <w:vAlign w:val="center"/>
          </w:tcPr>
          <w:p>
            <w:pPr>
              <w:widowControl/>
              <w:spacing w:line="240" w:lineRule="auto"/>
              <w:ind w:firstLine="0" w:firstLineChars="0"/>
              <w:jc w:val="center"/>
              <w:rPr>
                <w:rFonts w:hint="eastAsia" w:ascii="仿宋" w:hAnsi="仿宋" w:eastAsia="仿宋"/>
                <w:b/>
              </w:rPr>
            </w:pPr>
            <w:r>
              <w:rPr>
                <w:rFonts w:ascii="仿宋" w:hAnsi="仿宋" w:eastAsia="仿宋"/>
                <w:b/>
              </w:rPr>
              <w:t>主要职责</w:t>
            </w:r>
          </w:p>
        </w:tc>
        <w:tc>
          <w:tcPr>
            <w:tcW w:w="1276" w:type="dxa"/>
            <w:noWrap/>
            <w:vAlign w:val="center"/>
          </w:tcPr>
          <w:p>
            <w:pPr>
              <w:widowControl/>
              <w:spacing w:line="240" w:lineRule="auto"/>
              <w:ind w:firstLine="0" w:firstLineChars="0"/>
              <w:jc w:val="center"/>
              <w:rPr>
                <w:rFonts w:hint="eastAsia" w:ascii="仿宋" w:hAnsi="仿宋" w:eastAsia="仿宋"/>
                <w:b/>
              </w:rPr>
            </w:pPr>
            <w:r>
              <w:rPr>
                <w:rFonts w:ascii="仿宋" w:hAnsi="仿宋" w:eastAsia="仿宋"/>
                <w:b/>
              </w:rPr>
              <w:t>人员数量</w:t>
            </w:r>
          </w:p>
        </w:tc>
        <w:tc>
          <w:tcPr>
            <w:tcW w:w="1984" w:type="dxa"/>
            <w:vAlign w:val="center"/>
          </w:tcPr>
          <w:p>
            <w:pPr>
              <w:widowControl/>
              <w:spacing w:line="240" w:lineRule="auto"/>
              <w:ind w:firstLine="0" w:firstLineChars="0"/>
              <w:jc w:val="center"/>
              <w:rPr>
                <w:rFonts w:hint="eastAsia" w:ascii="仿宋" w:hAnsi="仿宋" w:eastAsia="仿宋"/>
                <w:b/>
              </w:rPr>
            </w:pPr>
            <w:r>
              <w:rPr>
                <w:rFonts w:ascii="仿宋" w:hAnsi="仿宋" w:eastAsia="仿宋"/>
                <w:b/>
              </w:rPr>
              <w:t>人员要求</w:t>
            </w:r>
          </w:p>
        </w:tc>
        <w:tc>
          <w:tcPr>
            <w:tcW w:w="1361" w:type="dxa"/>
            <w:noWrap/>
            <w:vAlign w:val="center"/>
          </w:tcPr>
          <w:p>
            <w:pPr>
              <w:widowControl/>
              <w:spacing w:line="240" w:lineRule="auto"/>
              <w:ind w:firstLine="0" w:firstLineChars="0"/>
              <w:jc w:val="center"/>
              <w:rPr>
                <w:rFonts w:hint="eastAsia" w:ascii="仿宋" w:hAnsi="仿宋" w:eastAsia="仿宋"/>
                <w:b/>
              </w:rPr>
            </w:pPr>
            <w:r>
              <w:rPr>
                <w:rFonts w:ascii="仿宋" w:hAnsi="仿宋" w:eastAsia="仿宋"/>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0" w:type="auto"/>
            <w:noWrap/>
            <w:vAlign w:val="center"/>
          </w:tcPr>
          <w:p>
            <w:pPr>
              <w:widowControl/>
              <w:spacing w:line="240" w:lineRule="auto"/>
              <w:ind w:firstLine="0" w:firstLineChars="0"/>
              <w:jc w:val="center"/>
              <w:rPr>
                <w:rFonts w:hint="eastAsia" w:ascii="仿宋" w:hAnsi="仿宋" w:eastAsia="仿宋"/>
                <w:highlight w:val="none"/>
              </w:rPr>
            </w:pPr>
            <w:r>
              <w:rPr>
                <w:rFonts w:ascii="仿宋" w:hAnsi="仿宋" w:eastAsia="仿宋"/>
                <w:highlight w:val="none"/>
              </w:rPr>
              <w:t>项目经理</w:t>
            </w:r>
          </w:p>
        </w:tc>
        <w:tc>
          <w:tcPr>
            <w:tcW w:w="2505" w:type="dxa"/>
            <w:vAlign w:val="center"/>
          </w:tcPr>
          <w:p>
            <w:pPr>
              <w:widowControl/>
              <w:spacing w:line="240" w:lineRule="auto"/>
              <w:ind w:firstLine="0" w:firstLineChars="0"/>
              <w:jc w:val="center"/>
              <w:rPr>
                <w:rFonts w:hint="eastAsia" w:ascii="仿宋" w:hAnsi="仿宋" w:eastAsia="仿宋"/>
                <w:highlight w:val="none"/>
              </w:rPr>
            </w:pPr>
            <w:r>
              <w:rPr>
                <w:rFonts w:ascii="仿宋" w:hAnsi="仿宋" w:eastAsia="仿宋"/>
                <w:highlight w:val="none"/>
              </w:rPr>
              <w:t>负责项目质量和进度控制</w:t>
            </w:r>
          </w:p>
        </w:tc>
        <w:tc>
          <w:tcPr>
            <w:tcW w:w="1276" w:type="dxa"/>
            <w:noWrap/>
            <w:vAlign w:val="center"/>
          </w:tcPr>
          <w:p>
            <w:pPr>
              <w:widowControl/>
              <w:spacing w:line="240" w:lineRule="auto"/>
              <w:ind w:firstLine="0" w:firstLineChars="0"/>
              <w:jc w:val="center"/>
              <w:rPr>
                <w:rFonts w:hint="eastAsia" w:ascii="仿宋" w:hAnsi="仿宋" w:eastAsia="仿宋"/>
                <w:highlight w:val="none"/>
              </w:rPr>
            </w:pPr>
            <w:r>
              <w:rPr>
                <w:rFonts w:ascii="仿宋" w:hAnsi="仿宋" w:eastAsia="仿宋"/>
                <w:highlight w:val="none"/>
              </w:rPr>
              <w:t>1人</w:t>
            </w:r>
          </w:p>
        </w:tc>
        <w:tc>
          <w:tcPr>
            <w:tcW w:w="1984" w:type="dxa"/>
            <w:vAlign w:val="center"/>
          </w:tcPr>
          <w:p>
            <w:pPr>
              <w:widowControl/>
              <w:spacing w:line="240" w:lineRule="auto"/>
              <w:ind w:firstLine="0" w:firstLineChars="0"/>
              <w:jc w:val="center"/>
              <w:rPr>
                <w:rFonts w:hint="eastAsia" w:ascii="仿宋" w:hAnsi="仿宋" w:eastAsia="仿宋"/>
                <w:highlight w:val="none"/>
              </w:rPr>
            </w:pPr>
            <w:r>
              <w:rPr>
                <w:rFonts w:ascii="仿宋" w:hAnsi="仿宋" w:eastAsia="仿宋"/>
                <w:highlight w:val="none"/>
              </w:rPr>
              <w:t>全日制本科及以上学历</w:t>
            </w:r>
            <w:r>
              <w:rPr>
                <w:rFonts w:hint="eastAsia" w:ascii="仿宋" w:hAnsi="仿宋" w:eastAsia="仿宋"/>
                <w:highlight w:val="none"/>
              </w:rPr>
              <w:t>，具备信息系统项目管理师高级证书</w:t>
            </w:r>
          </w:p>
        </w:tc>
        <w:tc>
          <w:tcPr>
            <w:tcW w:w="1361" w:type="dxa"/>
            <w:noWrap/>
            <w:vAlign w:val="center"/>
          </w:tcPr>
          <w:p>
            <w:pPr>
              <w:widowControl/>
              <w:spacing w:line="240" w:lineRule="auto"/>
              <w:ind w:firstLine="0" w:firstLineChars="0"/>
              <w:jc w:val="center"/>
              <w:rPr>
                <w:rFonts w:hint="eastAsia" w:ascii="仿宋" w:hAnsi="仿宋" w:eastAsia="仿宋"/>
                <w:highlight w:val="none"/>
              </w:rPr>
            </w:pPr>
            <w:r>
              <w:rPr>
                <w:rFonts w:ascii="仿宋" w:hAnsi="仿宋" w:eastAsia="仿宋"/>
                <w:highlight w:val="none"/>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0" w:type="auto"/>
            <w:noWrap/>
            <w:vAlign w:val="center"/>
          </w:tcPr>
          <w:p>
            <w:pPr>
              <w:widowControl/>
              <w:spacing w:line="240" w:lineRule="auto"/>
              <w:ind w:firstLine="0" w:firstLineChars="0"/>
              <w:jc w:val="center"/>
              <w:rPr>
                <w:rFonts w:hint="eastAsia" w:ascii="仿宋" w:hAnsi="仿宋" w:eastAsia="仿宋"/>
                <w:highlight w:val="none"/>
              </w:rPr>
            </w:pPr>
            <w:r>
              <w:rPr>
                <w:rFonts w:ascii="仿宋" w:hAnsi="仿宋" w:eastAsia="仿宋"/>
                <w:highlight w:val="none"/>
              </w:rPr>
              <w:t>产品经理</w:t>
            </w:r>
          </w:p>
        </w:tc>
        <w:tc>
          <w:tcPr>
            <w:tcW w:w="2505" w:type="dxa"/>
            <w:vAlign w:val="center"/>
          </w:tcPr>
          <w:p>
            <w:pPr>
              <w:widowControl/>
              <w:spacing w:line="240" w:lineRule="auto"/>
              <w:ind w:firstLine="0" w:firstLineChars="0"/>
              <w:jc w:val="center"/>
              <w:rPr>
                <w:rFonts w:hint="eastAsia" w:ascii="仿宋" w:hAnsi="仿宋" w:eastAsia="仿宋"/>
                <w:highlight w:val="none"/>
              </w:rPr>
            </w:pPr>
            <w:r>
              <w:rPr>
                <w:rFonts w:ascii="仿宋" w:hAnsi="仿宋" w:eastAsia="仿宋"/>
                <w:highlight w:val="none"/>
              </w:rPr>
              <w:t>负责项目需求评估与产品设计</w:t>
            </w:r>
          </w:p>
        </w:tc>
        <w:tc>
          <w:tcPr>
            <w:tcW w:w="1276" w:type="dxa"/>
            <w:noWrap/>
            <w:vAlign w:val="center"/>
          </w:tcPr>
          <w:p>
            <w:pPr>
              <w:widowControl/>
              <w:spacing w:line="240" w:lineRule="auto"/>
              <w:ind w:firstLine="0" w:firstLineChars="0"/>
              <w:jc w:val="center"/>
              <w:rPr>
                <w:rFonts w:hint="eastAsia" w:ascii="仿宋" w:hAnsi="仿宋" w:eastAsia="仿宋"/>
                <w:highlight w:val="none"/>
              </w:rPr>
            </w:pPr>
            <w:r>
              <w:rPr>
                <w:rFonts w:ascii="仿宋" w:hAnsi="仿宋" w:eastAsia="仿宋"/>
                <w:highlight w:val="none"/>
              </w:rPr>
              <w:t>1人</w:t>
            </w:r>
          </w:p>
        </w:tc>
        <w:tc>
          <w:tcPr>
            <w:tcW w:w="1984" w:type="dxa"/>
            <w:vAlign w:val="center"/>
          </w:tcPr>
          <w:p>
            <w:pPr>
              <w:widowControl/>
              <w:spacing w:line="240" w:lineRule="auto"/>
              <w:ind w:firstLine="0" w:firstLineChars="0"/>
              <w:jc w:val="center"/>
              <w:rPr>
                <w:rFonts w:hint="eastAsia" w:ascii="仿宋" w:hAnsi="仿宋" w:eastAsia="仿宋"/>
                <w:highlight w:val="none"/>
              </w:rPr>
            </w:pPr>
            <w:r>
              <w:rPr>
                <w:rFonts w:ascii="仿宋" w:hAnsi="仿宋" w:eastAsia="仿宋"/>
                <w:highlight w:val="none"/>
              </w:rPr>
              <w:t>全日制本科及以上学历</w:t>
            </w:r>
          </w:p>
        </w:tc>
        <w:tc>
          <w:tcPr>
            <w:tcW w:w="1361" w:type="dxa"/>
            <w:noWrap/>
            <w:vAlign w:val="center"/>
          </w:tcPr>
          <w:p>
            <w:pPr>
              <w:widowControl/>
              <w:spacing w:line="240" w:lineRule="auto"/>
              <w:ind w:firstLine="0" w:firstLineChars="0"/>
              <w:jc w:val="center"/>
              <w:rPr>
                <w:rFonts w:hint="eastAsia" w:ascii="仿宋" w:hAnsi="仿宋" w:eastAsia="仿宋"/>
                <w:highlight w:val="none"/>
              </w:rPr>
            </w:pPr>
            <w:r>
              <w:rPr>
                <w:rFonts w:ascii="仿宋" w:hAnsi="仿宋" w:eastAsia="仿宋"/>
                <w:highlight w:val="none"/>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0" w:type="auto"/>
            <w:noWrap/>
            <w:vAlign w:val="center"/>
          </w:tcPr>
          <w:p>
            <w:pPr>
              <w:widowControl/>
              <w:spacing w:line="240" w:lineRule="auto"/>
              <w:ind w:firstLine="0" w:firstLineChars="0"/>
              <w:jc w:val="center"/>
              <w:rPr>
                <w:rFonts w:hint="eastAsia" w:ascii="仿宋" w:hAnsi="仿宋" w:eastAsia="仿宋"/>
                <w:highlight w:val="none"/>
              </w:rPr>
            </w:pPr>
            <w:r>
              <w:rPr>
                <w:rFonts w:ascii="仿宋" w:hAnsi="仿宋" w:eastAsia="仿宋"/>
                <w:highlight w:val="none"/>
              </w:rPr>
              <w:t>研发人员</w:t>
            </w:r>
          </w:p>
        </w:tc>
        <w:tc>
          <w:tcPr>
            <w:tcW w:w="2505" w:type="dxa"/>
            <w:noWrap/>
            <w:vAlign w:val="center"/>
          </w:tcPr>
          <w:p>
            <w:pPr>
              <w:widowControl/>
              <w:spacing w:line="240" w:lineRule="auto"/>
              <w:ind w:firstLine="0" w:firstLineChars="0"/>
              <w:jc w:val="center"/>
              <w:rPr>
                <w:rFonts w:hint="eastAsia" w:ascii="仿宋" w:hAnsi="仿宋" w:eastAsia="仿宋"/>
                <w:highlight w:val="none"/>
              </w:rPr>
            </w:pPr>
            <w:r>
              <w:rPr>
                <w:rFonts w:ascii="仿宋" w:hAnsi="仿宋" w:eastAsia="仿宋"/>
                <w:highlight w:val="none"/>
              </w:rPr>
              <w:t>负责项目具体开发与实施</w:t>
            </w:r>
          </w:p>
        </w:tc>
        <w:tc>
          <w:tcPr>
            <w:tcW w:w="1276" w:type="dxa"/>
            <w:noWrap/>
            <w:vAlign w:val="center"/>
          </w:tcPr>
          <w:p>
            <w:pPr>
              <w:widowControl/>
              <w:spacing w:line="240" w:lineRule="auto"/>
              <w:ind w:firstLine="0" w:firstLineChars="0"/>
              <w:jc w:val="center"/>
              <w:rPr>
                <w:rFonts w:hint="eastAsia" w:ascii="仿宋" w:hAnsi="仿宋" w:eastAsia="仿宋"/>
                <w:highlight w:val="none"/>
              </w:rPr>
            </w:pPr>
            <w:r>
              <w:rPr>
                <w:rFonts w:ascii="仿宋" w:hAnsi="仿宋" w:eastAsia="仿宋"/>
                <w:highlight w:val="none"/>
              </w:rPr>
              <w:t>1</w:t>
            </w:r>
            <w:r>
              <w:rPr>
                <w:rFonts w:hint="eastAsia" w:ascii="仿宋" w:hAnsi="仿宋" w:eastAsia="仿宋"/>
                <w:highlight w:val="none"/>
              </w:rPr>
              <w:t>7</w:t>
            </w:r>
            <w:r>
              <w:rPr>
                <w:rFonts w:ascii="仿宋" w:hAnsi="仿宋" w:eastAsia="仿宋"/>
                <w:highlight w:val="none"/>
              </w:rPr>
              <w:t>人</w:t>
            </w:r>
          </w:p>
        </w:tc>
        <w:tc>
          <w:tcPr>
            <w:tcW w:w="1984" w:type="dxa"/>
            <w:vAlign w:val="center"/>
          </w:tcPr>
          <w:p>
            <w:pPr>
              <w:widowControl/>
              <w:spacing w:line="240" w:lineRule="auto"/>
              <w:ind w:firstLine="0" w:firstLineChars="0"/>
              <w:jc w:val="center"/>
              <w:rPr>
                <w:rFonts w:hint="eastAsia" w:ascii="仿宋" w:hAnsi="仿宋" w:eastAsia="仿宋"/>
                <w:highlight w:val="none"/>
              </w:rPr>
            </w:pPr>
            <w:r>
              <w:rPr>
                <w:rFonts w:ascii="仿宋" w:hAnsi="仿宋" w:eastAsia="仿宋"/>
                <w:highlight w:val="none"/>
              </w:rPr>
              <w:t>全日制本科及以上学历</w:t>
            </w:r>
          </w:p>
        </w:tc>
        <w:tc>
          <w:tcPr>
            <w:tcW w:w="1361" w:type="dxa"/>
            <w:noWrap/>
            <w:vAlign w:val="center"/>
          </w:tcPr>
          <w:p>
            <w:pPr>
              <w:widowControl/>
              <w:spacing w:line="240" w:lineRule="auto"/>
              <w:ind w:firstLine="0" w:firstLineChars="0"/>
              <w:jc w:val="center"/>
              <w:rPr>
                <w:rFonts w:hint="eastAsia" w:ascii="仿宋" w:hAnsi="仿宋" w:eastAsia="仿宋"/>
                <w:highlight w:val="none"/>
              </w:rPr>
            </w:pPr>
            <w:r>
              <w:rPr>
                <w:rFonts w:hint="eastAsia" w:ascii="仿宋" w:hAnsi="仿宋" w:eastAsia="仿宋"/>
                <w:highlight w:val="none"/>
              </w:rPr>
              <w:t>至少驻场2人</w:t>
            </w:r>
          </w:p>
        </w:tc>
      </w:tr>
    </w:tbl>
    <w:p>
      <w:pPr>
        <w:rPr>
          <w:rFonts w:hint="eastAsia" w:ascii="仿宋" w:hAnsi="仿宋" w:eastAsia="仿宋"/>
        </w:rPr>
      </w:pPr>
      <w:r>
        <w:rPr>
          <w:rFonts w:ascii="仿宋" w:hAnsi="仿宋" w:eastAsia="仿宋"/>
          <w:highlight w:val="none"/>
        </w:rPr>
        <w:t>2）</w:t>
      </w:r>
      <w:r>
        <w:rPr>
          <w:rFonts w:hint="eastAsia" w:ascii="仿宋" w:hAnsi="仿宋" w:eastAsia="仿宋"/>
          <w:highlight w:val="none"/>
          <w:lang w:eastAsia="zh-CN"/>
        </w:rPr>
        <w:t>供应商</w:t>
      </w:r>
      <w:r>
        <w:rPr>
          <w:rFonts w:ascii="仿宋" w:hAnsi="仿宋" w:eastAsia="仿宋"/>
          <w:highlight w:val="none"/>
        </w:rPr>
        <w:t>应针对本项目提供不少于</w:t>
      </w:r>
      <w:r>
        <w:rPr>
          <w:rFonts w:hint="eastAsia" w:ascii="仿宋" w:hAnsi="仿宋" w:eastAsia="仿宋"/>
          <w:highlight w:val="none"/>
        </w:rPr>
        <w:t>3</w:t>
      </w:r>
      <w:r>
        <w:rPr>
          <w:rFonts w:ascii="仿宋" w:hAnsi="仿宋" w:eastAsia="仿宋"/>
          <w:highlight w:val="none"/>
        </w:rPr>
        <w:t>人的质保期间支撑团队（其中技术经理</w:t>
      </w:r>
      <w:r>
        <w:rPr>
          <w:rFonts w:hint="eastAsia" w:ascii="仿宋" w:hAnsi="仿宋" w:eastAsia="仿宋"/>
          <w:highlight w:val="none"/>
        </w:rPr>
        <w:t>1</w:t>
      </w:r>
      <w:r>
        <w:rPr>
          <w:rFonts w:ascii="仿宋" w:hAnsi="仿宋" w:eastAsia="仿宋"/>
          <w:highlight w:val="none"/>
        </w:rPr>
        <w:t>人，产品经理</w:t>
      </w:r>
      <w:r>
        <w:rPr>
          <w:rFonts w:hint="eastAsia" w:ascii="仿宋" w:hAnsi="仿宋" w:eastAsia="仿宋"/>
          <w:highlight w:val="none"/>
        </w:rPr>
        <w:t>1</w:t>
      </w:r>
      <w:r>
        <w:rPr>
          <w:rFonts w:ascii="仿宋" w:hAnsi="仿宋" w:eastAsia="仿宋"/>
          <w:highlight w:val="none"/>
        </w:rPr>
        <w:t>人，技术工程师不少于</w:t>
      </w:r>
      <w:r>
        <w:rPr>
          <w:rFonts w:hint="eastAsia" w:ascii="仿宋" w:hAnsi="仿宋" w:eastAsia="仿宋"/>
          <w:highlight w:val="none"/>
        </w:rPr>
        <w:t>1</w:t>
      </w:r>
      <w:r>
        <w:rPr>
          <w:rFonts w:ascii="仿宋" w:hAnsi="仿宋" w:eastAsia="仿宋"/>
          <w:highlight w:val="none"/>
        </w:rPr>
        <w:t>人）；</w:t>
      </w:r>
      <w:r>
        <w:rPr>
          <w:rFonts w:hint="eastAsia" w:ascii="仿宋" w:hAnsi="仿宋" w:eastAsia="仿宋"/>
          <w:highlight w:val="none"/>
          <w:lang w:eastAsia="zh-CN"/>
        </w:rPr>
        <w:t>供应商</w:t>
      </w:r>
      <w:r>
        <w:rPr>
          <w:rFonts w:ascii="仿宋" w:hAnsi="仿宋" w:eastAsia="仿宋"/>
          <w:highlight w:val="none"/>
        </w:rPr>
        <w:t>的相</w:t>
      </w:r>
      <w:r>
        <w:rPr>
          <w:rFonts w:ascii="仿宋" w:hAnsi="仿宋" w:eastAsia="仿宋"/>
        </w:rPr>
        <w:t>关服务人员需具备相应的服务能力，需提供相关证明（最近一个季度依法缴纳社保费的证明）。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410"/>
        <w:gridCol w:w="1276"/>
        <w:gridCol w:w="1984"/>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71" w:type="dxa"/>
            <w:noWrap/>
            <w:vAlign w:val="center"/>
          </w:tcPr>
          <w:p>
            <w:pPr>
              <w:widowControl/>
              <w:spacing w:line="240" w:lineRule="auto"/>
              <w:ind w:firstLine="0" w:firstLineChars="0"/>
              <w:jc w:val="center"/>
              <w:rPr>
                <w:rFonts w:hint="eastAsia" w:ascii="仿宋" w:hAnsi="仿宋" w:eastAsia="仿宋"/>
                <w:b/>
              </w:rPr>
            </w:pPr>
            <w:r>
              <w:rPr>
                <w:rFonts w:hint="eastAsia" w:ascii="仿宋" w:hAnsi="仿宋" w:eastAsia="仿宋"/>
                <w:b/>
              </w:rPr>
              <w:t>角色</w:t>
            </w:r>
          </w:p>
        </w:tc>
        <w:tc>
          <w:tcPr>
            <w:tcW w:w="2410" w:type="dxa"/>
            <w:noWrap/>
            <w:vAlign w:val="center"/>
          </w:tcPr>
          <w:p>
            <w:pPr>
              <w:widowControl/>
              <w:spacing w:line="240" w:lineRule="auto"/>
              <w:ind w:firstLine="0" w:firstLineChars="0"/>
              <w:jc w:val="center"/>
              <w:rPr>
                <w:rFonts w:hint="eastAsia" w:ascii="仿宋" w:hAnsi="仿宋" w:eastAsia="仿宋"/>
                <w:b/>
              </w:rPr>
            </w:pPr>
            <w:r>
              <w:rPr>
                <w:rFonts w:hint="eastAsia" w:ascii="仿宋" w:hAnsi="仿宋" w:eastAsia="仿宋"/>
                <w:b/>
              </w:rPr>
              <w:t>主要职责</w:t>
            </w:r>
          </w:p>
        </w:tc>
        <w:tc>
          <w:tcPr>
            <w:tcW w:w="1276" w:type="dxa"/>
            <w:noWrap/>
            <w:vAlign w:val="center"/>
          </w:tcPr>
          <w:p>
            <w:pPr>
              <w:widowControl/>
              <w:spacing w:line="240" w:lineRule="auto"/>
              <w:ind w:firstLine="0" w:firstLineChars="0"/>
              <w:jc w:val="center"/>
              <w:rPr>
                <w:rFonts w:hint="eastAsia" w:ascii="仿宋" w:hAnsi="仿宋" w:eastAsia="仿宋"/>
                <w:b/>
              </w:rPr>
            </w:pPr>
            <w:r>
              <w:rPr>
                <w:rFonts w:hint="eastAsia" w:ascii="仿宋" w:hAnsi="仿宋" w:eastAsia="仿宋"/>
                <w:b/>
              </w:rPr>
              <w:t>人员数量</w:t>
            </w:r>
          </w:p>
        </w:tc>
        <w:tc>
          <w:tcPr>
            <w:tcW w:w="1984" w:type="dxa"/>
            <w:vAlign w:val="center"/>
          </w:tcPr>
          <w:p>
            <w:pPr>
              <w:widowControl/>
              <w:spacing w:line="240" w:lineRule="auto"/>
              <w:ind w:firstLine="0" w:firstLineChars="0"/>
              <w:jc w:val="center"/>
              <w:rPr>
                <w:rFonts w:hint="eastAsia" w:ascii="仿宋" w:hAnsi="仿宋" w:eastAsia="仿宋"/>
                <w:b/>
              </w:rPr>
            </w:pPr>
            <w:r>
              <w:rPr>
                <w:rFonts w:hint="eastAsia" w:ascii="仿宋" w:hAnsi="仿宋" w:eastAsia="仿宋"/>
                <w:b/>
              </w:rPr>
              <w:t>人员要求</w:t>
            </w:r>
          </w:p>
        </w:tc>
        <w:tc>
          <w:tcPr>
            <w:tcW w:w="1361" w:type="dxa"/>
            <w:noWrap/>
            <w:vAlign w:val="center"/>
          </w:tcPr>
          <w:p>
            <w:pPr>
              <w:widowControl/>
              <w:spacing w:line="240" w:lineRule="auto"/>
              <w:ind w:firstLine="0" w:firstLineChars="0"/>
              <w:jc w:val="center"/>
              <w:rPr>
                <w:rFonts w:hint="eastAsia" w:ascii="仿宋" w:hAnsi="仿宋" w:eastAsia="仿宋"/>
                <w:b/>
              </w:rPr>
            </w:pPr>
            <w:r>
              <w:rPr>
                <w:rFonts w:hint="eastAsia" w:ascii="仿宋" w:hAnsi="仿宋" w:eastAsia="仿宋"/>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271" w:type="dxa"/>
            <w:noWrap/>
            <w:vAlign w:val="center"/>
          </w:tcPr>
          <w:p>
            <w:pPr>
              <w:widowControl/>
              <w:spacing w:line="240" w:lineRule="auto"/>
              <w:ind w:firstLine="0" w:firstLineChars="0"/>
              <w:jc w:val="center"/>
              <w:rPr>
                <w:rFonts w:hint="eastAsia" w:ascii="仿宋" w:hAnsi="仿宋" w:eastAsia="仿宋"/>
              </w:rPr>
            </w:pPr>
            <w:r>
              <w:rPr>
                <w:rFonts w:hint="eastAsia" w:ascii="仿宋" w:hAnsi="仿宋" w:eastAsia="仿宋"/>
              </w:rPr>
              <w:t>项目经理</w:t>
            </w:r>
          </w:p>
        </w:tc>
        <w:tc>
          <w:tcPr>
            <w:tcW w:w="2410" w:type="dxa"/>
            <w:vAlign w:val="center"/>
          </w:tcPr>
          <w:p>
            <w:pPr>
              <w:widowControl/>
              <w:spacing w:line="240" w:lineRule="auto"/>
              <w:ind w:firstLine="0" w:firstLineChars="0"/>
              <w:jc w:val="center"/>
              <w:rPr>
                <w:rFonts w:hint="eastAsia" w:ascii="仿宋" w:hAnsi="仿宋" w:eastAsia="仿宋"/>
              </w:rPr>
            </w:pPr>
            <w:r>
              <w:rPr>
                <w:rFonts w:hint="eastAsia" w:ascii="仿宋" w:hAnsi="仿宋" w:eastAsia="仿宋"/>
              </w:rPr>
              <w:t>负责项目质量和进度控制</w:t>
            </w:r>
          </w:p>
        </w:tc>
        <w:tc>
          <w:tcPr>
            <w:tcW w:w="1276" w:type="dxa"/>
            <w:noWrap/>
            <w:vAlign w:val="center"/>
          </w:tcPr>
          <w:p>
            <w:pPr>
              <w:widowControl/>
              <w:spacing w:line="240" w:lineRule="auto"/>
              <w:ind w:firstLine="0" w:firstLineChars="0"/>
              <w:jc w:val="center"/>
              <w:rPr>
                <w:rFonts w:hint="eastAsia" w:ascii="仿宋" w:hAnsi="仿宋" w:eastAsia="仿宋"/>
                <w:highlight w:val="none"/>
              </w:rPr>
            </w:pPr>
            <w:r>
              <w:rPr>
                <w:rFonts w:hint="eastAsia" w:ascii="仿宋" w:hAnsi="仿宋" w:eastAsia="仿宋"/>
                <w:highlight w:val="none"/>
              </w:rPr>
              <w:t>1人</w:t>
            </w:r>
          </w:p>
        </w:tc>
        <w:tc>
          <w:tcPr>
            <w:tcW w:w="1984" w:type="dxa"/>
            <w:vAlign w:val="center"/>
          </w:tcPr>
          <w:p>
            <w:pPr>
              <w:widowControl/>
              <w:spacing w:line="240" w:lineRule="auto"/>
              <w:ind w:firstLine="0" w:firstLineChars="0"/>
              <w:jc w:val="center"/>
              <w:rPr>
                <w:rFonts w:hint="eastAsia" w:ascii="仿宋" w:hAnsi="仿宋" w:eastAsia="仿宋"/>
                <w:highlight w:val="none"/>
              </w:rPr>
            </w:pPr>
            <w:r>
              <w:rPr>
                <w:rFonts w:ascii="仿宋" w:hAnsi="仿宋" w:eastAsia="仿宋"/>
                <w:highlight w:val="none"/>
              </w:rPr>
              <w:t>全日制本科及以上学历</w:t>
            </w:r>
            <w:r>
              <w:rPr>
                <w:rFonts w:hint="eastAsia" w:ascii="仿宋" w:hAnsi="仿宋" w:eastAsia="仿宋"/>
                <w:highlight w:val="none"/>
              </w:rPr>
              <w:t>，具备信息系统项目管理师高级证书</w:t>
            </w:r>
          </w:p>
        </w:tc>
        <w:tc>
          <w:tcPr>
            <w:tcW w:w="1361" w:type="dxa"/>
            <w:noWrap/>
            <w:vAlign w:val="center"/>
          </w:tcPr>
          <w:p>
            <w:pPr>
              <w:widowControl/>
              <w:spacing w:line="240" w:lineRule="auto"/>
              <w:ind w:firstLine="0" w:firstLineChars="0"/>
              <w:jc w:val="center"/>
              <w:rPr>
                <w:rFonts w:hint="eastAsia" w:ascii="仿宋" w:hAnsi="仿宋" w:eastAsia="仿宋"/>
              </w:rPr>
            </w:pPr>
            <w:r>
              <w:rPr>
                <w:rFonts w:hint="eastAsia" w:ascii="仿宋" w:hAnsi="仿宋" w:eastAsia="仿宋"/>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71" w:type="dxa"/>
            <w:noWrap/>
            <w:vAlign w:val="center"/>
          </w:tcPr>
          <w:p>
            <w:pPr>
              <w:widowControl/>
              <w:spacing w:line="240" w:lineRule="auto"/>
              <w:ind w:firstLine="0" w:firstLineChars="0"/>
              <w:jc w:val="center"/>
              <w:rPr>
                <w:rFonts w:hint="eastAsia" w:ascii="仿宋" w:hAnsi="仿宋" w:eastAsia="仿宋"/>
              </w:rPr>
            </w:pPr>
            <w:r>
              <w:rPr>
                <w:rFonts w:hint="eastAsia" w:ascii="仿宋" w:hAnsi="仿宋" w:eastAsia="仿宋"/>
              </w:rPr>
              <w:t>产品经理</w:t>
            </w:r>
          </w:p>
        </w:tc>
        <w:tc>
          <w:tcPr>
            <w:tcW w:w="2410" w:type="dxa"/>
            <w:vAlign w:val="center"/>
          </w:tcPr>
          <w:p>
            <w:pPr>
              <w:widowControl/>
              <w:spacing w:line="240" w:lineRule="auto"/>
              <w:ind w:firstLine="0" w:firstLineChars="0"/>
              <w:jc w:val="center"/>
              <w:rPr>
                <w:rFonts w:hint="eastAsia" w:ascii="仿宋" w:hAnsi="仿宋" w:eastAsia="仿宋"/>
              </w:rPr>
            </w:pPr>
            <w:r>
              <w:rPr>
                <w:rFonts w:hint="eastAsia" w:ascii="仿宋" w:hAnsi="仿宋" w:eastAsia="仿宋"/>
              </w:rPr>
              <w:t>负责项目需求评估与产品设计</w:t>
            </w:r>
          </w:p>
        </w:tc>
        <w:tc>
          <w:tcPr>
            <w:tcW w:w="1276" w:type="dxa"/>
            <w:noWrap/>
            <w:vAlign w:val="center"/>
          </w:tcPr>
          <w:p>
            <w:pPr>
              <w:widowControl/>
              <w:spacing w:line="240" w:lineRule="auto"/>
              <w:ind w:firstLine="0" w:firstLineChars="0"/>
              <w:jc w:val="center"/>
              <w:rPr>
                <w:rFonts w:hint="eastAsia" w:ascii="仿宋" w:hAnsi="仿宋" w:eastAsia="仿宋"/>
                <w:highlight w:val="none"/>
              </w:rPr>
            </w:pPr>
            <w:r>
              <w:rPr>
                <w:rFonts w:hint="eastAsia" w:ascii="仿宋" w:hAnsi="仿宋" w:eastAsia="仿宋"/>
                <w:highlight w:val="none"/>
              </w:rPr>
              <w:t>1人</w:t>
            </w:r>
          </w:p>
        </w:tc>
        <w:tc>
          <w:tcPr>
            <w:tcW w:w="1984" w:type="dxa"/>
            <w:vAlign w:val="center"/>
          </w:tcPr>
          <w:p>
            <w:pPr>
              <w:widowControl/>
              <w:spacing w:line="240" w:lineRule="auto"/>
              <w:ind w:firstLine="0" w:firstLineChars="0"/>
              <w:jc w:val="center"/>
              <w:rPr>
                <w:rFonts w:hint="eastAsia" w:ascii="仿宋" w:hAnsi="仿宋" w:eastAsia="仿宋"/>
                <w:highlight w:val="none"/>
              </w:rPr>
            </w:pPr>
            <w:r>
              <w:rPr>
                <w:rFonts w:ascii="仿宋" w:hAnsi="仿宋" w:eastAsia="仿宋"/>
                <w:highlight w:val="none"/>
              </w:rPr>
              <w:t>全日制本科及以上学历</w:t>
            </w:r>
          </w:p>
        </w:tc>
        <w:tc>
          <w:tcPr>
            <w:tcW w:w="1361" w:type="dxa"/>
            <w:noWrap/>
            <w:vAlign w:val="center"/>
          </w:tcPr>
          <w:p>
            <w:pPr>
              <w:widowControl/>
              <w:spacing w:line="240" w:lineRule="auto"/>
              <w:ind w:firstLine="0" w:firstLineChars="0"/>
              <w:jc w:val="center"/>
              <w:rPr>
                <w:rFonts w:hint="eastAsia" w:ascii="仿宋" w:hAnsi="仿宋" w:eastAsia="仿宋"/>
              </w:rPr>
            </w:pPr>
            <w:r>
              <w:rPr>
                <w:rFonts w:hint="eastAsia" w:ascii="仿宋" w:hAnsi="仿宋" w:eastAsia="仿宋"/>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71" w:type="dxa"/>
            <w:noWrap/>
            <w:vAlign w:val="center"/>
          </w:tcPr>
          <w:p>
            <w:pPr>
              <w:widowControl/>
              <w:spacing w:line="240" w:lineRule="auto"/>
              <w:ind w:firstLine="0" w:firstLineChars="0"/>
              <w:jc w:val="center"/>
              <w:rPr>
                <w:rFonts w:hint="eastAsia" w:ascii="仿宋" w:hAnsi="仿宋" w:eastAsia="仿宋"/>
              </w:rPr>
            </w:pPr>
            <w:r>
              <w:rPr>
                <w:rFonts w:hint="eastAsia" w:ascii="仿宋" w:hAnsi="仿宋" w:eastAsia="仿宋"/>
              </w:rPr>
              <w:t>技术工程师</w:t>
            </w:r>
          </w:p>
        </w:tc>
        <w:tc>
          <w:tcPr>
            <w:tcW w:w="2410" w:type="dxa"/>
            <w:noWrap/>
            <w:vAlign w:val="center"/>
          </w:tcPr>
          <w:p>
            <w:pPr>
              <w:widowControl/>
              <w:spacing w:line="240" w:lineRule="auto"/>
              <w:ind w:firstLine="0" w:firstLineChars="0"/>
              <w:jc w:val="center"/>
              <w:rPr>
                <w:rFonts w:hint="eastAsia" w:ascii="仿宋" w:hAnsi="仿宋" w:eastAsia="仿宋"/>
              </w:rPr>
            </w:pPr>
            <w:r>
              <w:rPr>
                <w:rFonts w:hint="eastAsia" w:ascii="仿宋" w:hAnsi="仿宋" w:eastAsia="仿宋"/>
              </w:rPr>
              <w:t>负责项目运行维护</w:t>
            </w:r>
          </w:p>
        </w:tc>
        <w:tc>
          <w:tcPr>
            <w:tcW w:w="1276" w:type="dxa"/>
            <w:noWrap/>
            <w:vAlign w:val="center"/>
          </w:tcPr>
          <w:p>
            <w:pPr>
              <w:widowControl/>
              <w:spacing w:line="240" w:lineRule="auto"/>
              <w:ind w:firstLine="0" w:firstLineChars="0"/>
              <w:jc w:val="center"/>
              <w:rPr>
                <w:rFonts w:hint="eastAsia" w:ascii="仿宋" w:hAnsi="仿宋" w:eastAsia="仿宋"/>
                <w:highlight w:val="none"/>
              </w:rPr>
            </w:pPr>
            <w:r>
              <w:rPr>
                <w:rFonts w:hint="eastAsia" w:ascii="仿宋" w:hAnsi="仿宋" w:eastAsia="仿宋"/>
                <w:highlight w:val="none"/>
              </w:rPr>
              <w:t>1人</w:t>
            </w:r>
          </w:p>
        </w:tc>
        <w:tc>
          <w:tcPr>
            <w:tcW w:w="1984" w:type="dxa"/>
            <w:vAlign w:val="center"/>
          </w:tcPr>
          <w:p>
            <w:pPr>
              <w:widowControl/>
              <w:spacing w:line="240" w:lineRule="auto"/>
              <w:ind w:firstLine="0" w:firstLineChars="0"/>
              <w:jc w:val="center"/>
              <w:rPr>
                <w:rFonts w:hint="eastAsia" w:ascii="仿宋" w:hAnsi="仿宋" w:eastAsia="仿宋"/>
                <w:highlight w:val="none"/>
              </w:rPr>
            </w:pPr>
            <w:r>
              <w:rPr>
                <w:rFonts w:ascii="仿宋" w:hAnsi="仿宋" w:eastAsia="仿宋"/>
                <w:highlight w:val="none"/>
              </w:rPr>
              <w:t>全日制本科及以上学历</w:t>
            </w:r>
          </w:p>
        </w:tc>
        <w:tc>
          <w:tcPr>
            <w:tcW w:w="1361" w:type="dxa"/>
            <w:noWrap/>
            <w:vAlign w:val="center"/>
          </w:tcPr>
          <w:p>
            <w:pPr>
              <w:widowControl/>
              <w:spacing w:line="240" w:lineRule="auto"/>
              <w:ind w:firstLine="0" w:firstLineChars="0"/>
              <w:jc w:val="center"/>
              <w:rPr>
                <w:rFonts w:hint="eastAsia" w:ascii="仿宋" w:hAnsi="仿宋" w:eastAsia="仿宋"/>
              </w:rPr>
            </w:pPr>
            <w:r>
              <w:rPr>
                <w:rFonts w:hint="eastAsia" w:ascii="仿宋" w:hAnsi="仿宋" w:eastAsia="仿宋"/>
              </w:rPr>
              <w:t>驻场</w:t>
            </w:r>
          </w:p>
        </w:tc>
      </w:tr>
    </w:tbl>
    <w:p>
      <w:pPr>
        <w:pStyle w:val="61"/>
        <w:numPr>
          <w:ilvl w:val="1"/>
          <w:numId w:val="10"/>
        </w:numPr>
        <w:spacing w:line="560" w:lineRule="exact"/>
        <w:ind w:firstLineChars="0"/>
        <w:outlineLvl w:val="1"/>
        <w:rPr>
          <w:rFonts w:hint="eastAsia" w:ascii="仿宋" w:hAnsi="仿宋" w:eastAsia="仿宋"/>
          <w:b/>
          <w:bCs/>
          <w:sz w:val="30"/>
          <w:szCs w:val="30"/>
        </w:rPr>
      </w:pPr>
      <w:r>
        <w:rPr>
          <w:rFonts w:hint="eastAsia" w:ascii="仿宋" w:hAnsi="仿宋" w:eastAsia="仿宋"/>
          <w:b/>
          <w:bCs/>
          <w:sz w:val="30"/>
          <w:szCs w:val="30"/>
          <w:lang w:eastAsia="zh-CN"/>
        </w:rPr>
        <w:t>软件著作权要求</w:t>
      </w:r>
    </w:p>
    <w:p>
      <w:pPr>
        <w:spacing w:line="560" w:lineRule="exact"/>
        <w:ind w:firstLineChars="0"/>
        <w:outlineLvl w:val="1"/>
        <w:rPr>
          <w:rFonts w:hint="eastAsia" w:ascii="仿宋" w:hAnsi="仿宋" w:eastAsia="仿宋"/>
          <w:b w:val="0"/>
          <w:bCs w:val="0"/>
          <w:sz w:val="24"/>
          <w:szCs w:val="24"/>
        </w:rPr>
      </w:pPr>
      <w:r>
        <w:rPr>
          <w:rFonts w:hint="eastAsia" w:ascii="仿宋" w:hAnsi="仿宋" w:eastAsia="仿宋"/>
          <w:b w:val="0"/>
          <w:bCs w:val="0"/>
          <w:sz w:val="24"/>
          <w:szCs w:val="24"/>
        </w:rPr>
        <w:t>供应商具有电子政务平台相关软件著作权证书</w:t>
      </w:r>
    </w:p>
    <w:p>
      <w:pPr>
        <w:pStyle w:val="61"/>
        <w:numPr>
          <w:ilvl w:val="1"/>
          <w:numId w:val="10"/>
        </w:numPr>
        <w:spacing w:line="560" w:lineRule="exact"/>
        <w:ind w:firstLineChars="0"/>
        <w:outlineLvl w:val="1"/>
        <w:rPr>
          <w:rFonts w:hint="eastAsia" w:ascii="仿宋" w:hAnsi="仿宋" w:eastAsia="仿宋"/>
          <w:b/>
          <w:bCs/>
          <w:sz w:val="30"/>
          <w:szCs w:val="30"/>
        </w:rPr>
      </w:pPr>
      <w:r>
        <w:rPr>
          <w:rFonts w:hint="eastAsia" w:ascii="仿宋" w:hAnsi="仿宋" w:eastAsia="仿宋"/>
          <w:b/>
          <w:bCs/>
          <w:sz w:val="30"/>
          <w:szCs w:val="30"/>
          <w:lang w:eastAsia="zh-CN"/>
        </w:rPr>
        <w:t>等级保护要求</w:t>
      </w:r>
    </w:p>
    <w:p>
      <w:pPr>
        <w:rPr>
          <w:rFonts w:hint="eastAsia" w:ascii="仿宋" w:hAnsi="仿宋" w:eastAsia="仿宋"/>
        </w:rPr>
      </w:pPr>
      <w:r>
        <w:rPr>
          <w:rFonts w:hint="eastAsia" w:ascii="仿宋" w:hAnsi="仿宋" w:eastAsia="仿宋"/>
        </w:rPr>
        <w:t>本项目等级保护要求：参照等保三级要求建设。</w:t>
      </w:r>
    </w:p>
    <w:p>
      <w:pPr>
        <w:pStyle w:val="61"/>
        <w:numPr>
          <w:ilvl w:val="1"/>
          <w:numId w:val="10"/>
        </w:numPr>
        <w:spacing w:line="560" w:lineRule="exact"/>
        <w:ind w:firstLineChars="0"/>
        <w:outlineLvl w:val="1"/>
        <w:rPr>
          <w:rFonts w:hint="eastAsia" w:ascii="仿宋" w:hAnsi="仿宋" w:eastAsia="仿宋"/>
          <w:b/>
          <w:bCs/>
          <w:sz w:val="30"/>
          <w:szCs w:val="30"/>
        </w:rPr>
      </w:pPr>
      <w:r>
        <w:rPr>
          <w:rFonts w:hint="eastAsia" w:ascii="仿宋" w:hAnsi="仿宋" w:eastAsia="仿宋"/>
          <w:b/>
          <w:bCs/>
          <w:sz w:val="30"/>
          <w:szCs w:val="30"/>
        </w:rPr>
        <w:t>商业密码应用需求</w:t>
      </w:r>
    </w:p>
    <w:p>
      <w:pPr>
        <w:ind w:left="480" w:firstLine="0" w:firstLineChars="0"/>
        <w:rPr>
          <w:rFonts w:hint="eastAsia" w:ascii="仿宋" w:hAnsi="仿宋" w:eastAsia="仿宋"/>
        </w:rPr>
      </w:pPr>
      <w:r>
        <w:rPr>
          <w:rFonts w:hint="eastAsia" w:ascii="仿宋" w:hAnsi="仿宋" w:eastAsia="仿宋"/>
        </w:rPr>
        <w:t>满足商业密码应用建设要求，并通过商业密码应用安全测评。</w:t>
      </w:r>
    </w:p>
    <w:p>
      <w:pPr>
        <w:pStyle w:val="61"/>
        <w:numPr>
          <w:ilvl w:val="1"/>
          <w:numId w:val="10"/>
        </w:numPr>
        <w:spacing w:line="560" w:lineRule="exact"/>
        <w:ind w:firstLineChars="0"/>
        <w:outlineLvl w:val="1"/>
        <w:rPr>
          <w:rFonts w:hint="eastAsia" w:ascii="仿宋" w:hAnsi="仿宋" w:eastAsia="仿宋"/>
          <w:b/>
          <w:bCs/>
          <w:sz w:val="30"/>
          <w:szCs w:val="30"/>
        </w:rPr>
      </w:pPr>
      <w:bookmarkStart w:id="26" w:name="_Toc63785512"/>
      <w:r>
        <w:rPr>
          <w:rFonts w:hint="eastAsia" w:ascii="仿宋" w:hAnsi="仿宋" w:eastAsia="仿宋"/>
          <w:b/>
          <w:bCs/>
          <w:sz w:val="30"/>
          <w:szCs w:val="30"/>
        </w:rPr>
        <w:t>技术文件要求</w:t>
      </w:r>
    </w:p>
    <w:p>
      <w:pPr>
        <w:rPr>
          <w:rFonts w:hint="eastAsia" w:ascii="仿宋" w:hAnsi="仿宋" w:eastAsia="仿宋"/>
        </w:rPr>
      </w:pPr>
      <w:r>
        <w:rPr>
          <w:rFonts w:hint="eastAsia" w:ascii="仿宋" w:hAnsi="仿宋" w:eastAsia="仿宋"/>
          <w:lang w:eastAsia="zh-CN"/>
        </w:rPr>
        <w:t>供应商</w:t>
      </w:r>
      <w:r>
        <w:rPr>
          <w:rFonts w:hint="eastAsia" w:ascii="仿宋" w:hAnsi="仿宋" w:eastAsia="仿宋"/>
        </w:rPr>
        <w:t>提供的书面技术资料应能确保系统正常运行所需的管理、运营及维护有关的全套文件。技术文件应该全面、完整、详细。</w:t>
      </w:r>
      <w:r>
        <w:rPr>
          <w:rFonts w:hint="eastAsia" w:ascii="仿宋" w:hAnsi="仿宋" w:eastAsia="仿宋"/>
          <w:lang w:eastAsia="zh-CN"/>
        </w:rPr>
        <w:t>供应商</w:t>
      </w:r>
      <w:r>
        <w:rPr>
          <w:rFonts w:hint="eastAsia" w:ascii="仿宋" w:hAnsi="仿宋" w:eastAsia="仿宋"/>
        </w:rPr>
        <w:t>提供的技术文件至少应包括：</w:t>
      </w:r>
    </w:p>
    <w:p>
      <w:pPr>
        <w:rPr>
          <w:rFonts w:hint="eastAsia" w:ascii="仿宋" w:hAnsi="仿宋" w:eastAsia="仿宋"/>
        </w:rPr>
      </w:pPr>
      <w:r>
        <w:rPr>
          <w:rFonts w:hint="eastAsia" w:ascii="仿宋" w:hAnsi="仿宋" w:eastAsia="仿宋"/>
        </w:rPr>
        <w:t>－</w:t>
      </w:r>
      <w:r>
        <w:rPr>
          <w:rFonts w:ascii="仿宋" w:hAnsi="仿宋" w:eastAsia="仿宋"/>
        </w:rPr>
        <w:t xml:space="preserve"> 系统说明文件； </w:t>
      </w:r>
    </w:p>
    <w:p>
      <w:pPr>
        <w:rPr>
          <w:rFonts w:hint="eastAsia" w:ascii="仿宋" w:hAnsi="仿宋" w:eastAsia="仿宋"/>
        </w:rPr>
      </w:pPr>
      <w:r>
        <w:rPr>
          <w:rFonts w:hint="eastAsia" w:ascii="仿宋" w:hAnsi="仿宋" w:eastAsia="仿宋"/>
        </w:rPr>
        <w:t>－</w:t>
      </w:r>
      <w:r>
        <w:rPr>
          <w:rFonts w:ascii="仿宋" w:hAnsi="仿宋" w:eastAsia="仿宋"/>
        </w:rPr>
        <w:t xml:space="preserve"> 技术手册(安装、测试、操作、维护、故障排除等)； </w:t>
      </w:r>
    </w:p>
    <w:p>
      <w:pPr>
        <w:rPr>
          <w:rFonts w:hint="eastAsia" w:ascii="仿宋" w:hAnsi="仿宋" w:eastAsia="仿宋"/>
        </w:rPr>
      </w:pPr>
      <w:r>
        <w:rPr>
          <w:rFonts w:hint="eastAsia" w:ascii="仿宋" w:hAnsi="仿宋" w:eastAsia="仿宋"/>
        </w:rPr>
        <w:t>－</w:t>
      </w:r>
      <w:r>
        <w:rPr>
          <w:rFonts w:ascii="仿宋" w:hAnsi="仿宋" w:eastAsia="仿宋"/>
        </w:rPr>
        <w:t xml:space="preserve"> 项目文档，应该包括：</w:t>
      </w:r>
    </w:p>
    <w:p>
      <w:pPr>
        <w:pStyle w:val="61"/>
        <w:numPr>
          <w:ilvl w:val="0"/>
          <w:numId w:val="11"/>
        </w:numPr>
        <w:ind w:left="851" w:hanging="211" w:firstLineChars="0"/>
        <w:rPr>
          <w:rFonts w:hint="eastAsia" w:ascii="仿宋" w:hAnsi="仿宋" w:eastAsia="仿宋"/>
          <w:sz w:val="24"/>
        </w:rPr>
      </w:pPr>
      <w:r>
        <w:rPr>
          <w:rFonts w:ascii="仿宋" w:hAnsi="仿宋" w:eastAsia="仿宋"/>
          <w:sz w:val="24"/>
        </w:rPr>
        <w:t>软件需求说明书</w:t>
      </w:r>
    </w:p>
    <w:p>
      <w:pPr>
        <w:pStyle w:val="61"/>
        <w:numPr>
          <w:ilvl w:val="0"/>
          <w:numId w:val="11"/>
        </w:numPr>
        <w:ind w:left="851" w:hanging="211" w:firstLineChars="0"/>
        <w:rPr>
          <w:rFonts w:hint="eastAsia" w:ascii="仿宋" w:hAnsi="仿宋" w:eastAsia="仿宋"/>
          <w:sz w:val="24"/>
        </w:rPr>
      </w:pPr>
      <w:r>
        <w:rPr>
          <w:rFonts w:ascii="仿宋" w:hAnsi="仿宋" w:eastAsia="仿宋"/>
          <w:sz w:val="24"/>
        </w:rPr>
        <w:t>系统总体设计说明书</w:t>
      </w:r>
    </w:p>
    <w:p>
      <w:pPr>
        <w:pStyle w:val="61"/>
        <w:numPr>
          <w:ilvl w:val="0"/>
          <w:numId w:val="11"/>
        </w:numPr>
        <w:ind w:left="851" w:hanging="211" w:firstLineChars="0"/>
        <w:rPr>
          <w:rFonts w:hint="eastAsia" w:ascii="仿宋" w:hAnsi="仿宋" w:eastAsia="仿宋"/>
          <w:sz w:val="24"/>
        </w:rPr>
      </w:pPr>
      <w:r>
        <w:rPr>
          <w:rFonts w:ascii="仿宋" w:hAnsi="仿宋" w:eastAsia="仿宋"/>
          <w:sz w:val="24"/>
        </w:rPr>
        <w:t>应用软件功能清单</w:t>
      </w:r>
    </w:p>
    <w:p>
      <w:pPr>
        <w:rPr>
          <w:rFonts w:hint="eastAsia" w:ascii="仿宋" w:hAnsi="仿宋" w:eastAsia="仿宋"/>
        </w:rPr>
      </w:pPr>
      <w:r>
        <w:rPr>
          <w:rFonts w:hint="eastAsia" w:ascii="仿宋" w:hAnsi="仿宋" w:eastAsia="仿宋"/>
        </w:rPr>
        <w:t>提供全套技术文件纸介质</w:t>
      </w:r>
      <w:r>
        <w:rPr>
          <w:rFonts w:ascii="仿宋" w:hAnsi="仿宋" w:eastAsia="仿宋"/>
        </w:rPr>
        <w:t>3套以及电子文件1套。</w:t>
      </w:r>
    </w:p>
    <w:p>
      <w:pPr>
        <w:pStyle w:val="2"/>
        <w:rPr>
          <w:rFonts w:hint="eastAsia"/>
        </w:rPr>
      </w:pPr>
      <w:r>
        <w:rPr>
          <w:rFonts w:hint="eastAsia"/>
        </w:rPr>
        <w:t>供应商资质要求</w:t>
      </w:r>
    </w:p>
    <w:p>
      <w:pPr>
        <w:rPr>
          <w:rFonts w:hint="eastAsia" w:ascii="仿宋" w:hAnsi="仿宋" w:eastAsia="仿宋"/>
        </w:rPr>
      </w:pPr>
      <w:r>
        <w:rPr>
          <w:rFonts w:ascii="仿宋" w:hAnsi="仿宋" w:eastAsia="仿宋"/>
        </w:rPr>
        <w:t>1、符合《中华人民共和国政府采购法》第二十二条规定的供应商。</w:t>
      </w:r>
    </w:p>
    <w:p>
      <w:pPr>
        <w:rPr>
          <w:rFonts w:hint="eastAsia" w:ascii="仿宋" w:hAnsi="仿宋" w:eastAsia="仿宋"/>
        </w:rPr>
      </w:pPr>
      <w:r>
        <w:rPr>
          <w:rFonts w:ascii="仿宋" w:hAnsi="仿宋" w:eastAsia="仿宋"/>
        </w:rPr>
        <w:t>2、根据《上海市政府采购供应商登记及诚信管理办法》已登记入库的供应商。</w:t>
      </w:r>
    </w:p>
    <w:p>
      <w:pPr>
        <w:rPr>
          <w:rFonts w:hint="eastAsia" w:ascii="仿宋" w:hAnsi="仿宋" w:eastAsia="仿宋"/>
        </w:rPr>
      </w:pPr>
      <w:r>
        <w:rPr>
          <w:rFonts w:ascii="仿宋" w:hAnsi="仿宋" w:eastAsia="仿宋"/>
        </w:rPr>
        <w:t>3、其他资格要求：</w:t>
      </w:r>
    </w:p>
    <w:p>
      <w:pPr>
        <w:rPr>
          <w:rFonts w:hint="eastAsia" w:ascii="仿宋" w:hAnsi="仿宋" w:eastAsia="仿宋"/>
        </w:rPr>
      </w:pPr>
      <w:r>
        <w:rPr>
          <w:rFonts w:ascii="仿宋" w:hAnsi="仿宋" w:eastAsia="仿宋"/>
        </w:rPr>
        <w:t>3.</w:t>
      </w:r>
      <w:r>
        <w:rPr>
          <w:rFonts w:hint="eastAsia" w:ascii="仿宋" w:hAnsi="仿宋" w:eastAsia="仿宋"/>
        </w:rPr>
        <w:t>1</w:t>
      </w:r>
      <w:r>
        <w:rPr>
          <w:rFonts w:ascii="仿宋" w:hAnsi="仿宋" w:eastAsia="仿宋"/>
        </w:rPr>
        <w:t>本项目面向</w:t>
      </w:r>
      <w:r>
        <w:rPr>
          <w:rFonts w:ascii="仿宋" w:hAnsi="仿宋" w:eastAsia="仿宋"/>
          <w:highlight w:val="none"/>
        </w:rPr>
        <w:t>大、中、小、微</w:t>
      </w:r>
      <w:r>
        <w:rPr>
          <w:rFonts w:ascii="仿宋" w:hAnsi="仿宋" w:eastAsia="仿宋"/>
        </w:rPr>
        <w:t>型等各类供应商采购。</w:t>
      </w:r>
    </w:p>
    <w:p>
      <w:pPr>
        <w:rPr>
          <w:rFonts w:hint="eastAsia" w:ascii="仿宋" w:hAnsi="仿宋" w:eastAsia="仿宋"/>
        </w:rPr>
      </w:pPr>
      <w:r>
        <w:rPr>
          <w:rFonts w:ascii="仿宋" w:hAnsi="仿宋" w:eastAsia="仿宋"/>
        </w:rPr>
        <w:t>3.</w:t>
      </w:r>
      <w:r>
        <w:rPr>
          <w:rFonts w:hint="eastAsia" w:ascii="仿宋" w:hAnsi="仿宋" w:eastAsia="仿宋"/>
        </w:rPr>
        <w:t>2</w:t>
      </w:r>
      <w:r>
        <w:rPr>
          <w:rFonts w:ascii="仿宋" w:hAnsi="仿宋" w:eastAsia="仿宋"/>
        </w:rPr>
        <w:t>未被列入“信用中国”网站(www.creditchina.gov.cn)失信被执行人名单、重大税收违法案件当事人名单和中国政府采购网(www.ccgp.gov.cn)政府采购严重违法失信行为记录名单。</w:t>
      </w:r>
    </w:p>
    <w:p>
      <w:pPr>
        <w:pStyle w:val="2"/>
        <w:rPr>
          <w:rFonts w:hint="eastAsia"/>
        </w:rPr>
      </w:pPr>
      <w:r>
        <w:rPr>
          <w:rFonts w:hint="eastAsia"/>
        </w:rPr>
        <w:t>供应商管理要求</w:t>
      </w:r>
      <w:bookmarkEnd w:id="26"/>
    </w:p>
    <w:p>
      <w:pPr>
        <w:rPr>
          <w:rFonts w:hint="eastAsia" w:ascii="仿宋" w:hAnsi="仿宋" w:eastAsia="仿宋"/>
        </w:rPr>
      </w:pPr>
      <w:r>
        <w:rPr>
          <w:rFonts w:hint="eastAsia" w:ascii="仿宋" w:hAnsi="仿宋" w:eastAsia="仿宋"/>
        </w:rPr>
        <w:t>1、在项目实施期间，</w:t>
      </w:r>
      <w:r>
        <w:rPr>
          <w:rFonts w:hint="eastAsia" w:ascii="仿宋" w:hAnsi="仿宋" w:eastAsia="仿宋"/>
          <w:lang w:eastAsia="zh-CN"/>
        </w:rPr>
        <w:t>成交供应商</w:t>
      </w:r>
      <w:r>
        <w:rPr>
          <w:rFonts w:hint="eastAsia" w:ascii="仿宋" w:hAnsi="仿宋" w:eastAsia="仿宋"/>
        </w:rPr>
        <w:t>应严格执行国家、地方、行业有关本项目业务管理和安全作业的法律、法规和制度并按规定承担相应的费用。</w:t>
      </w:r>
      <w:r>
        <w:rPr>
          <w:rFonts w:hint="eastAsia" w:ascii="仿宋" w:hAnsi="仿宋" w:eastAsia="仿宋"/>
          <w:lang w:eastAsia="zh-CN"/>
        </w:rPr>
        <w:t>成交供应商</w:t>
      </w:r>
      <w:r>
        <w:rPr>
          <w:rFonts w:hint="eastAsia" w:ascii="仿宋" w:hAnsi="仿宋" w:eastAsia="仿宋"/>
        </w:rPr>
        <w:t>因违反规定等原因造成的一切损失和责任由</w:t>
      </w:r>
      <w:r>
        <w:rPr>
          <w:rFonts w:hint="eastAsia" w:ascii="仿宋" w:hAnsi="仿宋" w:eastAsia="仿宋"/>
          <w:lang w:eastAsia="zh-CN"/>
        </w:rPr>
        <w:t>成交供应商</w:t>
      </w:r>
      <w:r>
        <w:rPr>
          <w:rFonts w:hint="eastAsia" w:ascii="仿宋" w:hAnsi="仿宋" w:eastAsia="仿宋"/>
        </w:rPr>
        <w:t>自行承担。</w:t>
      </w:r>
    </w:p>
    <w:p>
      <w:pPr>
        <w:rPr>
          <w:rFonts w:hint="eastAsia" w:ascii="仿宋" w:hAnsi="仿宋" w:eastAsia="仿宋"/>
        </w:rPr>
      </w:pPr>
      <w:r>
        <w:rPr>
          <w:rFonts w:hint="eastAsia" w:ascii="仿宋" w:hAnsi="仿宋" w:eastAsia="仿宋"/>
        </w:rPr>
        <w:t>2、</w:t>
      </w:r>
      <w:r>
        <w:rPr>
          <w:rFonts w:hint="eastAsia" w:ascii="仿宋" w:hAnsi="仿宋" w:eastAsia="仿宋"/>
          <w:lang w:eastAsia="zh-CN"/>
        </w:rPr>
        <w:t>成交供应商</w:t>
      </w:r>
      <w:r>
        <w:rPr>
          <w:rFonts w:hint="eastAsia" w:ascii="仿宋" w:hAnsi="仿宋" w:eastAsia="仿宋"/>
        </w:rPr>
        <w:t>在</w:t>
      </w:r>
      <w:r>
        <w:rPr>
          <w:rFonts w:hint="eastAsia" w:ascii="仿宋" w:hAnsi="仿宋" w:eastAsia="仿宋"/>
          <w:lang w:eastAsia="zh-CN"/>
        </w:rPr>
        <w:t>响应文件</w:t>
      </w:r>
      <w:r>
        <w:rPr>
          <w:rFonts w:hint="eastAsia" w:ascii="仿宋" w:hAnsi="仿宋" w:eastAsia="仿宋"/>
        </w:rPr>
        <w:t>中承诺并经招标人认定的项目负责人及专业技术人员必须是本单位职工（在本单位缴纳社会保障金）和该项目实施现场的实际操作者，应具有类似本项目的实施经验，并应在软件应用调研、安装、试运行等期间常驻项目现场。未经采购人同意，</w:t>
      </w:r>
      <w:r>
        <w:rPr>
          <w:rFonts w:hint="eastAsia" w:ascii="仿宋" w:hAnsi="仿宋" w:eastAsia="仿宋"/>
          <w:lang w:eastAsia="zh-CN"/>
        </w:rPr>
        <w:t>成交供应商</w:t>
      </w:r>
      <w:r>
        <w:rPr>
          <w:rFonts w:hint="eastAsia" w:ascii="仿宋" w:hAnsi="仿宋" w:eastAsia="仿宋"/>
        </w:rPr>
        <w:t>不得调换或撤离上述人员。如采购人认为有必要，可要求</w:t>
      </w:r>
      <w:r>
        <w:rPr>
          <w:rFonts w:hint="eastAsia" w:ascii="仿宋" w:hAnsi="仿宋" w:eastAsia="仿宋"/>
          <w:lang w:eastAsia="zh-CN"/>
        </w:rPr>
        <w:t>成交供应商</w:t>
      </w:r>
      <w:r>
        <w:rPr>
          <w:rFonts w:hint="eastAsia" w:ascii="仿宋" w:hAnsi="仿宋" w:eastAsia="仿宋"/>
        </w:rPr>
        <w:t>对上述人员中的部分人员作出更好的调整。</w:t>
      </w:r>
    </w:p>
    <w:p>
      <w:pPr>
        <w:rPr>
          <w:rFonts w:hint="eastAsia" w:ascii="仿宋" w:hAnsi="仿宋" w:eastAsia="仿宋"/>
        </w:rPr>
      </w:pPr>
      <w:r>
        <w:rPr>
          <w:rFonts w:hint="eastAsia" w:ascii="仿宋" w:hAnsi="仿宋" w:eastAsia="仿宋"/>
        </w:rPr>
        <w:t>3、</w:t>
      </w:r>
      <w:r>
        <w:rPr>
          <w:rFonts w:hint="eastAsia" w:ascii="仿宋" w:hAnsi="仿宋" w:eastAsia="仿宋"/>
          <w:lang w:eastAsia="zh-CN"/>
        </w:rPr>
        <w:t>成交供应商</w:t>
      </w:r>
      <w:r>
        <w:rPr>
          <w:rFonts w:hint="eastAsia" w:ascii="仿宋" w:hAnsi="仿宋" w:eastAsia="仿宋"/>
        </w:rPr>
        <w:t>在项目实施期间，应按项目实际进度与环节落实所对应项目整体及各环节管理工作，按照规范做好项目实施期间相关管理与实施记录。</w:t>
      </w:r>
    </w:p>
    <w:p>
      <w:pPr>
        <w:rPr>
          <w:rFonts w:hint="eastAsia" w:ascii="仿宋" w:hAnsi="仿宋" w:eastAsia="仿宋"/>
        </w:rPr>
      </w:pPr>
      <w:r>
        <w:rPr>
          <w:rFonts w:hint="eastAsia" w:ascii="仿宋" w:hAnsi="仿宋" w:eastAsia="仿宋"/>
        </w:rPr>
        <w:t>4、参与本项目的工作人员应严格遵循采购人的安全制度，保障采购人资料和设备的安全。</w:t>
      </w:r>
      <w:r>
        <w:rPr>
          <w:rFonts w:hint="eastAsia" w:ascii="仿宋" w:hAnsi="仿宋" w:eastAsia="仿宋"/>
          <w:lang w:eastAsia="zh-CN"/>
        </w:rPr>
        <w:t>成交供应商</w:t>
      </w:r>
      <w:r>
        <w:rPr>
          <w:rFonts w:hint="eastAsia" w:ascii="仿宋" w:hAnsi="仿宋" w:eastAsia="仿宋"/>
        </w:rPr>
        <w:t>如需进入采购人机房工作，只能在采购人规定的工作区域内对项目涉及的设备进行操作，严禁触动与项目无关的任何设备（包括任何操作行为），如需跨区操作必须得到采购人项目联系人确认。</w:t>
      </w:r>
    </w:p>
    <w:p>
      <w:pPr>
        <w:rPr>
          <w:rFonts w:hint="eastAsia" w:ascii="仿宋" w:hAnsi="仿宋" w:eastAsia="仿宋"/>
        </w:rPr>
      </w:pPr>
      <w:r>
        <w:rPr>
          <w:rFonts w:hint="eastAsia" w:ascii="仿宋" w:hAnsi="仿宋" w:eastAsia="仿宋"/>
        </w:rPr>
        <w:t>5、</w:t>
      </w:r>
      <w:r>
        <w:rPr>
          <w:rFonts w:hint="eastAsia" w:ascii="仿宋" w:hAnsi="仿宋" w:eastAsia="仿宋"/>
          <w:lang w:eastAsia="zh-CN"/>
        </w:rPr>
        <w:t>成交供应商</w:t>
      </w:r>
      <w:r>
        <w:rPr>
          <w:rFonts w:hint="eastAsia" w:ascii="仿宋" w:hAnsi="仿宋" w:eastAsia="仿宋"/>
        </w:rPr>
        <w:t>在项目实施期间必须遵守采购人的规章制度并提供实施人员名单。</w:t>
      </w:r>
    </w:p>
    <w:p>
      <w:pPr>
        <w:rPr>
          <w:rFonts w:hint="eastAsia" w:ascii="仿宋" w:hAnsi="仿宋" w:eastAsia="仿宋"/>
        </w:rPr>
      </w:pPr>
      <w:r>
        <w:rPr>
          <w:rFonts w:hint="eastAsia" w:ascii="仿宋" w:hAnsi="仿宋" w:eastAsia="仿宋"/>
        </w:rPr>
        <w:t>6、各</w:t>
      </w:r>
      <w:r>
        <w:rPr>
          <w:rFonts w:hint="eastAsia" w:ascii="仿宋" w:hAnsi="仿宋" w:eastAsia="仿宋"/>
          <w:lang w:eastAsia="zh-CN"/>
        </w:rPr>
        <w:t>供应商</w:t>
      </w:r>
      <w:r>
        <w:rPr>
          <w:rFonts w:hint="eastAsia" w:ascii="仿宋" w:hAnsi="仿宋" w:eastAsia="仿宋"/>
        </w:rPr>
        <w:t>在</w:t>
      </w:r>
      <w:r>
        <w:rPr>
          <w:rFonts w:hint="eastAsia" w:ascii="仿宋" w:hAnsi="仿宋" w:eastAsia="仿宋"/>
          <w:lang w:eastAsia="zh-CN"/>
        </w:rPr>
        <w:t>响应文件</w:t>
      </w:r>
      <w:r>
        <w:rPr>
          <w:rFonts w:hint="eastAsia" w:ascii="仿宋" w:hAnsi="仿宋" w:eastAsia="仿宋"/>
        </w:rPr>
        <w:t>中要结合本项目的特点和采购人上述的具体要求制定相应的管理措施，并在报价中列支相应的费用清单，</w:t>
      </w:r>
      <w:r>
        <w:rPr>
          <w:rFonts w:hint="eastAsia" w:ascii="仿宋" w:hAnsi="仿宋" w:eastAsia="仿宋"/>
          <w:lang w:eastAsia="zh-CN"/>
        </w:rPr>
        <w:t>供应商</w:t>
      </w:r>
      <w:r>
        <w:rPr>
          <w:rFonts w:hint="eastAsia" w:ascii="仿宋" w:hAnsi="仿宋" w:eastAsia="仿宋"/>
        </w:rPr>
        <w:t>报价中未列支上述费用清单的，上述费用视为已包含在</w:t>
      </w:r>
      <w:r>
        <w:rPr>
          <w:rFonts w:hint="eastAsia" w:ascii="仿宋" w:hAnsi="仿宋" w:eastAsia="仿宋"/>
          <w:lang w:eastAsia="zh-CN"/>
        </w:rPr>
        <w:t>供应商</w:t>
      </w:r>
      <w:r>
        <w:rPr>
          <w:rFonts w:hint="eastAsia" w:ascii="仿宋" w:hAnsi="仿宋" w:eastAsia="仿宋"/>
        </w:rPr>
        <w:t>的总报价中。</w:t>
      </w:r>
    </w:p>
    <w:p>
      <w:pPr>
        <w:rPr>
          <w:rFonts w:hint="eastAsia" w:ascii="仿宋" w:hAnsi="仿宋" w:eastAsia="仿宋"/>
        </w:rPr>
      </w:pPr>
      <w:r>
        <w:rPr>
          <w:rFonts w:hint="eastAsia" w:ascii="仿宋" w:hAnsi="仿宋" w:eastAsia="仿宋"/>
        </w:rPr>
        <w:t>7、本项目软件开发及调试将纳入采购人的管理范围，</w:t>
      </w:r>
      <w:r>
        <w:rPr>
          <w:rFonts w:hint="eastAsia" w:ascii="仿宋" w:hAnsi="仿宋" w:eastAsia="仿宋"/>
          <w:lang w:eastAsia="zh-CN"/>
        </w:rPr>
        <w:t>成交供应商</w:t>
      </w:r>
      <w:r>
        <w:rPr>
          <w:rFonts w:hint="eastAsia" w:ascii="仿宋" w:hAnsi="仿宋" w:eastAsia="仿宋"/>
        </w:rPr>
        <w:t>在此过程中须服从上述单位的管理协调。</w:t>
      </w:r>
    </w:p>
    <w:p>
      <w:pPr>
        <w:pStyle w:val="2"/>
        <w:rPr>
          <w:rFonts w:hint="eastAsia"/>
        </w:rPr>
      </w:pPr>
      <w:bookmarkStart w:id="27" w:name="_Toc63785513"/>
      <w:r>
        <w:rPr>
          <w:rFonts w:hint="eastAsia"/>
        </w:rPr>
        <w:t>关于转让和分包的规定</w:t>
      </w:r>
    </w:p>
    <w:p>
      <w:pPr>
        <w:rPr>
          <w:rFonts w:hint="eastAsia" w:ascii="仿宋" w:hAnsi="仿宋" w:eastAsia="仿宋"/>
        </w:rPr>
      </w:pPr>
      <w:r>
        <w:rPr>
          <w:rFonts w:hint="eastAsia" w:ascii="仿宋" w:hAnsi="仿宋" w:eastAsia="仿宋"/>
        </w:rPr>
        <w:t>本项目不得转让不得分包。</w:t>
      </w:r>
    </w:p>
    <w:p>
      <w:pPr>
        <w:pStyle w:val="2"/>
        <w:rPr>
          <w:rFonts w:hint="eastAsia"/>
        </w:rPr>
      </w:pPr>
      <w:r>
        <w:rPr>
          <w:rFonts w:hint="eastAsia"/>
        </w:rPr>
        <w:t>知识产权及保密要求</w:t>
      </w:r>
      <w:bookmarkEnd w:id="27"/>
    </w:p>
    <w:p>
      <w:pPr>
        <w:ind w:firstLine="482"/>
        <w:rPr>
          <w:rFonts w:hint="eastAsia" w:ascii="仿宋" w:hAnsi="仿宋" w:eastAsia="仿宋"/>
          <w:b/>
          <w:bCs/>
        </w:rPr>
      </w:pPr>
      <w:r>
        <w:rPr>
          <w:rFonts w:ascii="仿宋" w:hAnsi="仿宋" w:eastAsia="仿宋"/>
          <w:b/>
          <w:bCs/>
        </w:rPr>
        <w:t>1、</w:t>
      </w:r>
      <w:r>
        <w:rPr>
          <w:rFonts w:hint="eastAsia" w:ascii="仿宋" w:hAnsi="仿宋" w:eastAsia="仿宋"/>
          <w:b/>
          <w:bCs/>
          <w:lang w:eastAsia="zh-CN"/>
        </w:rPr>
        <w:t>成交供应商</w:t>
      </w:r>
      <w:r>
        <w:rPr>
          <w:rFonts w:ascii="仿宋" w:hAnsi="仿宋" w:eastAsia="仿宋"/>
          <w:b/>
          <w:bCs/>
        </w:rPr>
        <w:t>数据、文件、资料知识产权</w:t>
      </w:r>
    </w:p>
    <w:p>
      <w:pPr>
        <w:rPr>
          <w:rFonts w:hint="eastAsia" w:ascii="仿宋" w:hAnsi="仿宋" w:eastAsia="仿宋"/>
        </w:rPr>
      </w:pPr>
      <w:bookmarkStart w:id="28" w:name="OLE_LINK18"/>
      <w:r>
        <w:rPr>
          <w:rFonts w:hint="eastAsia" w:ascii="仿宋" w:hAnsi="仿宋" w:eastAsia="仿宋"/>
          <w:lang w:eastAsia="zh-CN"/>
        </w:rPr>
        <w:t>成交供应商</w:t>
      </w:r>
      <w:r>
        <w:rPr>
          <w:rFonts w:hint="eastAsia" w:ascii="仿宋" w:hAnsi="仿宋" w:eastAsia="仿宋"/>
        </w:rPr>
        <w:t>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w:t>
      </w:r>
      <w:r>
        <w:rPr>
          <w:rFonts w:hint="eastAsia" w:ascii="仿宋" w:hAnsi="仿宋" w:eastAsia="仿宋"/>
          <w:lang w:eastAsia="zh-CN"/>
        </w:rPr>
        <w:t>成交供应商</w:t>
      </w:r>
      <w:r>
        <w:rPr>
          <w:rFonts w:hint="eastAsia" w:ascii="仿宋" w:hAnsi="仿宋" w:eastAsia="仿宋"/>
        </w:rPr>
        <w:t>应负责与第三方解决纠纷，若因此导致采购人损失的，采购人有权要求</w:t>
      </w:r>
      <w:r>
        <w:rPr>
          <w:rFonts w:hint="eastAsia" w:ascii="仿宋" w:hAnsi="仿宋" w:eastAsia="仿宋"/>
          <w:lang w:eastAsia="zh-CN"/>
        </w:rPr>
        <w:t>成交供应商</w:t>
      </w:r>
      <w:r>
        <w:rPr>
          <w:rFonts w:hint="eastAsia" w:ascii="仿宋" w:hAnsi="仿宋" w:eastAsia="仿宋"/>
        </w:rPr>
        <w:t>赔偿采购人因此遭受的全部损失，包括但不限于直接损失、间接损失、诉讼费／仲裁费、律师费、公证费、鉴定费等。</w:t>
      </w:r>
    </w:p>
    <w:p>
      <w:pPr>
        <w:rPr>
          <w:rFonts w:hint="eastAsia" w:ascii="仿宋" w:hAnsi="仿宋" w:eastAsia="仿宋"/>
        </w:rPr>
      </w:pPr>
      <w:r>
        <w:rPr>
          <w:rFonts w:hint="eastAsia" w:ascii="仿宋" w:hAnsi="仿宋" w:eastAsia="仿宋"/>
          <w:lang w:eastAsia="zh-CN"/>
        </w:rPr>
        <w:t>成交供应商</w:t>
      </w:r>
      <w:r>
        <w:rPr>
          <w:rFonts w:hint="eastAsia" w:ascii="仿宋" w:hAnsi="仿宋" w:eastAsia="仿宋"/>
        </w:rPr>
        <w:t>因履行本项目而产生的所有成果的知识产权等权利均归采购人所有，</w:t>
      </w:r>
      <w:r>
        <w:rPr>
          <w:rFonts w:hint="eastAsia" w:ascii="仿宋" w:hAnsi="仿宋" w:eastAsia="仿宋"/>
          <w:lang w:eastAsia="zh-CN"/>
        </w:rPr>
        <w:t>成交供应商</w:t>
      </w:r>
      <w:r>
        <w:rPr>
          <w:rFonts w:hint="eastAsia" w:ascii="仿宋" w:hAnsi="仿宋" w:eastAsia="仿宋"/>
        </w:rPr>
        <w:t>应配合采购人进行相关权利登记或申请。未经采购人书面同意，</w:t>
      </w:r>
      <w:r>
        <w:rPr>
          <w:rFonts w:hint="eastAsia" w:ascii="仿宋" w:hAnsi="仿宋" w:eastAsia="仿宋"/>
          <w:lang w:eastAsia="zh-CN"/>
        </w:rPr>
        <w:t>成交供应商</w:t>
      </w:r>
      <w:r>
        <w:rPr>
          <w:rFonts w:hint="eastAsia" w:ascii="仿宋" w:hAnsi="仿宋" w:eastAsia="仿宋"/>
        </w:rPr>
        <w:t>不得以任何形式使用或许可他人使用本项目成果的相关内容，不得擅自对外公开发表或向任何第三方透露。</w:t>
      </w:r>
    </w:p>
    <w:p>
      <w:pPr>
        <w:rPr>
          <w:rFonts w:hint="eastAsia" w:ascii="仿宋" w:hAnsi="仿宋" w:eastAsia="仿宋"/>
        </w:rPr>
      </w:pPr>
      <w:r>
        <w:rPr>
          <w:rFonts w:hint="eastAsia" w:ascii="仿宋" w:hAnsi="仿宋" w:eastAsia="仿宋"/>
        </w:rPr>
        <w:t>在不影响上述条款规定的由采购人取得所有成果的知识产权的前提下，双方因履行本项目而被授权接触或使用对方之知识产权（包括但不限于商标、专利、著作权等），和/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bookmarkEnd w:id="28"/>
    <w:p>
      <w:pPr>
        <w:ind w:firstLine="482"/>
        <w:rPr>
          <w:rFonts w:hint="eastAsia" w:ascii="仿宋" w:hAnsi="仿宋" w:eastAsia="仿宋"/>
          <w:b/>
          <w:bCs/>
        </w:rPr>
      </w:pPr>
      <w:r>
        <w:rPr>
          <w:rFonts w:ascii="仿宋" w:hAnsi="仿宋" w:eastAsia="仿宋"/>
          <w:b/>
          <w:bCs/>
        </w:rPr>
        <w:t>2、项目保密要求</w:t>
      </w:r>
    </w:p>
    <w:p>
      <w:pPr>
        <w:rPr>
          <w:rFonts w:hint="eastAsia" w:ascii="仿宋" w:hAnsi="仿宋" w:eastAsia="仿宋"/>
        </w:rPr>
      </w:pPr>
      <w:r>
        <w:rPr>
          <w:rFonts w:hint="eastAsia" w:ascii="仿宋" w:hAnsi="仿宋" w:eastAsia="仿宋"/>
          <w:lang w:eastAsia="zh-CN"/>
        </w:rPr>
        <w:t>成交供应商</w:t>
      </w:r>
      <w:r>
        <w:rPr>
          <w:rFonts w:hint="eastAsia" w:ascii="仿宋" w:hAnsi="仿宋" w:eastAsia="仿宋"/>
        </w:rPr>
        <w:t>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w:t>
      </w:r>
      <w:r>
        <w:rPr>
          <w:rFonts w:hint="eastAsia" w:ascii="仿宋" w:hAnsi="仿宋" w:eastAsia="仿宋"/>
          <w:lang w:eastAsia="zh-CN"/>
        </w:rPr>
        <w:t>成交供应商</w:t>
      </w:r>
      <w:r>
        <w:rPr>
          <w:rFonts w:hint="eastAsia" w:ascii="仿宋" w:hAnsi="仿宋" w:eastAsia="仿宋"/>
        </w:rPr>
        <w:t>不得对外泄露采购人要求保密的信息，不得用于其他用途，否则</w:t>
      </w:r>
      <w:r>
        <w:rPr>
          <w:rFonts w:hint="eastAsia" w:ascii="仿宋" w:hAnsi="仿宋" w:eastAsia="仿宋"/>
          <w:lang w:eastAsia="zh-CN"/>
        </w:rPr>
        <w:t>成交供应商</w:t>
      </w:r>
      <w:r>
        <w:rPr>
          <w:rFonts w:hint="eastAsia" w:ascii="仿宋" w:hAnsi="仿宋" w:eastAsia="仿宋"/>
        </w:rPr>
        <w:t>需承担由此引起的法律责任和经济责任，包括但不限于直接损失、间接损失、律师费、诉讼费/仲裁费、调查费、公证费等。</w:t>
      </w:r>
    </w:p>
    <w:p>
      <w:pPr>
        <w:rPr>
          <w:rFonts w:hint="eastAsia" w:ascii="仿宋" w:hAnsi="仿宋" w:eastAsia="仿宋"/>
        </w:rPr>
      </w:pPr>
      <w:r>
        <w:rPr>
          <w:rFonts w:hint="eastAsia" w:ascii="仿宋" w:hAnsi="仿宋" w:eastAsia="仿宋"/>
          <w:lang w:eastAsia="zh-CN"/>
        </w:rPr>
        <w:t>成交供应商</w:t>
      </w:r>
      <w:r>
        <w:rPr>
          <w:rFonts w:hint="eastAsia" w:ascii="仿宋" w:hAnsi="仿宋" w:eastAsia="仿宋"/>
        </w:rPr>
        <w:t>应采取必要的有效措施保证其参与本项目的人员（包括</w:t>
      </w:r>
      <w:r>
        <w:rPr>
          <w:rFonts w:hint="eastAsia" w:ascii="仿宋" w:hAnsi="仿宋" w:eastAsia="仿宋"/>
          <w:lang w:eastAsia="zh-CN"/>
        </w:rPr>
        <w:t>成交供应商</w:t>
      </w:r>
      <w:r>
        <w:rPr>
          <w:rFonts w:hint="eastAsia" w:ascii="仿宋" w:hAnsi="仿宋" w:eastAsia="仿宋"/>
        </w:rPr>
        <w:t>聘用的人员、借调的人员、实习的人员）无论是在职或离职后，以及</w:t>
      </w:r>
      <w:r>
        <w:rPr>
          <w:rFonts w:hint="eastAsia" w:ascii="仿宋" w:hAnsi="仿宋" w:eastAsia="仿宋"/>
          <w:lang w:eastAsia="zh-CN"/>
        </w:rPr>
        <w:t>成交供应商</w:t>
      </w:r>
      <w:r>
        <w:rPr>
          <w:rFonts w:hint="eastAsia" w:ascii="仿宋" w:hAnsi="仿宋" w:eastAsia="仿宋"/>
        </w:rPr>
        <w:t>的合作方无论是合作中或合作终止后，都能够履行本项目约定的保密义务。若</w:t>
      </w:r>
      <w:r>
        <w:rPr>
          <w:rFonts w:hint="eastAsia" w:ascii="仿宋" w:hAnsi="仿宋" w:eastAsia="仿宋"/>
          <w:lang w:eastAsia="zh-CN"/>
        </w:rPr>
        <w:t>成交供应商</w:t>
      </w:r>
      <w:r>
        <w:rPr>
          <w:rFonts w:hint="eastAsia" w:ascii="仿宋" w:hAnsi="仿宋" w:eastAsia="仿宋"/>
        </w:rPr>
        <w:t>人员或</w:t>
      </w:r>
      <w:r>
        <w:rPr>
          <w:rFonts w:hint="eastAsia" w:ascii="仿宋" w:hAnsi="仿宋" w:eastAsia="仿宋"/>
          <w:lang w:eastAsia="zh-CN"/>
        </w:rPr>
        <w:t>成交供应商</w:t>
      </w:r>
      <w:r>
        <w:rPr>
          <w:rFonts w:hint="eastAsia" w:ascii="仿宋" w:hAnsi="仿宋" w:eastAsia="仿宋"/>
        </w:rPr>
        <w:t>合作方违反保密规定，</w:t>
      </w:r>
      <w:r>
        <w:rPr>
          <w:rFonts w:hint="eastAsia" w:ascii="仿宋" w:hAnsi="仿宋" w:eastAsia="仿宋"/>
          <w:lang w:eastAsia="zh-CN"/>
        </w:rPr>
        <w:t>成交供应商</w:t>
      </w:r>
      <w:r>
        <w:rPr>
          <w:rFonts w:hint="eastAsia" w:ascii="仿宋" w:hAnsi="仿宋" w:eastAsia="仿宋"/>
        </w:rPr>
        <w:t>应承担连带责任。</w:t>
      </w:r>
    </w:p>
    <w:p>
      <w:pPr>
        <w:rPr>
          <w:rFonts w:hint="eastAsia" w:ascii="仿宋" w:hAnsi="仿宋" w:eastAsia="仿宋"/>
        </w:rPr>
      </w:pPr>
      <w:r>
        <w:rPr>
          <w:rFonts w:hint="eastAsia" w:ascii="仿宋" w:hAnsi="仿宋" w:eastAsia="仿宋"/>
          <w:lang w:eastAsia="zh-CN"/>
        </w:rPr>
        <w:t>成交供应商</w:t>
      </w:r>
      <w:r>
        <w:rPr>
          <w:rFonts w:hint="eastAsia" w:ascii="仿宋" w:hAnsi="仿宋" w:eastAsia="仿宋"/>
        </w:rPr>
        <w:t>（含</w:t>
      </w:r>
      <w:r>
        <w:rPr>
          <w:rFonts w:hint="eastAsia" w:ascii="仿宋" w:hAnsi="仿宋" w:eastAsia="仿宋"/>
          <w:lang w:eastAsia="zh-CN"/>
        </w:rPr>
        <w:t>成交供应商</w:t>
      </w:r>
      <w:r>
        <w:rPr>
          <w:rFonts w:hint="eastAsia" w:ascii="仿宋" w:hAnsi="仿宋" w:eastAsia="仿宋"/>
        </w:rPr>
        <w:t>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pPr>
        <w:rPr>
          <w:rFonts w:hint="eastAsia" w:ascii="仿宋" w:hAnsi="仿宋" w:eastAsia="仿宋"/>
        </w:rPr>
      </w:pPr>
      <w:r>
        <w:rPr>
          <w:rFonts w:hint="eastAsia" w:ascii="仿宋" w:hAnsi="仿宋" w:eastAsia="仿宋"/>
        </w:rPr>
        <w:t>以上内容的保密期限自</w:t>
      </w:r>
      <w:r>
        <w:rPr>
          <w:rFonts w:hint="eastAsia" w:ascii="仿宋" w:hAnsi="仿宋" w:eastAsia="仿宋"/>
          <w:lang w:eastAsia="zh-CN"/>
        </w:rPr>
        <w:t>成交供应商</w:t>
      </w:r>
      <w:r>
        <w:rPr>
          <w:rFonts w:hint="eastAsia" w:ascii="仿宋" w:hAnsi="仿宋" w:eastAsia="仿宋"/>
        </w:rPr>
        <w:t>知悉保密信息起始至保密信息被合法公开之日止。</w:t>
      </w:r>
    </w:p>
    <w:p>
      <w:pPr>
        <w:ind w:firstLine="482"/>
        <w:rPr>
          <w:rFonts w:hint="eastAsia" w:ascii="仿宋" w:hAnsi="仿宋" w:eastAsia="仿宋"/>
          <w:b/>
          <w:bCs/>
        </w:rPr>
      </w:pPr>
      <w:r>
        <w:rPr>
          <w:rFonts w:ascii="仿宋" w:hAnsi="仿宋" w:eastAsia="仿宋"/>
          <w:b/>
          <w:bCs/>
        </w:rPr>
        <w:t>3、临时账号等使用要求</w:t>
      </w:r>
    </w:p>
    <w:p>
      <w:pPr>
        <w:rPr>
          <w:rFonts w:hint="eastAsia" w:ascii="仿宋" w:hAnsi="仿宋" w:eastAsia="仿宋"/>
        </w:rPr>
      </w:pPr>
      <w:r>
        <w:rPr>
          <w:rFonts w:hint="eastAsia" w:ascii="仿宋" w:hAnsi="仿宋" w:eastAsia="仿宋"/>
          <w:lang w:eastAsia="zh-CN"/>
        </w:rPr>
        <w:t>成交供应商</w:t>
      </w:r>
      <w:r>
        <w:rPr>
          <w:rFonts w:hint="eastAsia" w:ascii="仿宋" w:hAnsi="仿宋" w:eastAsia="仿宋"/>
        </w:rPr>
        <w:t>对采购人提拱的临时使用账号要保密，不得公开，对组件开发的账号密码需进行加密，避免信息安全的泄露。未经采购人的同意不得利用采购人的网络及平台进行短信、彩信、微信发送</w:t>
      </w:r>
      <w:r>
        <w:rPr>
          <w:rFonts w:ascii="仿宋" w:hAnsi="仿宋" w:eastAsia="仿宋"/>
        </w:rPr>
        <w:t>,造成的一切后果由</w:t>
      </w:r>
      <w:r>
        <w:rPr>
          <w:rFonts w:hint="eastAsia" w:ascii="仿宋" w:hAnsi="仿宋" w:eastAsia="仿宋"/>
          <w:lang w:eastAsia="zh-CN"/>
        </w:rPr>
        <w:t>成交供应商</w:t>
      </w:r>
      <w:r>
        <w:rPr>
          <w:rFonts w:ascii="仿宋" w:hAnsi="仿宋" w:eastAsia="仿宋"/>
        </w:rPr>
        <w:t>负责。</w:t>
      </w:r>
    </w:p>
    <w:p>
      <w:pPr>
        <w:pStyle w:val="2"/>
        <w:rPr>
          <w:rFonts w:hint="eastAsia"/>
        </w:rPr>
      </w:pPr>
      <w:bookmarkStart w:id="29" w:name="_Toc65170093"/>
      <w:r>
        <w:t>项目的变更、解除和终止</w:t>
      </w:r>
    </w:p>
    <w:p>
      <w:pPr>
        <w:rPr>
          <w:rFonts w:hint="eastAsia" w:ascii="仿宋" w:hAnsi="仿宋" w:eastAsia="仿宋"/>
        </w:rPr>
      </w:pPr>
      <w:r>
        <w:rPr>
          <w:rFonts w:hint="eastAsia" w:ascii="仿宋" w:hAnsi="仿宋" w:eastAsia="仿宋"/>
        </w:rPr>
        <w:t>如果</w:t>
      </w:r>
      <w:r>
        <w:rPr>
          <w:rFonts w:hint="eastAsia" w:ascii="仿宋" w:hAnsi="仿宋" w:eastAsia="仿宋"/>
          <w:lang w:eastAsia="zh-CN"/>
        </w:rPr>
        <w:t>成交供应商</w:t>
      </w:r>
      <w:r>
        <w:rPr>
          <w:rFonts w:hint="eastAsia" w:ascii="仿宋" w:hAnsi="仿宋" w:eastAsia="仿宋"/>
        </w:rPr>
        <w:t>丧失履约能力、发生资不抵债或进入破产程序，采购人可在任何时候以书面形式通知</w:t>
      </w:r>
      <w:r>
        <w:rPr>
          <w:rFonts w:hint="eastAsia" w:ascii="仿宋" w:hAnsi="仿宋" w:eastAsia="仿宋"/>
          <w:lang w:eastAsia="zh-CN"/>
        </w:rPr>
        <w:t>成交供应商</w:t>
      </w:r>
      <w:r>
        <w:rPr>
          <w:rFonts w:hint="eastAsia" w:ascii="仿宋" w:hAnsi="仿宋" w:eastAsia="仿宋"/>
        </w:rPr>
        <w:t>终止本项目的执行而不给予</w:t>
      </w:r>
      <w:r>
        <w:rPr>
          <w:rFonts w:hint="eastAsia" w:ascii="仿宋" w:hAnsi="仿宋" w:eastAsia="仿宋"/>
          <w:lang w:eastAsia="zh-CN"/>
        </w:rPr>
        <w:t>成交供应商</w:t>
      </w:r>
      <w:r>
        <w:rPr>
          <w:rFonts w:hint="eastAsia" w:ascii="仿宋" w:hAnsi="仿宋" w:eastAsia="仿宋"/>
        </w:rPr>
        <w:t>补偿。该终止本项目将不损害或影响采购人已经采取或将要采取任何行动或补救措施的权利。</w:t>
      </w:r>
    </w:p>
    <w:p>
      <w:pPr>
        <w:rPr>
          <w:rFonts w:hint="eastAsia" w:ascii="仿宋" w:hAnsi="仿宋" w:eastAsia="仿宋"/>
        </w:rPr>
      </w:pPr>
      <w:r>
        <w:rPr>
          <w:rFonts w:hint="eastAsia" w:ascii="仿宋" w:hAnsi="仿宋" w:eastAsia="仿宋"/>
        </w:rPr>
        <w:t>如遇国家、行业管理部门等机构的有关标准和规定调整的，导致本项目内容须做相应调整时，双方应按照公平、合理的原则共同协商修改本项目对应的合同的相关条款。</w:t>
      </w:r>
    </w:p>
    <w:bookmarkEnd w:id="29"/>
    <w:p>
      <w:pPr>
        <w:pStyle w:val="2"/>
        <w:rPr>
          <w:rFonts w:hint="eastAsia"/>
        </w:rPr>
      </w:pPr>
      <w:bookmarkStart w:id="30" w:name="_Toc63785514"/>
      <w:bookmarkStart w:id="31" w:name="_GoBack"/>
      <w:bookmarkEnd w:id="31"/>
      <w:r>
        <w:rPr>
          <w:rFonts w:hint="eastAsia"/>
        </w:rPr>
        <w:t>付款</w:t>
      </w:r>
      <w:bookmarkEnd w:id="30"/>
      <w:r>
        <w:rPr>
          <w:rFonts w:hint="eastAsia"/>
        </w:rPr>
        <w:t>方式</w:t>
      </w:r>
    </w:p>
    <w:p>
      <w:pPr>
        <w:rPr>
          <w:rFonts w:hint="eastAsia" w:ascii="仿宋" w:hAnsi="仿宋" w:eastAsia="仿宋"/>
        </w:rPr>
      </w:pPr>
      <w:r>
        <w:rPr>
          <w:rFonts w:hint="eastAsia" w:ascii="仿宋" w:hAnsi="仿宋" w:eastAsia="仿宋"/>
        </w:rPr>
        <w:t>本项目采用以下付款方式付款：</w:t>
      </w:r>
    </w:p>
    <w:p>
      <w:pPr>
        <w:rPr>
          <w:rFonts w:hint="eastAsia" w:ascii="仿宋" w:hAnsi="仿宋" w:eastAsia="仿宋"/>
        </w:rPr>
      </w:pPr>
      <w:r>
        <w:rPr>
          <w:rFonts w:hint="eastAsia" w:ascii="仿宋" w:hAnsi="仿宋" w:eastAsia="仿宋"/>
        </w:rPr>
        <w:t>第一笔-首款（70%）：按成交金额签订合同，合同签订生效后十个工作日内支付合同金额的70%；第二笔-尾款（30%）：本项目通过最终验收后且收到约定的项目工作成果后十个工作日内，支付合同总价款的30%</w:t>
      </w:r>
      <w:r>
        <w:rPr>
          <w:rFonts w:hint="eastAsia" w:ascii="仿宋" w:hAnsi="仿宋" w:eastAsia="仿宋"/>
          <w:lang w:eastAsia="zh-CN"/>
        </w:rPr>
        <w:t>。</w:t>
      </w:r>
      <w:r>
        <w:rPr>
          <w:rFonts w:hint="eastAsia" w:ascii="仿宋" w:hAnsi="仿宋" w:eastAsia="仿宋"/>
        </w:rPr>
        <w:t>付款条件备注：</w:t>
      </w:r>
      <w:r>
        <w:rPr>
          <w:rFonts w:hint="eastAsia" w:ascii="仿宋" w:hAnsi="仿宋" w:eastAsia="仿宋"/>
          <w:lang w:eastAsia="zh-CN"/>
        </w:rPr>
        <w:t>成交供应商</w:t>
      </w:r>
      <w:r>
        <w:rPr>
          <w:rFonts w:hint="eastAsia" w:ascii="仿宋" w:hAnsi="仿宋" w:eastAsia="仿宋"/>
        </w:rPr>
        <w:t>应当在采购人每次付款前提前至少10个工作日向采购人提供有效发票。</w:t>
      </w:r>
    </w:p>
    <w:p>
      <w:pPr>
        <w:ind w:firstLine="0" w:firstLineChars="0"/>
        <w:jc w:val="left"/>
        <w:rPr>
          <w:rFonts w:hint="eastAsia"/>
          <w:b/>
          <w:bCs/>
        </w:rPr>
      </w:pPr>
    </w:p>
    <w:sectPr>
      <w:pgSz w:w="11906" w:h="16838"/>
      <w:pgMar w:top="1134" w:right="1797" w:bottom="1135" w:left="1797" w:header="340" w:footer="7" w:gutter="0"/>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Arial Unicode MS">
    <w:altName w:val="DejaVu Sans"/>
    <w:panose1 w:val="020B0604020202020204"/>
    <w:charset w:val="86"/>
    <w:family w:val="swiss"/>
    <w:pitch w:val="default"/>
    <w:sig w:usb0="00000000" w:usb1="00000000" w:usb2="0000003F" w:usb3="00000000" w:csb0="003F01FF" w:csb1="00000000"/>
  </w:font>
  <w:font w:name="等线 Light">
    <w:altName w:val="华文中宋"/>
    <w:panose1 w:val="02010600030101010101"/>
    <w:charset w:val="86"/>
    <w:family w:val="auto"/>
    <w:pitch w:val="default"/>
    <w:sig w:usb0="00000000" w:usb1="00000000" w:usb2="00000016" w:usb3="00000000" w:csb0="0004000F" w:csb1="00000000"/>
  </w:font>
  <w:font w:name="time">
    <w:altName w:val="华文中宋"/>
    <w:panose1 w:val="00000000000000000000"/>
    <w:charset w:val="00"/>
    <w:family w:val="roman"/>
    <w:pitch w:val="default"/>
    <w:sig w:usb0="00000000" w:usb1="00000000" w:usb2="00000000" w:usb3="00000000" w:csb0="00040001" w:csb1="0000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Microsoft Sans Serif">
    <w:altName w:val="Liberation Sans"/>
    <w:panose1 w:val="020B0604020202020204"/>
    <w:charset w:val="00"/>
    <w:family w:val="swiss"/>
    <w:pitch w:val="default"/>
    <w:sig w:usb0="00000000" w:usb1="00000000" w:usb2="00000029" w:usb3="00000000" w:csb0="200101FF" w:csb1="2028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rPr>
        <w:rFonts w:hint="eastAsia"/>
      </w:rPr>
    </w:pPr>
    <w:r>
      <w:fldChar w:fldCharType="begin"/>
    </w:r>
    <w:r>
      <w:instrText xml:space="preserve">PAGE   \* MERGEFORMAT</w:instrText>
    </w:r>
    <w:r>
      <w:fldChar w:fldCharType="separate"/>
    </w:r>
    <w:r>
      <w:rPr>
        <w:lang w:val="zh-CN"/>
      </w:rPr>
      <w:t>11</w:t>
    </w:r>
    <w:r>
      <w:rPr>
        <w:lang w:val="zh-CN"/>
      </w:rPr>
      <w:fldChar w:fldCharType="end"/>
    </w:r>
  </w:p>
  <w:p>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p>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rPr>
        <w:rFonts w:hint="eastAsia"/>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p>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CC7CA"/>
    <w:multiLevelType w:val="singleLevel"/>
    <w:tmpl w:val="8ABCC7CA"/>
    <w:lvl w:ilvl="0" w:tentative="0">
      <w:start w:val="1"/>
      <w:numFmt w:val="decimal"/>
      <w:lvlText w:val="%1)"/>
      <w:lvlJc w:val="left"/>
      <w:pPr>
        <w:ind w:left="425" w:hanging="425"/>
      </w:pPr>
      <w:rPr>
        <w:rFonts w:hint="default"/>
      </w:rPr>
    </w:lvl>
  </w:abstractNum>
  <w:abstractNum w:abstractNumId="1">
    <w:nsid w:val="06C30AB9"/>
    <w:multiLevelType w:val="multilevel"/>
    <w:tmpl w:val="06C30AB9"/>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2">
    <w:nsid w:val="15DA0698"/>
    <w:multiLevelType w:val="multilevel"/>
    <w:tmpl w:val="15DA0698"/>
    <w:lvl w:ilvl="0" w:tentative="0">
      <w:start w:val="3"/>
      <w:numFmt w:val="decimal"/>
      <w:lvlText w:val="%1"/>
      <w:lvlJc w:val="left"/>
      <w:pPr>
        <w:ind w:left="473" w:hanging="473"/>
      </w:pPr>
      <w:rPr>
        <w:rFonts w:hint="default"/>
      </w:rPr>
    </w:lvl>
    <w:lvl w:ilvl="1" w:tentative="0">
      <w:start w:val="1"/>
      <w:numFmt w:val="decimal"/>
      <w:lvlText w:val="%1.%2"/>
      <w:lvlJc w:val="left"/>
      <w:pPr>
        <w:ind w:left="1200" w:hanging="720"/>
      </w:pPr>
      <w:rPr>
        <w:rFonts w:hint="default"/>
      </w:rPr>
    </w:lvl>
    <w:lvl w:ilvl="2" w:tentative="0">
      <w:start w:val="1"/>
      <w:numFmt w:val="decimal"/>
      <w:lvlText w:val="%1.%2.%3"/>
      <w:lvlJc w:val="left"/>
      <w:pPr>
        <w:ind w:left="2040" w:hanging="1080"/>
      </w:pPr>
      <w:rPr>
        <w:rFonts w:hint="default"/>
        <w:sz w:val="28"/>
        <w:szCs w:val="28"/>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360" w:hanging="1440"/>
      </w:pPr>
      <w:rPr>
        <w:rFonts w:hint="default"/>
      </w:rPr>
    </w:lvl>
    <w:lvl w:ilvl="5" w:tentative="0">
      <w:start w:val="1"/>
      <w:numFmt w:val="decimal"/>
      <w:lvlText w:val="%1.%2.%3.%4.%5.%6"/>
      <w:lvlJc w:val="left"/>
      <w:pPr>
        <w:ind w:left="4200" w:hanging="1800"/>
      </w:pPr>
      <w:rPr>
        <w:rFonts w:hint="default"/>
      </w:rPr>
    </w:lvl>
    <w:lvl w:ilvl="6" w:tentative="0">
      <w:start w:val="1"/>
      <w:numFmt w:val="decimal"/>
      <w:lvlText w:val="%1.%2.%3.%4.%5.%6.%7"/>
      <w:lvlJc w:val="left"/>
      <w:pPr>
        <w:ind w:left="5040" w:hanging="2160"/>
      </w:pPr>
      <w:rPr>
        <w:rFonts w:hint="default"/>
      </w:rPr>
    </w:lvl>
    <w:lvl w:ilvl="7" w:tentative="0">
      <w:start w:val="1"/>
      <w:numFmt w:val="decimal"/>
      <w:lvlText w:val="%1.%2.%3.%4.%5.%6.%7.%8"/>
      <w:lvlJc w:val="left"/>
      <w:pPr>
        <w:ind w:left="5880" w:hanging="2520"/>
      </w:pPr>
      <w:rPr>
        <w:rFonts w:hint="default"/>
      </w:rPr>
    </w:lvl>
    <w:lvl w:ilvl="8" w:tentative="0">
      <w:start w:val="1"/>
      <w:numFmt w:val="decimal"/>
      <w:lvlText w:val="%1.%2.%3.%4.%5.%6.%7.%8.%9"/>
      <w:lvlJc w:val="left"/>
      <w:pPr>
        <w:ind w:left="6720" w:hanging="2880"/>
      </w:pPr>
      <w:rPr>
        <w:rFonts w:hint="default"/>
      </w:rPr>
    </w:lvl>
  </w:abstractNum>
  <w:abstractNum w:abstractNumId="3">
    <w:nsid w:val="1F844EB2"/>
    <w:multiLevelType w:val="multilevel"/>
    <w:tmpl w:val="1F844EB2"/>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2EC87B5E"/>
    <w:multiLevelType w:val="multilevel"/>
    <w:tmpl w:val="2EC87B5E"/>
    <w:lvl w:ilvl="0" w:tentative="0">
      <w:start w:val="1"/>
      <w:numFmt w:val="decimal"/>
      <w:lvlText w:val="（%1）"/>
      <w:lvlJc w:val="left"/>
      <w:pPr>
        <w:ind w:left="920" w:hanging="440"/>
      </w:pPr>
      <w:rPr>
        <w:sz w:val="24"/>
        <w:szCs w:val="24"/>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
    <w:nsid w:val="2F156E1A"/>
    <w:multiLevelType w:val="multilevel"/>
    <w:tmpl w:val="2F156E1A"/>
    <w:lvl w:ilvl="0" w:tentative="0">
      <w:start w:val="1"/>
      <w:numFmt w:val="decimal"/>
      <w:lvlText w:val="%1"/>
      <w:lvlJc w:val="left"/>
      <w:pPr>
        <w:ind w:left="360" w:hanging="360"/>
      </w:pPr>
      <w:rPr>
        <w:rFonts w:hint="default"/>
      </w:rPr>
    </w:lvl>
    <w:lvl w:ilvl="1" w:tentative="0">
      <w:start w:val="1"/>
      <w:numFmt w:val="decimal"/>
      <w:lvlText w:val="%1.%2"/>
      <w:lvlJc w:val="left"/>
      <w:pPr>
        <w:ind w:left="840" w:hanging="360"/>
      </w:pPr>
      <w:rPr>
        <w:rFonts w:hint="default"/>
        <w:sz w:val="30"/>
        <w:szCs w:val="30"/>
      </w:rPr>
    </w:lvl>
    <w:lvl w:ilvl="2" w:tentative="0">
      <w:start w:val="1"/>
      <w:numFmt w:val="decimal"/>
      <w:lvlText w:val="%1.%2.%3"/>
      <w:lvlJc w:val="left"/>
      <w:pPr>
        <w:ind w:left="1680" w:hanging="720"/>
      </w:pPr>
      <w:rPr>
        <w:rFonts w:hint="default"/>
        <w:sz w:val="28"/>
        <w:szCs w:val="28"/>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6">
    <w:nsid w:val="372667AF"/>
    <w:multiLevelType w:val="multilevel"/>
    <w:tmpl w:val="372667AF"/>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7">
    <w:nsid w:val="6350366A"/>
    <w:multiLevelType w:val="multilevel"/>
    <w:tmpl w:val="6350366A"/>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647087E"/>
    <w:multiLevelType w:val="multilevel"/>
    <w:tmpl w:val="6647087E"/>
    <w:lvl w:ilvl="0" w:tentative="0">
      <w:start w:val="2"/>
      <w:numFmt w:val="decimal"/>
      <w:lvlText w:val="%1"/>
      <w:lvlJc w:val="left"/>
      <w:pPr>
        <w:ind w:left="473" w:hanging="473"/>
      </w:pPr>
      <w:rPr>
        <w:rFonts w:hint="default"/>
      </w:rPr>
    </w:lvl>
    <w:lvl w:ilvl="1" w:tentative="0">
      <w:start w:val="1"/>
      <w:numFmt w:val="decimal"/>
      <w:lvlText w:val="%1.%2"/>
      <w:lvlJc w:val="left"/>
      <w:pPr>
        <w:ind w:left="1200" w:hanging="720"/>
      </w:pPr>
      <w:rPr>
        <w:rFonts w:hint="default"/>
      </w:rPr>
    </w:lvl>
    <w:lvl w:ilvl="2" w:tentative="0">
      <w:start w:val="1"/>
      <w:numFmt w:val="decimal"/>
      <w:lvlText w:val="%1.%2.%3"/>
      <w:lvlJc w:val="left"/>
      <w:pPr>
        <w:ind w:left="2040" w:hanging="108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360" w:hanging="1440"/>
      </w:pPr>
      <w:rPr>
        <w:rFonts w:hint="default"/>
      </w:rPr>
    </w:lvl>
    <w:lvl w:ilvl="5" w:tentative="0">
      <w:start w:val="1"/>
      <w:numFmt w:val="decimal"/>
      <w:lvlText w:val="%1.%2.%3.%4.%5.%6"/>
      <w:lvlJc w:val="left"/>
      <w:pPr>
        <w:ind w:left="4200" w:hanging="1800"/>
      </w:pPr>
      <w:rPr>
        <w:rFonts w:hint="default"/>
      </w:rPr>
    </w:lvl>
    <w:lvl w:ilvl="6" w:tentative="0">
      <w:start w:val="1"/>
      <w:numFmt w:val="decimal"/>
      <w:lvlText w:val="%1.%2.%3.%4.%5.%6.%7"/>
      <w:lvlJc w:val="left"/>
      <w:pPr>
        <w:ind w:left="5040" w:hanging="2160"/>
      </w:pPr>
      <w:rPr>
        <w:rFonts w:hint="default"/>
      </w:rPr>
    </w:lvl>
    <w:lvl w:ilvl="7" w:tentative="0">
      <w:start w:val="1"/>
      <w:numFmt w:val="decimal"/>
      <w:lvlText w:val="%1.%2.%3.%4.%5.%6.%7.%8"/>
      <w:lvlJc w:val="left"/>
      <w:pPr>
        <w:ind w:left="5880" w:hanging="2520"/>
      </w:pPr>
      <w:rPr>
        <w:rFonts w:hint="default"/>
      </w:rPr>
    </w:lvl>
    <w:lvl w:ilvl="8" w:tentative="0">
      <w:start w:val="1"/>
      <w:numFmt w:val="decimal"/>
      <w:lvlText w:val="%1.%2.%3.%4.%5.%6.%7.%8.%9"/>
      <w:lvlJc w:val="left"/>
      <w:pPr>
        <w:ind w:left="6720" w:hanging="2880"/>
      </w:pPr>
      <w:rPr>
        <w:rFonts w:hint="default"/>
      </w:rPr>
    </w:lvl>
  </w:abstractNum>
  <w:abstractNum w:abstractNumId="9">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10">
    <w:nsid w:val="73734773"/>
    <w:multiLevelType w:val="multilevel"/>
    <w:tmpl w:val="73734773"/>
    <w:lvl w:ilvl="0" w:tentative="0">
      <w:start w:val="5"/>
      <w:numFmt w:val="decimal"/>
      <w:lvlText w:val="%1"/>
      <w:lvlJc w:val="left"/>
      <w:pPr>
        <w:ind w:left="473" w:hanging="473"/>
      </w:pPr>
      <w:rPr>
        <w:rFonts w:hint="default"/>
      </w:rPr>
    </w:lvl>
    <w:lvl w:ilvl="1" w:tentative="0">
      <w:start w:val="1"/>
      <w:numFmt w:val="decimal"/>
      <w:lvlText w:val="%1.%2"/>
      <w:lvlJc w:val="left"/>
      <w:pPr>
        <w:ind w:left="1200" w:hanging="720"/>
      </w:pPr>
      <w:rPr>
        <w:rFonts w:hint="default"/>
      </w:rPr>
    </w:lvl>
    <w:lvl w:ilvl="2" w:tentative="0">
      <w:start w:val="1"/>
      <w:numFmt w:val="decimal"/>
      <w:lvlText w:val="%1.%2.%3"/>
      <w:lvlJc w:val="left"/>
      <w:pPr>
        <w:ind w:left="2040" w:hanging="108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360" w:hanging="1440"/>
      </w:pPr>
      <w:rPr>
        <w:rFonts w:hint="default"/>
      </w:rPr>
    </w:lvl>
    <w:lvl w:ilvl="5" w:tentative="0">
      <w:start w:val="1"/>
      <w:numFmt w:val="decimal"/>
      <w:lvlText w:val="%1.%2.%3.%4.%5.%6"/>
      <w:lvlJc w:val="left"/>
      <w:pPr>
        <w:ind w:left="4200" w:hanging="1800"/>
      </w:pPr>
      <w:rPr>
        <w:rFonts w:hint="default"/>
      </w:rPr>
    </w:lvl>
    <w:lvl w:ilvl="6" w:tentative="0">
      <w:start w:val="1"/>
      <w:numFmt w:val="decimal"/>
      <w:lvlText w:val="%1.%2.%3.%4.%5.%6.%7"/>
      <w:lvlJc w:val="left"/>
      <w:pPr>
        <w:ind w:left="5040" w:hanging="2160"/>
      </w:pPr>
      <w:rPr>
        <w:rFonts w:hint="default"/>
      </w:rPr>
    </w:lvl>
    <w:lvl w:ilvl="7" w:tentative="0">
      <w:start w:val="1"/>
      <w:numFmt w:val="decimal"/>
      <w:lvlText w:val="%1.%2.%3.%4.%5.%6.%7.%8"/>
      <w:lvlJc w:val="left"/>
      <w:pPr>
        <w:ind w:left="5880" w:hanging="2520"/>
      </w:pPr>
      <w:rPr>
        <w:rFonts w:hint="default"/>
      </w:rPr>
    </w:lvl>
    <w:lvl w:ilvl="8" w:tentative="0">
      <w:start w:val="1"/>
      <w:numFmt w:val="decimal"/>
      <w:lvlText w:val="%1.%2.%3.%4.%5.%6.%7.%8.%9"/>
      <w:lvlJc w:val="left"/>
      <w:pPr>
        <w:ind w:left="6720" w:hanging="2880"/>
      </w:pPr>
      <w:rPr>
        <w:rFonts w:hint="default"/>
      </w:rPr>
    </w:lvl>
  </w:abstractNum>
  <w:num w:numId="1">
    <w:abstractNumId w:val="9"/>
  </w:num>
  <w:num w:numId="2">
    <w:abstractNumId w:val="7"/>
  </w:num>
  <w:num w:numId="3">
    <w:abstractNumId w:val="5"/>
  </w:num>
  <w:num w:numId="4">
    <w:abstractNumId w:val="1"/>
  </w:num>
  <w:num w:numId="5">
    <w:abstractNumId w:val="8"/>
  </w:num>
  <w:num w:numId="6">
    <w:abstractNumId w:val="2"/>
  </w:num>
  <w:num w:numId="7">
    <w:abstractNumId w:val="6"/>
  </w:num>
  <w:num w:numId="8">
    <w:abstractNumId w:val="3"/>
  </w:num>
  <w:num w:numId="9">
    <w:abstractNumId w:val="0"/>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0C0"/>
    <w:rsid w:val="0000005A"/>
    <w:rsid w:val="00000AED"/>
    <w:rsid w:val="00003516"/>
    <w:rsid w:val="0000380E"/>
    <w:rsid w:val="00005AFD"/>
    <w:rsid w:val="00006563"/>
    <w:rsid w:val="000074F1"/>
    <w:rsid w:val="00007A41"/>
    <w:rsid w:val="00007DA7"/>
    <w:rsid w:val="00012EF0"/>
    <w:rsid w:val="000156DE"/>
    <w:rsid w:val="000165AD"/>
    <w:rsid w:val="00016908"/>
    <w:rsid w:val="000179E9"/>
    <w:rsid w:val="00020C18"/>
    <w:rsid w:val="00021EE6"/>
    <w:rsid w:val="0002280E"/>
    <w:rsid w:val="00022C74"/>
    <w:rsid w:val="00025122"/>
    <w:rsid w:val="000252D5"/>
    <w:rsid w:val="00026997"/>
    <w:rsid w:val="00027A64"/>
    <w:rsid w:val="00032D27"/>
    <w:rsid w:val="00035325"/>
    <w:rsid w:val="00035D5B"/>
    <w:rsid w:val="000378D0"/>
    <w:rsid w:val="00037F2C"/>
    <w:rsid w:val="00042C2A"/>
    <w:rsid w:val="000430EC"/>
    <w:rsid w:val="000447CB"/>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231F"/>
    <w:rsid w:val="00062A05"/>
    <w:rsid w:val="00062EE6"/>
    <w:rsid w:val="0006344E"/>
    <w:rsid w:val="000649E6"/>
    <w:rsid w:val="0006794B"/>
    <w:rsid w:val="00067DCA"/>
    <w:rsid w:val="00070063"/>
    <w:rsid w:val="0007087A"/>
    <w:rsid w:val="000710EC"/>
    <w:rsid w:val="00072237"/>
    <w:rsid w:val="00072ABE"/>
    <w:rsid w:val="00080B39"/>
    <w:rsid w:val="00081F95"/>
    <w:rsid w:val="0008366F"/>
    <w:rsid w:val="00083950"/>
    <w:rsid w:val="0008452F"/>
    <w:rsid w:val="00084E8E"/>
    <w:rsid w:val="00085A68"/>
    <w:rsid w:val="00090625"/>
    <w:rsid w:val="00090948"/>
    <w:rsid w:val="00091CD1"/>
    <w:rsid w:val="0009460E"/>
    <w:rsid w:val="000951D4"/>
    <w:rsid w:val="000A2146"/>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5363"/>
    <w:rsid w:val="000B53BA"/>
    <w:rsid w:val="000B642F"/>
    <w:rsid w:val="000B6C99"/>
    <w:rsid w:val="000C3F3C"/>
    <w:rsid w:val="000C5A75"/>
    <w:rsid w:val="000C75F7"/>
    <w:rsid w:val="000D0AB2"/>
    <w:rsid w:val="000D225C"/>
    <w:rsid w:val="000D36F2"/>
    <w:rsid w:val="000D4B26"/>
    <w:rsid w:val="000D74DB"/>
    <w:rsid w:val="000E24D6"/>
    <w:rsid w:val="000E6072"/>
    <w:rsid w:val="000E6D61"/>
    <w:rsid w:val="000E6FC1"/>
    <w:rsid w:val="000E7A23"/>
    <w:rsid w:val="000F1C29"/>
    <w:rsid w:val="000F1E9E"/>
    <w:rsid w:val="000F2B10"/>
    <w:rsid w:val="000F3F72"/>
    <w:rsid w:val="001055B2"/>
    <w:rsid w:val="001068F0"/>
    <w:rsid w:val="00106AB8"/>
    <w:rsid w:val="00106C9E"/>
    <w:rsid w:val="00106E16"/>
    <w:rsid w:val="0010768B"/>
    <w:rsid w:val="00111701"/>
    <w:rsid w:val="00112A29"/>
    <w:rsid w:val="001167F6"/>
    <w:rsid w:val="00116C86"/>
    <w:rsid w:val="00121ACF"/>
    <w:rsid w:val="00121D8F"/>
    <w:rsid w:val="00122037"/>
    <w:rsid w:val="0012210C"/>
    <w:rsid w:val="00122A7F"/>
    <w:rsid w:val="00123F98"/>
    <w:rsid w:val="001242A5"/>
    <w:rsid w:val="00124531"/>
    <w:rsid w:val="00126EDF"/>
    <w:rsid w:val="00127BBE"/>
    <w:rsid w:val="00131D52"/>
    <w:rsid w:val="001329C1"/>
    <w:rsid w:val="00132C16"/>
    <w:rsid w:val="00136320"/>
    <w:rsid w:val="00136FFA"/>
    <w:rsid w:val="00137AC6"/>
    <w:rsid w:val="00145512"/>
    <w:rsid w:val="001465BD"/>
    <w:rsid w:val="00147B45"/>
    <w:rsid w:val="00150803"/>
    <w:rsid w:val="00151D83"/>
    <w:rsid w:val="001546C9"/>
    <w:rsid w:val="00154FAE"/>
    <w:rsid w:val="00155E77"/>
    <w:rsid w:val="00156A70"/>
    <w:rsid w:val="00160A61"/>
    <w:rsid w:val="00160FC0"/>
    <w:rsid w:val="0016429B"/>
    <w:rsid w:val="00164525"/>
    <w:rsid w:val="00164C50"/>
    <w:rsid w:val="00165CB2"/>
    <w:rsid w:val="00166767"/>
    <w:rsid w:val="00167DF1"/>
    <w:rsid w:val="001707CB"/>
    <w:rsid w:val="00171348"/>
    <w:rsid w:val="00171477"/>
    <w:rsid w:val="00172A1A"/>
    <w:rsid w:val="00173251"/>
    <w:rsid w:val="00176BED"/>
    <w:rsid w:val="0017759D"/>
    <w:rsid w:val="001804A5"/>
    <w:rsid w:val="001806E9"/>
    <w:rsid w:val="00181C94"/>
    <w:rsid w:val="00182C84"/>
    <w:rsid w:val="00187031"/>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B0230"/>
    <w:rsid w:val="001B13AB"/>
    <w:rsid w:val="001B3907"/>
    <w:rsid w:val="001B3B49"/>
    <w:rsid w:val="001B4907"/>
    <w:rsid w:val="001B4DC5"/>
    <w:rsid w:val="001B5505"/>
    <w:rsid w:val="001C05B6"/>
    <w:rsid w:val="001C158B"/>
    <w:rsid w:val="001C2180"/>
    <w:rsid w:val="001C29CC"/>
    <w:rsid w:val="001C3217"/>
    <w:rsid w:val="001C3B98"/>
    <w:rsid w:val="001C6028"/>
    <w:rsid w:val="001C6365"/>
    <w:rsid w:val="001C7F57"/>
    <w:rsid w:val="001D0E79"/>
    <w:rsid w:val="001D6049"/>
    <w:rsid w:val="001D7339"/>
    <w:rsid w:val="001E2750"/>
    <w:rsid w:val="001E4343"/>
    <w:rsid w:val="001E52BB"/>
    <w:rsid w:val="001E660A"/>
    <w:rsid w:val="001F05D6"/>
    <w:rsid w:val="001F5B0A"/>
    <w:rsid w:val="001F640F"/>
    <w:rsid w:val="001F6794"/>
    <w:rsid w:val="001F6F65"/>
    <w:rsid w:val="002002DF"/>
    <w:rsid w:val="00203A6F"/>
    <w:rsid w:val="00205646"/>
    <w:rsid w:val="002063F7"/>
    <w:rsid w:val="00207365"/>
    <w:rsid w:val="0021209F"/>
    <w:rsid w:val="002129E5"/>
    <w:rsid w:val="00212AA4"/>
    <w:rsid w:val="00212E13"/>
    <w:rsid w:val="002163C8"/>
    <w:rsid w:val="002179FE"/>
    <w:rsid w:val="00220CC0"/>
    <w:rsid w:val="00221A36"/>
    <w:rsid w:val="00223296"/>
    <w:rsid w:val="0022329B"/>
    <w:rsid w:val="002240F7"/>
    <w:rsid w:val="0022486F"/>
    <w:rsid w:val="00225314"/>
    <w:rsid w:val="00225DF4"/>
    <w:rsid w:val="00226C70"/>
    <w:rsid w:val="00230C8A"/>
    <w:rsid w:val="00231F98"/>
    <w:rsid w:val="002324F8"/>
    <w:rsid w:val="002348B0"/>
    <w:rsid w:val="00235CDC"/>
    <w:rsid w:val="00237E76"/>
    <w:rsid w:val="00240BBE"/>
    <w:rsid w:val="00241525"/>
    <w:rsid w:val="00241D87"/>
    <w:rsid w:val="00243C55"/>
    <w:rsid w:val="00243D5E"/>
    <w:rsid w:val="002451EC"/>
    <w:rsid w:val="00245ED4"/>
    <w:rsid w:val="00246B41"/>
    <w:rsid w:val="0025002B"/>
    <w:rsid w:val="002500DE"/>
    <w:rsid w:val="00252457"/>
    <w:rsid w:val="00252581"/>
    <w:rsid w:val="002535B5"/>
    <w:rsid w:val="002538CB"/>
    <w:rsid w:val="002542BD"/>
    <w:rsid w:val="0025774E"/>
    <w:rsid w:val="00257D64"/>
    <w:rsid w:val="00257DA7"/>
    <w:rsid w:val="0026340A"/>
    <w:rsid w:val="002654EA"/>
    <w:rsid w:val="002704EA"/>
    <w:rsid w:val="0027061A"/>
    <w:rsid w:val="002719CC"/>
    <w:rsid w:val="002730C5"/>
    <w:rsid w:val="0027337C"/>
    <w:rsid w:val="0027413E"/>
    <w:rsid w:val="0027602B"/>
    <w:rsid w:val="00277F5E"/>
    <w:rsid w:val="00280084"/>
    <w:rsid w:val="00280490"/>
    <w:rsid w:val="002860B8"/>
    <w:rsid w:val="00286F42"/>
    <w:rsid w:val="0029206E"/>
    <w:rsid w:val="00292B45"/>
    <w:rsid w:val="00293382"/>
    <w:rsid w:val="00294F51"/>
    <w:rsid w:val="002A2342"/>
    <w:rsid w:val="002A279E"/>
    <w:rsid w:val="002A4FA3"/>
    <w:rsid w:val="002A55D8"/>
    <w:rsid w:val="002B3606"/>
    <w:rsid w:val="002B3D80"/>
    <w:rsid w:val="002B4402"/>
    <w:rsid w:val="002B4946"/>
    <w:rsid w:val="002B4C41"/>
    <w:rsid w:val="002B4ED1"/>
    <w:rsid w:val="002B588D"/>
    <w:rsid w:val="002C1839"/>
    <w:rsid w:val="002C214A"/>
    <w:rsid w:val="002C28E8"/>
    <w:rsid w:val="002C3027"/>
    <w:rsid w:val="002C674D"/>
    <w:rsid w:val="002C7648"/>
    <w:rsid w:val="002C7DC4"/>
    <w:rsid w:val="002D0821"/>
    <w:rsid w:val="002D1929"/>
    <w:rsid w:val="002D1B73"/>
    <w:rsid w:val="002D3CB0"/>
    <w:rsid w:val="002D4800"/>
    <w:rsid w:val="002D5B21"/>
    <w:rsid w:val="002D6F6D"/>
    <w:rsid w:val="002E1FE6"/>
    <w:rsid w:val="002E2EA7"/>
    <w:rsid w:val="002E36D2"/>
    <w:rsid w:val="002E7046"/>
    <w:rsid w:val="002E748B"/>
    <w:rsid w:val="002F2002"/>
    <w:rsid w:val="002F335D"/>
    <w:rsid w:val="002F4E32"/>
    <w:rsid w:val="002F503F"/>
    <w:rsid w:val="002F51DD"/>
    <w:rsid w:val="002F5D08"/>
    <w:rsid w:val="002F6895"/>
    <w:rsid w:val="002F6D13"/>
    <w:rsid w:val="003038D3"/>
    <w:rsid w:val="003049C7"/>
    <w:rsid w:val="00305F0E"/>
    <w:rsid w:val="0030667A"/>
    <w:rsid w:val="003106DE"/>
    <w:rsid w:val="00311530"/>
    <w:rsid w:val="00312D31"/>
    <w:rsid w:val="00314EAE"/>
    <w:rsid w:val="00315216"/>
    <w:rsid w:val="0031691C"/>
    <w:rsid w:val="00317AEF"/>
    <w:rsid w:val="00317F49"/>
    <w:rsid w:val="0032089B"/>
    <w:rsid w:val="00323450"/>
    <w:rsid w:val="00323D93"/>
    <w:rsid w:val="0032489B"/>
    <w:rsid w:val="0032525B"/>
    <w:rsid w:val="00326A7A"/>
    <w:rsid w:val="00326FEE"/>
    <w:rsid w:val="003315D7"/>
    <w:rsid w:val="00334DE6"/>
    <w:rsid w:val="0033536D"/>
    <w:rsid w:val="003353FF"/>
    <w:rsid w:val="003366D2"/>
    <w:rsid w:val="00337C79"/>
    <w:rsid w:val="00337FEF"/>
    <w:rsid w:val="0034084C"/>
    <w:rsid w:val="00340D5E"/>
    <w:rsid w:val="003420B5"/>
    <w:rsid w:val="00343646"/>
    <w:rsid w:val="00344CCB"/>
    <w:rsid w:val="00345897"/>
    <w:rsid w:val="00351BFC"/>
    <w:rsid w:val="00351C28"/>
    <w:rsid w:val="0035575E"/>
    <w:rsid w:val="003565B4"/>
    <w:rsid w:val="00362E75"/>
    <w:rsid w:val="003631AA"/>
    <w:rsid w:val="003632D5"/>
    <w:rsid w:val="00363575"/>
    <w:rsid w:val="00364EF9"/>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5AEF"/>
    <w:rsid w:val="003860EA"/>
    <w:rsid w:val="0038781A"/>
    <w:rsid w:val="0039080B"/>
    <w:rsid w:val="0039326E"/>
    <w:rsid w:val="00394E22"/>
    <w:rsid w:val="003967A4"/>
    <w:rsid w:val="00397FA3"/>
    <w:rsid w:val="003A1596"/>
    <w:rsid w:val="003A317E"/>
    <w:rsid w:val="003A345B"/>
    <w:rsid w:val="003A49EE"/>
    <w:rsid w:val="003A674D"/>
    <w:rsid w:val="003A7123"/>
    <w:rsid w:val="003B0E5D"/>
    <w:rsid w:val="003B102E"/>
    <w:rsid w:val="003B2167"/>
    <w:rsid w:val="003B5F5D"/>
    <w:rsid w:val="003B62C8"/>
    <w:rsid w:val="003C0C62"/>
    <w:rsid w:val="003C12DC"/>
    <w:rsid w:val="003C2CDA"/>
    <w:rsid w:val="003D000A"/>
    <w:rsid w:val="003D31E9"/>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F00E8"/>
    <w:rsid w:val="003F1936"/>
    <w:rsid w:val="003F1BDD"/>
    <w:rsid w:val="003F3BA3"/>
    <w:rsid w:val="003F3BD5"/>
    <w:rsid w:val="003F400E"/>
    <w:rsid w:val="003F6F35"/>
    <w:rsid w:val="003F7768"/>
    <w:rsid w:val="00400E8C"/>
    <w:rsid w:val="004017DC"/>
    <w:rsid w:val="00401B53"/>
    <w:rsid w:val="00402668"/>
    <w:rsid w:val="00404FEC"/>
    <w:rsid w:val="0040534D"/>
    <w:rsid w:val="00405FAD"/>
    <w:rsid w:val="004117AB"/>
    <w:rsid w:val="00412B2F"/>
    <w:rsid w:val="00415281"/>
    <w:rsid w:val="0041566F"/>
    <w:rsid w:val="00415716"/>
    <w:rsid w:val="0041604D"/>
    <w:rsid w:val="00417842"/>
    <w:rsid w:val="00417A6E"/>
    <w:rsid w:val="0042285D"/>
    <w:rsid w:val="00427D2B"/>
    <w:rsid w:val="00430B13"/>
    <w:rsid w:val="00430CE5"/>
    <w:rsid w:val="0043153C"/>
    <w:rsid w:val="00431D0F"/>
    <w:rsid w:val="0043481C"/>
    <w:rsid w:val="004431E3"/>
    <w:rsid w:val="00444307"/>
    <w:rsid w:val="0044436F"/>
    <w:rsid w:val="004443EB"/>
    <w:rsid w:val="00444432"/>
    <w:rsid w:val="00444673"/>
    <w:rsid w:val="0044621E"/>
    <w:rsid w:val="00447BF1"/>
    <w:rsid w:val="00450BA4"/>
    <w:rsid w:val="004511FC"/>
    <w:rsid w:val="00456784"/>
    <w:rsid w:val="00456DCA"/>
    <w:rsid w:val="00461140"/>
    <w:rsid w:val="004611DB"/>
    <w:rsid w:val="004658B0"/>
    <w:rsid w:val="0046614B"/>
    <w:rsid w:val="00467FD7"/>
    <w:rsid w:val="00470073"/>
    <w:rsid w:val="004730F8"/>
    <w:rsid w:val="00474353"/>
    <w:rsid w:val="00474555"/>
    <w:rsid w:val="004750F4"/>
    <w:rsid w:val="00476CB1"/>
    <w:rsid w:val="00480A48"/>
    <w:rsid w:val="00482501"/>
    <w:rsid w:val="00482E7D"/>
    <w:rsid w:val="00484395"/>
    <w:rsid w:val="004865FB"/>
    <w:rsid w:val="00486C03"/>
    <w:rsid w:val="00491AB3"/>
    <w:rsid w:val="00497A33"/>
    <w:rsid w:val="004A1112"/>
    <w:rsid w:val="004A1373"/>
    <w:rsid w:val="004A1DA0"/>
    <w:rsid w:val="004A1F20"/>
    <w:rsid w:val="004A2393"/>
    <w:rsid w:val="004A3569"/>
    <w:rsid w:val="004A452A"/>
    <w:rsid w:val="004A5F2C"/>
    <w:rsid w:val="004A6E4F"/>
    <w:rsid w:val="004A720D"/>
    <w:rsid w:val="004A7823"/>
    <w:rsid w:val="004B00D0"/>
    <w:rsid w:val="004B3B01"/>
    <w:rsid w:val="004B6084"/>
    <w:rsid w:val="004B7AE0"/>
    <w:rsid w:val="004C0BC4"/>
    <w:rsid w:val="004C260D"/>
    <w:rsid w:val="004C2D47"/>
    <w:rsid w:val="004C4357"/>
    <w:rsid w:val="004C4477"/>
    <w:rsid w:val="004C5730"/>
    <w:rsid w:val="004C6397"/>
    <w:rsid w:val="004C668F"/>
    <w:rsid w:val="004C682B"/>
    <w:rsid w:val="004D142C"/>
    <w:rsid w:val="004D29F7"/>
    <w:rsid w:val="004D36D8"/>
    <w:rsid w:val="004D4C5C"/>
    <w:rsid w:val="004D5AB0"/>
    <w:rsid w:val="004D5EAE"/>
    <w:rsid w:val="004D7A0E"/>
    <w:rsid w:val="004E06E7"/>
    <w:rsid w:val="004E0AE3"/>
    <w:rsid w:val="004E20D3"/>
    <w:rsid w:val="004E2C82"/>
    <w:rsid w:val="004E4FAE"/>
    <w:rsid w:val="004E62C7"/>
    <w:rsid w:val="004E68FF"/>
    <w:rsid w:val="004E7A1B"/>
    <w:rsid w:val="004F0B7F"/>
    <w:rsid w:val="004F1193"/>
    <w:rsid w:val="004F11DC"/>
    <w:rsid w:val="004F2124"/>
    <w:rsid w:val="004F271B"/>
    <w:rsid w:val="004F3A52"/>
    <w:rsid w:val="004F449F"/>
    <w:rsid w:val="004F4E7E"/>
    <w:rsid w:val="004F5BF8"/>
    <w:rsid w:val="004F63AB"/>
    <w:rsid w:val="004F6B76"/>
    <w:rsid w:val="004F6C7C"/>
    <w:rsid w:val="004F7F1A"/>
    <w:rsid w:val="004F7FBB"/>
    <w:rsid w:val="00500A5D"/>
    <w:rsid w:val="005042B3"/>
    <w:rsid w:val="005045AB"/>
    <w:rsid w:val="00507D43"/>
    <w:rsid w:val="005103F2"/>
    <w:rsid w:val="00510E2C"/>
    <w:rsid w:val="00511FDC"/>
    <w:rsid w:val="005124C6"/>
    <w:rsid w:val="00513EBC"/>
    <w:rsid w:val="00514CE1"/>
    <w:rsid w:val="00517155"/>
    <w:rsid w:val="00517DB3"/>
    <w:rsid w:val="005200DC"/>
    <w:rsid w:val="005200F2"/>
    <w:rsid w:val="0052369D"/>
    <w:rsid w:val="005271DB"/>
    <w:rsid w:val="00530D2F"/>
    <w:rsid w:val="0053487C"/>
    <w:rsid w:val="005356E1"/>
    <w:rsid w:val="00536A8B"/>
    <w:rsid w:val="00540418"/>
    <w:rsid w:val="00540B65"/>
    <w:rsid w:val="00541A96"/>
    <w:rsid w:val="00541C6A"/>
    <w:rsid w:val="00542C54"/>
    <w:rsid w:val="00546A43"/>
    <w:rsid w:val="00546C70"/>
    <w:rsid w:val="00547258"/>
    <w:rsid w:val="00550CF0"/>
    <w:rsid w:val="005559FE"/>
    <w:rsid w:val="005560D6"/>
    <w:rsid w:val="00556D07"/>
    <w:rsid w:val="005611F2"/>
    <w:rsid w:val="00561734"/>
    <w:rsid w:val="00561952"/>
    <w:rsid w:val="00564B9A"/>
    <w:rsid w:val="00565694"/>
    <w:rsid w:val="00566DD6"/>
    <w:rsid w:val="005714EF"/>
    <w:rsid w:val="00571CEC"/>
    <w:rsid w:val="005729BA"/>
    <w:rsid w:val="00572FCE"/>
    <w:rsid w:val="005750DB"/>
    <w:rsid w:val="005759FC"/>
    <w:rsid w:val="00575B85"/>
    <w:rsid w:val="005760B5"/>
    <w:rsid w:val="00576DB9"/>
    <w:rsid w:val="0057738F"/>
    <w:rsid w:val="005805E4"/>
    <w:rsid w:val="0058202F"/>
    <w:rsid w:val="00584221"/>
    <w:rsid w:val="00584EB6"/>
    <w:rsid w:val="00586B68"/>
    <w:rsid w:val="0058774E"/>
    <w:rsid w:val="005878CF"/>
    <w:rsid w:val="00590CA0"/>
    <w:rsid w:val="00595B01"/>
    <w:rsid w:val="00596D98"/>
    <w:rsid w:val="005979A5"/>
    <w:rsid w:val="005A0021"/>
    <w:rsid w:val="005A017B"/>
    <w:rsid w:val="005A2AEC"/>
    <w:rsid w:val="005A412D"/>
    <w:rsid w:val="005A5212"/>
    <w:rsid w:val="005B002D"/>
    <w:rsid w:val="005B0FFF"/>
    <w:rsid w:val="005B19AF"/>
    <w:rsid w:val="005B258C"/>
    <w:rsid w:val="005B61DD"/>
    <w:rsid w:val="005B6735"/>
    <w:rsid w:val="005B7831"/>
    <w:rsid w:val="005C0CD6"/>
    <w:rsid w:val="005C12D9"/>
    <w:rsid w:val="005C2146"/>
    <w:rsid w:val="005C309D"/>
    <w:rsid w:val="005C39FE"/>
    <w:rsid w:val="005C544B"/>
    <w:rsid w:val="005C5916"/>
    <w:rsid w:val="005C5AEE"/>
    <w:rsid w:val="005C774A"/>
    <w:rsid w:val="005D3734"/>
    <w:rsid w:val="005D4F16"/>
    <w:rsid w:val="005D5A53"/>
    <w:rsid w:val="005D5DA0"/>
    <w:rsid w:val="005D7FBD"/>
    <w:rsid w:val="005E182B"/>
    <w:rsid w:val="005E19B4"/>
    <w:rsid w:val="005E1D6B"/>
    <w:rsid w:val="005E227A"/>
    <w:rsid w:val="005E2CF8"/>
    <w:rsid w:val="005E3126"/>
    <w:rsid w:val="005E7075"/>
    <w:rsid w:val="005E75A7"/>
    <w:rsid w:val="005F38E2"/>
    <w:rsid w:val="005F3EE6"/>
    <w:rsid w:val="005F654D"/>
    <w:rsid w:val="005F6736"/>
    <w:rsid w:val="00602C10"/>
    <w:rsid w:val="00602EBD"/>
    <w:rsid w:val="00604CF2"/>
    <w:rsid w:val="00606DFF"/>
    <w:rsid w:val="00606FB7"/>
    <w:rsid w:val="00610533"/>
    <w:rsid w:val="006110F6"/>
    <w:rsid w:val="00611FA1"/>
    <w:rsid w:val="00612522"/>
    <w:rsid w:val="00612DA6"/>
    <w:rsid w:val="0061365B"/>
    <w:rsid w:val="006138B6"/>
    <w:rsid w:val="00614BC6"/>
    <w:rsid w:val="00614E33"/>
    <w:rsid w:val="006158B8"/>
    <w:rsid w:val="0061706D"/>
    <w:rsid w:val="006173DA"/>
    <w:rsid w:val="00617EF9"/>
    <w:rsid w:val="00620295"/>
    <w:rsid w:val="00622F8E"/>
    <w:rsid w:val="00625D66"/>
    <w:rsid w:val="00626AC8"/>
    <w:rsid w:val="00627912"/>
    <w:rsid w:val="0063195F"/>
    <w:rsid w:val="0063485C"/>
    <w:rsid w:val="00636C0A"/>
    <w:rsid w:val="00637EC6"/>
    <w:rsid w:val="0064240C"/>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57B13"/>
    <w:rsid w:val="0066109F"/>
    <w:rsid w:val="00664B26"/>
    <w:rsid w:val="0066596B"/>
    <w:rsid w:val="00670295"/>
    <w:rsid w:val="006704F5"/>
    <w:rsid w:val="00672894"/>
    <w:rsid w:val="00674B47"/>
    <w:rsid w:val="0067609E"/>
    <w:rsid w:val="00677749"/>
    <w:rsid w:val="00680E07"/>
    <w:rsid w:val="00681E08"/>
    <w:rsid w:val="00682B9D"/>
    <w:rsid w:val="00683806"/>
    <w:rsid w:val="00686AF9"/>
    <w:rsid w:val="006910C0"/>
    <w:rsid w:val="00691954"/>
    <w:rsid w:val="0069320E"/>
    <w:rsid w:val="00693D13"/>
    <w:rsid w:val="00694F58"/>
    <w:rsid w:val="006955BC"/>
    <w:rsid w:val="006957BD"/>
    <w:rsid w:val="006959E2"/>
    <w:rsid w:val="00696920"/>
    <w:rsid w:val="00697EB9"/>
    <w:rsid w:val="006A20D4"/>
    <w:rsid w:val="006A268D"/>
    <w:rsid w:val="006A350F"/>
    <w:rsid w:val="006A3957"/>
    <w:rsid w:val="006A39A4"/>
    <w:rsid w:val="006A41D6"/>
    <w:rsid w:val="006A669D"/>
    <w:rsid w:val="006A6E41"/>
    <w:rsid w:val="006B012F"/>
    <w:rsid w:val="006B27CF"/>
    <w:rsid w:val="006B41BD"/>
    <w:rsid w:val="006B5678"/>
    <w:rsid w:val="006B62B2"/>
    <w:rsid w:val="006C1C57"/>
    <w:rsid w:val="006C5760"/>
    <w:rsid w:val="006C6D6F"/>
    <w:rsid w:val="006D0D78"/>
    <w:rsid w:val="006D1128"/>
    <w:rsid w:val="006D2848"/>
    <w:rsid w:val="006D30E0"/>
    <w:rsid w:val="006D5521"/>
    <w:rsid w:val="006D5FE9"/>
    <w:rsid w:val="006D6CBB"/>
    <w:rsid w:val="006D76A9"/>
    <w:rsid w:val="006D77F4"/>
    <w:rsid w:val="006E0898"/>
    <w:rsid w:val="006E41CD"/>
    <w:rsid w:val="006F3BEC"/>
    <w:rsid w:val="00703029"/>
    <w:rsid w:val="00703C00"/>
    <w:rsid w:val="007057CC"/>
    <w:rsid w:val="007066F2"/>
    <w:rsid w:val="00706AE5"/>
    <w:rsid w:val="0070740A"/>
    <w:rsid w:val="00711F93"/>
    <w:rsid w:val="00712940"/>
    <w:rsid w:val="0071428C"/>
    <w:rsid w:val="00715A16"/>
    <w:rsid w:val="007164B0"/>
    <w:rsid w:val="007166FF"/>
    <w:rsid w:val="007260CC"/>
    <w:rsid w:val="00726543"/>
    <w:rsid w:val="0073353E"/>
    <w:rsid w:val="00736633"/>
    <w:rsid w:val="00736C79"/>
    <w:rsid w:val="007376DD"/>
    <w:rsid w:val="00741EE7"/>
    <w:rsid w:val="00743A79"/>
    <w:rsid w:val="007444D4"/>
    <w:rsid w:val="00744665"/>
    <w:rsid w:val="0074594D"/>
    <w:rsid w:val="007459F3"/>
    <w:rsid w:val="00746E35"/>
    <w:rsid w:val="007470E2"/>
    <w:rsid w:val="0075232F"/>
    <w:rsid w:val="00753132"/>
    <w:rsid w:val="00753FFF"/>
    <w:rsid w:val="007550B3"/>
    <w:rsid w:val="00760451"/>
    <w:rsid w:val="007615EA"/>
    <w:rsid w:val="00762E63"/>
    <w:rsid w:val="0077182A"/>
    <w:rsid w:val="00771913"/>
    <w:rsid w:val="00772718"/>
    <w:rsid w:val="007751D0"/>
    <w:rsid w:val="00775BCF"/>
    <w:rsid w:val="007818AA"/>
    <w:rsid w:val="00783140"/>
    <w:rsid w:val="007838B6"/>
    <w:rsid w:val="00783E77"/>
    <w:rsid w:val="007906F1"/>
    <w:rsid w:val="0079243D"/>
    <w:rsid w:val="00794A9B"/>
    <w:rsid w:val="0079583B"/>
    <w:rsid w:val="00796602"/>
    <w:rsid w:val="00797185"/>
    <w:rsid w:val="007976B7"/>
    <w:rsid w:val="00797A7E"/>
    <w:rsid w:val="00797D6F"/>
    <w:rsid w:val="007B014B"/>
    <w:rsid w:val="007B0D88"/>
    <w:rsid w:val="007B2A58"/>
    <w:rsid w:val="007B306F"/>
    <w:rsid w:val="007B4714"/>
    <w:rsid w:val="007B4E82"/>
    <w:rsid w:val="007C1996"/>
    <w:rsid w:val="007C3773"/>
    <w:rsid w:val="007C3F1F"/>
    <w:rsid w:val="007D2D0D"/>
    <w:rsid w:val="007D3325"/>
    <w:rsid w:val="007D3818"/>
    <w:rsid w:val="007D6DC5"/>
    <w:rsid w:val="007D7425"/>
    <w:rsid w:val="007E230A"/>
    <w:rsid w:val="007E320E"/>
    <w:rsid w:val="007E3280"/>
    <w:rsid w:val="007E4A02"/>
    <w:rsid w:val="007E595C"/>
    <w:rsid w:val="007E59A5"/>
    <w:rsid w:val="007F3B8C"/>
    <w:rsid w:val="007F41D0"/>
    <w:rsid w:val="007F4B8B"/>
    <w:rsid w:val="007F5957"/>
    <w:rsid w:val="007F70B6"/>
    <w:rsid w:val="007F74CA"/>
    <w:rsid w:val="00800F1E"/>
    <w:rsid w:val="0080195A"/>
    <w:rsid w:val="0080239C"/>
    <w:rsid w:val="00802841"/>
    <w:rsid w:val="008037D5"/>
    <w:rsid w:val="00805447"/>
    <w:rsid w:val="008054FA"/>
    <w:rsid w:val="0080717A"/>
    <w:rsid w:val="00807DFA"/>
    <w:rsid w:val="0081009F"/>
    <w:rsid w:val="00810152"/>
    <w:rsid w:val="008115AB"/>
    <w:rsid w:val="00812D2C"/>
    <w:rsid w:val="008159F4"/>
    <w:rsid w:val="008167C1"/>
    <w:rsid w:val="008167C6"/>
    <w:rsid w:val="00816B8F"/>
    <w:rsid w:val="0081704A"/>
    <w:rsid w:val="00820331"/>
    <w:rsid w:val="00820BF5"/>
    <w:rsid w:val="008212B1"/>
    <w:rsid w:val="0082155A"/>
    <w:rsid w:val="0082209F"/>
    <w:rsid w:val="008223C2"/>
    <w:rsid w:val="008250A2"/>
    <w:rsid w:val="00825D64"/>
    <w:rsid w:val="0082650B"/>
    <w:rsid w:val="008301CE"/>
    <w:rsid w:val="008312E3"/>
    <w:rsid w:val="00831D5B"/>
    <w:rsid w:val="00832DD6"/>
    <w:rsid w:val="00832F0C"/>
    <w:rsid w:val="008336F2"/>
    <w:rsid w:val="008345D9"/>
    <w:rsid w:val="008347CB"/>
    <w:rsid w:val="00835647"/>
    <w:rsid w:val="00837A2E"/>
    <w:rsid w:val="00841558"/>
    <w:rsid w:val="00842A68"/>
    <w:rsid w:val="008435BA"/>
    <w:rsid w:val="0084558B"/>
    <w:rsid w:val="0084654A"/>
    <w:rsid w:val="00847654"/>
    <w:rsid w:val="00851064"/>
    <w:rsid w:val="00855543"/>
    <w:rsid w:val="008566B3"/>
    <w:rsid w:val="008576B7"/>
    <w:rsid w:val="00857F7B"/>
    <w:rsid w:val="00863DA1"/>
    <w:rsid w:val="008654A6"/>
    <w:rsid w:val="00865D86"/>
    <w:rsid w:val="00870495"/>
    <w:rsid w:val="00870EA1"/>
    <w:rsid w:val="008710C5"/>
    <w:rsid w:val="00874438"/>
    <w:rsid w:val="00874E75"/>
    <w:rsid w:val="008767F3"/>
    <w:rsid w:val="00876B1E"/>
    <w:rsid w:val="00876CEF"/>
    <w:rsid w:val="00877342"/>
    <w:rsid w:val="008803C3"/>
    <w:rsid w:val="00881450"/>
    <w:rsid w:val="008817C7"/>
    <w:rsid w:val="00881875"/>
    <w:rsid w:val="008848A3"/>
    <w:rsid w:val="00884AF1"/>
    <w:rsid w:val="00885F7A"/>
    <w:rsid w:val="00890712"/>
    <w:rsid w:val="00890D81"/>
    <w:rsid w:val="00892955"/>
    <w:rsid w:val="00893628"/>
    <w:rsid w:val="008941EB"/>
    <w:rsid w:val="0089545A"/>
    <w:rsid w:val="00895A02"/>
    <w:rsid w:val="008A01EE"/>
    <w:rsid w:val="008A0DAC"/>
    <w:rsid w:val="008A3B78"/>
    <w:rsid w:val="008A4166"/>
    <w:rsid w:val="008A7DBF"/>
    <w:rsid w:val="008B136C"/>
    <w:rsid w:val="008B55EF"/>
    <w:rsid w:val="008B6910"/>
    <w:rsid w:val="008C0B5C"/>
    <w:rsid w:val="008C1343"/>
    <w:rsid w:val="008C3912"/>
    <w:rsid w:val="008C5598"/>
    <w:rsid w:val="008C6511"/>
    <w:rsid w:val="008C69EA"/>
    <w:rsid w:val="008C6F8B"/>
    <w:rsid w:val="008C7AB7"/>
    <w:rsid w:val="008C7FB4"/>
    <w:rsid w:val="008D2C8C"/>
    <w:rsid w:val="008D3040"/>
    <w:rsid w:val="008D3ECD"/>
    <w:rsid w:val="008D5C03"/>
    <w:rsid w:val="008D7580"/>
    <w:rsid w:val="008D7C35"/>
    <w:rsid w:val="008E5698"/>
    <w:rsid w:val="008E5733"/>
    <w:rsid w:val="008E77D2"/>
    <w:rsid w:val="008E78FD"/>
    <w:rsid w:val="008F199D"/>
    <w:rsid w:val="008F38A0"/>
    <w:rsid w:val="008F39C9"/>
    <w:rsid w:val="008F5EB5"/>
    <w:rsid w:val="008F678C"/>
    <w:rsid w:val="008F75A7"/>
    <w:rsid w:val="008F7E5A"/>
    <w:rsid w:val="00900A7F"/>
    <w:rsid w:val="009036EE"/>
    <w:rsid w:val="00905815"/>
    <w:rsid w:val="00905D1D"/>
    <w:rsid w:val="0091016D"/>
    <w:rsid w:val="00910C98"/>
    <w:rsid w:val="00911910"/>
    <w:rsid w:val="00912A58"/>
    <w:rsid w:val="00913908"/>
    <w:rsid w:val="00913D26"/>
    <w:rsid w:val="0091438B"/>
    <w:rsid w:val="009147E3"/>
    <w:rsid w:val="00920FD2"/>
    <w:rsid w:val="00923A43"/>
    <w:rsid w:val="0092439C"/>
    <w:rsid w:val="0092498E"/>
    <w:rsid w:val="00925B91"/>
    <w:rsid w:val="00934461"/>
    <w:rsid w:val="00934F7E"/>
    <w:rsid w:val="00936A1C"/>
    <w:rsid w:val="00943E35"/>
    <w:rsid w:val="00945278"/>
    <w:rsid w:val="0094658D"/>
    <w:rsid w:val="00947678"/>
    <w:rsid w:val="00947878"/>
    <w:rsid w:val="009504C2"/>
    <w:rsid w:val="0095254A"/>
    <w:rsid w:val="0095273B"/>
    <w:rsid w:val="00953611"/>
    <w:rsid w:val="009559E1"/>
    <w:rsid w:val="009568D5"/>
    <w:rsid w:val="00957CD3"/>
    <w:rsid w:val="0096269B"/>
    <w:rsid w:val="0096333E"/>
    <w:rsid w:val="00963FB0"/>
    <w:rsid w:val="00964C86"/>
    <w:rsid w:val="00965E82"/>
    <w:rsid w:val="009664BB"/>
    <w:rsid w:val="009669F8"/>
    <w:rsid w:val="00966F89"/>
    <w:rsid w:val="00973B5D"/>
    <w:rsid w:val="0097755E"/>
    <w:rsid w:val="00981467"/>
    <w:rsid w:val="00981C24"/>
    <w:rsid w:val="009852F6"/>
    <w:rsid w:val="00985DE5"/>
    <w:rsid w:val="00986254"/>
    <w:rsid w:val="0098729E"/>
    <w:rsid w:val="00990067"/>
    <w:rsid w:val="00992977"/>
    <w:rsid w:val="009937D4"/>
    <w:rsid w:val="00993C78"/>
    <w:rsid w:val="009948C7"/>
    <w:rsid w:val="00995850"/>
    <w:rsid w:val="0099796C"/>
    <w:rsid w:val="009A03F2"/>
    <w:rsid w:val="009A194E"/>
    <w:rsid w:val="009A1EA2"/>
    <w:rsid w:val="009A209E"/>
    <w:rsid w:val="009A3FD7"/>
    <w:rsid w:val="009A6652"/>
    <w:rsid w:val="009A74FD"/>
    <w:rsid w:val="009B25D8"/>
    <w:rsid w:val="009B42E3"/>
    <w:rsid w:val="009B5859"/>
    <w:rsid w:val="009C6D07"/>
    <w:rsid w:val="009C7CEC"/>
    <w:rsid w:val="009D154D"/>
    <w:rsid w:val="009D18EF"/>
    <w:rsid w:val="009D3BE8"/>
    <w:rsid w:val="009D44E0"/>
    <w:rsid w:val="009D573B"/>
    <w:rsid w:val="009D59A0"/>
    <w:rsid w:val="009D716A"/>
    <w:rsid w:val="009E1AC4"/>
    <w:rsid w:val="009E20B8"/>
    <w:rsid w:val="009E29A0"/>
    <w:rsid w:val="009E41B5"/>
    <w:rsid w:val="009E55D7"/>
    <w:rsid w:val="009E627C"/>
    <w:rsid w:val="009F110B"/>
    <w:rsid w:val="009F1498"/>
    <w:rsid w:val="009F1E9F"/>
    <w:rsid w:val="009F3793"/>
    <w:rsid w:val="009F54F2"/>
    <w:rsid w:val="009F7D52"/>
    <w:rsid w:val="00A0056B"/>
    <w:rsid w:val="00A01657"/>
    <w:rsid w:val="00A01C65"/>
    <w:rsid w:val="00A0213D"/>
    <w:rsid w:val="00A04C73"/>
    <w:rsid w:val="00A0679A"/>
    <w:rsid w:val="00A07A2B"/>
    <w:rsid w:val="00A12375"/>
    <w:rsid w:val="00A125B8"/>
    <w:rsid w:val="00A13124"/>
    <w:rsid w:val="00A15370"/>
    <w:rsid w:val="00A156AB"/>
    <w:rsid w:val="00A16B8D"/>
    <w:rsid w:val="00A21293"/>
    <w:rsid w:val="00A2134B"/>
    <w:rsid w:val="00A21623"/>
    <w:rsid w:val="00A220EB"/>
    <w:rsid w:val="00A22302"/>
    <w:rsid w:val="00A24606"/>
    <w:rsid w:val="00A25F1B"/>
    <w:rsid w:val="00A260AD"/>
    <w:rsid w:val="00A325F3"/>
    <w:rsid w:val="00A33103"/>
    <w:rsid w:val="00A33294"/>
    <w:rsid w:val="00A35DCB"/>
    <w:rsid w:val="00A3690E"/>
    <w:rsid w:val="00A37751"/>
    <w:rsid w:val="00A406B1"/>
    <w:rsid w:val="00A4113E"/>
    <w:rsid w:val="00A42435"/>
    <w:rsid w:val="00A438BA"/>
    <w:rsid w:val="00A446FD"/>
    <w:rsid w:val="00A46F46"/>
    <w:rsid w:val="00A52CB6"/>
    <w:rsid w:val="00A52F99"/>
    <w:rsid w:val="00A538BB"/>
    <w:rsid w:val="00A53CAE"/>
    <w:rsid w:val="00A54164"/>
    <w:rsid w:val="00A56737"/>
    <w:rsid w:val="00A60002"/>
    <w:rsid w:val="00A603D8"/>
    <w:rsid w:val="00A60AE2"/>
    <w:rsid w:val="00A61834"/>
    <w:rsid w:val="00A618B0"/>
    <w:rsid w:val="00A62078"/>
    <w:rsid w:val="00A62790"/>
    <w:rsid w:val="00A6291F"/>
    <w:rsid w:val="00A63F53"/>
    <w:rsid w:val="00A67EF8"/>
    <w:rsid w:val="00A7111E"/>
    <w:rsid w:val="00A755B6"/>
    <w:rsid w:val="00A75B1A"/>
    <w:rsid w:val="00A80ED4"/>
    <w:rsid w:val="00A816C4"/>
    <w:rsid w:val="00A81FF8"/>
    <w:rsid w:val="00A82981"/>
    <w:rsid w:val="00A86F10"/>
    <w:rsid w:val="00A87AF2"/>
    <w:rsid w:val="00A90B23"/>
    <w:rsid w:val="00A93193"/>
    <w:rsid w:val="00A93C2B"/>
    <w:rsid w:val="00A9400C"/>
    <w:rsid w:val="00A94556"/>
    <w:rsid w:val="00A974CB"/>
    <w:rsid w:val="00AA1EAC"/>
    <w:rsid w:val="00AA45E2"/>
    <w:rsid w:val="00AA7AC1"/>
    <w:rsid w:val="00AB6327"/>
    <w:rsid w:val="00AB6B8F"/>
    <w:rsid w:val="00AC07D9"/>
    <w:rsid w:val="00AC0C65"/>
    <w:rsid w:val="00AC0FB2"/>
    <w:rsid w:val="00AC3721"/>
    <w:rsid w:val="00AC41C6"/>
    <w:rsid w:val="00AC70C7"/>
    <w:rsid w:val="00AC76B7"/>
    <w:rsid w:val="00AD0223"/>
    <w:rsid w:val="00AD123A"/>
    <w:rsid w:val="00AD15FF"/>
    <w:rsid w:val="00AD1AA5"/>
    <w:rsid w:val="00AD2920"/>
    <w:rsid w:val="00AD2CD5"/>
    <w:rsid w:val="00AD2DFC"/>
    <w:rsid w:val="00AD38C4"/>
    <w:rsid w:val="00AD5A4A"/>
    <w:rsid w:val="00AD60EE"/>
    <w:rsid w:val="00AD6A2B"/>
    <w:rsid w:val="00AD73D4"/>
    <w:rsid w:val="00AE1EA2"/>
    <w:rsid w:val="00AE2874"/>
    <w:rsid w:val="00AE2F98"/>
    <w:rsid w:val="00AE3602"/>
    <w:rsid w:val="00AE5342"/>
    <w:rsid w:val="00AE5987"/>
    <w:rsid w:val="00AE6472"/>
    <w:rsid w:val="00AF1345"/>
    <w:rsid w:val="00AF38A8"/>
    <w:rsid w:val="00AF63EB"/>
    <w:rsid w:val="00B016D2"/>
    <w:rsid w:val="00B018EC"/>
    <w:rsid w:val="00B060C7"/>
    <w:rsid w:val="00B11AB7"/>
    <w:rsid w:val="00B12213"/>
    <w:rsid w:val="00B13710"/>
    <w:rsid w:val="00B22881"/>
    <w:rsid w:val="00B23EFC"/>
    <w:rsid w:val="00B24B72"/>
    <w:rsid w:val="00B25DB8"/>
    <w:rsid w:val="00B2656C"/>
    <w:rsid w:val="00B266E6"/>
    <w:rsid w:val="00B30463"/>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6AB"/>
    <w:rsid w:val="00B46C2A"/>
    <w:rsid w:val="00B47E8B"/>
    <w:rsid w:val="00B51C67"/>
    <w:rsid w:val="00B53F86"/>
    <w:rsid w:val="00B53FDC"/>
    <w:rsid w:val="00B55431"/>
    <w:rsid w:val="00B55CAE"/>
    <w:rsid w:val="00B576C6"/>
    <w:rsid w:val="00B615F2"/>
    <w:rsid w:val="00B61A28"/>
    <w:rsid w:val="00B65C6D"/>
    <w:rsid w:val="00B66B06"/>
    <w:rsid w:val="00B67862"/>
    <w:rsid w:val="00B70634"/>
    <w:rsid w:val="00B70BE4"/>
    <w:rsid w:val="00B72521"/>
    <w:rsid w:val="00B73880"/>
    <w:rsid w:val="00B73CF1"/>
    <w:rsid w:val="00B745B3"/>
    <w:rsid w:val="00B7599D"/>
    <w:rsid w:val="00B7648F"/>
    <w:rsid w:val="00B76E13"/>
    <w:rsid w:val="00B771EE"/>
    <w:rsid w:val="00B7765B"/>
    <w:rsid w:val="00B77B4B"/>
    <w:rsid w:val="00B80ABC"/>
    <w:rsid w:val="00B814C2"/>
    <w:rsid w:val="00B85A5F"/>
    <w:rsid w:val="00B900FE"/>
    <w:rsid w:val="00B9064C"/>
    <w:rsid w:val="00B91F6D"/>
    <w:rsid w:val="00BA0A14"/>
    <w:rsid w:val="00BA228D"/>
    <w:rsid w:val="00BA398D"/>
    <w:rsid w:val="00BA39D3"/>
    <w:rsid w:val="00BA5C56"/>
    <w:rsid w:val="00BA776F"/>
    <w:rsid w:val="00BB0C0D"/>
    <w:rsid w:val="00BB0D69"/>
    <w:rsid w:val="00BB366E"/>
    <w:rsid w:val="00BB3AF0"/>
    <w:rsid w:val="00BB4F70"/>
    <w:rsid w:val="00BB67FF"/>
    <w:rsid w:val="00BB6E9C"/>
    <w:rsid w:val="00BC11B9"/>
    <w:rsid w:val="00BC138C"/>
    <w:rsid w:val="00BC14CF"/>
    <w:rsid w:val="00BC1659"/>
    <w:rsid w:val="00BC2404"/>
    <w:rsid w:val="00BC260D"/>
    <w:rsid w:val="00BC2C91"/>
    <w:rsid w:val="00BC3A9C"/>
    <w:rsid w:val="00BC5288"/>
    <w:rsid w:val="00BC6A71"/>
    <w:rsid w:val="00BC6B2F"/>
    <w:rsid w:val="00BD0637"/>
    <w:rsid w:val="00BD08A8"/>
    <w:rsid w:val="00BD1BAC"/>
    <w:rsid w:val="00BD1FA8"/>
    <w:rsid w:val="00BD25A6"/>
    <w:rsid w:val="00BD4C95"/>
    <w:rsid w:val="00BD65FC"/>
    <w:rsid w:val="00BD7660"/>
    <w:rsid w:val="00BE0666"/>
    <w:rsid w:val="00BE24B9"/>
    <w:rsid w:val="00BE2AE8"/>
    <w:rsid w:val="00BE2D55"/>
    <w:rsid w:val="00BE38DD"/>
    <w:rsid w:val="00BE4AB1"/>
    <w:rsid w:val="00BF16C3"/>
    <w:rsid w:val="00BF38E0"/>
    <w:rsid w:val="00BF44FA"/>
    <w:rsid w:val="00BF57E1"/>
    <w:rsid w:val="00C003B4"/>
    <w:rsid w:val="00C00A5F"/>
    <w:rsid w:val="00C042E0"/>
    <w:rsid w:val="00C051D9"/>
    <w:rsid w:val="00C06333"/>
    <w:rsid w:val="00C06F68"/>
    <w:rsid w:val="00C075BA"/>
    <w:rsid w:val="00C10A3A"/>
    <w:rsid w:val="00C11E20"/>
    <w:rsid w:val="00C15D16"/>
    <w:rsid w:val="00C20015"/>
    <w:rsid w:val="00C247DD"/>
    <w:rsid w:val="00C25B43"/>
    <w:rsid w:val="00C26A54"/>
    <w:rsid w:val="00C3261C"/>
    <w:rsid w:val="00C3318B"/>
    <w:rsid w:val="00C33C20"/>
    <w:rsid w:val="00C35314"/>
    <w:rsid w:val="00C35362"/>
    <w:rsid w:val="00C357EA"/>
    <w:rsid w:val="00C379F8"/>
    <w:rsid w:val="00C37A1C"/>
    <w:rsid w:val="00C42323"/>
    <w:rsid w:val="00C4316E"/>
    <w:rsid w:val="00C453A9"/>
    <w:rsid w:val="00C465D5"/>
    <w:rsid w:val="00C4756A"/>
    <w:rsid w:val="00C47C39"/>
    <w:rsid w:val="00C50649"/>
    <w:rsid w:val="00C50E1F"/>
    <w:rsid w:val="00C51C09"/>
    <w:rsid w:val="00C52BB6"/>
    <w:rsid w:val="00C53471"/>
    <w:rsid w:val="00C55143"/>
    <w:rsid w:val="00C5611B"/>
    <w:rsid w:val="00C5695E"/>
    <w:rsid w:val="00C61528"/>
    <w:rsid w:val="00C63457"/>
    <w:rsid w:val="00C64924"/>
    <w:rsid w:val="00C64964"/>
    <w:rsid w:val="00C6631E"/>
    <w:rsid w:val="00C67473"/>
    <w:rsid w:val="00C6784C"/>
    <w:rsid w:val="00C67AA4"/>
    <w:rsid w:val="00C7148C"/>
    <w:rsid w:val="00C72192"/>
    <w:rsid w:val="00C732E5"/>
    <w:rsid w:val="00C73D0B"/>
    <w:rsid w:val="00C75017"/>
    <w:rsid w:val="00C765B4"/>
    <w:rsid w:val="00C813EA"/>
    <w:rsid w:val="00C81496"/>
    <w:rsid w:val="00C82CE6"/>
    <w:rsid w:val="00C82E22"/>
    <w:rsid w:val="00C85144"/>
    <w:rsid w:val="00C86738"/>
    <w:rsid w:val="00C86A27"/>
    <w:rsid w:val="00C91517"/>
    <w:rsid w:val="00C929BD"/>
    <w:rsid w:val="00C931A2"/>
    <w:rsid w:val="00CA02E1"/>
    <w:rsid w:val="00CA15DA"/>
    <w:rsid w:val="00CA224E"/>
    <w:rsid w:val="00CA41C5"/>
    <w:rsid w:val="00CA42B7"/>
    <w:rsid w:val="00CA4A53"/>
    <w:rsid w:val="00CA51F5"/>
    <w:rsid w:val="00CB218A"/>
    <w:rsid w:val="00CB225A"/>
    <w:rsid w:val="00CB69E6"/>
    <w:rsid w:val="00CB761B"/>
    <w:rsid w:val="00CC13DF"/>
    <w:rsid w:val="00CC1EEE"/>
    <w:rsid w:val="00CC562B"/>
    <w:rsid w:val="00CC6C15"/>
    <w:rsid w:val="00CC7FCF"/>
    <w:rsid w:val="00CD2749"/>
    <w:rsid w:val="00CD2A60"/>
    <w:rsid w:val="00CD306F"/>
    <w:rsid w:val="00CD3971"/>
    <w:rsid w:val="00CD3DAB"/>
    <w:rsid w:val="00CE0DF1"/>
    <w:rsid w:val="00CE3786"/>
    <w:rsid w:val="00CE4027"/>
    <w:rsid w:val="00CE47CC"/>
    <w:rsid w:val="00CE68F6"/>
    <w:rsid w:val="00CE7E27"/>
    <w:rsid w:val="00CF22AC"/>
    <w:rsid w:val="00CF2F0A"/>
    <w:rsid w:val="00CF793E"/>
    <w:rsid w:val="00CF79E8"/>
    <w:rsid w:val="00D015AA"/>
    <w:rsid w:val="00D021B8"/>
    <w:rsid w:val="00D03D90"/>
    <w:rsid w:val="00D04024"/>
    <w:rsid w:val="00D043EB"/>
    <w:rsid w:val="00D06705"/>
    <w:rsid w:val="00D06A9B"/>
    <w:rsid w:val="00D0750D"/>
    <w:rsid w:val="00D07DD8"/>
    <w:rsid w:val="00D1038F"/>
    <w:rsid w:val="00D10BF7"/>
    <w:rsid w:val="00D10FEB"/>
    <w:rsid w:val="00D140A0"/>
    <w:rsid w:val="00D203D1"/>
    <w:rsid w:val="00D204CE"/>
    <w:rsid w:val="00D2057A"/>
    <w:rsid w:val="00D21D98"/>
    <w:rsid w:val="00D23013"/>
    <w:rsid w:val="00D2317F"/>
    <w:rsid w:val="00D231A9"/>
    <w:rsid w:val="00D24391"/>
    <w:rsid w:val="00D2472B"/>
    <w:rsid w:val="00D253DD"/>
    <w:rsid w:val="00D26FFA"/>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58A4"/>
    <w:rsid w:val="00D47BEB"/>
    <w:rsid w:val="00D50487"/>
    <w:rsid w:val="00D50563"/>
    <w:rsid w:val="00D50F50"/>
    <w:rsid w:val="00D5235F"/>
    <w:rsid w:val="00D52F50"/>
    <w:rsid w:val="00D5325D"/>
    <w:rsid w:val="00D55A98"/>
    <w:rsid w:val="00D56B49"/>
    <w:rsid w:val="00D6053F"/>
    <w:rsid w:val="00D6073D"/>
    <w:rsid w:val="00D61015"/>
    <w:rsid w:val="00D618D6"/>
    <w:rsid w:val="00D62426"/>
    <w:rsid w:val="00D62804"/>
    <w:rsid w:val="00D70F55"/>
    <w:rsid w:val="00D70FA5"/>
    <w:rsid w:val="00D719E6"/>
    <w:rsid w:val="00D74171"/>
    <w:rsid w:val="00D7474C"/>
    <w:rsid w:val="00D8032C"/>
    <w:rsid w:val="00D80CE2"/>
    <w:rsid w:val="00D83080"/>
    <w:rsid w:val="00D84D5F"/>
    <w:rsid w:val="00D851E2"/>
    <w:rsid w:val="00D87FFA"/>
    <w:rsid w:val="00D91419"/>
    <w:rsid w:val="00D92A09"/>
    <w:rsid w:val="00D92D2A"/>
    <w:rsid w:val="00D92EEC"/>
    <w:rsid w:val="00D93470"/>
    <w:rsid w:val="00D9352D"/>
    <w:rsid w:val="00D9395F"/>
    <w:rsid w:val="00D93D55"/>
    <w:rsid w:val="00D941FA"/>
    <w:rsid w:val="00D94B59"/>
    <w:rsid w:val="00D95315"/>
    <w:rsid w:val="00D95EAB"/>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6F54"/>
    <w:rsid w:val="00DD0C00"/>
    <w:rsid w:val="00DD0F8C"/>
    <w:rsid w:val="00DD116C"/>
    <w:rsid w:val="00DD23D5"/>
    <w:rsid w:val="00DD2AF1"/>
    <w:rsid w:val="00DD46DA"/>
    <w:rsid w:val="00DD5283"/>
    <w:rsid w:val="00DD6072"/>
    <w:rsid w:val="00DD62BE"/>
    <w:rsid w:val="00DD77D9"/>
    <w:rsid w:val="00DD7CA4"/>
    <w:rsid w:val="00DE167C"/>
    <w:rsid w:val="00DE3B70"/>
    <w:rsid w:val="00DE5813"/>
    <w:rsid w:val="00DF10B1"/>
    <w:rsid w:val="00DF1FDA"/>
    <w:rsid w:val="00DF3DD0"/>
    <w:rsid w:val="00DF4D50"/>
    <w:rsid w:val="00DF538C"/>
    <w:rsid w:val="00E021C2"/>
    <w:rsid w:val="00E024A3"/>
    <w:rsid w:val="00E0423D"/>
    <w:rsid w:val="00E044E5"/>
    <w:rsid w:val="00E057B5"/>
    <w:rsid w:val="00E0581E"/>
    <w:rsid w:val="00E079C5"/>
    <w:rsid w:val="00E07CBD"/>
    <w:rsid w:val="00E07E62"/>
    <w:rsid w:val="00E07F56"/>
    <w:rsid w:val="00E10A16"/>
    <w:rsid w:val="00E1112F"/>
    <w:rsid w:val="00E1318F"/>
    <w:rsid w:val="00E13B3B"/>
    <w:rsid w:val="00E13E29"/>
    <w:rsid w:val="00E16857"/>
    <w:rsid w:val="00E16C3A"/>
    <w:rsid w:val="00E20651"/>
    <w:rsid w:val="00E2107C"/>
    <w:rsid w:val="00E21E70"/>
    <w:rsid w:val="00E224DE"/>
    <w:rsid w:val="00E23DCE"/>
    <w:rsid w:val="00E26363"/>
    <w:rsid w:val="00E272A4"/>
    <w:rsid w:val="00E305F9"/>
    <w:rsid w:val="00E306AC"/>
    <w:rsid w:val="00E3418A"/>
    <w:rsid w:val="00E34446"/>
    <w:rsid w:val="00E3633B"/>
    <w:rsid w:val="00E36870"/>
    <w:rsid w:val="00E374E1"/>
    <w:rsid w:val="00E417AB"/>
    <w:rsid w:val="00E43D48"/>
    <w:rsid w:val="00E4542D"/>
    <w:rsid w:val="00E45BE0"/>
    <w:rsid w:val="00E46CAD"/>
    <w:rsid w:val="00E47521"/>
    <w:rsid w:val="00E4760C"/>
    <w:rsid w:val="00E507A6"/>
    <w:rsid w:val="00E5375C"/>
    <w:rsid w:val="00E561AD"/>
    <w:rsid w:val="00E57FAF"/>
    <w:rsid w:val="00E60BA9"/>
    <w:rsid w:val="00E63510"/>
    <w:rsid w:val="00E635EA"/>
    <w:rsid w:val="00E655E5"/>
    <w:rsid w:val="00E65F4E"/>
    <w:rsid w:val="00E662E0"/>
    <w:rsid w:val="00E67D5D"/>
    <w:rsid w:val="00E71C7A"/>
    <w:rsid w:val="00E73119"/>
    <w:rsid w:val="00E73E1E"/>
    <w:rsid w:val="00E767FF"/>
    <w:rsid w:val="00E845D9"/>
    <w:rsid w:val="00E84C91"/>
    <w:rsid w:val="00E84E60"/>
    <w:rsid w:val="00E8556E"/>
    <w:rsid w:val="00E86B2D"/>
    <w:rsid w:val="00E86F4D"/>
    <w:rsid w:val="00E87D08"/>
    <w:rsid w:val="00E90D0E"/>
    <w:rsid w:val="00E91B2D"/>
    <w:rsid w:val="00E92FCA"/>
    <w:rsid w:val="00E95578"/>
    <w:rsid w:val="00E95CAA"/>
    <w:rsid w:val="00EA004B"/>
    <w:rsid w:val="00EA0A39"/>
    <w:rsid w:val="00EA0EB2"/>
    <w:rsid w:val="00EA236F"/>
    <w:rsid w:val="00EA3023"/>
    <w:rsid w:val="00EA3E49"/>
    <w:rsid w:val="00EA3FC8"/>
    <w:rsid w:val="00EA5B8C"/>
    <w:rsid w:val="00EB0DC9"/>
    <w:rsid w:val="00EB1383"/>
    <w:rsid w:val="00EB252D"/>
    <w:rsid w:val="00EB29FA"/>
    <w:rsid w:val="00EB2CCE"/>
    <w:rsid w:val="00EB385F"/>
    <w:rsid w:val="00EB3E49"/>
    <w:rsid w:val="00EB5FC3"/>
    <w:rsid w:val="00EB6DA9"/>
    <w:rsid w:val="00EC1561"/>
    <w:rsid w:val="00EC462E"/>
    <w:rsid w:val="00EC6CD8"/>
    <w:rsid w:val="00EC786F"/>
    <w:rsid w:val="00ED1866"/>
    <w:rsid w:val="00ED3134"/>
    <w:rsid w:val="00ED38E2"/>
    <w:rsid w:val="00ED5C44"/>
    <w:rsid w:val="00ED635B"/>
    <w:rsid w:val="00ED78BE"/>
    <w:rsid w:val="00EE742D"/>
    <w:rsid w:val="00EF0A22"/>
    <w:rsid w:val="00EF1267"/>
    <w:rsid w:val="00EF180C"/>
    <w:rsid w:val="00EF3B6B"/>
    <w:rsid w:val="00EF4B43"/>
    <w:rsid w:val="00EF6750"/>
    <w:rsid w:val="00EF770B"/>
    <w:rsid w:val="00F02836"/>
    <w:rsid w:val="00F02FB5"/>
    <w:rsid w:val="00F0534E"/>
    <w:rsid w:val="00F05C30"/>
    <w:rsid w:val="00F06163"/>
    <w:rsid w:val="00F10F1B"/>
    <w:rsid w:val="00F14179"/>
    <w:rsid w:val="00F15786"/>
    <w:rsid w:val="00F167C5"/>
    <w:rsid w:val="00F20B5A"/>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337E"/>
    <w:rsid w:val="00F44CC0"/>
    <w:rsid w:val="00F450BA"/>
    <w:rsid w:val="00F4684B"/>
    <w:rsid w:val="00F46BE9"/>
    <w:rsid w:val="00F47C3B"/>
    <w:rsid w:val="00F50032"/>
    <w:rsid w:val="00F506CA"/>
    <w:rsid w:val="00F53A7A"/>
    <w:rsid w:val="00F54FCD"/>
    <w:rsid w:val="00F5785C"/>
    <w:rsid w:val="00F65E3C"/>
    <w:rsid w:val="00F67076"/>
    <w:rsid w:val="00F677FA"/>
    <w:rsid w:val="00F7115A"/>
    <w:rsid w:val="00F717AA"/>
    <w:rsid w:val="00F72714"/>
    <w:rsid w:val="00F744C3"/>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96F48"/>
    <w:rsid w:val="00FA0109"/>
    <w:rsid w:val="00FA458B"/>
    <w:rsid w:val="00FA4CE8"/>
    <w:rsid w:val="00FA5EC5"/>
    <w:rsid w:val="00FA7016"/>
    <w:rsid w:val="00FA7174"/>
    <w:rsid w:val="00FA793D"/>
    <w:rsid w:val="00FB020E"/>
    <w:rsid w:val="00FB0F17"/>
    <w:rsid w:val="00FB4B9D"/>
    <w:rsid w:val="00FB50ED"/>
    <w:rsid w:val="00FB6E18"/>
    <w:rsid w:val="00FC144B"/>
    <w:rsid w:val="00FC2169"/>
    <w:rsid w:val="00FC28E2"/>
    <w:rsid w:val="00FC3BF6"/>
    <w:rsid w:val="00FC3D22"/>
    <w:rsid w:val="00FC6FE1"/>
    <w:rsid w:val="00FD0C3D"/>
    <w:rsid w:val="00FD2F6B"/>
    <w:rsid w:val="00FE064A"/>
    <w:rsid w:val="00FE0B55"/>
    <w:rsid w:val="00FE1E98"/>
    <w:rsid w:val="00FE2452"/>
    <w:rsid w:val="00FE5469"/>
    <w:rsid w:val="00FE66C2"/>
    <w:rsid w:val="00FE684A"/>
    <w:rsid w:val="00FE6F23"/>
    <w:rsid w:val="00FF0F8C"/>
    <w:rsid w:val="00FF1AD9"/>
    <w:rsid w:val="00FF408B"/>
    <w:rsid w:val="00FF43E1"/>
    <w:rsid w:val="03430854"/>
    <w:rsid w:val="039F5FA6"/>
    <w:rsid w:val="03F34651"/>
    <w:rsid w:val="09305ADA"/>
    <w:rsid w:val="0E8013B7"/>
    <w:rsid w:val="10D604C6"/>
    <w:rsid w:val="11B515E0"/>
    <w:rsid w:val="13A53267"/>
    <w:rsid w:val="13F970D2"/>
    <w:rsid w:val="14AA4136"/>
    <w:rsid w:val="163A420B"/>
    <w:rsid w:val="19413B26"/>
    <w:rsid w:val="1C6D3688"/>
    <w:rsid w:val="1CC63D0A"/>
    <w:rsid w:val="1DC2081A"/>
    <w:rsid w:val="1DD94266"/>
    <w:rsid w:val="1F9D0947"/>
    <w:rsid w:val="1FFB29C6"/>
    <w:rsid w:val="22AF3620"/>
    <w:rsid w:val="22E70AD4"/>
    <w:rsid w:val="24F1508D"/>
    <w:rsid w:val="266F634F"/>
    <w:rsid w:val="291059EA"/>
    <w:rsid w:val="2BBF12EC"/>
    <w:rsid w:val="2BC649D9"/>
    <w:rsid w:val="3515160D"/>
    <w:rsid w:val="3C7D00D8"/>
    <w:rsid w:val="3CA06C0C"/>
    <w:rsid w:val="3EA25851"/>
    <w:rsid w:val="3F6C3757"/>
    <w:rsid w:val="405D6A10"/>
    <w:rsid w:val="41DA6594"/>
    <w:rsid w:val="444C1A75"/>
    <w:rsid w:val="44A3526F"/>
    <w:rsid w:val="44B032F4"/>
    <w:rsid w:val="457D25F7"/>
    <w:rsid w:val="468341CD"/>
    <w:rsid w:val="472C2589"/>
    <w:rsid w:val="4A3132A3"/>
    <w:rsid w:val="4A760AEB"/>
    <w:rsid w:val="4F3162CA"/>
    <w:rsid w:val="4FDB0EF3"/>
    <w:rsid w:val="4FFBE81B"/>
    <w:rsid w:val="50D95873"/>
    <w:rsid w:val="526102AF"/>
    <w:rsid w:val="52743218"/>
    <w:rsid w:val="528444DA"/>
    <w:rsid w:val="537745D5"/>
    <w:rsid w:val="552306F6"/>
    <w:rsid w:val="56E352D5"/>
    <w:rsid w:val="57E435FE"/>
    <w:rsid w:val="582D0655"/>
    <w:rsid w:val="5951205C"/>
    <w:rsid w:val="59D079E8"/>
    <w:rsid w:val="59D40847"/>
    <w:rsid w:val="5AE37F25"/>
    <w:rsid w:val="5CB23D47"/>
    <w:rsid w:val="5FAF09C4"/>
    <w:rsid w:val="608C4642"/>
    <w:rsid w:val="62795572"/>
    <w:rsid w:val="64DD6417"/>
    <w:rsid w:val="66004745"/>
    <w:rsid w:val="6A567F20"/>
    <w:rsid w:val="6CD97953"/>
    <w:rsid w:val="6ED30FD7"/>
    <w:rsid w:val="705157CB"/>
    <w:rsid w:val="727D78FD"/>
    <w:rsid w:val="73CC655F"/>
    <w:rsid w:val="75957445"/>
    <w:rsid w:val="75D01AE1"/>
    <w:rsid w:val="75DD4311"/>
    <w:rsid w:val="773B5F0A"/>
    <w:rsid w:val="77524363"/>
    <w:rsid w:val="77B917B5"/>
    <w:rsid w:val="78703975"/>
    <w:rsid w:val="7BE420FD"/>
    <w:rsid w:val="7D0D296B"/>
    <w:rsid w:val="7D4E0B54"/>
    <w:rsid w:val="7D503E78"/>
    <w:rsid w:val="7DB65569"/>
    <w:rsid w:val="7E0160D4"/>
    <w:rsid w:val="7F670406"/>
    <w:rsid w:val="B7FDBD36"/>
    <w:rsid w:val="DBFD766B"/>
    <w:rsid w:val="F77FE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5"/>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88"/>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81"/>
    <w:qFormat/>
    <w:uiPriority w:val="0"/>
    <w:pPr>
      <w:keepNext/>
      <w:keepLines/>
      <w:numPr>
        <w:ilvl w:val="2"/>
        <w:numId w:val="1"/>
      </w:numPr>
      <w:spacing w:before="120" w:after="120"/>
      <w:ind w:firstLine="0" w:firstLineChars="0"/>
      <w:outlineLvl w:val="2"/>
    </w:pPr>
    <w:rPr>
      <w:b/>
      <w:bCs/>
      <w:sz w:val="28"/>
      <w:szCs w:val="28"/>
    </w:rPr>
  </w:style>
  <w:style w:type="paragraph" w:styleId="5">
    <w:name w:val="heading 4"/>
    <w:basedOn w:val="1"/>
    <w:next w:val="1"/>
    <w:link w:val="58"/>
    <w:qFormat/>
    <w:uiPriority w:val="0"/>
    <w:pPr>
      <w:keepNext/>
      <w:keepLines/>
      <w:numPr>
        <w:ilvl w:val="3"/>
        <w:numId w:val="1"/>
      </w:numPr>
      <w:spacing w:before="120" w:after="120"/>
      <w:ind w:left="851" w:firstLine="0" w:firstLineChars="0"/>
      <w:outlineLvl w:val="3"/>
    </w:pPr>
    <w:rPr>
      <w:b/>
      <w:bCs/>
      <w:sz w:val="30"/>
      <w:szCs w:val="30"/>
    </w:rPr>
  </w:style>
  <w:style w:type="paragraph" w:styleId="6">
    <w:name w:val="heading 5"/>
    <w:basedOn w:val="1"/>
    <w:next w:val="1"/>
    <w:link w:val="86"/>
    <w:qFormat/>
    <w:uiPriority w:val="0"/>
    <w:pPr>
      <w:keepNext/>
      <w:keepLines/>
      <w:numPr>
        <w:ilvl w:val="4"/>
        <w:numId w:val="1"/>
      </w:numPr>
      <w:spacing w:before="120" w:after="120"/>
      <w:ind w:left="0" w:firstLine="0" w:firstLineChars="0"/>
      <w:outlineLvl w:val="4"/>
    </w:pPr>
    <w:rPr>
      <w:b/>
      <w:bCs/>
      <w:szCs w:val="28"/>
    </w:rPr>
  </w:style>
  <w:style w:type="paragraph" w:styleId="7">
    <w:name w:val="heading 6"/>
    <w:basedOn w:val="1"/>
    <w:next w:val="1"/>
    <w:link w:val="99"/>
    <w:qFormat/>
    <w:uiPriority w:val="0"/>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72"/>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98"/>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48"/>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4"/>
    <w:qFormat/>
    <w:uiPriority w:val="0"/>
    <w:pPr>
      <w:spacing w:afterLines="50"/>
      <w:ind w:firstLine="200"/>
    </w:pPr>
    <w:rPr>
      <w:rFonts w:ascii="Arial" w:hAnsi="Arial" w:eastAsia="黑体"/>
      <w:sz w:val="20"/>
      <w:szCs w:val="20"/>
    </w:rPr>
  </w:style>
  <w:style w:type="paragraph" w:styleId="14">
    <w:name w:val="Document Map"/>
    <w:basedOn w:val="1"/>
    <w:link w:val="91"/>
    <w:qFormat/>
    <w:uiPriority w:val="0"/>
    <w:rPr>
      <w:rFonts w:hAnsi="Times New Roman"/>
      <w:sz w:val="18"/>
      <w:szCs w:val="18"/>
    </w:rPr>
  </w:style>
  <w:style w:type="paragraph" w:styleId="15">
    <w:name w:val="annotation text"/>
    <w:basedOn w:val="1"/>
    <w:link w:val="45"/>
    <w:qFormat/>
    <w:uiPriority w:val="99"/>
    <w:pPr>
      <w:jc w:val="left"/>
    </w:pPr>
    <w:rPr>
      <w:rFonts w:ascii="Times New Roman" w:hAnsi="Times New Roman" w:eastAsia="仿宋"/>
      <w:sz w:val="28"/>
    </w:rPr>
  </w:style>
  <w:style w:type="paragraph" w:styleId="16">
    <w:name w:val="Body Text"/>
    <w:basedOn w:val="1"/>
    <w:link w:val="59"/>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85"/>
    <w:qFormat/>
    <w:uiPriority w:val="0"/>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66"/>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47"/>
    <w:qFormat/>
    <w:uiPriority w:val="0"/>
    <w:pPr>
      <w:ind w:left="100" w:leftChars="2500"/>
    </w:pPr>
    <w:rPr>
      <w:rFonts w:ascii="Times New Roman" w:hAnsi="Times New Roman"/>
      <w:sz w:val="21"/>
    </w:rPr>
  </w:style>
  <w:style w:type="paragraph" w:styleId="23">
    <w:name w:val="Balloon Text"/>
    <w:basedOn w:val="1"/>
    <w:link w:val="96"/>
    <w:qFormat/>
    <w:uiPriority w:val="0"/>
    <w:rPr>
      <w:rFonts w:ascii="Times New Roman" w:hAnsi="Times New Roman"/>
      <w:sz w:val="18"/>
      <w:szCs w:val="18"/>
    </w:rPr>
  </w:style>
  <w:style w:type="paragraph" w:styleId="24">
    <w:name w:val="footer"/>
    <w:basedOn w:val="1"/>
    <w:link w:val="89"/>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97"/>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87"/>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95"/>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83"/>
    <w:qFormat/>
    <w:uiPriority w:val="0"/>
    <w:rPr>
      <w:b/>
      <w:bCs/>
      <w:sz w:val="21"/>
    </w:rPr>
  </w:style>
  <w:style w:type="table" w:styleId="36">
    <w:name w:val="Table Grid"/>
    <w:basedOn w:val="3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3 字符1"/>
    <w:qFormat/>
    <w:uiPriority w:val="0"/>
    <w:rPr>
      <w:rFonts w:ascii="宋体" w:hAnsi="宋体"/>
      <w:b/>
      <w:bCs/>
      <w:kern w:val="2"/>
      <w:sz w:val="28"/>
      <w:szCs w:val="28"/>
    </w:rPr>
  </w:style>
  <w:style w:type="character" w:customStyle="1" w:styleId="43">
    <w:name w:val="首行缩进正文 Char"/>
    <w:link w:val="44"/>
    <w:qFormat/>
    <w:uiPriority w:val="0"/>
    <w:rPr>
      <w:kern w:val="2"/>
      <w:sz w:val="24"/>
    </w:rPr>
  </w:style>
  <w:style w:type="paragraph" w:customStyle="1" w:styleId="44">
    <w:name w:val="首行缩进正文"/>
    <w:basedOn w:val="1"/>
    <w:link w:val="43"/>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5">
    <w:name w:val="批注文字 字符1"/>
    <w:link w:val="15"/>
    <w:qFormat/>
    <w:uiPriority w:val="99"/>
    <w:rPr>
      <w:rFonts w:eastAsia="仿宋"/>
      <w:kern w:val="2"/>
      <w:sz w:val="28"/>
      <w:szCs w:val="24"/>
    </w:rPr>
  </w:style>
  <w:style w:type="character" w:customStyle="1" w:styleId="46">
    <w:name w:val="日期 字符"/>
    <w:semiHidden/>
    <w:qFormat/>
    <w:uiPriority w:val="99"/>
    <w:rPr>
      <w:rFonts w:ascii="宋体" w:hAnsi="宋体"/>
      <w:kern w:val="2"/>
      <w:sz w:val="24"/>
      <w:szCs w:val="24"/>
    </w:rPr>
  </w:style>
  <w:style w:type="character" w:customStyle="1" w:styleId="47">
    <w:name w:val="日期 字符1"/>
    <w:link w:val="22"/>
    <w:qFormat/>
    <w:uiPriority w:val="0"/>
    <w:rPr>
      <w:kern w:val="2"/>
      <w:sz w:val="21"/>
      <w:szCs w:val="24"/>
    </w:rPr>
  </w:style>
  <w:style w:type="character" w:customStyle="1" w:styleId="48">
    <w:name w:val="标题 9 字符"/>
    <w:link w:val="10"/>
    <w:qFormat/>
    <w:uiPriority w:val="9"/>
    <w:rPr>
      <w:rFonts w:ascii="Cambria" w:hAnsi="Cambria"/>
      <w:kern w:val="2"/>
      <w:sz w:val="21"/>
      <w:szCs w:val="21"/>
    </w:rPr>
  </w:style>
  <w:style w:type="character" w:customStyle="1" w:styleId="49">
    <w:name w:val="未处理的提及1"/>
    <w:unhideWhenUsed/>
    <w:qFormat/>
    <w:uiPriority w:val="99"/>
    <w:rPr>
      <w:color w:val="605E5C"/>
      <w:shd w:val="clear" w:color="auto" w:fill="E1DFDD"/>
    </w:rPr>
  </w:style>
  <w:style w:type="character" w:customStyle="1" w:styleId="50">
    <w:name w:val="标题 1 字符"/>
    <w:qFormat/>
    <w:uiPriority w:val="9"/>
    <w:rPr>
      <w:rFonts w:ascii="宋体" w:hAnsi="宋体"/>
      <w:b/>
      <w:bCs/>
      <w:kern w:val="44"/>
      <w:sz w:val="44"/>
      <w:szCs w:val="44"/>
    </w:rPr>
  </w:style>
  <w:style w:type="character" w:customStyle="1" w:styleId="51">
    <w:name w:val="标题 3 字符"/>
    <w:semiHidden/>
    <w:qFormat/>
    <w:uiPriority w:val="9"/>
    <w:rPr>
      <w:rFonts w:ascii="宋体" w:hAnsi="宋体"/>
      <w:b/>
      <w:bCs/>
      <w:kern w:val="2"/>
      <w:sz w:val="32"/>
      <w:szCs w:val="32"/>
    </w:rPr>
  </w:style>
  <w:style w:type="character" w:customStyle="1" w:styleId="52">
    <w:name w:val="页脚 字符"/>
    <w:qFormat/>
    <w:uiPriority w:val="99"/>
  </w:style>
  <w:style w:type="character" w:customStyle="1" w:styleId="53">
    <w:name w:val="标题 5 字符"/>
    <w:semiHidden/>
    <w:qFormat/>
    <w:uiPriority w:val="9"/>
    <w:rPr>
      <w:rFonts w:ascii="宋体" w:hAnsi="宋体"/>
      <w:b/>
      <w:bCs/>
      <w:kern w:val="2"/>
      <w:sz w:val="28"/>
      <w:szCs w:val="28"/>
    </w:rPr>
  </w:style>
  <w:style w:type="character" w:customStyle="1" w:styleId="54">
    <w:name w:val="题注 字符"/>
    <w:link w:val="13"/>
    <w:qFormat/>
    <w:locked/>
    <w:uiPriority w:val="0"/>
    <w:rPr>
      <w:rFonts w:ascii="Arial" w:hAnsi="Arial" w:eastAsia="黑体"/>
      <w:kern w:val="2"/>
    </w:rPr>
  </w:style>
  <w:style w:type="character" w:customStyle="1" w:styleId="55">
    <w:name w:val="标题 2 字符"/>
    <w:semiHidden/>
    <w:qFormat/>
    <w:uiPriority w:val="9"/>
    <w:rPr>
      <w:rFonts w:ascii="等线 Light" w:hAnsi="等线 Light" w:eastAsia="等线 Light" w:cs="Times New Roman"/>
      <w:b/>
      <w:bCs/>
      <w:kern w:val="2"/>
      <w:sz w:val="32"/>
      <w:szCs w:val="32"/>
    </w:rPr>
  </w:style>
  <w:style w:type="character" w:customStyle="1" w:styleId="56">
    <w:name w:val="纯文本 字符"/>
    <w:qFormat/>
    <w:uiPriority w:val="0"/>
    <w:rPr>
      <w:rFonts w:ascii="宋体" w:hAnsi="Courier New" w:cs="Courier New"/>
      <w:kern w:val="2"/>
      <w:sz w:val="21"/>
      <w:szCs w:val="21"/>
    </w:rPr>
  </w:style>
  <w:style w:type="character" w:customStyle="1" w:styleId="57">
    <w:name w:val="列表段落 字符"/>
    <w:qFormat/>
    <w:uiPriority w:val="34"/>
    <w:rPr>
      <w:kern w:val="2"/>
      <w:sz w:val="21"/>
      <w:szCs w:val="22"/>
    </w:rPr>
  </w:style>
  <w:style w:type="character" w:customStyle="1" w:styleId="58">
    <w:name w:val="标题 4 字符1"/>
    <w:link w:val="5"/>
    <w:qFormat/>
    <w:uiPriority w:val="0"/>
    <w:rPr>
      <w:rFonts w:ascii="宋体" w:hAnsi="宋体"/>
      <w:b/>
      <w:bCs/>
      <w:kern w:val="2"/>
      <w:sz w:val="30"/>
      <w:szCs w:val="30"/>
    </w:rPr>
  </w:style>
  <w:style w:type="character" w:customStyle="1" w:styleId="59">
    <w:name w:val="正文文本 字符"/>
    <w:link w:val="16"/>
    <w:qFormat/>
    <w:uiPriority w:val="0"/>
    <w:rPr>
      <w:kern w:val="2"/>
      <w:sz w:val="21"/>
      <w:szCs w:val="24"/>
    </w:rPr>
  </w:style>
  <w:style w:type="character" w:customStyle="1" w:styleId="60">
    <w:name w:val="列表段落 字符1"/>
    <w:link w:val="61"/>
    <w:qFormat/>
    <w:uiPriority w:val="34"/>
    <w:rPr>
      <w:kern w:val="2"/>
      <w:sz w:val="21"/>
      <w:szCs w:val="24"/>
    </w:rPr>
  </w:style>
  <w:style w:type="paragraph" w:styleId="61">
    <w:name w:val="List Paragraph"/>
    <w:basedOn w:val="1"/>
    <w:link w:val="60"/>
    <w:qFormat/>
    <w:uiPriority w:val="34"/>
    <w:pPr>
      <w:ind w:firstLine="420"/>
    </w:pPr>
    <w:rPr>
      <w:rFonts w:ascii="Times New Roman" w:hAnsi="Times New Roman"/>
      <w:sz w:val="21"/>
    </w:rPr>
  </w:style>
  <w:style w:type="character" w:customStyle="1" w:styleId="62">
    <w:name w:val="font21"/>
    <w:qFormat/>
    <w:uiPriority w:val="0"/>
    <w:rPr>
      <w:rFonts w:ascii="Calibri" w:hAnsi="Calibri" w:cs="Calibri"/>
      <w:color w:val="000000"/>
      <w:sz w:val="21"/>
      <w:szCs w:val="21"/>
      <w:u w:val="none"/>
    </w:rPr>
  </w:style>
  <w:style w:type="character" w:customStyle="1" w:styleId="63">
    <w:name w:val="*正文 Char"/>
    <w:link w:val="64"/>
    <w:qFormat/>
    <w:uiPriority w:val="0"/>
    <w:rPr>
      <w:rFonts w:ascii="time" w:hAnsi="time"/>
      <w:sz w:val="24"/>
      <w:szCs w:val="24"/>
      <w:lang w:bidi="en-US"/>
    </w:rPr>
  </w:style>
  <w:style w:type="paragraph" w:customStyle="1" w:styleId="64">
    <w:name w:val="*正文"/>
    <w:basedOn w:val="1"/>
    <w:link w:val="63"/>
    <w:qFormat/>
    <w:uiPriority w:val="0"/>
    <w:pPr>
      <w:widowControl/>
      <w:ind w:firstLine="200"/>
      <w:contextualSpacing/>
    </w:pPr>
    <w:rPr>
      <w:rFonts w:ascii="time" w:hAnsi="time"/>
      <w:kern w:val="0"/>
      <w:lang w:bidi="en-US"/>
    </w:rPr>
  </w:style>
  <w:style w:type="character" w:customStyle="1" w:styleId="65">
    <w:name w:val="正文文本缩进 字符"/>
    <w:semiHidden/>
    <w:qFormat/>
    <w:uiPriority w:val="99"/>
    <w:rPr>
      <w:rFonts w:ascii="宋体" w:hAnsi="宋体"/>
      <w:kern w:val="2"/>
      <w:sz w:val="24"/>
      <w:szCs w:val="24"/>
    </w:rPr>
  </w:style>
  <w:style w:type="character" w:customStyle="1" w:styleId="66">
    <w:name w:val="纯文本 字符1"/>
    <w:link w:val="20"/>
    <w:qFormat/>
    <w:locked/>
    <w:uiPriority w:val="0"/>
    <w:rPr>
      <w:rFonts w:ascii="宋体" w:hAnsi="Courier New"/>
      <w:kern w:val="2"/>
      <w:sz w:val="21"/>
    </w:rPr>
  </w:style>
  <w:style w:type="character" w:customStyle="1" w:styleId="67">
    <w:name w:val="my正文 Char"/>
    <w:link w:val="68"/>
    <w:qFormat/>
    <w:uiPriority w:val="0"/>
    <w:rPr>
      <w:kern w:val="2"/>
      <w:sz w:val="21"/>
      <w:szCs w:val="24"/>
    </w:rPr>
  </w:style>
  <w:style w:type="paragraph" w:customStyle="1" w:styleId="68">
    <w:name w:val="my正文"/>
    <w:basedOn w:val="1"/>
    <w:link w:val="67"/>
    <w:qFormat/>
    <w:uiPriority w:val="0"/>
    <w:pPr>
      <w:spacing w:line="240" w:lineRule="auto"/>
      <w:ind w:firstLine="0" w:firstLineChars="0"/>
    </w:pPr>
    <w:rPr>
      <w:rFonts w:ascii="Times New Roman" w:hAnsi="Times New Roman"/>
      <w:sz w:val="21"/>
    </w:rPr>
  </w:style>
  <w:style w:type="character" w:customStyle="1" w:styleId="69">
    <w:name w:val="正文2 字符"/>
    <w:link w:val="70"/>
    <w:qFormat/>
    <w:uiPriority w:val="0"/>
    <w:rPr>
      <w:kern w:val="2"/>
      <w:sz w:val="21"/>
      <w:szCs w:val="24"/>
    </w:rPr>
  </w:style>
  <w:style w:type="paragraph" w:customStyle="1" w:styleId="70">
    <w:name w:val="正文2"/>
    <w:basedOn w:val="1"/>
    <w:link w:val="69"/>
    <w:qFormat/>
    <w:uiPriority w:val="0"/>
    <w:pPr>
      <w:ind w:firstLine="420"/>
    </w:pPr>
    <w:rPr>
      <w:rFonts w:ascii="Times New Roman" w:hAnsi="Times New Roman"/>
      <w:sz w:val="21"/>
    </w:rPr>
  </w:style>
  <w:style w:type="character" w:customStyle="1" w:styleId="71">
    <w:name w:val="font41"/>
    <w:qFormat/>
    <w:uiPriority w:val="0"/>
    <w:rPr>
      <w:rFonts w:hint="eastAsia" w:ascii="宋体" w:hAnsi="宋体" w:eastAsia="宋体" w:cs="宋体"/>
      <w:color w:val="000000"/>
      <w:sz w:val="21"/>
      <w:szCs w:val="21"/>
      <w:u w:val="none"/>
    </w:rPr>
  </w:style>
  <w:style w:type="character" w:customStyle="1" w:styleId="72">
    <w:name w:val="标题 7 字符"/>
    <w:link w:val="8"/>
    <w:qFormat/>
    <w:uiPriority w:val="9"/>
    <w:rPr>
      <w:b/>
      <w:bCs/>
      <w:kern w:val="2"/>
      <w:sz w:val="21"/>
      <w:szCs w:val="24"/>
    </w:rPr>
  </w:style>
  <w:style w:type="character" w:customStyle="1" w:styleId="73">
    <w:name w:val="批注框文本 字符"/>
    <w:semiHidden/>
    <w:qFormat/>
    <w:uiPriority w:val="99"/>
    <w:rPr>
      <w:rFonts w:ascii="宋体" w:hAnsi="宋体"/>
      <w:kern w:val="2"/>
      <w:sz w:val="18"/>
      <w:szCs w:val="18"/>
    </w:rPr>
  </w:style>
  <w:style w:type="character" w:customStyle="1" w:styleId="74">
    <w:name w:val="副标题 Char1"/>
    <w:qFormat/>
    <w:uiPriority w:val="0"/>
    <w:rPr>
      <w:rFonts w:ascii="Calibri Light" w:hAnsi="Calibri Light" w:cs="Times New Roman"/>
      <w:b/>
      <w:bCs/>
      <w:kern w:val="28"/>
      <w:sz w:val="32"/>
      <w:szCs w:val="32"/>
    </w:rPr>
  </w:style>
  <w:style w:type="character" w:customStyle="1" w:styleId="75">
    <w:name w:val="标题 1 字符1"/>
    <w:link w:val="2"/>
    <w:qFormat/>
    <w:uiPriority w:val="0"/>
    <w:rPr>
      <w:rFonts w:ascii="宋体" w:hAnsi="宋体" w:eastAsia="黑体"/>
      <w:b/>
      <w:bCs/>
      <w:kern w:val="44"/>
      <w:sz w:val="32"/>
      <w:szCs w:val="28"/>
    </w:rPr>
  </w:style>
  <w:style w:type="character" w:customStyle="1" w:styleId="76">
    <w:name w:val="批注文字 字符"/>
    <w:qFormat/>
    <w:uiPriority w:val="99"/>
    <w:rPr>
      <w:rFonts w:ascii="宋体" w:hAnsi="宋体"/>
      <w:kern w:val="2"/>
      <w:sz w:val="24"/>
      <w:szCs w:val="24"/>
    </w:rPr>
  </w:style>
  <w:style w:type="character" w:customStyle="1" w:styleId="77">
    <w:name w:val="文档结构图 字符"/>
    <w:semiHidden/>
    <w:qFormat/>
    <w:uiPriority w:val="99"/>
    <w:rPr>
      <w:rFonts w:ascii="Microsoft YaHei UI" w:hAnsi="宋体" w:eastAsia="Microsoft YaHei UI"/>
      <w:kern w:val="2"/>
      <w:sz w:val="18"/>
      <w:szCs w:val="18"/>
    </w:rPr>
  </w:style>
  <w:style w:type="character" w:customStyle="1" w:styleId="78">
    <w:name w:val="标题 6 字符"/>
    <w:semiHidden/>
    <w:qFormat/>
    <w:uiPriority w:val="9"/>
    <w:rPr>
      <w:rFonts w:ascii="等线 Light" w:hAnsi="等线 Light" w:eastAsia="等线 Light" w:cs="Times New Roman"/>
      <w:b/>
      <w:bCs/>
      <w:kern w:val="2"/>
      <w:sz w:val="24"/>
      <w:szCs w:val="24"/>
    </w:rPr>
  </w:style>
  <w:style w:type="character" w:customStyle="1" w:styleId="79">
    <w:name w:val="正文正文2 Char"/>
    <w:link w:val="80"/>
    <w:qFormat/>
    <w:uiPriority w:val="0"/>
    <w:rPr>
      <w:rFonts w:ascii="宋体" w:hAnsi="宋体"/>
      <w:kern w:val="2"/>
      <w:sz w:val="21"/>
      <w:szCs w:val="21"/>
    </w:rPr>
  </w:style>
  <w:style w:type="paragraph" w:customStyle="1" w:styleId="80">
    <w:name w:val="正文正文2"/>
    <w:basedOn w:val="1"/>
    <w:link w:val="79"/>
    <w:qFormat/>
    <w:uiPriority w:val="0"/>
    <w:pPr>
      <w:ind w:firstLine="460"/>
    </w:pPr>
    <w:rPr>
      <w:sz w:val="21"/>
      <w:szCs w:val="21"/>
    </w:rPr>
  </w:style>
  <w:style w:type="character" w:customStyle="1" w:styleId="81">
    <w:name w:val="标题 3 字符2"/>
    <w:link w:val="4"/>
    <w:qFormat/>
    <w:uiPriority w:val="0"/>
    <w:rPr>
      <w:rFonts w:ascii="宋体" w:hAnsi="宋体"/>
      <w:b/>
      <w:bCs/>
      <w:kern w:val="2"/>
      <w:sz w:val="28"/>
      <w:szCs w:val="28"/>
    </w:rPr>
  </w:style>
  <w:style w:type="character" w:customStyle="1" w:styleId="82">
    <w:name w:val="标题 4 字符"/>
    <w:semiHidden/>
    <w:qFormat/>
    <w:uiPriority w:val="9"/>
    <w:rPr>
      <w:rFonts w:ascii="等线 Light" w:hAnsi="等线 Light" w:eastAsia="等线 Light" w:cs="Times New Roman"/>
      <w:b/>
      <w:bCs/>
      <w:kern w:val="2"/>
      <w:sz w:val="28"/>
      <w:szCs w:val="28"/>
    </w:rPr>
  </w:style>
  <w:style w:type="character" w:customStyle="1" w:styleId="83">
    <w:name w:val="批注主题 字符1"/>
    <w:link w:val="34"/>
    <w:qFormat/>
    <w:uiPriority w:val="0"/>
    <w:rPr>
      <w:rFonts w:eastAsia="仿宋"/>
      <w:b/>
      <w:bCs/>
      <w:kern w:val="2"/>
      <w:sz w:val="21"/>
      <w:szCs w:val="24"/>
    </w:rPr>
  </w:style>
  <w:style w:type="character" w:customStyle="1" w:styleId="84">
    <w:name w:val="页眉 字符"/>
    <w:semiHidden/>
    <w:qFormat/>
    <w:uiPriority w:val="99"/>
    <w:rPr>
      <w:rFonts w:ascii="宋体" w:hAnsi="宋体"/>
      <w:kern w:val="2"/>
      <w:sz w:val="18"/>
      <w:szCs w:val="18"/>
    </w:rPr>
  </w:style>
  <w:style w:type="character" w:customStyle="1" w:styleId="85">
    <w:name w:val="正文文本缩进 字符1"/>
    <w:link w:val="17"/>
    <w:qFormat/>
    <w:uiPriority w:val="0"/>
    <w:rPr>
      <w:kern w:val="2"/>
      <w:sz w:val="21"/>
    </w:rPr>
  </w:style>
  <w:style w:type="character" w:customStyle="1" w:styleId="86">
    <w:name w:val="标题 5 字符1"/>
    <w:link w:val="6"/>
    <w:qFormat/>
    <w:uiPriority w:val="0"/>
    <w:rPr>
      <w:rFonts w:ascii="宋体" w:hAnsi="宋体"/>
      <w:b/>
      <w:bCs/>
      <w:kern w:val="2"/>
      <w:sz w:val="24"/>
      <w:szCs w:val="28"/>
    </w:rPr>
  </w:style>
  <w:style w:type="character" w:customStyle="1" w:styleId="87">
    <w:name w:val="副标题 字符1"/>
    <w:link w:val="28"/>
    <w:qFormat/>
    <w:uiPriority w:val="0"/>
    <w:rPr>
      <w:rFonts w:ascii="Calibri Light" w:hAnsi="Calibri Light"/>
      <w:b/>
      <w:bCs/>
      <w:kern w:val="28"/>
      <w:sz w:val="32"/>
      <w:szCs w:val="32"/>
    </w:rPr>
  </w:style>
  <w:style w:type="character" w:customStyle="1" w:styleId="88">
    <w:name w:val="标题 2 字符1"/>
    <w:link w:val="3"/>
    <w:qFormat/>
    <w:uiPriority w:val="9"/>
    <w:rPr>
      <w:rFonts w:ascii="宋体" w:hAnsi="宋体"/>
      <w:b/>
      <w:bCs/>
      <w:kern w:val="2"/>
      <w:sz w:val="30"/>
      <w:szCs w:val="32"/>
    </w:rPr>
  </w:style>
  <w:style w:type="character" w:customStyle="1" w:styleId="89">
    <w:name w:val="页脚 字符1"/>
    <w:link w:val="24"/>
    <w:qFormat/>
    <w:uiPriority w:val="99"/>
    <w:rPr>
      <w:kern w:val="2"/>
      <w:sz w:val="18"/>
      <w:szCs w:val="18"/>
    </w:rPr>
  </w:style>
  <w:style w:type="character" w:customStyle="1" w:styleId="90">
    <w:name w:val="批注主题 字符"/>
    <w:semiHidden/>
    <w:qFormat/>
    <w:uiPriority w:val="99"/>
    <w:rPr>
      <w:rFonts w:ascii="宋体" w:hAnsi="宋体"/>
      <w:b/>
      <w:bCs/>
      <w:kern w:val="2"/>
      <w:sz w:val="24"/>
      <w:szCs w:val="24"/>
    </w:rPr>
  </w:style>
  <w:style w:type="character" w:customStyle="1" w:styleId="91">
    <w:name w:val="文档结构图 字符1"/>
    <w:link w:val="14"/>
    <w:qFormat/>
    <w:uiPriority w:val="0"/>
    <w:rPr>
      <w:rFonts w:ascii="宋体"/>
      <w:kern w:val="2"/>
      <w:sz w:val="18"/>
      <w:szCs w:val="18"/>
    </w:rPr>
  </w:style>
  <w:style w:type="character" w:customStyle="1" w:styleId="92">
    <w:name w:val="font31"/>
    <w:qFormat/>
    <w:uiPriority w:val="0"/>
    <w:rPr>
      <w:rFonts w:hint="eastAsia" w:ascii="宋体" w:hAnsi="宋体" w:eastAsia="宋体" w:cs="宋体"/>
      <w:color w:val="000000"/>
      <w:sz w:val="21"/>
      <w:szCs w:val="21"/>
      <w:u w:val="none"/>
    </w:rPr>
  </w:style>
  <w:style w:type="character" w:customStyle="1" w:styleId="93">
    <w:name w:val="标准正文 Char"/>
    <w:link w:val="94"/>
    <w:qFormat/>
    <w:uiPriority w:val="0"/>
    <w:rPr>
      <w:rFonts w:ascii="Arial" w:hAnsi="Arial"/>
      <w:kern w:val="2"/>
      <w:sz w:val="24"/>
    </w:rPr>
  </w:style>
  <w:style w:type="paragraph" w:customStyle="1" w:styleId="94">
    <w:name w:val="标准正文"/>
    <w:basedOn w:val="17"/>
    <w:link w:val="93"/>
    <w:qFormat/>
    <w:uiPriority w:val="0"/>
    <w:pPr>
      <w:spacing w:before="60" w:after="60"/>
      <w:ind w:firstLine="482" w:firstLineChars="0"/>
    </w:pPr>
    <w:rPr>
      <w:rFonts w:ascii="Arial" w:hAnsi="Arial"/>
      <w:sz w:val="24"/>
    </w:rPr>
  </w:style>
  <w:style w:type="character" w:customStyle="1" w:styleId="95">
    <w:name w:val="标题 字符1"/>
    <w:link w:val="33"/>
    <w:qFormat/>
    <w:uiPriority w:val="0"/>
    <w:rPr>
      <w:rFonts w:ascii="Cambria" w:hAnsi="Cambria" w:eastAsia="黑体"/>
      <w:b/>
      <w:bCs/>
      <w:kern w:val="2"/>
      <w:sz w:val="52"/>
      <w:szCs w:val="32"/>
    </w:rPr>
  </w:style>
  <w:style w:type="character" w:customStyle="1" w:styleId="96">
    <w:name w:val="批注框文本 字符1"/>
    <w:link w:val="23"/>
    <w:qFormat/>
    <w:uiPriority w:val="0"/>
    <w:rPr>
      <w:kern w:val="2"/>
      <w:sz w:val="18"/>
      <w:szCs w:val="18"/>
    </w:rPr>
  </w:style>
  <w:style w:type="character" w:customStyle="1" w:styleId="97">
    <w:name w:val="页眉 字符1"/>
    <w:link w:val="25"/>
    <w:qFormat/>
    <w:uiPriority w:val="99"/>
    <w:rPr>
      <w:kern w:val="2"/>
      <w:sz w:val="18"/>
      <w:szCs w:val="18"/>
    </w:rPr>
  </w:style>
  <w:style w:type="character" w:customStyle="1" w:styleId="98">
    <w:name w:val="标题 8 字符"/>
    <w:link w:val="9"/>
    <w:qFormat/>
    <w:uiPriority w:val="9"/>
    <w:rPr>
      <w:rFonts w:ascii="Cambria" w:hAnsi="Cambria"/>
      <w:kern w:val="2"/>
      <w:sz w:val="21"/>
      <w:szCs w:val="24"/>
    </w:rPr>
  </w:style>
  <w:style w:type="character" w:customStyle="1" w:styleId="99">
    <w:name w:val="标题 6 字符1"/>
    <w:link w:val="7"/>
    <w:qFormat/>
    <w:uiPriority w:val="0"/>
    <w:rPr>
      <w:rFonts w:ascii="Cambria" w:hAnsi="Cambria"/>
      <w:b/>
      <w:bCs/>
      <w:kern w:val="2"/>
      <w:sz w:val="24"/>
      <w:szCs w:val="24"/>
    </w:rPr>
  </w:style>
  <w:style w:type="character" w:customStyle="1" w:styleId="100">
    <w:name w:val="标题 字符"/>
    <w:qFormat/>
    <w:uiPriority w:val="10"/>
    <w:rPr>
      <w:rFonts w:ascii="等线 Light" w:hAnsi="等线 Light" w:eastAsia="等线 Light" w:cs="Times New Roman"/>
      <w:b/>
      <w:bCs/>
      <w:kern w:val="2"/>
      <w:sz w:val="32"/>
      <w:szCs w:val="32"/>
    </w:rPr>
  </w:style>
  <w:style w:type="character" w:customStyle="1" w:styleId="101">
    <w:name w:val="副标题 字符"/>
    <w:qFormat/>
    <w:uiPriority w:val="11"/>
    <w:rPr>
      <w:rFonts w:ascii="等线" w:hAnsi="等线" w:eastAsia="等线" w:cs="Times New Roman"/>
      <w:b/>
      <w:bCs/>
      <w:kern w:val="28"/>
      <w:sz w:val="32"/>
      <w:szCs w:val="32"/>
    </w:rPr>
  </w:style>
  <w:style w:type="paragraph" w:customStyle="1" w:styleId="102">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3">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4">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5">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6">
    <w:name w:val="正文缩进1"/>
    <w:basedOn w:val="1"/>
    <w:qFormat/>
    <w:uiPriority w:val="0"/>
    <w:pPr>
      <w:spacing w:line="240" w:lineRule="auto"/>
      <w:ind w:firstLine="420"/>
    </w:pPr>
    <w:rPr>
      <w:rFonts w:ascii="Times New Roman" w:hAnsi="Times New Roman"/>
      <w:sz w:val="21"/>
      <w:szCs w:val="20"/>
    </w:rPr>
  </w:style>
  <w:style w:type="paragraph" w:customStyle="1" w:styleId="107">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8">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09">
    <w:name w:val="Indent Normal"/>
    <w:basedOn w:val="1"/>
    <w:qFormat/>
    <w:uiPriority w:val="0"/>
    <w:pPr>
      <w:ind w:firstLine="150" w:firstLineChars="150"/>
    </w:pPr>
  </w:style>
  <w:style w:type="paragraph" w:customStyle="1" w:styleId="110">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1">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2">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4">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5">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7">
    <w:name w:val="Char Char Char Char Char Char1 Char"/>
    <w:basedOn w:val="1"/>
    <w:qFormat/>
    <w:uiPriority w:val="0"/>
    <w:pPr>
      <w:widowControl/>
      <w:spacing w:after="160" w:line="240" w:lineRule="exact"/>
      <w:jc w:val="left"/>
    </w:pPr>
  </w:style>
  <w:style w:type="paragraph" w:customStyle="1" w:styleId="118">
    <w:name w:val="PM_Body"/>
    <w:basedOn w:val="1"/>
    <w:qFormat/>
    <w:locked/>
    <w:uiPriority w:val="0"/>
    <w:rPr>
      <w:szCs w:val="21"/>
    </w:rPr>
  </w:style>
  <w:style w:type="paragraph" w:customStyle="1" w:styleId="119">
    <w:name w:val="Char Char1"/>
    <w:basedOn w:val="1"/>
    <w:qFormat/>
    <w:uiPriority w:val="0"/>
    <w:pPr>
      <w:widowControl/>
      <w:spacing w:before="120" w:after="120"/>
    </w:pPr>
    <w:rPr>
      <w:rFonts w:ascii="Times New Roman" w:hAnsi="Times New Roman" w:cs="宋体"/>
    </w:rPr>
  </w:style>
  <w:style w:type="paragraph" w:customStyle="1" w:styleId="120">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1">
    <w:name w:val="修订1"/>
    <w:unhideWhenUsed/>
    <w:qFormat/>
    <w:uiPriority w:val="99"/>
    <w:rPr>
      <w:rFonts w:ascii="宋体" w:hAnsi="宋体" w:eastAsia="宋体" w:cs="Times New Roman"/>
      <w:kern w:val="2"/>
      <w:sz w:val="24"/>
      <w:szCs w:val="24"/>
      <w:lang w:val="en-US" w:eastAsia="zh-CN" w:bidi="ar-SA"/>
    </w:rPr>
  </w:style>
  <w:style w:type="paragraph" w:customStyle="1" w:styleId="122">
    <w:name w:val="列出段落2"/>
    <w:basedOn w:val="1"/>
    <w:qFormat/>
    <w:uiPriority w:val="0"/>
    <w:pPr>
      <w:spacing w:line="240" w:lineRule="auto"/>
      <w:ind w:firstLine="420"/>
    </w:pPr>
    <w:rPr>
      <w:rFonts w:ascii="等线" w:hAnsi="等线" w:eastAsia="等线" w:cs="等线"/>
      <w:sz w:val="21"/>
      <w:szCs w:val="21"/>
    </w:rPr>
  </w:style>
  <w:style w:type="paragraph" w:customStyle="1" w:styleId="123">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5">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6">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7">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8">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29">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0">
    <w:name w:val="!我的表格1"/>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1"/>
    <w:basedOn w:val="35"/>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
    <w:name w:val="标题 1 Char"/>
    <w:qFormat/>
    <w:uiPriority w:val="0"/>
    <w:rPr>
      <w:rFonts w:ascii="宋体" w:hAnsi="宋体" w:eastAsia="黑体"/>
      <w:b/>
      <w:bCs/>
      <w:kern w:val="44"/>
      <w:sz w:val="32"/>
      <w:szCs w:val="28"/>
    </w:rPr>
  </w:style>
  <w:style w:type="character" w:customStyle="1" w:styleId="133">
    <w:name w:val="纯文本 Char2"/>
    <w:qFormat/>
    <w:uiPriority w:val="0"/>
    <w:rPr>
      <w:rFonts w:ascii="宋体" w:hAnsi="宋体" w:eastAsia="宋体" w:cs="Times New Roman"/>
      <w:color w:val="000000"/>
      <w:kern w:val="0"/>
      <w:sz w:val="24"/>
      <w:szCs w:val="24"/>
    </w:rPr>
  </w:style>
  <w:style w:type="paragraph" w:customStyle="1" w:styleId="134">
    <w:name w:val="Revision"/>
    <w:hidden/>
    <w:unhideWhenUsed/>
    <w:qFormat/>
    <w:uiPriority w:val="99"/>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5.emf"/><Relationship Id="rId2" Type="http://schemas.openxmlformats.org/officeDocument/2006/relationships/settings" Target="settings.xml"/><Relationship Id="rId19" Type="http://schemas.openxmlformats.org/officeDocument/2006/relationships/package" Target="embeddings/Microsoft_Visio___3.vsdx"/><Relationship Id="rId18" Type="http://schemas.openxmlformats.org/officeDocument/2006/relationships/image" Target="media/image4.png"/><Relationship Id="rId17" Type="http://schemas.openxmlformats.org/officeDocument/2006/relationships/image" Target="media/image3.emf"/><Relationship Id="rId16" Type="http://schemas.openxmlformats.org/officeDocument/2006/relationships/package" Target="embeddings/Microsoft_Visio___2.vsdx"/><Relationship Id="rId15" Type="http://schemas.openxmlformats.org/officeDocument/2006/relationships/image" Target="media/image2.emf"/><Relationship Id="rId14" Type="http://schemas.openxmlformats.org/officeDocument/2006/relationships/package" Target="embeddings/Microsoft_Visio___1.vsdx"/><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1D9AD641-0B16-48B9-B81A-C11DF304B1BF}">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148</Pages>
  <Words>8487</Words>
  <Characters>8614</Characters>
  <Lines>417</Lines>
  <Paragraphs>117</Paragraphs>
  <TotalTime>307</TotalTime>
  <ScaleCrop>false</ScaleCrop>
  <LinksUpToDate>false</LinksUpToDate>
  <CharactersWithSpaces>8623</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2025-10-25T21:18:00Z</dcterms:created>
  <dc:creator>gtig_tzb</dc:creator>
  <cp:lastModifiedBy>朱  晨</cp:lastModifiedBy>
  <cp:lastPrinted>2020-08-08T04:08:00Z</cp:lastPrinted>
  <dcterms:modified xsi:type="dcterms:W3CDTF">2026-03-12T09:24:52Z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F92670514D233A5B39A360698BB18C57_43</vt:lpwstr>
  </property>
  <property fmtid="{D5CDD505-2E9C-101B-9397-08002B2CF9AE}" pid="4" name="KSOTemplateDocerSaveRecord">
    <vt:lpwstr>eyJoZGlkIjoiY2U3Mzk5NTcwYTVhOTY1Mzk0OGI2ZTcyNTI1YzUyMzciLCJ1c2VySWQiOiI5MDA5MDQ3OTkifQ==</vt:lpwstr>
  </property>
</Properties>
</file>