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61B6D">
      <w:pPr>
        <w:adjustRightInd/>
        <w:snapToGrid/>
        <w:spacing w:line="600" w:lineRule="exact"/>
        <w:ind w:firstLine="0" w:firstLineChars="0"/>
        <w:jc w:val="center"/>
        <w:rPr>
          <w:rFonts w:ascii="黑体" w:hAnsi="黑体" w:eastAsia="黑体" w:cs="方正小标宋_GBK"/>
          <w:sz w:val="44"/>
          <w:szCs w:val="44"/>
        </w:rPr>
      </w:pPr>
      <w:r>
        <w:rPr>
          <w:rFonts w:hint="eastAsia" w:ascii="黑体" w:hAnsi="黑体" w:eastAsia="黑体" w:cs="方正小标宋_GBK"/>
          <w:sz w:val="44"/>
          <w:szCs w:val="44"/>
        </w:rPr>
        <w:t>大都市圈跨界协同单元和基础设施专项规划-沪苏通及沪舟甬跨界协同单元</w:t>
      </w:r>
    </w:p>
    <w:p w14:paraId="2949DF48">
      <w:pPr>
        <w:adjustRightInd/>
        <w:snapToGrid/>
        <w:spacing w:line="600" w:lineRule="exact"/>
        <w:ind w:firstLine="0" w:firstLineChars="0"/>
        <w:jc w:val="center"/>
        <w:rPr>
          <w:rFonts w:ascii="黑体" w:hAnsi="黑体" w:eastAsia="黑体" w:cs="方正小标宋_GBK"/>
          <w:sz w:val="44"/>
          <w:szCs w:val="44"/>
        </w:rPr>
      </w:pPr>
      <w:r>
        <w:rPr>
          <w:rFonts w:hint="eastAsia" w:ascii="黑体" w:hAnsi="黑体" w:eastAsia="黑体" w:cs="方正小标宋_GBK"/>
          <w:sz w:val="44"/>
          <w:szCs w:val="44"/>
        </w:rPr>
        <w:t>采购需求</w:t>
      </w:r>
    </w:p>
    <w:p w14:paraId="69E4699A">
      <w:pPr>
        <w:spacing w:line="600" w:lineRule="exact"/>
        <w:rPr>
          <w:rFonts w:ascii="黑体" w:hAnsi="黑体" w:eastAsia="黑体" w:cs="黑体"/>
        </w:rPr>
      </w:pPr>
    </w:p>
    <w:p w14:paraId="7B9BCFCB">
      <w:pPr>
        <w:spacing w:line="600" w:lineRule="exact"/>
        <w:rPr>
          <w:rFonts w:ascii="黑体" w:hAnsi="黑体" w:eastAsia="黑体" w:cs="黑体"/>
        </w:rPr>
      </w:pPr>
      <w:r>
        <w:rPr>
          <w:rFonts w:hint="eastAsia" w:ascii="黑体" w:hAnsi="黑体" w:eastAsia="黑体" w:cs="黑体"/>
        </w:rPr>
        <w:t>一、工作背景</w:t>
      </w:r>
    </w:p>
    <w:p w14:paraId="01470E36">
      <w:pPr>
        <w:spacing w:line="600" w:lineRule="exact"/>
        <w:rPr>
          <w:rFonts w:ascii="仿宋_GB2312" w:hAnsi="Calibri" w:cs="Times New Roman"/>
        </w:rPr>
      </w:pPr>
      <w:r>
        <w:rPr>
          <w:rFonts w:hint="eastAsia" w:ascii="仿宋_GB2312" w:hAnsi="Calibri" w:cs="Times New Roman"/>
        </w:rPr>
        <w:t>为深入贯彻党的二十大和二十届二中、三中全会精神，深入落实习</w:t>
      </w:r>
      <w:bookmarkStart w:id="0" w:name="_GoBack"/>
      <w:bookmarkEnd w:id="0"/>
      <w:r>
        <w:rPr>
          <w:rFonts w:hint="eastAsia" w:ascii="仿宋_GB2312" w:hAnsi="Calibri" w:cs="Times New Roman"/>
        </w:rPr>
        <w:t>总书记关于长三角一体化发展的重要论述，特别是在深入推进长三角一体化发展座谈会上的重要讲话和考察上海重要讲话精神，贯彻落实中央城市工作会议精神，按照2023年度长三角地区主要领导座谈会工作部署，在自然资源部指导下，上海市规划和自然资源局会同江苏省、浙江省、安徽省自然资源厅共同牵头，联合江苏省苏州市、无锡市、常州市、南通市、盐城市、泰州市，浙江省杭州市、宁波市、湖州市、嘉兴市、绍兴市、舟山市，安徽省宣城市人民政府，与发展改革、工业和信息化、住房城乡建设、交通运输、生态环境、水利水务（海洋）、文化旅游等相关部门，共同组织编制了《上海大都市圈国土空间总体规划（2025</w:t>
      </w:r>
      <w:r>
        <w:rPr>
          <w:rFonts w:hint="eastAsia" w:ascii="微软雅黑" w:hAnsi="微软雅黑" w:eastAsia="微软雅黑" w:cs="微软雅黑"/>
        </w:rPr>
        <w:t>–</w:t>
      </w:r>
      <w:r>
        <w:rPr>
          <w:rFonts w:hint="eastAsia" w:ascii="仿宋_GB2312" w:hAnsi="Calibri" w:cs="Times New Roman"/>
        </w:rPr>
        <w:t>2035年）》。聚焦省际毗邻地区，以跨界协同单元为空间抓手，解决现实瓶颈与核心发展诉求，进一步增强空间引领与协同共治，开展沪苏通（原名“崇启海宝太”，以下称“沪苏通”）、沪舟甬跨界协同单元专项规划研究工作。</w:t>
      </w:r>
    </w:p>
    <w:p w14:paraId="7C5EBC81">
      <w:pPr>
        <w:spacing w:line="600" w:lineRule="exact"/>
        <w:rPr>
          <w:rFonts w:ascii="仿宋_GB2312" w:hAnsi="Calibri" w:cs="Times New Roman"/>
        </w:rPr>
      </w:pPr>
    </w:p>
    <w:p w14:paraId="52306D34">
      <w:pPr>
        <w:adjustRightInd/>
        <w:snapToGrid/>
        <w:spacing w:line="600" w:lineRule="exact"/>
        <w:rPr>
          <w:rFonts w:ascii="黑体" w:hAnsi="黑体" w:eastAsia="黑体" w:cs="黑体"/>
        </w:rPr>
      </w:pPr>
      <w:r>
        <w:rPr>
          <w:rFonts w:hint="eastAsia" w:ascii="黑体" w:hAnsi="黑体" w:eastAsia="黑体" w:cs="黑体"/>
        </w:rPr>
        <w:t>二、工作内容</w:t>
      </w:r>
    </w:p>
    <w:p w14:paraId="3415867F">
      <w:pPr>
        <w:spacing w:line="600" w:lineRule="exact"/>
        <w:rPr>
          <w:rFonts w:ascii="仿宋_GB2312" w:hAnsi="Calibri" w:cs="Times New Roman"/>
        </w:rPr>
      </w:pPr>
      <w:r>
        <w:rPr>
          <w:rFonts w:hint="eastAsia" w:ascii="仿宋_GB2312" w:hAnsi="仿宋_GB2312" w:cs="仿宋_GB2312"/>
          <w:bCs/>
        </w:rPr>
        <w:t>落实区域一体化的发展目标，聚焦沪苏通、沪舟甬两个跨界协同单元，</w:t>
      </w:r>
      <w:r>
        <w:rPr>
          <w:rFonts w:hint="eastAsia" w:ascii="仿宋_GB2312" w:hAnsi="Calibri" w:cs="Times New Roman"/>
        </w:rPr>
        <w:t>针对不同单元的跨界协同需求，因地制宜制定差别化的规划策略和关键行动，探索打破行政壁垒、推动共同实施。</w:t>
      </w:r>
    </w:p>
    <w:p w14:paraId="5615B628">
      <w:pPr>
        <w:spacing w:line="600" w:lineRule="exact"/>
        <w:ind w:firstLine="643"/>
        <w:rPr>
          <w:rFonts w:ascii="楷体_GB2312" w:hAnsi="仿宋" w:eastAsia="楷体_GB2312" w:cs="黑体"/>
          <w:b/>
          <w:bCs/>
          <w:highlight w:val="yellow"/>
        </w:rPr>
      </w:pPr>
      <w:r>
        <w:rPr>
          <w:rFonts w:hint="eastAsia" w:ascii="楷体_GB2312" w:hAnsi="仿宋" w:eastAsia="楷体_GB2312" w:cs="黑体"/>
          <w:b/>
          <w:bCs/>
        </w:rPr>
        <w:t>（一）沪苏通跨界协同单元专项规划</w:t>
      </w:r>
    </w:p>
    <w:p w14:paraId="78B8638E">
      <w:pPr>
        <w:spacing w:line="600" w:lineRule="exact"/>
        <w:rPr>
          <w:rFonts w:ascii="仿宋_GB2312" w:hAnsi="Calibri" w:cs="Times New Roman"/>
        </w:rPr>
      </w:pPr>
      <w:r>
        <w:rPr>
          <w:rFonts w:hint="eastAsia" w:ascii="仿宋_GB2312" w:hAnsi="Calibri" w:cs="Times New Roman"/>
        </w:rPr>
        <w:t>突出战略引领与跨界协同，全面统筹高水平保护和高质量发展，探索人与自然和谐共生的发展样本，主要聚焦五项内容。</w:t>
      </w:r>
    </w:p>
    <w:p w14:paraId="078BE983">
      <w:pPr>
        <w:spacing w:line="600" w:lineRule="exact"/>
        <w:rPr>
          <w:rFonts w:ascii="仿宋_GB2312" w:hAnsi="Calibri" w:cs="Times New Roman"/>
        </w:rPr>
      </w:pPr>
      <w:r>
        <w:rPr>
          <w:rFonts w:hint="eastAsia" w:ascii="仿宋_GB2312" w:hAnsi="Calibri" w:cs="Times New Roman"/>
        </w:rPr>
        <w:t>一是建立统一工作底图。全面梳理崇启海宝太跨界协同单元全要素空间资源，统一现状底版，对接“三区三线”划定成果，形成稳定统一的基本空间要素底版，作为推进专项规划工作的“一张底图”。</w:t>
      </w:r>
    </w:p>
    <w:p w14:paraId="00CA6263">
      <w:pPr>
        <w:spacing w:line="600" w:lineRule="exact"/>
        <w:rPr>
          <w:rFonts w:ascii="仿宋_GB2312" w:hAnsi="Calibri" w:cs="Times New Roman"/>
        </w:rPr>
      </w:pPr>
      <w:r>
        <w:rPr>
          <w:rFonts w:hint="eastAsia" w:ascii="仿宋_GB2312" w:hAnsi="Calibri" w:cs="Times New Roman"/>
        </w:rPr>
        <w:t>二是研判协同重点。加强现状及规划整合分析，从空间格局、功能布局、生态格局、基础设施等方面，研究毗邻地区的发展问题和核心诉求，作为推进专项规划工作的重点内容。</w:t>
      </w:r>
    </w:p>
    <w:p w14:paraId="755B46C7">
      <w:pPr>
        <w:spacing w:line="600" w:lineRule="exact"/>
        <w:rPr>
          <w:rFonts w:ascii="仿宋_GB2312" w:hAnsi="Calibri" w:cs="Times New Roman"/>
        </w:rPr>
      </w:pPr>
      <w:r>
        <w:rPr>
          <w:rFonts w:hint="eastAsia" w:ascii="仿宋_GB2312" w:hAnsi="Calibri" w:cs="Times New Roman"/>
        </w:rPr>
        <w:t>三是深化区域发展空间格局。对照国家和区域发展的新形势、新任务，以“一张底图”为基础、以空间落地为重点，深化跨界单元空间格局。优化人口、产业、城镇空间布局；加强港口、产业与城镇的联动发展；推动公共服务均衡布局、基础设施互联互通、生态环境共保共治。邻界协同范围内防止贴边发展，保障各类功能用地一体化布局和推进基础设施跨界对接互联的；同城联动范围内强化空间同城效应，加强产业链和创新链融合协同发展。</w:t>
      </w:r>
    </w:p>
    <w:p w14:paraId="5779E05E">
      <w:pPr>
        <w:spacing w:line="600" w:lineRule="exact"/>
        <w:rPr>
          <w:rFonts w:ascii="仿宋_GB2312" w:hAnsi="Calibri" w:cs="Times New Roman"/>
        </w:rPr>
      </w:pPr>
      <w:r>
        <w:rPr>
          <w:rFonts w:hint="eastAsia" w:ascii="仿宋_GB2312" w:hAnsi="Calibri" w:cs="Times New Roman"/>
        </w:rPr>
        <w:t>四是加强系统协同。聚焦产业创新、生态共治三个方面，强化跨界协同单元的系统对接。产业方面，突出航运功能与整体区域产业发展的关系，强化港口与腹地产业园区的联动。生态方面，统筹河口生态维育与特色风景共生，严格保护生态岸线，加强长江全流域的联防共治。</w:t>
      </w:r>
    </w:p>
    <w:p w14:paraId="727A6E83">
      <w:pPr>
        <w:spacing w:line="600" w:lineRule="exact"/>
        <w:rPr>
          <w:rFonts w:ascii="仿宋_GB2312" w:hAnsi="Calibri" w:cs="Times New Roman"/>
        </w:rPr>
      </w:pPr>
      <w:r>
        <w:rPr>
          <w:rFonts w:hint="eastAsia" w:ascii="仿宋_GB2312" w:hAnsi="Calibri" w:cs="Times New Roman"/>
        </w:rPr>
        <w:t>五是加强基础设施支撑。重点研究战略廊道构建与越江通道规划建设，统筹交通网络（即轨道交通网、航道网、高速公路网）与城镇空间、产业空间的协同，促进区域交通网络的一体化。加强能源、供水等基础设施系统衔接，确保市政基础设施互联互通。</w:t>
      </w:r>
    </w:p>
    <w:p w14:paraId="610E702F">
      <w:pPr>
        <w:spacing w:line="600" w:lineRule="exact"/>
        <w:rPr>
          <w:rFonts w:ascii="仿宋_GB2312" w:hAnsi="Calibri" w:cs="Times New Roman"/>
        </w:rPr>
      </w:pPr>
      <w:r>
        <w:rPr>
          <w:rFonts w:hint="eastAsia" w:ascii="仿宋_GB2312" w:hAnsi="Calibri" w:cs="Times New Roman"/>
        </w:rPr>
        <w:t>六是引导邻沪地区空间优化。以生态优先、共同发展为原则优化邻沪5公里范围的空间布局。强化跨界地区贴边率等建设管控，推进蓝绿空间共建，加强长江沿岸的产业准入与风貌引导。</w:t>
      </w:r>
    </w:p>
    <w:p w14:paraId="3EFEE2EA">
      <w:pPr>
        <w:spacing w:line="600" w:lineRule="exact"/>
        <w:rPr>
          <w:rFonts w:ascii="仿宋_GB2312" w:hAnsi="Calibri" w:cs="Times New Roman"/>
        </w:rPr>
      </w:pPr>
    </w:p>
    <w:p w14:paraId="406FB47A">
      <w:pPr>
        <w:pStyle w:val="2"/>
      </w:pPr>
      <w:r>
        <w:rPr>
          <w:rFonts w:hint="eastAsia"/>
        </w:rPr>
        <w:t>（二）沪舟甬跨界协同单元专项规划</w:t>
      </w:r>
    </w:p>
    <w:p w14:paraId="6B597B41">
      <w:pPr>
        <w:spacing w:line="600" w:lineRule="exact"/>
        <w:rPr>
          <w:rFonts w:ascii="仿宋_GB2312" w:hAnsi="Calibri" w:cs="Times New Roman"/>
        </w:rPr>
      </w:pPr>
      <w:r>
        <w:rPr>
          <w:rFonts w:hint="eastAsia" w:ascii="仿宋_GB2312" w:hAnsi="Calibri" w:cs="Times New Roman"/>
        </w:rPr>
        <w:t>突出底线思维和战略协同并重，统筹考虑大都市圈空间规划的总体目标、空间格局、功能结构和规划落地实施要求，主要聚焦五项内容。</w:t>
      </w:r>
    </w:p>
    <w:p w14:paraId="74878C39">
      <w:pPr>
        <w:spacing w:line="600" w:lineRule="exact"/>
        <w:rPr>
          <w:rFonts w:ascii="仿宋_GB2312" w:hAnsi="Calibri" w:cs="Times New Roman"/>
        </w:rPr>
      </w:pPr>
      <w:r>
        <w:rPr>
          <w:rFonts w:hint="eastAsia" w:ascii="仿宋_GB2312" w:hAnsi="Calibri" w:cs="Times New Roman"/>
        </w:rPr>
        <w:t>一是建立统一工作底图。全面梳理沪舟甬跨界协同单元全要素空间资源，统一现状底版，对接“三区三线”划定成果，突出陆海统筹，形成陆海全覆盖</w:t>
      </w:r>
      <w:r>
        <w:rPr>
          <w:rFonts w:ascii="仿宋_GB2312" w:hAnsi="Calibri" w:cs="Times New Roman"/>
        </w:rPr>
        <w:t>、</w:t>
      </w:r>
      <w:r>
        <w:rPr>
          <w:rFonts w:hint="eastAsia" w:ascii="仿宋_GB2312" w:hAnsi="Calibri" w:cs="Times New Roman"/>
        </w:rPr>
        <w:t>稳定统一的基本空间要素底版，作为推进专项规划工作的“一张底图”。</w:t>
      </w:r>
    </w:p>
    <w:p w14:paraId="689F649C">
      <w:pPr>
        <w:spacing w:line="600" w:lineRule="exact"/>
        <w:rPr>
          <w:rFonts w:ascii="仿宋_GB2312" w:hAnsi="Calibri" w:cs="Times New Roman"/>
        </w:rPr>
      </w:pPr>
      <w:r>
        <w:rPr>
          <w:rFonts w:hint="eastAsia" w:ascii="仿宋_GB2312" w:hAnsi="Calibri" w:cs="Times New Roman"/>
        </w:rPr>
        <w:t>二是深化区域发展空间格局。对照国家和区域发展的新形势、新任务，以“一张底图”为基础、以空间落地为重点，深化跨界单元空间格局</w:t>
      </w:r>
      <w:r>
        <w:rPr>
          <w:rFonts w:ascii="仿宋_GB2312" w:hAnsi="Calibri" w:cs="Times New Roman"/>
        </w:rPr>
        <w:t>。</w:t>
      </w:r>
      <w:r>
        <w:rPr>
          <w:rFonts w:hint="eastAsia" w:ascii="仿宋_GB2312" w:hAnsi="Calibri" w:cs="Times New Roman"/>
        </w:rPr>
        <w:t>优化人口、产业、城镇空间布局</w:t>
      </w:r>
      <w:r>
        <w:rPr>
          <w:rFonts w:ascii="仿宋_GB2312" w:hAnsi="Calibri" w:cs="Times New Roman"/>
        </w:rPr>
        <w:t>；</w:t>
      </w:r>
      <w:r>
        <w:rPr>
          <w:rFonts w:hint="eastAsia" w:ascii="仿宋_GB2312" w:hAnsi="Calibri" w:cs="Times New Roman"/>
        </w:rPr>
        <w:t>深化科创和产业布局；推动公共服务均衡布局、基础设施互联互通、生态环境共保共治。邻界协同范围内防止贴边发展，保障各类功能用地一体化布局和推进基础设施跨界对接互联的</w:t>
      </w:r>
      <w:r>
        <w:rPr>
          <w:rFonts w:ascii="仿宋_GB2312" w:hAnsi="Calibri" w:cs="Times New Roman"/>
        </w:rPr>
        <w:t>；</w:t>
      </w:r>
      <w:r>
        <w:rPr>
          <w:rFonts w:hint="eastAsia" w:ascii="仿宋_GB2312" w:hAnsi="Calibri" w:cs="Times New Roman"/>
        </w:rPr>
        <w:t>同城联动范围内强化空间同城效应，加强产业链和创新链融合协同发展。特别是进一步关注海洋经济的空间需求与海上重大基础设施的空间布局</w:t>
      </w:r>
    </w:p>
    <w:p w14:paraId="7EB94AA7">
      <w:pPr>
        <w:spacing w:line="600" w:lineRule="exact"/>
        <w:rPr>
          <w:rFonts w:ascii="仿宋_GB2312" w:hAnsi="Calibri" w:cs="Times New Roman"/>
        </w:rPr>
      </w:pPr>
      <w:r>
        <w:rPr>
          <w:rFonts w:hint="eastAsia" w:ascii="仿宋_GB2312" w:hAnsi="Calibri" w:cs="Times New Roman"/>
        </w:rPr>
        <w:t>三是明确底线约束要求。统筹发展与安全，聚焦保障城市安全运行和生命线工程的底线空间要求，共同完善跨区域</w:t>
      </w:r>
      <w:r>
        <w:rPr>
          <w:rFonts w:ascii="仿宋_GB2312" w:hAnsi="Calibri" w:cs="Times New Roman"/>
        </w:rPr>
        <w:t>、</w:t>
      </w:r>
      <w:r>
        <w:rPr>
          <w:rFonts w:hint="eastAsia" w:ascii="仿宋_GB2312" w:hAnsi="Calibri" w:cs="Times New Roman"/>
        </w:rPr>
        <w:t>跨流域</w:t>
      </w:r>
      <w:r>
        <w:rPr>
          <w:rFonts w:ascii="仿宋_GB2312" w:hAnsi="Calibri" w:cs="Times New Roman"/>
        </w:rPr>
        <w:t>陆海一体的</w:t>
      </w:r>
      <w:r>
        <w:rPr>
          <w:rFonts w:hint="eastAsia" w:ascii="仿宋_GB2312" w:hAnsi="Calibri" w:cs="Times New Roman"/>
        </w:rPr>
        <w:t>生态安全格局。构建蓝绿交织的生态网络，协同实施滨海生态带等生态修复任务，加强跨区域</w:t>
      </w:r>
      <w:r>
        <w:rPr>
          <w:rFonts w:ascii="仿宋_GB2312" w:hAnsi="Calibri" w:cs="Times New Roman"/>
        </w:rPr>
        <w:t>、</w:t>
      </w:r>
      <w:r>
        <w:rPr>
          <w:rFonts w:hint="eastAsia" w:ascii="仿宋_GB2312" w:hAnsi="Calibri" w:cs="Times New Roman"/>
        </w:rPr>
        <w:t>跨流域海陆水环境的空间协同治理，高标准确定跨界河道、入海河道的水环境功能要求。</w:t>
      </w:r>
    </w:p>
    <w:p w14:paraId="5C0E6C0A">
      <w:pPr>
        <w:spacing w:line="600" w:lineRule="exact"/>
        <w:rPr>
          <w:rFonts w:ascii="仿宋_GB2312" w:hAnsi="Calibri" w:cs="Times New Roman"/>
        </w:rPr>
      </w:pPr>
      <w:r>
        <w:rPr>
          <w:rFonts w:hint="eastAsia" w:ascii="仿宋_GB2312" w:hAnsi="Calibri" w:cs="Times New Roman"/>
        </w:rPr>
        <w:t>四是统筹沿边空间布局。防止贴边布局和蔓延发展，针对交界地区做实空间布局方案，加强用地、功能、交通及基础设施一体化和组团式布局，研究划定生态敏感区，强化功能布局优化</w:t>
      </w:r>
      <w:r>
        <w:rPr>
          <w:rFonts w:ascii="仿宋_GB2312" w:hAnsi="Calibri" w:cs="Times New Roman"/>
        </w:rPr>
        <w:t>、</w:t>
      </w:r>
      <w:r>
        <w:rPr>
          <w:rFonts w:hint="eastAsia" w:ascii="仿宋_GB2312" w:hAnsi="Calibri" w:cs="Times New Roman"/>
        </w:rPr>
        <w:t>生态廊道贯通和空间形态风貌协调，加强沿湾沿海的岸线布局优化和功能统筹，共同营造高品质的人居（海域）环境。</w:t>
      </w:r>
    </w:p>
    <w:p w14:paraId="4A8E0151">
      <w:pPr>
        <w:spacing w:line="600" w:lineRule="exact"/>
        <w:rPr>
          <w:rFonts w:ascii="仿宋_GB2312" w:hAnsi="Calibri" w:cs="Times New Roman"/>
        </w:rPr>
      </w:pPr>
      <w:r>
        <w:rPr>
          <w:rFonts w:hint="eastAsia" w:ascii="仿宋_GB2312" w:hAnsi="Calibri" w:cs="Times New Roman"/>
        </w:rPr>
        <w:t>五是强化系统衔接与基础设施协同。聚焦综合交通、市政设施、公共服务、历史文化等多个系统性要素，形成统一的服务网络，防止重大管网错位、断线，确保市政基础设施互联互通。注重沪舟甬跨界单元内跨海通道的空间对接、等级对应与建设时序协调。</w:t>
      </w:r>
    </w:p>
    <w:p w14:paraId="4403AA95">
      <w:pPr>
        <w:adjustRightInd/>
        <w:snapToGrid/>
        <w:spacing w:line="600" w:lineRule="exact"/>
        <w:rPr>
          <w:rFonts w:ascii="黑体" w:hAnsi="黑体" w:eastAsia="黑体" w:cs="黑体"/>
        </w:rPr>
      </w:pPr>
      <w:r>
        <w:rPr>
          <w:rFonts w:hint="eastAsia" w:ascii="黑体" w:hAnsi="黑体" w:eastAsia="黑体" w:cs="黑体"/>
        </w:rPr>
        <w:t>三、上位规划</w:t>
      </w:r>
    </w:p>
    <w:p w14:paraId="64547803">
      <w:pPr>
        <w:spacing w:line="600" w:lineRule="exact"/>
        <w:rPr>
          <w:rFonts w:ascii="仿宋_GB2312" w:hAnsi="Calibri" w:cs="Times New Roman"/>
        </w:rPr>
      </w:pPr>
      <w:r>
        <w:rPr>
          <w:rFonts w:hint="eastAsia" w:ascii="仿宋_GB2312" w:hAnsi="Calibri" w:cs="Times New Roman"/>
        </w:rPr>
        <w:t>《全国国土空间规划纲要（2021—2035年）》</w:t>
      </w:r>
    </w:p>
    <w:p w14:paraId="670C1C57">
      <w:pPr>
        <w:spacing w:line="600" w:lineRule="exact"/>
        <w:rPr>
          <w:rFonts w:ascii="仿宋_GB2312" w:hAnsi="Calibri" w:cs="Times New Roman"/>
        </w:rPr>
      </w:pPr>
      <w:r>
        <w:rPr>
          <w:rFonts w:hint="eastAsia" w:ascii="仿宋_GB2312" w:hAnsi="Calibri" w:cs="Times New Roman"/>
        </w:rPr>
        <w:t>《国家综合立体交通网规划纲要》</w:t>
      </w:r>
    </w:p>
    <w:p w14:paraId="7AF905FF">
      <w:pPr>
        <w:spacing w:line="600" w:lineRule="exact"/>
        <w:rPr>
          <w:rFonts w:ascii="仿宋_GB2312" w:hAnsi="Calibri" w:cs="Times New Roman"/>
        </w:rPr>
      </w:pPr>
      <w:r>
        <w:rPr>
          <w:rFonts w:hint="eastAsia" w:ascii="仿宋_GB2312" w:hAnsi="Calibri" w:cs="Times New Roman"/>
        </w:rPr>
        <w:t>《长江三角洲区域一体化发展规划纲要》</w:t>
      </w:r>
    </w:p>
    <w:p w14:paraId="12027266">
      <w:pPr>
        <w:spacing w:line="600" w:lineRule="exact"/>
        <w:rPr>
          <w:rFonts w:ascii="仿宋_GB2312" w:hAnsi="Calibri" w:cs="Times New Roman"/>
        </w:rPr>
      </w:pPr>
      <w:r>
        <w:rPr>
          <w:rFonts w:hint="eastAsia" w:ascii="仿宋_GB2312" w:hAnsi="Calibri" w:cs="Times New Roman"/>
        </w:rPr>
        <w:t>《长江经济带—长江流域国土空间规划（2021—2035年）》</w:t>
      </w:r>
    </w:p>
    <w:p w14:paraId="37368579">
      <w:pPr>
        <w:spacing w:line="600" w:lineRule="exact"/>
        <w:rPr>
          <w:rFonts w:ascii="仿宋_GB2312" w:hAnsi="Calibri" w:cs="Times New Roman"/>
        </w:rPr>
      </w:pPr>
      <w:r>
        <w:rPr>
          <w:rFonts w:hint="eastAsia" w:ascii="仿宋_GB2312" w:hAnsi="Calibri" w:cs="Times New Roman"/>
        </w:rPr>
        <w:t>《上海大都市圈国土空间总体规划（2025-2035年》（在编）</w:t>
      </w:r>
    </w:p>
    <w:p w14:paraId="0E1CA51F">
      <w:pPr>
        <w:spacing w:line="600" w:lineRule="exact"/>
        <w:rPr>
          <w:rFonts w:ascii="仿宋_GB2312" w:hAnsi="Calibri" w:cs="Times New Roman"/>
        </w:rPr>
      </w:pPr>
      <w:r>
        <w:rPr>
          <w:rFonts w:hint="eastAsia" w:ascii="仿宋_GB2312" w:hAnsi="Calibri" w:cs="Times New Roman"/>
        </w:rPr>
        <w:t>《上海市城市总体规划（2017—2035年）》</w:t>
      </w:r>
    </w:p>
    <w:p w14:paraId="3CAD3A61">
      <w:pPr>
        <w:spacing w:line="600" w:lineRule="exact"/>
        <w:rPr>
          <w:rFonts w:ascii="仿宋_GB2312" w:hAnsi="Calibri" w:cs="Times New Roman"/>
        </w:rPr>
      </w:pPr>
      <w:r>
        <w:rPr>
          <w:rFonts w:hint="eastAsia" w:ascii="仿宋_GB2312" w:hAnsi="Calibri" w:cs="Times New Roman"/>
        </w:rPr>
        <w:t xml:space="preserve">《江苏省国土空间规划（2021—2035年）》 </w:t>
      </w:r>
    </w:p>
    <w:p w14:paraId="7E6B969D">
      <w:pPr>
        <w:spacing w:line="600" w:lineRule="exact"/>
        <w:rPr>
          <w:rFonts w:ascii="仿宋_GB2312" w:hAnsi="Calibri" w:cs="Times New Roman"/>
        </w:rPr>
      </w:pPr>
      <w:r>
        <w:rPr>
          <w:rFonts w:hint="eastAsia" w:ascii="仿宋_GB2312" w:hAnsi="Calibri" w:cs="Times New Roman"/>
        </w:rPr>
        <w:t xml:space="preserve">《浙江省国土空间规划（2021—2035年）》 </w:t>
      </w:r>
    </w:p>
    <w:p w14:paraId="3297C596">
      <w:pPr>
        <w:spacing w:line="600" w:lineRule="exact"/>
        <w:rPr>
          <w:rFonts w:ascii="仿宋_GB2312" w:hAnsi="Calibri" w:cs="Times New Roman"/>
        </w:rPr>
      </w:pPr>
      <w:r>
        <w:rPr>
          <w:rFonts w:hint="eastAsia" w:ascii="仿宋_GB2312" w:hAnsi="Calibri" w:cs="Times New Roman"/>
        </w:rPr>
        <w:t xml:space="preserve">《安徽省国土空间规划（2021—2035年）》 </w:t>
      </w:r>
    </w:p>
    <w:p w14:paraId="657BE25E">
      <w:pPr>
        <w:spacing w:line="600" w:lineRule="exact"/>
        <w:rPr>
          <w:rFonts w:ascii="仿宋_GB2312" w:hAnsi="Calibri" w:cs="Times New Roman"/>
        </w:rPr>
      </w:pPr>
      <w:r>
        <w:rPr>
          <w:rFonts w:hint="eastAsia" w:ascii="仿宋_GB2312" w:hAnsi="Calibri" w:cs="Times New Roman"/>
        </w:rPr>
        <w:t>《上海市海岸带及海洋空间规划 (2021-2035年)》</w:t>
      </w:r>
    </w:p>
    <w:p w14:paraId="42593B16">
      <w:pPr>
        <w:spacing w:line="600" w:lineRule="exact"/>
        <w:rPr>
          <w:rFonts w:ascii="仿宋_GB2312" w:hAnsi="Calibri" w:cs="Times New Roman"/>
        </w:rPr>
      </w:pPr>
      <w:r>
        <w:rPr>
          <w:rFonts w:hint="eastAsia" w:ascii="仿宋_GB2312" w:hAnsi="Calibri" w:cs="Times New Roman"/>
        </w:rPr>
        <w:t>《浙江省海岸带及海洋空间规划(2021—2035年)》</w:t>
      </w:r>
    </w:p>
    <w:p w14:paraId="0B2C08EA">
      <w:pPr>
        <w:spacing w:line="600" w:lineRule="exact"/>
        <w:rPr>
          <w:rFonts w:ascii="仿宋_GB2312" w:hAnsi="Calibri" w:cs="Times New Roman"/>
        </w:rPr>
      </w:pPr>
      <w:r>
        <w:rPr>
          <w:rFonts w:hint="eastAsia" w:ascii="仿宋_GB2312" w:hAnsi="Calibri" w:cs="Times New Roman"/>
        </w:rPr>
        <w:t>《苏州市国土空间总体规划(2021—2035年)》</w:t>
      </w:r>
    </w:p>
    <w:p w14:paraId="3E886E51">
      <w:pPr>
        <w:spacing w:line="600" w:lineRule="exact"/>
        <w:rPr>
          <w:rFonts w:ascii="仿宋_GB2312" w:hAnsi="Calibri" w:cs="Times New Roman"/>
        </w:rPr>
      </w:pPr>
      <w:r>
        <w:rPr>
          <w:rFonts w:hint="eastAsia" w:ascii="仿宋_GB2312" w:hAnsi="Calibri" w:cs="Times New Roman"/>
        </w:rPr>
        <w:t>《南通市国土空间总体规划(2021—2035年)》</w:t>
      </w:r>
    </w:p>
    <w:p w14:paraId="4766CAB8">
      <w:pPr>
        <w:spacing w:line="600" w:lineRule="exact"/>
        <w:rPr>
          <w:rFonts w:ascii="仿宋_GB2312" w:hAnsi="Calibri" w:cs="Times New Roman"/>
        </w:rPr>
      </w:pPr>
      <w:r>
        <w:rPr>
          <w:rFonts w:hint="eastAsia" w:ascii="仿宋_GB2312" w:hAnsi="Calibri" w:cs="Times New Roman"/>
        </w:rPr>
        <w:t>《宁波市国土空间总体规划(2021—2035年)》</w:t>
      </w:r>
    </w:p>
    <w:p w14:paraId="7C2C97D5">
      <w:pPr>
        <w:spacing w:line="600" w:lineRule="exact"/>
        <w:rPr>
          <w:rFonts w:ascii="仿宋_GB2312" w:hAnsi="Calibri" w:cs="Times New Roman"/>
        </w:rPr>
      </w:pPr>
      <w:r>
        <w:rPr>
          <w:rFonts w:hint="eastAsia" w:ascii="仿宋_GB2312" w:hAnsi="Calibri" w:cs="Times New Roman"/>
        </w:rPr>
        <w:t>《舟山市国土空间总体规划(2021—2035年)》</w:t>
      </w:r>
    </w:p>
    <w:p w14:paraId="0127996F">
      <w:pPr>
        <w:spacing w:line="600" w:lineRule="exact"/>
        <w:rPr>
          <w:rFonts w:ascii="仿宋_GB2312" w:hAnsi="Calibri" w:cs="Times New Roman"/>
        </w:rPr>
      </w:pPr>
      <w:r>
        <w:rPr>
          <w:rFonts w:hint="eastAsia" w:ascii="仿宋_GB2312" w:hAnsi="Calibri" w:cs="Times New Roman"/>
        </w:rPr>
        <w:t>《上海市浦东新区总体规划暨土地利用总体规划（2017-2035年）》</w:t>
      </w:r>
    </w:p>
    <w:p w14:paraId="7917BBA6">
      <w:pPr>
        <w:spacing w:line="600" w:lineRule="exact"/>
        <w:rPr>
          <w:rFonts w:ascii="仿宋_GB2312" w:hAnsi="Calibri" w:cs="Times New Roman"/>
        </w:rPr>
      </w:pPr>
      <w:r>
        <w:rPr>
          <w:rFonts w:hint="eastAsia" w:ascii="仿宋_GB2312" w:hAnsi="Calibri" w:cs="Times New Roman"/>
        </w:rPr>
        <w:t>《上海市宝山区总体规划暨土地利用总体规划（2017-2035年）》</w:t>
      </w:r>
    </w:p>
    <w:p w14:paraId="6FADDC34">
      <w:pPr>
        <w:spacing w:line="600" w:lineRule="exact"/>
        <w:rPr>
          <w:rFonts w:ascii="仿宋_GB2312" w:hAnsi="Calibri" w:cs="Times New Roman"/>
        </w:rPr>
      </w:pPr>
      <w:r>
        <w:rPr>
          <w:rFonts w:hint="eastAsia" w:ascii="仿宋_GB2312" w:hAnsi="Calibri" w:cs="Times New Roman"/>
        </w:rPr>
        <w:t>《上海市崇明区总体规划暨土地利用总体规划（2017-2035年）》</w:t>
      </w:r>
    </w:p>
    <w:p w14:paraId="0032B08E">
      <w:pPr>
        <w:spacing w:line="600" w:lineRule="exact"/>
        <w:rPr>
          <w:rFonts w:ascii="仿宋_GB2312" w:hAnsi="Calibri" w:cs="Times New Roman"/>
        </w:rPr>
      </w:pPr>
      <w:r>
        <w:rPr>
          <w:rFonts w:hint="eastAsia" w:ascii="仿宋_GB2312" w:hAnsi="Calibri" w:cs="Times New Roman"/>
        </w:rPr>
        <w:t>《太仓市国土空间总体规划(2021—2035年)》</w:t>
      </w:r>
    </w:p>
    <w:p w14:paraId="09D529EE">
      <w:pPr>
        <w:adjustRightInd/>
        <w:snapToGrid/>
        <w:spacing w:line="600" w:lineRule="exact"/>
        <w:rPr>
          <w:rFonts w:ascii="黑体" w:hAnsi="黑体" w:eastAsia="黑体" w:cs="黑体"/>
        </w:rPr>
      </w:pPr>
    </w:p>
    <w:p w14:paraId="7FA0A479">
      <w:pPr>
        <w:adjustRightInd/>
        <w:snapToGrid/>
        <w:spacing w:line="600" w:lineRule="exact"/>
        <w:rPr>
          <w:rFonts w:ascii="黑体" w:hAnsi="黑体" w:eastAsia="黑体" w:cs="黑体"/>
        </w:rPr>
      </w:pPr>
      <w:r>
        <w:rPr>
          <w:rFonts w:hint="eastAsia" w:ascii="黑体" w:hAnsi="黑体" w:eastAsia="黑体" w:cs="黑体"/>
        </w:rPr>
        <w:t>四、任务要求</w:t>
      </w:r>
    </w:p>
    <w:p w14:paraId="1CBA6010">
      <w:pPr>
        <w:spacing w:line="600" w:lineRule="exact"/>
        <w:rPr>
          <w:rFonts w:ascii="仿宋_GB2312" w:hAnsi="仿宋_GB2312" w:cs="仿宋_GB2312"/>
          <w:bCs/>
        </w:rPr>
      </w:pPr>
      <w:r>
        <w:rPr>
          <w:rFonts w:hint="eastAsia" w:ascii="仿宋_GB2312" w:hAnsi="华文仿宋" w:cs="华文仿宋"/>
        </w:rPr>
        <w:t>强化项目质量，保障专项规划引用资料和</w:t>
      </w:r>
      <w:r>
        <w:rPr>
          <w:rFonts w:hint="eastAsia" w:ascii="仿宋_GB2312" w:hAnsi="仿宋_GB2312" w:cs="仿宋_GB2312"/>
          <w:bCs/>
        </w:rPr>
        <w:t>项目报告、图、表的权威性、准确性、规范性。</w:t>
      </w:r>
    </w:p>
    <w:p w14:paraId="144859BF">
      <w:pPr>
        <w:rPr>
          <w:rFonts w:ascii="仿宋_GB2312" w:hAnsi="华文仿宋" w:cs="华文仿宋"/>
        </w:rPr>
      </w:pPr>
      <w:r>
        <w:rPr>
          <w:rFonts w:hint="eastAsia" w:ascii="仿宋_GB2312" w:hAnsi="仿宋_GB2312" w:cs="仿宋_GB2312"/>
          <w:bCs/>
        </w:rPr>
        <w:t>专项规划提出的跨界协同单元方案优化与规划策略，</w:t>
      </w:r>
      <w:r>
        <w:rPr>
          <w:rFonts w:hint="eastAsia" w:ascii="仿宋_GB2312" w:hAnsi="华文仿宋" w:cs="华文仿宋"/>
        </w:rPr>
        <w:t>应严守底线管控要求，契合邻沪地区</w:t>
      </w:r>
      <w:r>
        <w:rPr>
          <w:rFonts w:hint="eastAsia" w:ascii="仿宋_GB2312" w:hAnsi="仿宋_GB2312" w:cs="仿宋_GB2312"/>
          <w:bCs/>
        </w:rPr>
        <w:t>实际发展需求</w:t>
      </w:r>
      <w:r>
        <w:rPr>
          <w:rFonts w:hint="eastAsia" w:ascii="仿宋_GB2312" w:hAnsi="华文仿宋" w:cs="华文仿宋"/>
        </w:rPr>
        <w:t>，具有可操作性。</w:t>
      </w:r>
    </w:p>
    <w:p w14:paraId="69490C80">
      <w:pPr>
        <w:adjustRightInd/>
        <w:snapToGrid/>
        <w:spacing w:line="600" w:lineRule="exact"/>
        <w:rPr>
          <w:rFonts w:ascii="黑体" w:hAnsi="黑体" w:eastAsia="黑体" w:cs="黑体"/>
        </w:rPr>
      </w:pPr>
    </w:p>
    <w:p w14:paraId="0484E29E">
      <w:pPr>
        <w:adjustRightInd/>
        <w:snapToGrid/>
        <w:spacing w:line="600" w:lineRule="exact"/>
        <w:rPr>
          <w:rFonts w:ascii="黑体" w:hAnsi="黑体" w:eastAsia="黑体" w:cs="黑体"/>
        </w:rPr>
      </w:pPr>
      <w:r>
        <w:rPr>
          <w:rFonts w:hint="eastAsia" w:ascii="黑体" w:hAnsi="黑体" w:eastAsia="黑体" w:cs="黑体"/>
        </w:rPr>
        <w:t>五、成果要求</w:t>
      </w:r>
    </w:p>
    <w:p w14:paraId="745E2313">
      <w:pPr>
        <w:spacing w:line="600" w:lineRule="exact"/>
        <w:rPr>
          <w:rFonts w:ascii="仿宋_GB2312" w:hAnsi="仿宋_GB2312" w:cs="仿宋_GB2312"/>
          <w:bCs/>
        </w:rPr>
      </w:pPr>
      <w:r>
        <w:rPr>
          <w:rFonts w:hint="eastAsia" w:ascii="仿宋_GB2312" w:hAnsi="仿宋_GB2312" w:cs="仿宋_GB2312"/>
          <w:bCs/>
        </w:rPr>
        <w:t>形成《</w:t>
      </w:r>
      <w:r>
        <w:rPr>
          <w:rFonts w:hint="eastAsia" w:ascii="仿宋_GB2312" w:hAnsi="Calibri" w:cs="Times New Roman"/>
        </w:rPr>
        <w:t>沪苏通跨界协同单元专项规划</w:t>
      </w:r>
      <w:r>
        <w:rPr>
          <w:rFonts w:hint="eastAsia" w:ascii="仿宋_GB2312" w:hAnsi="仿宋_GB2312" w:cs="仿宋_GB2312"/>
          <w:bCs/>
        </w:rPr>
        <w:t>》、《</w:t>
      </w:r>
      <w:r>
        <w:rPr>
          <w:rFonts w:hint="eastAsia" w:ascii="仿宋_GB2312" w:hAnsi="Calibri" w:cs="Times New Roman"/>
        </w:rPr>
        <w:t>沪舟甬跨界协同单元专项规划</w:t>
      </w:r>
      <w:r>
        <w:rPr>
          <w:rFonts w:hint="eastAsia" w:ascii="仿宋_GB2312" w:hAnsi="仿宋_GB2312" w:cs="仿宋_GB2312"/>
          <w:bCs/>
        </w:rPr>
        <w:t>》成果。</w:t>
      </w:r>
    </w:p>
    <w:p w14:paraId="5B315C22">
      <w:pPr>
        <w:spacing w:line="600" w:lineRule="exact"/>
        <w:rPr>
          <w:rFonts w:ascii="仿宋_GB2312" w:hAnsi="仿宋_GB2312" w:cs="仿宋_GB2312"/>
          <w:bCs/>
        </w:rPr>
      </w:pPr>
      <w:r>
        <w:rPr>
          <w:rFonts w:hint="eastAsia" w:ascii="仿宋_GB2312" w:hAnsi="仿宋_GB2312" w:cs="仿宋_GB2312"/>
          <w:bCs/>
        </w:rPr>
        <w:t>成果形式包括打印的纸质文本和电子文件，纸质文本包括规划文本和相关附表、附图和其他说明材料。电子文件应包括PDF文件和可编辑的WORD格式文件等，以及项目数据库。</w:t>
      </w:r>
    </w:p>
    <w:p w14:paraId="7ED68DFA">
      <w:pPr>
        <w:rPr>
          <w:rFonts w:ascii="华文仿宋" w:hAnsi="华文仿宋" w:eastAsia="华文仿宋" w:cs="华文仿宋"/>
        </w:rPr>
      </w:pPr>
    </w:p>
    <w:p w14:paraId="4F34995E">
      <w:pPr>
        <w:spacing w:line="600" w:lineRule="exact"/>
        <w:rPr>
          <w:rFonts w:ascii="黑体" w:hAnsi="黑体" w:eastAsia="黑体" w:cs="黑体"/>
        </w:rPr>
      </w:pPr>
      <w:r>
        <w:rPr>
          <w:rFonts w:hint="eastAsia" w:ascii="黑体" w:hAnsi="黑体" w:eastAsia="黑体" w:cs="黑体"/>
        </w:rPr>
        <w:t>六、工作进度安排</w:t>
      </w:r>
    </w:p>
    <w:p w14:paraId="7246E907">
      <w:pPr>
        <w:spacing w:line="600" w:lineRule="exact"/>
        <w:ind w:firstLine="643"/>
        <w:rPr>
          <w:rFonts w:ascii="楷体_GB2312" w:hAnsi="仿宋" w:eastAsia="楷体_GB2312" w:cs="黑体"/>
          <w:b/>
          <w:bCs/>
        </w:rPr>
      </w:pPr>
      <w:r>
        <w:rPr>
          <w:rFonts w:hint="eastAsia" w:ascii="楷体_GB2312" w:hAnsi="仿宋" w:eastAsia="楷体_GB2312" w:cs="黑体"/>
          <w:b/>
          <w:bCs/>
        </w:rPr>
        <w:t>（一）初步研究阶段</w:t>
      </w:r>
    </w:p>
    <w:p w14:paraId="2030468D">
      <w:pPr>
        <w:spacing w:line="600" w:lineRule="exact"/>
        <w:rPr>
          <w:rFonts w:ascii="仿宋_GB2312" w:hAnsi="Calibri" w:cs="Times New Roman"/>
        </w:rPr>
      </w:pPr>
      <w:r>
        <w:rPr>
          <w:rFonts w:hint="eastAsia" w:ascii="仿宋_GB2312" w:hAnsi="Calibri" w:cs="Times New Roman"/>
        </w:rPr>
        <w:t>编制工作方案，开展相关调研，收集各项基础资料，布置启动相关研究工作形成初步成果。</w:t>
      </w:r>
    </w:p>
    <w:p w14:paraId="1B000ADA">
      <w:pPr>
        <w:spacing w:line="600" w:lineRule="exact"/>
        <w:ind w:firstLine="643"/>
        <w:rPr>
          <w:rFonts w:ascii="楷体_GB2312" w:hAnsi="仿宋" w:eastAsia="楷体_GB2312" w:cs="黑体"/>
          <w:b/>
          <w:bCs/>
        </w:rPr>
      </w:pPr>
      <w:r>
        <w:rPr>
          <w:rFonts w:hint="eastAsia" w:ascii="楷体_GB2312" w:hAnsi="仿宋" w:eastAsia="楷体_GB2312" w:cs="黑体"/>
          <w:b/>
          <w:bCs/>
        </w:rPr>
        <w:t>（二）方案深化阶段</w:t>
      </w:r>
    </w:p>
    <w:p w14:paraId="39C7214F">
      <w:pPr>
        <w:spacing w:line="600" w:lineRule="exact"/>
        <w:rPr>
          <w:rFonts w:ascii="仿宋_GB2312" w:hAnsi="Calibri" w:cs="Times New Roman"/>
        </w:rPr>
      </w:pPr>
      <w:r>
        <w:rPr>
          <w:rFonts w:hint="eastAsia" w:ascii="仿宋_GB2312" w:hAnsi="Calibri" w:cs="Times New Roman"/>
        </w:rPr>
        <w:t>形成中期成果报告。</w:t>
      </w:r>
    </w:p>
    <w:p w14:paraId="25D2A2E4">
      <w:pPr>
        <w:spacing w:line="600" w:lineRule="exact"/>
        <w:ind w:firstLine="643"/>
        <w:rPr>
          <w:rFonts w:ascii="楷体_GB2312" w:hAnsi="仿宋" w:eastAsia="楷体_GB2312" w:cs="黑体"/>
          <w:b/>
          <w:bCs/>
        </w:rPr>
      </w:pPr>
      <w:r>
        <w:rPr>
          <w:rFonts w:hint="eastAsia" w:ascii="楷体_GB2312" w:hAnsi="仿宋" w:eastAsia="楷体_GB2312" w:cs="黑体"/>
          <w:b/>
          <w:bCs/>
        </w:rPr>
        <w:t>（三）成果验收阶段</w:t>
      </w:r>
    </w:p>
    <w:p w14:paraId="0D02DB9F">
      <w:pPr>
        <w:spacing w:line="600" w:lineRule="exact"/>
        <w:rPr>
          <w:rFonts w:ascii="仿宋_GB2312" w:hAnsi="Calibri" w:cs="Times New Roman"/>
        </w:rPr>
      </w:pPr>
      <w:r>
        <w:rPr>
          <w:rFonts w:hint="eastAsia" w:ascii="仿宋_GB2312" w:hAnsi="Calibri" w:cs="Times New Roman"/>
        </w:rPr>
        <w:t>成果征求相关各方意见，并修改完善形成项目最终成果。</w:t>
      </w:r>
    </w:p>
    <w:p w14:paraId="582C5B00">
      <w:pPr>
        <w:spacing w:line="600" w:lineRule="exact"/>
        <w:rPr>
          <w:rFonts w:ascii="黑体" w:hAnsi="黑体" w:eastAsia="黑体" w:cs="黑体"/>
        </w:rPr>
      </w:pPr>
    </w:p>
    <w:p w14:paraId="4C652FB5">
      <w:pPr>
        <w:spacing w:line="600" w:lineRule="exact"/>
        <w:rPr>
          <w:rFonts w:ascii="黑体" w:hAnsi="黑体" w:eastAsia="黑体" w:cs="黑体"/>
        </w:rPr>
      </w:pPr>
      <w:r>
        <w:rPr>
          <w:rFonts w:hint="eastAsia" w:ascii="黑体" w:hAnsi="黑体" w:eastAsia="黑体" w:cs="黑体"/>
        </w:rPr>
        <w:t>七、相关要求</w:t>
      </w:r>
    </w:p>
    <w:p w14:paraId="6F07E27E">
      <w:pPr>
        <w:spacing w:line="600" w:lineRule="exact"/>
        <w:ind w:firstLine="643"/>
        <w:rPr>
          <w:rFonts w:ascii="楷体_GB2312" w:hAnsi="仿宋" w:eastAsia="楷体_GB2312" w:cs="黑体"/>
          <w:b/>
          <w:bCs/>
        </w:rPr>
      </w:pPr>
      <w:r>
        <w:rPr>
          <w:rFonts w:hint="eastAsia" w:ascii="楷体_GB2312" w:hAnsi="仿宋" w:eastAsia="楷体_GB2312" w:cs="黑体"/>
          <w:b/>
          <w:bCs/>
        </w:rPr>
        <w:t>（</w:t>
      </w:r>
      <w:r>
        <w:rPr>
          <w:rFonts w:hint="eastAsia" w:ascii="楷体_GB2312" w:hAnsi="仿宋" w:eastAsia="楷体_GB2312" w:cs="黑体"/>
          <w:b/>
          <w:bCs/>
          <w:lang w:eastAsia="zh-CN"/>
        </w:rPr>
        <w:t>一</w:t>
      </w:r>
      <w:r>
        <w:rPr>
          <w:rFonts w:hint="eastAsia" w:ascii="楷体_GB2312" w:hAnsi="仿宋" w:eastAsia="楷体_GB2312" w:cs="黑体"/>
          <w:b/>
          <w:bCs/>
        </w:rPr>
        <w:t>）</w:t>
      </w:r>
      <w:r>
        <w:rPr>
          <w:rFonts w:hint="eastAsia" w:ascii="楷体_GB2312" w:hAnsi="微软雅黑" w:eastAsia="楷体_GB2312" w:cs="微软雅黑"/>
          <w:b/>
          <w:bCs/>
        </w:rPr>
        <w:t>供应商及</w:t>
      </w:r>
      <w:r>
        <w:rPr>
          <w:rFonts w:hint="eastAsia" w:ascii="楷体_GB2312" w:hAnsi="仿宋" w:eastAsia="楷体_GB2312" w:cs="黑体"/>
          <w:b/>
          <w:bCs/>
        </w:rPr>
        <w:t>人员要求</w:t>
      </w:r>
    </w:p>
    <w:p w14:paraId="7EE2CF9B">
      <w:pPr>
        <w:spacing w:line="600" w:lineRule="exact"/>
        <w:rPr>
          <w:rFonts w:ascii="仿宋_GB2312" w:hAnsi="Calibri" w:cs="Times New Roman"/>
        </w:rPr>
      </w:pPr>
      <w:r>
        <w:rPr>
          <w:rFonts w:hint="eastAsia" w:ascii="仿宋_GB2312" w:hAnsi="Calibri" w:cs="Times New Roman"/>
        </w:rPr>
        <w:t>项目组人员数量和专业组成结构等方面应满足本项目服务需求，在服务期限内，项目组人员应保持相对稳定，以保证服务工作的正常进行。</w:t>
      </w:r>
    </w:p>
    <w:p w14:paraId="48A26866">
      <w:pPr>
        <w:spacing w:line="600" w:lineRule="exact"/>
        <w:rPr>
          <w:rFonts w:ascii="仿宋_GB2312" w:hAnsi="Calibri" w:cs="Times New Roman"/>
        </w:rPr>
      </w:pPr>
      <w:r>
        <w:rPr>
          <w:rFonts w:hint="eastAsia" w:ascii="仿宋_GB2312" w:hAnsi="Calibri" w:cs="Times New Roman"/>
        </w:rPr>
        <w:t>项目负责人需</w:t>
      </w:r>
      <w:r>
        <w:rPr>
          <w:rFonts w:hint="eastAsia" w:ascii="仿宋_GB2312" w:hAnsi="Calibri" w:cs="Times New Roman"/>
          <w:lang w:eastAsia="zh-CN"/>
        </w:rPr>
        <w:t>具有注册规划师资质，</w:t>
      </w:r>
      <w:r>
        <w:rPr>
          <w:rFonts w:hint="eastAsia" w:ascii="仿宋_GB2312" w:hAnsi="Calibri" w:cs="Times New Roman"/>
        </w:rPr>
        <w:t>从事相关技术工作八年以上，具有正高级工程师职称的优先。</w:t>
      </w:r>
    </w:p>
    <w:p w14:paraId="32C27647">
      <w:pPr>
        <w:spacing w:line="600" w:lineRule="exact"/>
        <w:rPr>
          <w:rFonts w:ascii="仿宋_GB2312" w:hAnsi="Calibri" w:cs="Times New Roman"/>
        </w:rPr>
      </w:pPr>
      <w:r>
        <w:rPr>
          <w:rFonts w:hint="eastAsia" w:ascii="仿宋_GB2312" w:hAnsi="Calibri" w:cs="Times New Roman"/>
        </w:rPr>
        <w:t>供应商具有类似项目经验</w:t>
      </w:r>
      <w:r>
        <w:rPr>
          <w:rFonts w:hint="eastAsia" w:ascii="仿宋_GB2312" w:cs="Times New Roman"/>
        </w:rPr>
        <w:t>的优先考虑</w:t>
      </w:r>
      <w:r>
        <w:rPr>
          <w:rFonts w:hint="eastAsia" w:ascii="仿宋_GB2312" w:hAnsi="Calibri" w:cs="Times New Roman"/>
        </w:rPr>
        <w:t>。</w:t>
      </w:r>
    </w:p>
    <w:p w14:paraId="648239F0">
      <w:pPr>
        <w:spacing w:line="600" w:lineRule="exact"/>
        <w:ind w:firstLine="643"/>
        <w:rPr>
          <w:rFonts w:ascii="楷体_GB2312" w:hAnsi="仿宋" w:eastAsia="楷体_GB2312" w:cs="黑体"/>
          <w:b/>
          <w:bCs/>
        </w:rPr>
      </w:pPr>
      <w:r>
        <w:rPr>
          <w:rFonts w:hint="eastAsia" w:ascii="楷体_GB2312" w:hAnsi="仿宋" w:eastAsia="楷体_GB2312" w:cs="黑体"/>
          <w:b/>
          <w:bCs/>
        </w:rPr>
        <w:t>（</w:t>
      </w:r>
      <w:r>
        <w:rPr>
          <w:rFonts w:hint="eastAsia" w:ascii="楷体_GB2312" w:hAnsi="仿宋" w:eastAsia="楷体_GB2312" w:cs="黑体"/>
          <w:b/>
          <w:bCs/>
          <w:lang w:eastAsia="zh-CN"/>
        </w:rPr>
        <w:t>二</w:t>
      </w:r>
      <w:r>
        <w:rPr>
          <w:rFonts w:hint="eastAsia" w:ascii="楷体_GB2312" w:hAnsi="仿宋" w:eastAsia="楷体_GB2312" w:cs="黑体"/>
          <w:b/>
          <w:bCs/>
        </w:rPr>
        <w:t>）其他要求</w:t>
      </w:r>
    </w:p>
    <w:p w14:paraId="1A87FCFD">
      <w:pPr>
        <w:spacing w:line="600" w:lineRule="exact"/>
        <w:rPr>
          <w:rFonts w:ascii="仿宋_GB2312" w:hAnsi="Calibri" w:cs="Times New Roman"/>
        </w:rPr>
      </w:pPr>
      <w:r>
        <w:rPr>
          <w:rFonts w:hint="eastAsia" w:ascii="仿宋_GB2312" w:hAnsi="Calibri" w:cs="Times New Roman"/>
        </w:rPr>
        <w:t>投标人应按照委托方要求，负责项目进行过程中阶段性成果及最终成果的打印，承担打印费用，并承担专家评审等费用支出。</w:t>
      </w:r>
    </w:p>
    <w:p w14:paraId="0D85B27D">
      <w:pPr>
        <w:adjustRightInd/>
        <w:snapToGrid/>
        <w:spacing w:line="600" w:lineRule="exact"/>
      </w:pPr>
    </w:p>
    <w:p w14:paraId="60637388"/>
    <w:sectPr>
      <w:footerReference r:id="rId8" w:type="first"/>
      <w:headerReference r:id="rId5" w:type="default"/>
      <w:footerReference r:id="rId6" w:type="default"/>
      <w:footerReference r:id="rId7" w:type="even"/>
      <w:pgSz w:w="11906" w:h="16838"/>
      <w:pgMar w:top="2098" w:right="1531" w:bottom="1985"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B2FBC">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39AA">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AC25A">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0310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MzJiYTgyNTJkM2E5NzA5NDNiNGU0YmVkYTRiODEifQ=="/>
  </w:docVars>
  <w:rsids>
    <w:rsidRoot w:val="577F899A"/>
    <w:rsid w:val="0BDF1727"/>
    <w:rsid w:val="19938ABE"/>
    <w:rsid w:val="19F31165"/>
    <w:rsid w:val="2FDF75FE"/>
    <w:rsid w:val="33BFA4F7"/>
    <w:rsid w:val="36CF428B"/>
    <w:rsid w:val="39FF2424"/>
    <w:rsid w:val="3F6DB829"/>
    <w:rsid w:val="3FF74A7F"/>
    <w:rsid w:val="45E31BD6"/>
    <w:rsid w:val="4DFF1B93"/>
    <w:rsid w:val="4EDFED93"/>
    <w:rsid w:val="4EFBE2B6"/>
    <w:rsid w:val="4F5F77E7"/>
    <w:rsid w:val="577F899A"/>
    <w:rsid w:val="5CFEB3B5"/>
    <w:rsid w:val="5D7F63CB"/>
    <w:rsid w:val="5DCB9291"/>
    <w:rsid w:val="67FB2789"/>
    <w:rsid w:val="6AF450B3"/>
    <w:rsid w:val="6FE72C51"/>
    <w:rsid w:val="787BBC08"/>
    <w:rsid w:val="7ACDCDB9"/>
    <w:rsid w:val="7FFA7565"/>
    <w:rsid w:val="9AFC589D"/>
    <w:rsid w:val="9BF6DF12"/>
    <w:rsid w:val="9EDFDFDA"/>
    <w:rsid w:val="A3EF229A"/>
    <w:rsid w:val="B7B51D92"/>
    <w:rsid w:val="BDF94F72"/>
    <w:rsid w:val="BF79F4FF"/>
    <w:rsid w:val="BF9BEED6"/>
    <w:rsid w:val="CEFF72A4"/>
    <w:rsid w:val="D72F397A"/>
    <w:rsid w:val="DF7DBB56"/>
    <w:rsid w:val="DFDB9E71"/>
    <w:rsid w:val="ECBF977E"/>
    <w:rsid w:val="EDAF5A2A"/>
    <w:rsid w:val="EDFF8A44"/>
    <w:rsid w:val="EE3F8A2A"/>
    <w:rsid w:val="EE774384"/>
    <w:rsid w:val="EED711E4"/>
    <w:rsid w:val="EEFFA610"/>
    <w:rsid w:val="EF56F220"/>
    <w:rsid w:val="EFF77BA5"/>
    <w:rsid w:val="F5BFCDBF"/>
    <w:rsid w:val="F7FFFA79"/>
    <w:rsid w:val="FB9AF971"/>
    <w:rsid w:val="FBF75891"/>
    <w:rsid w:val="FEDF6EF8"/>
    <w:rsid w:val="FEED5F38"/>
    <w:rsid w:val="FEEF2FDB"/>
    <w:rsid w:val="FF5F05E9"/>
    <w:rsid w:val="FF7F4932"/>
    <w:rsid w:val="FFAEA423"/>
    <w:rsid w:val="FFED38AD"/>
    <w:rsid w:val="FFF7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40" w:firstLineChars="200"/>
      <w:jc w:val="both"/>
    </w:pPr>
    <w:rPr>
      <w:rFonts w:ascii="Arial" w:hAnsi="Arial" w:eastAsia="仿宋_GB2312" w:cs="Arial"/>
      <w:kern w:val="2"/>
      <w:sz w:val="32"/>
      <w:szCs w:val="32"/>
      <w:lang w:val="en-US" w:eastAsia="zh-CN" w:bidi="ar-SA"/>
    </w:rPr>
  </w:style>
  <w:style w:type="paragraph" w:styleId="2">
    <w:name w:val="heading 2"/>
    <w:basedOn w:val="1"/>
    <w:next w:val="1"/>
    <w:qFormat/>
    <w:uiPriority w:val="0"/>
    <w:pPr>
      <w:ind w:firstLine="643"/>
      <w:outlineLvl w:val="1"/>
    </w:pPr>
    <w:rPr>
      <w:rFonts w:ascii="楷体_GB2312" w:hAnsi="仿宋_GB2312" w:eastAsia="楷体_GB2312" w:cs="仿宋_GB2312"/>
      <w:b/>
      <w:snapToGrid w:val="0"/>
      <w:kern w:val="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jc w:val="left"/>
    </w:pPr>
    <w:rPr>
      <w:sz w:val="18"/>
      <w:szCs w:val="18"/>
    </w:rPr>
  </w:style>
  <w:style w:type="paragraph" w:styleId="4">
    <w:name w:val="header"/>
    <w:basedOn w:val="1"/>
    <w:qFormat/>
    <w:uiPriority w:val="99"/>
    <w:pPr>
      <w:pBdr>
        <w:bottom w:val="single" w:color="auto" w:sz="6" w:space="1"/>
      </w:pBdr>
      <w:tabs>
        <w:tab w:val="center" w:pos="4153"/>
        <w:tab w:val="right" w:pos="8306"/>
      </w:tabs>
      <w:ind w:firstLine="36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2025-12-01T23:09:00Z</dcterms:created>
  <dc:creator>user</dc:creator>
  <cp:lastModifiedBy>user</cp:lastModifiedBy>
  <dcterms:modified xsi:type="dcterms:W3CDTF">2025-12-02T10:00:23Z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DE40FB41207D5EEA2D3F2D691A7C0007_41</vt:lpwstr>
  </property>
</Properties>
</file>