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b/>
          <w:bCs/>
          <w:sz w:val="30"/>
          <w:szCs w:val="30"/>
        </w:rPr>
      </w:pPr>
      <w:r>
        <w:rPr>
          <w:rFonts w:hint="eastAsia"/>
          <w:b/>
          <w:bCs/>
          <w:sz w:val="30"/>
          <w:szCs w:val="30"/>
        </w:rPr>
        <w:t>上海大歌剧院公共教育科普艺术展览</w:t>
      </w:r>
    </w:p>
    <w:p>
      <w:pPr>
        <w:spacing w:line="500" w:lineRule="exact"/>
        <w:jc w:val="center"/>
        <w:rPr>
          <w:b/>
          <w:bCs/>
          <w:sz w:val="30"/>
          <w:szCs w:val="30"/>
        </w:rPr>
      </w:pPr>
      <w:r>
        <w:rPr>
          <w:rFonts w:hint="eastAsia"/>
          <w:b/>
          <w:bCs/>
          <w:sz w:val="30"/>
          <w:szCs w:val="30"/>
        </w:rPr>
        <w:t>采购</w:t>
      </w:r>
      <w:r>
        <w:rPr>
          <w:b/>
          <w:bCs/>
          <w:sz w:val="30"/>
          <w:szCs w:val="30"/>
        </w:rPr>
        <w:t>需求</w:t>
      </w:r>
    </w:p>
    <w:p>
      <w:pPr>
        <w:pStyle w:val="27"/>
        <w:numPr>
          <w:ilvl w:val="0"/>
          <w:numId w:val="2"/>
        </w:numPr>
        <w:spacing w:before="100" w:beforeAutospacing="1" w:after="100" w:afterAutospacing="1" w:line="500" w:lineRule="exact"/>
        <w:ind w:firstLineChars="0"/>
        <w:rPr>
          <w:rFonts w:hint="eastAsia" w:ascii="宋体" w:hAnsi="宋体"/>
          <w:b/>
          <w:szCs w:val="21"/>
        </w:rPr>
      </w:pPr>
      <w:r>
        <w:rPr>
          <w:rFonts w:hint="eastAsia" w:ascii="宋体" w:hAnsi="宋体"/>
          <w:b/>
          <w:sz w:val="21"/>
          <w:szCs w:val="21"/>
        </w:rPr>
        <w:t>第一部分 项目基本情况和要求</w:t>
      </w:r>
    </w:p>
    <w:p>
      <w:pPr>
        <w:numPr>
          <w:ilvl w:val="0"/>
          <w:numId w:val="3"/>
        </w:numPr>
        <w:tabs>
          <w:tab w:val="left" w:pos="567"/>
        </w:tabs>
        <w:spacing w:before="100" w:beforeAutospacing="1" w:line="500" w:lineRule="exact"/>
        <w:rPr>
          <w:rFonts w:hint="eastAsia" w:ascii="宋体-简" w:hAnsi="宋体-简" w:eastAsia="宋体-简"/>
          <w:b/>
          <w:bCs/>
          <w:szCs w:val="21"/>
        </w:rPr>
      </w:pPr>
      <w:r>
        <w:rPr>
          <w:rFonts w:hint="eastAsia" w:ascii="宋体-简" w:hAnsi="宋体-简" w:eastAsia="宋体-简"/>
          <w:b/>
          <w:bCs/>
          <w:szCs w:val="21"/>
        </w:rPr>
        <w:t>项目概况</w:t>
      </w:r>
    </w:p>
    <w:p>
      <w:pPr>
        <w:spacing w:line="500" w:lineRule="exact"/>
        <w:ind w:left="420" w:leftChars="200"/>
        <w:rPr>
          <w:rFonts w:hint="eastAsia" w:ascii="宋体-简" w:hAnsi="宋体-简" w:eastAsia="宋体-简"/>
          <w:sz w:val="24"/>
          <w:szCs w:val="21"/>
        </w:rPr>
      </w:pPr>
      <w:bookmarkStart w:id="0" w:name="_Hlk36035456"/>
      <w:r>
        <w:rPr>
          <w:rFonts w:hint="eastAsia" w:ascii="宋体-简" w:hAnsi="宋体-简" w:eastAsia="宋体-简"/>
          <w:b/>
          <w:bCs/>
          <w:szCs w:val="21"/>
        </w:rPr>
        <w:t>展览名称</w:t>
      </w:r>
      <w:r>
        <w:rPr>
          <w:rFonts w:hint="eastAsia" w:ascii="宋体-简" w:hAnsi="宋体-简" w:eastAsia="宋体-简"/>
          <w:szCs w:val="21"/>
        </w:rPr>
        <w:t>：声融东西</w:t>
      </w:r>
      <w:r>
        <w:rPr>
          <w:rFonts w:ascii="宋体-简" w:hAnsi="宋体-简" w:eastAsia="宋体-简"/>
          <w:szCs w:val="21"/>
        </w:rPr>
        <w:t xml:space="preserve"> </w:t>
      </w:r>
      <w:r>
        <w:rPr>
          <w:rFonts w:hint="eastAsia" w:ascii="宋体-简" w:hAnsi="宋体-简" w:eastAsia="宋体-简"/>
          <w:szCs w:val="21"/>
        </w:rPr>
        <w:t>歌剧无界</w:t>
      </w:r>
    </w:p>
    <w:p>
      <w:pPr>
        <w:spacing w:line="500" w:lineRule="exact"/>
        <w:ind w:left="420" w:leftChars="200"/>
        <w:rPr>
          <w:rFonts w:hint="eastAsia" w:ascii="宋体-简" w:hAnsi="宋体-简" w:eastAsia="宋体-简"/>
          <w:szCs w:val="21"/>
        </w:rPr>
      </w:pPr>
      <w:r>
        <w:rPr>
          <w:rFonts w:hint="eastAsia" w:ascii="宋体-简" w:hAnsi="宋体-简" w:eastAsia="宋体-简"/>
          <w:b/>
          <w:bCs/>
          <w:szCs w:val="21"/>
        </w:rPr>
        <w:t>服务地点：</w:t>
      </w:r>
      <w:r>
        <w:rPr>
          <w:rFonts w:hint="eastAsia" w:ascii="宋体-简" w:hAnsi="宋体-简" w:eastAsia="宋体-简"/>
          <w:szCs w:val="21"/>
        </w:rPr>
        <w:t>上海大歌剧院1F临展厅（上海市浦东新区咏展路1号）</w:t>
      </w:r>
    </w:p>
    <w:p>
      <w:pPr>
        <w:spacing w:line="500" w:lineRule="exact"/>
        <w:ind w:left="420" w:leftChars="200"/>
        <w:rPr>
          <w:rFonts w:hint="eastAsia" w:ascii="宋体-简" w:hAnsi="宋体-简" w:eastAsia="宋体-简"/>
          <w:szCs w:val="21"/>
        </w:rPr>
      </w:pPr>
      <w:r>
        <w:rPr>
          <w:rFonts w:hint="eastAsia" w:ascii="宋体-简" w:hAnsi="宋体-简" w:eastAsia="宋体-简"/>
          <w:b/>
          <w:bCs/>
          <w:szCs w:val="21"/>
        </w:rPr>
        <w:t>服务</w:t>
      </w:r>
      <w:r>
        <w:rPr>
          <w:rFonts w:hint="eastAsia" w:ascii="宋体-简" w:hAnsi="宋体-简" w:eastAsia="宋体-简"/>
          <w:b/>
          <w:bCs/>
          <w:szCs w:val="21"/>
          <w:lang w:eastAsia="zh-CN"/>
        </w:rPr>
        <w:t>期限</w:t>
      </w:r>
      <w:r>
        <w:rPr>
          <w:rFonts w:hint="eastAsia" w:ascii="宋体-简" w:hAnsi="宋体-简" w:eastAsia="宋体-简"/>
          <w:b/>
          <w:bCs/>
          <w:szCs w:val="21"/>
        </w:rPr>
        <w:t>：</w:t>
      </w:r>
      <w:r>
        <w:rPr>
          <w:rFonts w:hint="eastAsia" w:ascii="宋体-简" w:hAnsi="宋体-简" w:eastAsia="宋体-简"/>
          <w:szCs w:val="21"/>
          <w:lang w:eastAsia="zh-CN"/>
        </w:rPr>
        <w:t>自合同签订生效之日起到</w:t>
      </w:r>
      <w:r>
        <w:rPr>
          <w:rFonts w:hint="eastAsia" w:ascii="宋体-简" w:hAnsi="宋体-简" w:eastAsia="宋体-简"/>
          <w:szCs w:val="21"/>
        </w:rPr>
        <w:t>2027年10月</w:t>
      </w:r>
      <w:r>
        <w:rPr>
          <w:rFonts w:hint="eastAsia" w:ascii="宋体-简" w:hAnsi="宋体-简" w:eastAsia="宋体-简"/>
          <w:szCs w:val="21"/>
          <w:lang w:val="en-US" w:eastAsia="zh-CN"/>
        </w:rPr>
        <w:t>31</w:t>
      </w:r>
      <w:r>
        <w:rPr>
          <w:rFonts w:hint="eastAsia" w:ascii="宋体-简" w:hAnsi="宋体-简" w:eastAsia="宋体-简"/>
          <w:szCs w:val="21"/>
        </w:rPr>
        <w:t>日（</w:t>
      </w:r>
      <w:r>
        <w:rPr>
          <w:rFonts w:hint="eastAsia" w:ascii="宋体-简" w:hAnsi="宋体-简" w:eastAsia="宋体-简"/>
          <w:szCs w:val="21"/>
          <w:lang w:eastAsia="zh-CN"/>
        </w:rPr>
        <w:t>其中</w:t>
      </w:r>
      <w:r>
        <w:rPr>
          <w:rFonts w:hint="eastAsia" w:ascii="宋体-简" w:hAnsi="宋体-简" w:eastAsia="宋体-简"/>
          <w:szCs w:val="21"/>
        </w:rPr>
        <w:t>正式展览期为：2</w:t>
      </w:r>
      <w:r>
        <w:rPr>
          <w:rFonts w:ascii="宋体-简" w:hAnsi="宋体-简" w:eastAsia="宋体-简"/>
          <w:szCs w:val="21"/>
        </w:rPr>
        <w:t>026</w:t>
      </w:r>
      <w:r>
        <w:rPr>
          <w:rFonts w:hint="eastAsia" w:ascii="宋体-简" w:hAnsi="宋体-简" w:eastAsia="宋体-简"/>
          <w:szCs w:val="21"/>
        </w:rPr>
        <w:t>年1</w:t>
      </w:r>
      <w:r>
        <w:rPr>
          <w:rFonts w:ascii="宋体-简" w:hAnsi="宋体-简" w:eastAsia="宋体-简"/>
          <w:szCs w:val="21"/>
        </w:rPr>
        <w:t>0</w:t>
      </w:r>
      <w:r>
        <w:rPr>
          <w:rFonts w:hint="eastAsia" w:ascii="宋体-简" w:hAnsi="宋体-简" w:eastAsia="宋体-简"/>
          <w:szCs w:val="21"/>
        </w:rPr>
        <w:t>月1</w:t>
      </w:r>
      <w:r>
        <w:rPr>
          <w:rFonts w:ascii="宋体-简" w:hAnsi="宋体-简" w:eastAsia="宋体-简"/>
          <w:szCs w:val="21"/>
        </w:rPr>
        <w:t>7</w:t>
      </w:r>
      <w:r>
        <w:rPr>
          <w:rFonts w:hint="eastAsia" w:ascii="宋体-简" w:hAnsi="宋体-简" w:eastAsia="宋体-简"/>
          <w:szCs w:val="21"/>
        </w:rPr>
        <w:t>日 -</w:t>
      </w:r>
      <w:r>
        <w:rPr>
          <w:rFonts w:ascii="宋体-简" w:hAnsi="宋体-简" w:eastAsia="宋体-简"/>
          <w:szCs w:val="21"/>
        </w:rPr>
        <w:t xml:space="preserve"> 202</w:t>
      </w:r>
      <w:r>
        <w:rPr>
          <w:rFonts w:hint="eastAsia" w:ascii="宋体-简" w:hAnsi="宋体-简" w:eastAsia="宋体-简"/>
          <w:szCs w:val="21"/>
        </w:rPr>
        <w:t>7年1</w:t>
      </w:r>
      <w:r>
        <w:rPr>
          <w:rFonts w:ascii="宋体-简" w:hAnsi="宋体-简" w:eastAsia="宋体-简"/>
          <w:szCs w:val="21"/>
        </w:rPr>
        <w:t>0</w:t>
      </w:r>
      <w:r>
        <w:rPr>
          <w:rFonts w:hint="eastAsia" w:ascii="宋体-简" w:hAnsi="宋体-简" w:eastAsia="宋体-简"/>
          <w:szCs w:val="21"/>
        </w:rPr>
        <w:t>月1</w:t>
      </w:r>
      <w:r>
        <w:rPr>
          <w:rFonts w:ascii="宋体-简" w:hAnsi="宋体-简" w:eastAsia="宋体-简"/>
          <w:szCs w:val="21"/>
        </w:rPr>
        <w:t>6</w:t>
      </w:r>
      <w:r>
        <w:rPr>
          <w:rFonts w:hint="eastAsia" w:ascii="宋体-简" w:hAnsi="宋体-简" w:eastAsia="宋体-简"/>
          <w:szCs w:val="21"/>
        </w:rPr>
        <w:t>日）</w:t>
      </w:r>
    </w:p>
    <w:p>
      <w:pPr>
        <w:numPr>
          <w:ilvl w:val="0"/>
          <w:numId w:val="3"/>
        </w:numPr>
        <w:tabs>
          <w:tab w:val="left" w:pos="567"/>
        </w:tabs>
        <w:spacing w:before="100" w:beforeAutospacing="1" w:line="500" w:lineRule="exact"/>
        <w:rPr>
          <w:rFonts w:hint="eastAsia" w:ascii="宋体-简" w:hAnsi="宋体-简" w:eastAsia="宋体-简"/>
          <w:b/>
          <w:bCs/>
          <w:szCs w:val="21"/>
        </w:rPr>
      </w:pPr>
      <w:r>
        <w:rPr>
          <w:rFonts w:hint="eastAsia" w:ascii="宋体-简" w:hAnsi="宋体-简" w:eastAsia="宋体-简"/>
          <w:b/>
          <w:bCs/>
          <w:szCs w:val="21"/>
        </w:rPr>
        <w:t>项目主要内容、数量及要求</w:t>
      </w:r>
    </w:p>
    <w:bookmarkEnd w:id="0"/>
    <w:p>
      <w:pPr>
        <w:pStyle w:val="15"/>
        <w:spacing w:line="500" w:lineRule="exact"/>
        <w:rPr>
          <w:rFonts w:hint="eastAsia" w:ascii="宋体-简" w:hAnsi="宋体-简" w:eastAsia="宋体-简"/>
          <w:szCs w:val="21"/>
        </w:rPr>
      </w:pPr>
      <w:r>
        <w:rPr>
          <w:rFonts w:hint="eastAsia" w:ascii="宋体-简" w:hAnsi="宋体-简" w:eastAsia="宋体-简"/>
          <w:szCs w:val="21"/>
        </w:rPr>
        <w:t>上海大歌剧院以世界一流的建设水平和亚洲领先的舞台工艺，推动科技与艺术相互融合。这是世博地区新的建筑地标，也是黄浦江岸新的风景地标。作为打响“</w:t>
      </w:r>
      <w:r>
        <w:rPr>
          <w:rFonts w:ascii="宋体-简" w:hAnsi="宋体-简" w:eastAsia="宋体-简"/>
          <w:szCs w:val="21"/>
        </w:rPr>
        <w:t xml:space="preserve"> </w:t>
      </w:r>
      <w:r>
        <w:rPr>
          <w:rFonts w:hint="eastAsia" w:ascii="宋体-简" w:hAnsi="宋体-简" w:eastAsia="宋体-简"/>
          <w:szCs w:val="21"/>
        </w:rPr>
        <w:t>上海文化”品牌、建设国际文化大都市、提升城市文化软实力的重要载体，更是这座城市剧场演艺生态里新的文化地标。建成开放的上海大歌剧院以“人民性、艺术性、国际性”为宗旨，以“世界歌剧的艺术殿堂、中国原创的首演舞台、人民城市的文化客厅〞为定位，白天，让歌剧被理解；夜晚，让歌剧被感受。</w:t>
      </w:r>
    </w:p>
    <w:p>
      <w:pPr>
        <w:pStyle w:val="15"/>
        <w:spacing w:line="500" w:lineRule="exact"/>
        <w:rPr>
          <w:rFonts w:hint="eastAsia" w:ascii="宋体-简" w:hAnsi="宋体-简" w:eastAsia="宋体-简"/>
          <w:szCs w:val="21"/>
        </w:rPr>
      </w:pPr>
      <w:r>
        <w:rPr>
          <w:rFonts w:hint="eastAsia" w:ascii="宋体-简" w:hAnsi="宋体-简" w:eastAsia="宋体-简"/>
          <w:szCs w:val="21"/>
        </w:rPr>
        <w:t>由点及面串联大歌剧院公共空间，亦串联起东西方歌剧文化艺术的融合与对话，引领观众走近歌剧，了解歌剧，共享歌剧艺术的无界之美。</w:t>
      </w:r>
    </w:p>
    <w:p>
      <w:pPr>
        <w:pStyle w:val="15"/>
        <w:spacing w:line="500" w:lineRule="exact"/>
        <w:rPr>
          <w:rFonts w:hint="eastAsia" w:ascii="宋体-简" w:hAnsi="宋体-简" w:eastAsia="宋体-简"/>
          <w:szCs w:val="21"/>
        </w:rPr>
      </w:pPr>
      <w:r>
        <w:rPr>
          <w:rFonts w:hint="eastAsia" w:ascii="宋体-简" w:hAnsi="宋体-简" w:eastAsia="宋体-简"/>
          <w:szCs w:val="21"/>
        </w:rPr>
        <w:t>展览面积及范围：位于场馆1层临展厅内，布展面积约2003平方米（包含玻璃橱窗面积16平方米，展厅面积1987平方米，另有约500平方米咖啡休闲区和衍生品售卖区域，由其他单位负责，本项目配合）</w:t>
      </w:r>
    </w:p>
    <w:p>
      <w:pPr>
        <w:numPr>
          <w:ilvl w:val="0"/>
          <w:numId w:val="3"/>
        </w:numPr>
        <w:tabs>
          <w:tab w:val="left" w:pos="567"/>
        </w:tabs>
        <w:spacing w:before="100" w:beforeAutospacing="1" w:line="500" w:lineRule="exact"/>
        <w:rPr>
          <w:rFonts w:hint="eastAsia" w:ascii="宋体-简" w:hAnsi="宋体-简" w:eastAsia="宋体-简"/>
          <w:b/>
          <w:bCs/>
          <w:szCs w:val="21"/>
        </w:rPr>
      </w:pPr>
      <w:r>
        <w:rPr>
          <w:rFonts w:hint="eastAsia" w:ascii="宋体-简" w:hAnsi="宋体-简" w:eastAsia="宋体-简"/>
          <w:b/>
          <w:bCs/>
          <w:szCs w:val="21"/>
        </w:rPr>
        <w:t>项目工期</w:t>
      </w:r>
    </w:p>
    <w:tbl>
      <w:tblPr>
        <w:tblStyle w:val="10"/>
        <w:tblW w:w="8354" w:type="dxa"/>
        <w:tblInd w:w="0" w:type="dxa"/>
        <w:tblLayout w:type="autofit"/>
        <w:tblCellMar>
          <w:top w:w="0" w:type="dxa"/>
          <w:left w:w="0" w:type="dxa"/>
          <w:bottom w:w="0" w:type="dxa"/>
          <w:right w:w="0" w:type="dxa"/>
        </w:tblCellMar>
      </w:tblPr>
      <w:tblGrid>
        <w:gridCol w:w="4101"/>
        <w:gridCol w:w="4253"/>
      </w:tblGrid>
      <w:tr>
        <w:tblPrEx>
          <w:tblCellMar>
            <w:top w:w="0" w:type="dxa"/>
            <w:left w:w="0" w:type="dxa"/>
            <w:bottom w:w="0" w:type="dxa"/>
            <w:right w:w="0" w:type="dxa"/>
          </w:tblCellMar>
        </w:tblPrEx>
        <w:trPr>
          <w:trHeight w:val="372" w:hRule="atLeast"/>
        </w:trPr>
        <w:tc>
          <w:tcPr>
            <w:tcW w:w="4101"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tcPr>
          <w:p>
            <w:pPr>
              <w:spacing w:line="500" w:lineRule="exact"/>
              <w:jc w:val="center"/>
              <w:rPr>
                <w:rFonts w:hint="eastAsia" w:ascii="宋体-简" w:hAnsi="宋体-简" w:eastAsia="宋体-简" w:cs="宋体"/>
                <w:b/>
                <w:szCs w:val="21"/>
                <w:u w:val="single"/>
              </w:rPr>
            </w:pPr>
            <w:r>
              <w:rPr>
                <w:rFonts w:hint="eastAsia" w:ascii="宋体-简" w:hAnsi="宋体-简" w:eastAsia="宋体-简" w:cs="宋体"/>
                <w:b/>
                <w:szCs w:val="21"/>
                <w:u w:val="single"/>
              </w:rPr>
              <w:t>时间进度</w:t>
            </w:r>
          </w:p>
        </w:tc>
        <w:tc>
          <w:tcPr>
            <w:tcW w:w="425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tcPr>
          <w:p>
            <w:pPr>
              <w:spacing w:line="500" w:lineRule="exact"/>
              <w:jc w:val="center"/>
              <w:rPr>
                <w:rFonts w:hint="eastAsia" w:ascii="宋体-简" w:hAnsi="宋体-简" w:eastAsia="宋体-简" w:cs="宋体"/>
                <w:b/>
                <w:szCs w:val="21"/>
                <w:u w:val="single"/>
              </w:rPr>
            </w:pPr>
            <w:r>
              <w:rPr>
                <w:rFonts w:hint="eastAsia" w:ascii="宋体-简" w:hAnsi="宋体-简" w:eastAsia="宋体-简" w:cs="宋体"/>
                <w:b/>
                <w:szCs w:val="21"/>
                <w:u w:val="single"/>
              </w:rPr>
              <w:t>阶段性工作</w:t>
            </w:r>
          </w:p>
        </w:tc>
      </w:tr>
      <w:tr>
        <w:tblPrEx>
          <w:tblCellMar>
            <w:top w:w="0" w:type="dxa"/>
            <w:left w:w="0" w:type="dxa"/>
            <w:bottom w:w="0" w:type="dxa"/>
            <w:right w:w="0" w:type="dxa"/>
          </w:tblCellMar>
        </w:tblPrEx>
        <w:trPr>
          <w:trHeight w:val="90" w:hRule="atLeast"/>
        </w:trPr>
        <w:tc>
          <w:tcPr>
            <w:tcW w:w="41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500" w:lineRule="exact"/>
              <w:jc w:val="center"/>
              <w:rPr>
                <w:rFonts w:hint="eastAsia" w:ascii="宋体-简" w:hAnsi="宋体-简" w:eastAsia="宋体-简" w:cs="Calibri"/>
                <w:kern w:val="0"/>
                <w:szCs w:val="21"/>
              </w:rPr>
            </w:pPr>
            <w:r>
              <w:rPr>
                <w:rFonts w:hint="eastAsia" w:ascii="宋体-简" w:hAnsi="宋体-简" w:eastAsia="宋体-简"/>
                <w:bCs/>
                <w:szCs w:val="21"/>
              </w:rPr>
              <w:t>自合同签订之日起至2</w:t>
            </w:r>
            <w:r>
              <w:rPr>
                <w:rFonts w:ascii="宋体-简" w:hAnsi="宋体-简" w:eastAsia="宋体-简"/>
                <w:bCs/>
                <w:szCs w:val="21"/>
              </w:rPr>
              <w:t>026</w:t>
            </w:r>
            <w:r>
              <w:rPr>
                <w:rFonts w:hint="eastAsia" w:ascii="宋体-简" w:hAnsi="宋体-简" w:eastAsia="宋体-简"/>
                <w:bCs/>
                <w:szCs w:val="21"/>
              </w:rPr>
              <w:t>年9月3</w:t>
            </w:r>
            <w:r>
              <w:rPr>
                <w:rFonts w:ascii="宋体-简" w:hAnsi="宋体-简" w:eastAsia="宋体-简"/>
                <w:bCs/>
                <w:szCs w:val="21"/>
              </w:rPr>
              <w:t>0</w:t>
            </w:r>
            <w:r>
              <w:rPr>
                <w:rFonts w:hint="eastAsia" w:ascii="宋体-简" w:hAnsi="宋体-简" w:eastAsia="宋体-简"/>
                <w:bCs/>
                <w:szCs w:val="21"/>
              </w:rPr>
              <w:t>日</w:t>
            </w:r>
          </w:p>
        </w:tc>
        <w:tc>
          <w:tcPr>
            <w:tcW w:w="425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line="500" w:lineRule="exact"/>
              <w:jc w:val="center"/>
              <w:rPr>
                <w:rFonts w:hint="eastAsia" w:ascii="宋体-简" w:hAnsi="宋体-简" w:eastAsia="宋体-简" w:cs="Calibri"/>
                <w:kern w:val="0"/>
                <w:szCs w:val="21"/>
                <w:lang w:val="zh-TW"/>
              </w:rPr>
            </w:pPr>
            <w:r>
              <w:rPr>
                <w:rFonts w:hint="eastAsia" w:ascii="宋体-简" w:hAnsi="宋体-简" w:eastAsia="宋体-简"/>
                <w:bCs/>
                <w:szCs w:val="21"/>
              </w:rPr>
              <w:t>展陈施工及布展完成</w:t>
            </w:r>
            <w:r>
              <w:rPr>
                <w:rFonts w:hint="eastAsia" w:ascii="宋体-简" w:hAnsi="宋体-简" w:eastAsia="宋体-简" w:cs="Calibri"/>
                <w:kern w:val="0"/>
                <w:szCs w:val="21"/>
                <w:lang w:val="zh-TW"/>
              </w:rPr>
              <w:t>并通过验收</w:t>
            </w:r>
          </w:p>
        </w:tc>
      </w:tr>
      <w:tr>
        <w:tblPrEx>
          <w:tblCellMar>
            <w:top w:w="0" w:type="dxa"/>
            <w:left w:w="0" w:type="dxa"/>
            <w:bottom w:w="0" w:type="dxa"/>
            <w:right w:w="0" w:type="dxa"/>
          </w:tblCellMar>
        </w:tblPrEx>
        <w:trPr>
          <w:trHeight w:val="372" w:hRule="atLeast"/>
        </w:trPr>
        <w:tc>
          <w:tcPr>
            <w:tcW w:w="41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500" w:lineRule="exact"/>
              <w:jc w:val="center"/>
              <w:rPr>
                <w:rFonts w:hint="eastAsia" w:ascii="宋体-简" w:hAnsi="宋体-简" w:eastAsia="宋体-简" w:cs="Calibri"/>
                <w:b/>
                <w:kern w:val="0"/>
                <w:szCs w:val="21"/>
              </w:rPr>
            </w:pPr>
            <w:r>
              <w:rPr>
                <w:rFonts w:ascii="宋体-简" w:hAnsi="宋体-简" w:eastAsia="宋体-简" w:cs="Calibri"/>
                <w:kern w:val="0"/>
                <w:szCs w:val="21"/>
              </w:rPr>
              <w:t>2026</w:t>
            </w:r>
            <w:r>
              <w:rPr>
                <w:rFonts w:hint="eastAsia" w:ascii="宋体-简" w:hAnsi="宋体-简" w:eastAsia="宋体-简" w:cs="Calibri"/>
                <w:kern w:val="0"/>
                <w:szCs w:val="21"/>
              </w:rPr>
              <w:t>年</w:t>
            </w:r>
            <w:r>
              <w:rPr>
                <w:rFonts w:ascii="宋体-简" w:hAnsi="宋体-简" w:eastAsia="宋体-简" w:cs="Calibri"/>
                <w:kern w:val="0"/>
                <w:szCs w:val="21"/>
              </w:rPr>
              <w:t>9</w:t>
            </w:r>
            <w:r>
              <w:rPr>
                <w:rFonts w:hint="eastAsia" w:ascii="宋体-简" w:hAnsi="宋体-简" w:eastAsia="宋体-简" w:cs="Calibri"/>
                <w:kern w:val="0"/>
                <w:szCs w:val="21"/>
              </w:rPr>
              <w:t>月3</w:t>
            </w:r>
            <w:r>
              <w:rPr>
                <w:rFonts w:ascii="宋体-简" w:hAnsi="宋体-简" w:eastAsia="宋体-简" w:cs="Calibri"/>
                <w:kern w:val="0"/>
                <w:szCs w:val="21"/>
              </w:rPr>
              <w:t>0</w:t>
            </w:r>
            <w:r>
              <w:rPr>
                <w:rFonts w:hint="eastAsia" w:ascii="宋体-简" w:hAnsi="宋体-简" w:eastAsia="宋体-简" w:cs="Calibri"/>
                <w:kern w:val="0"/>
                <w:szCs w:val="21"/>
              </w:rPr>
              <w:t>日-1</w:t>
            </w:r>
            <w:r>
              <w:rPr>
                <w:rFonts w:ascii="宋体-简" w:hAnsi="宋体-简" w:eastAsia="宋体-简" w:cs="Calibri"/>
                <w:kern w:val="0"/>
                <w:szCs w:val="21"/>
              </w:rPr>
              <w:t>0</w:t>
            </w:r>
            <w:r>
              <w:rPr>
                <w:rFonts w:hint="eastAsia" w:ascii="宋体-简" w:hAnsi="宋体-简" w:eastAsia="宋体-简" w:cs="Calibri"/>
                <w:kern w:val="0"/>
                <w:szCs w:val="21"/>
              </w:rPr>
              <w:t>月</w:t>
            </w:r>
            <w:r>
              <w:rPr>
                <w:rFonts w:ascii="宋体-简" w:hAnsi="宋体-简" w:eastAsia="宋体-简" w:cs="Calibri"/>
                <w:kern w:val="0"/>
                <w:szCs w:val="21"/>
              </w:rPr>
              <w:t>17</w:t>
            </w:r>
            <w:r>
              <w:rPr>
                <w:rFonts w:hint="eastAsia" w:ascii="宋体-简" w:hAnsi="宋体-简" w:eastAsia="宋体-简" w:cs="Calibri"/>
                <w:kern w:val="0"/>
                <w:szCs w:val="21"/>
              </w:rPr>
              <w:t>日（暂定）前</w:t>
            </w:r>
          </w:p>
        </w:tc>
        <w:tc>
          <w:tcPr>
            <w:tcW w:w="425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line="500" w:lineRule="exact"/>
              <w:jc w:val="center"/>
              <w:rPr>
                <w:rFonts w:hint="eastAsia" w:ascii="宋体-简" w:hAnsi="宋体-简" w:eastAsia="宋体-简" w:cs="Calibri"/>
                <w:b/>
                <w:kern w:val="0"/>
                <w:szCs w:val="21"/>
                <w:lang w:val="zh-TW"/>
              </w:rPr>
            </w:pPr>
            <w:r>
              <w:rPr>
                <w:rFonts w:hint="eastAsia" w:ascii="宋体-简" w:hAnsi="宋体-简" w:eastAsia="宋体-简" w:cs="Calibri"/>
                <w:bCs/>
                <w:kern w:val="0"/>
                <w:szCs w:val="21"/>
                <w:lang w:val="zh-TW"/>
              </w:rPr>
              <w:t>临展运营测试</w:t>
            </w:r>
          </w:p>
        </w:tc>
      </w:tr>
      <w:tr>
        <w:tblPrEx>
          <w:tblCellMar>
            <w:top w:w="0" w:type="dxa"/>
            <w:left w:w="0" w:type="dxa"/>
            <w:bottom w:w="0" w:type="dxa"/>
            <w:right w:w="0" w:type="dxa"/>
          </w:tblCellMar>
        </w:tblPrEx>
        <w:trPr>
          <w:trHeight w:val="372" w:hRule="atLeast"/>
        </w:trPr>
        <w:tc>
          <w:tcPr>
            <w:tcW w:w="41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500" w:lineRule="exact"/>
              <w:jc w:val="center"/>
              <w:rPr>
                <w:rFonts w:hint="eastAsia" w:ascii="宋体-简" w:hAnsi="宋体-简" w:eastAsia="宋体-简" w:cs="Calibri"/>
                <w:kern w:val="0"/>
                <w:szCs w:val="21"/>
              </w:rPr>
            </w:pPr>
            <w:r>
              <w:rPr>
                <w:rFonts w:hint="eastAsia" w:ascii="宋体-简" w:hAnsi="宋体-简" w:eastAsia="宋体-简" w:cs="Calibri"/>
                <w:kern w:val="0"/>
                <w:szCs w:val="21"/>
              </w:rPr>
              <w:t>1</w:t>
            </w:r>
            <w:r>
              <w:rPr>
                <w:rFonts w:ascii="宋体-简" w:hAnsi="宋体-简" w:eastAsia="宋体-简" w:cs="Calibri"/>
                <w:kern w:val="0"/>
                <w:szCs w:val="21"/>
              </w:rPr>
              <w:t>0</w:t>
            </w:r>
            <w:r>
              <w:rPr>
                <w:rFonts w:hint="eastAsia" w:ascii="宋体-简" w:hAnsi="宋体-简" w:eastAsia="宋体-简" w:cs="Calibri"/>
                <w:kern w:val="0"/>
                <w:szCs w:val="21"/>
              </w:rPr>
              <w:t>月1</w:t>
            </w:r>
            <w:r>
              <w:rPr>
                <w:rFonts w:ascii="宋体-简" w:hAnsi="宋体-简" w:eastAsia="宋体-简" w:cs="Calibri"/>
                <w:kern w:val="0"/>
                <w:szCs w:val="21"/>
              </w:rPr>
              <w:t>7</w:t>
            </w:r>
            <w:r>
              <w:rPr>
                <w:rFonts w:hint="eastAsia" w:ascii="宋体-简" w:hAnsi="宋体-简" w:eastAsia="宋体-简" w:cs="Calibri"/>
                <w:kern w:val="0"/>
                <w:szCs w:val="21"/>
              </w:rPr>
              <w:t>日</w:t>
            </w:r>
          </w:p>
        </w:tc>
        <w:tc>
          <w:tcPr>
            <w:tcW w:w="425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line="500" w:lineRule="exact"/>
              <w:jc w:val="center"/>
              <w:rPr>
                <w:rFonts w:hint="eastAsia" w:ascii="宋体-简" w:hAnsi="宋体-简" w:eastAsia="宋体-简" w:cs="Calibri"/>
                <w:bCs/>
                <w:kern w:val="0"/>
                <w:szCs w:val="21"/>
                <w:lang w:val="zh-TW"/>
              </w:rPr>
            </w:pPr>
            <w:r>
              <w:rPr>
                <w:rFonts w:hint="eastAsia" w:ascii="宋体-简" w:hAnsi="宋体-简" w:eastAsia="宋体-简" w:cs="Calibri"/>
                <w:bCs/>
                <w:kern w:val="0"/>
                <w:szCs w:val="21"/>
                <w:lang w:val="zh-TW"/>
              </w:rPr>
              <w:t>临展正式对外开放</w:t>
            </w:r>
          </w:p>
        </w:tc>
      </w:tr>
      <w:tr>
        <w:tblPrEx>
          <w:tblCellMar>
            <w:top w:w="0" w:type="dxa"/>
            <w:left w:w="0" w:type="dxa"/>
            <w:bottom w:w="0" w:type="dxa"/>
            <w:right w:w="0" w:type="dxa"/>
          </w:tblCellMar>
        </w:tblPrEx>
        <w:trPr>
          <w:trHeight w:val="372" w:hRule="atLeast"/>
        </w:trPr>
        <w:tc>
          <w:tcPr>
            <w:tcW w:w="41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500" w:lineRule="exact"/>
              <w:jc w:val="center"/>
              <w:rPr>
                <w:rFonts w:hint="eastAsia" w:ascii="宋体-简" w:hAnsi="宋体-简" w:eastAsia="宋体-简" w:cs="Calibri"/>
                <w:kern w:val="0"/>
                <w:szCs w:val="21"/>
              </w:rPr>
            </w:pPr>
            <w:r>
              <w:rPr>
                <w:rFonts w:hint="eastAsia" w:ascii="宋体-简" w:hAnsi="宋体-简" w:eastAsia="宋体-简" w:cs="Calibri"/>
                <w:kern w:val="0"/>
                <w:szCs w:val="21"/>
              </w:rPr>
              <w:t>开展</w:t>
            </w:r>
            <w:r>
              <w:rPr>
                <w:rFonts w:ascii="宋体-简" w:hAnsi="宋体-简" w:eastAsia="宋体-简" w:cs="Calibri"/>
                <w:kern w:val="0"/>
                <w:szCs w:val="21"/>
              </w:rPr>
              <w:t>12</w:t>
            </w:r>
            <w:r>
              <w:rPr>
                <w:rFonts w:hint="eastAsia" w:ascii="宋体-简" w:hAnsi="宋体-简" w:eastAsia="宋体-简" w:cs="Calibri"/>
                <w:kern w:val="0"/>
                <w:szCs w:val="21"/>
              </w:rPr>
              <w:t>个月后（2</w:t>
            </w:r>
            <w:r>
              <w:rPr>
                <w:rFonts w:ascii="宋体-简" w:hAnsi="宋体-简" w:eastAsia="宋体-简" w:cs="Calibri"/>
                <w:kern w:val="0"/>
                <w:szCs w:val="21"/>
              </w:rPr>
              <w:t>027</w:t>
            </w:r>
            <w:r>
              <w:rPr>
                <w:rFonts w:hint="eastAsia" w:ascii="宋体-简" w:hAnsi="宋体-简" w:eastAsia="宋体-简" w:cs="Calibri"/>
                <w:kern w:val="0"/>
                <w:szCs w:val="21"/>
              </w:rPr>
              <w:t>年1</w:t>
            </w:r>
            <w:r>
              <w:rPr>
                <w:rFonts w:ascii="宋体-简" w:hAnsi="宋体-简" w:eastAsia="宋体-简" w:cs="Calibri"/>
                <w:kern w:val="0"/>
                <w:szCs w:val="21"/>
              </w:rPr>
              <w:t>0</w:t>
            </w:r>
            <w:r>
              <w:rPr>
                <w:rFonts w:hint="eastAsia" w:ascii="宋体-简" w:hAnsi="宋体-简" w:eastAsia="宋体-简" w:cs="Calibri"/>
                <w:kern w:val="0"/>
                <w:szCs w:val="21"/>
              </w:rPr>
              <w:t>月1</w:t>
            </w:r>
            <w:r>
              <w:rPr>
                <w:rFonts w:ascii="宋体-简" w:hAnsi="宋体-简" w:eastAsia="宋体-简" w:cs="Calibri"/>
                <w:kern w:val="0"/>
                <w:szCs w:val="21"/>
              </w:rPr>
              <w:t>6</w:t>
            </w:r>
            <w:r>
              <w:rPr>
                <w:rFonts w:hint="eastAsia" w:ascii="宋体-简" w:hAnsi="宋体-简" w:eastAsia="宋体-简" w:cs="Calibri"/>
                <w:kern w:val="0"/>
                <w:szCs w:val="21"/>
              </w:rPr>
              <w:t>日）</w:t>
            </w:r>
          </w:p>
        </w:tc>
        <w:tc>
          <w:tcPr>
            <w:tcW w:w="425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line="500" w:lineRule="exact"/>
              <w:jc w:val="center"/>
              <w:rPr>
                <w:rFonts w:hint="eastAsia" w:ascii="宋体-简" w:hAnsi="宋体-简" w:eastAsia="宋体-简" w:cs="Calibri"/>
                <w:kern w:val="0"/>
                <w:szCs w:val="21"/>
                <w:lang w:val="zh-TW"/>
              </w:rPr>
            </w:pPr>
            <w:r>
              <w:rPr>
                <w:rFonts w:hint="eastAsia" w:ascii="宋体-简" w:hAnsi="宋体-简" w:eastAsia="宋体-简" w:cs="Calibri"/>
                <w:kern w:val="0"/>
                <w:szCs w:val="21"/>
                <w:lang w:val="zh-TW"/>
              </w:rPr>
              <w:t>撤展、相关展品搬运</w:t>
            </w:r>
            <w:r>
              <w:rPr>
                <w:rFonts w:hint="eastAsia" w:ascii="宋体-简" w:hAnsi="宋体-简" w:eastAsia="宋体-简" w:cs="Calibri"/>
                <w:kern w:val="0"/>
                <w:szCs w:val="21"/>
              </w:rPr>
              <w:t>及审价等</w:t>
            </w:r>
            <w:r>
              <w:rPr>
                <w:rFonts w:hint="eastAsia" w:ascii="宋体-简" w:hAnsi="宋体-简" w:eastAsia="宋体-简" w:cs="Calibri"/>
                <w:kern w:val="0"/>
                <w:szCs w:val="21"/>
                <w:lang w:val="zh-TW"/>
              </w:rPr>
              <w:t>工作</w:t>
            </w:r>
          </w:p>
        </w:tc>
      </w:tr>
    </w:tbl>
    <w:p>
      <w:pPr>
        <w:numPr>
          <w:ilvl w:val="0"/>
          <w:numId w:val="3"/>
        </w:numPr>
        <w:tabs>
          <w:tab w:val="left" w:pos="567"/>
        </w:tabs>
        <w:spacing w:before="100" w:beforeAutospacing="1" w:line="500" w:lineRule="exact"/>
        <w:rPr>
          <w:rFonts w:hint="eastAsia" w:ascii="宋体-简" w:hAnsi="宋体-简" w:eastAsia="宋体-简"/>
          <w:szCs w:val="21"/>
        </w:rPr>
      </w:pPr>
      <w:r>
        <w:rPr>
          <w:rFonts w:hint="eastAsia" w:ascii="宋体-简" w:hAnsi="宋体-简" w:eastAsia="宋体-简"/>
          <w:b/>
          <w:bCs/>
          <w:szCs w:val="21"/>
        </w:rPr>
        <w:t>采购附件资料</w:t>
      </w:r>
    </w:p>
    <w:p>
      <w:pPr>
        <w:tabs>
          <w:tab w:val="left" w:pos="567"/>
        </w:tabs>
        <w:spacing w:before="100" w:beforeAutospacing="1" w:line="500" w:lineRule="exact"/>
        <w:rPr>
          <w:rFonts w:hint="eastAsia" w:ascii="宋体-简" w:hAnsi="宋体-简" w:eastAsia="宋体-简"/>
          <w:szCs w:val="21"/>
        </w:rPr>
      </w:pPr>
      <w:r>
        <w:rPr>
          <w:rFonts w:hint="eastAsia" w:ascii="宋体-简" w:hAnsi="宋体-简" w:eastAsia="宋体-简"/>
          <w:szCs w:val="21"/>
        </w:rPr>
        <w:t>附件一 临展厅展览区域示意（pdf文件）</w:t>
      </w:r>
    </w:p>
    <w:p>
      <w:pPr>
        <w:spacing w:line="500" w:lineRule="exact"/>
        <w:rPr>
          <w:rFonts w:hint="eastAsia" w:ascii="宋体-简" w:hAnsi="宋体-简" w:eastAsia="宋体-简"/>
          <w:szCs w:val="21"/>
        </w:rPr>
      </w:pPr>
      <w:r>
        <w:rPr>
          <w:rFonts w:ascii="宋体-简" w:hAnsi="宋体-简" w:eastAsia="宋体-简"/>
          <w:szCs w:val="21"/>
        </w:rPr>
        <w:t>附件</w:t>
      </w:r>
      <w:r>
        <w:rPr>
          <w:rFonts w:hint="eastAsia" w:ascii="宋体-简" w:hAnsi="宋体-简" w:eastAsia="宋体-简"/>
          <w:szCs w:val="21"/>
        </w:rPr>
        <w:t>二 临展厅</w:t>
      </w:r>
      <w:r>
        <w:rPr>
          <w:rFonts w:ascii="宋体-简" w:hAnsi="宋体-简" w:eastAsia="宋体-简"/>
          <w:szCs w:val="21"/>
        </w:rPr>
        <w:t>场地平面图</w:t>
      </w:r>
      <w:r>
        <w:rPr>
          <w:rFonts w:hint="eastAsia" w:ascii="宋体-简" w:hAnsi="宋体-简" w:eastAsia="宋体-简"/>
          <w:szCs w:val="21"/>
        </w:rPr>
        <w:t>（pdf文件）</w:t>
      </w:r>
    </w:p>
    <w:p>
      <w:pPr>
        <w:spacing w:line="500" w:lineRule="exact"/>
        <w:rPr>
          <w:rFonts w:hint="eastAsia" w:ascii="宋体-简" w:hAnsi="宋体-简" w:eastAsia="宋体-简"/>
          <w:szCs w:val="21"/>
          <w:highlight w:val="yellow"/>
        </w:rPr>
      </w:pPr>
      <w:r>
        <w:rPr>
          <w:rFonts w:hint="eastAsia" w:ascii="宋体-简" w:hAnsi="宋体-简" w:eastAsia="宋体-简"/>
          <w:szCs w:val="21"/>
        </w:rPr>
        <w:t>附件三 临展厅综合灯光图纸</w:t>
      </w:r>
    </w:p>
    <w:p>
      <w:pPr>
        <w:spacing w:line="500" w:lineRule="exact"/>
        <w:rPr>
          <w:rFonts w:hint="eastAsia" w:ascii="宋体-简" w:hAnsi="宋体-简" w:eastAsia="宋体-简"/>
          <w:szCs w:val="21"/>
        </w:rPr>
      </w:pPr>
      <w:r>
        <w:rPr>
          <w:rFonts w:ascii="宋体-简" w:hAnsi="宋体-简" w:eastAsia="宋体-简"/>
          <w:szCs w:val="21"/>
        </w:rPr>
        <w:t>附件</w:t>
      </w:r>
      <w:r>
        <w:rPr>
          <w:rFonts w:hint="eastAsia" w:ascii="宋体-简" w:hAnsi="宋体-简" w:eastAsia="宋体-简"/>
          <w:szCs w:val="21"/>
        </w:rPr>
        <w:t>四 采购方原有资源清单及特殊展项</w:t>
      </w:r>
    </w:p>
    <w:p>
      <w:pPr>
        <w:spacing w:line="500" w:lineRule="exact"/>
        <w:rPr>
          <w:rFonts w:hint="eastAsia" w:ascii="宋体-简" w:hAnsi="宋体-简" w:eastAsia="宋体-简"/>
          <w:szCs w:val="21"/>
        </w:rPr>
      </w:pPr>
      <w:r>
        <w:rPr>
          <w:rFonts w:hint="eastAsia" w:ascii="宋体-简" w:hAnsi="宋体-简" w:eastAsia="宋体-简"/>
          <w:szCs w:val="21"/>
        </w:rPr>
        <w:t>附件五 采购方特殊展项图纸（声场装置）</w:t>
      </w:r>
    </w:p>
    <w:p>
      <w:pPr>
        <w:pStyle w:val="15"/>
        <w:spacing w:line="500" w:lineRule="exact"/>
        <w:ind w:firstLine="0" w:firstLineChars="0"/>
        <w:outlineLvl w:val="0"/>
        <w:rPr>
          <w:rFonts w:hint="eastAsia" w:ascii="宋体-简" w:hAnsi="宋体-简" w:eastAsia="宋体-简"/>
          <w:b/>
          <w:bCs/>
          <w:szCs w:val="21"/>
        </w:rPr>
      </w:pPr>
    </w:p>
    <w:p>
      <w:pPr>
        <w:pStyle w:val="27"/>
        <w:numPr>
          <w:ilvl w:val="0"/>
          <w:numId w:val="2"/>
        </w:numPr>
        <w:spacing w:before="100" w:beforeAutospacing="1" w:after="100" w:afterAutospacing="1" w:line="500" w:lineRule="exact"/>
        <w:ind w:firstLineChars="0"/>
        <w:rPr>
          <w:rFonts w:hint="eastAsia" w:ascii="宋体" w:hAnsi="宋体" w:eastAsia="宋体-简"/>
          <w:b/>
          <w:szCs w:val="21"/>
        </w:rPr>
      </w:pPr>
      <w:r>
        <w:rPr>
          <w:rFonts w:hint="eastAsia" w:ascii="宋体" w:hAnsi="宋体"/>
          <w:b/>
          <w:sz w:val="21"/>
          <w:szCs w:val="21"/>
        </w:rPr>
        <w:t>第二部分 项目采购需求</w:t>
      </w:r>
    </w:p>
    <w:p>
      <w:pPr>
        <w:numPr>
          <w:ilvl w:val="0"/>
          <w:numId w:val="4"/>
        </w:numPr>
        <w:tabs>
          <w:tab w:val="left" w:pos="567"/>
        </w:tabs>
        <w:spacing w:before="100" w:beforeAutospacing="1" w:line="500" w:lineRule="exact"/>
        <w:rPr>
          <w:rFonts w:hint="eastAsia" w:ascii="宋体" w:hAnsi="宋体"/>
          <w:b/>
          <w:szCs w:val="21"/>
        </w:rPr>
      </w:pPr>
      <w:r>
        <w:rPr>
          <w:rFonts w:hint="eastAsia" w:ascii="宋体" w:hAnsi="宋体"/>
          <w:b/>
          <w:szCs w:val="21"/>
        </w:rPr>
        <w:t>项目概述</w:t>
      </w:r>
    </w:p>
    <w:p>
      <w:pPr>
        <w:pStyle w:val="15"/>
        <w:spacing w:line="500" w:lineRule="exact"/>
        <w:rPr>
          <w:rFonts w:hint="eastAsia" w:ascii="宋体-简" w:hAnsi="宋体-简" w:eastAsia="宋体-简"/>
          <w:szCs w:val="21"/>
        </w:rPr>
      </w:pPr>
      <w:r>
        <w:rPr>
          <w:rFonts w:hint="eastAsia" w:ascii="宋体-简" w:hAnsi="宋体-简" w:eastAsia="宋体-简"/>
          <w:szCs w:val="21"/>
        </w:rPr>
        <w:t>本展览以</w:t>
      </w:r>
      <w:r>
        <w:rPr>
          <w:rFonts w:ascii="宋体-简" w:hAnsi="宋体-简" w:eastAsia="宋体-简"/>
          <w:szCs w:val="21"/>
        </w:rPr>
        <w:t>"</w:t>
      </w:r>
      <w:r>
        <w:rPr>
          <w:rFonts w:hint="eastAsia" w:ascii="宋体-简" w:hAnsi="宋体-简" w:eastAsia="宋体-简"/>
          <w:szCs w:val="21"/>
        </w:rPr>
        <w:t>歌剧</w:t>
      </w:r>
      <w:r>
        <w:rPr>
          <w:rFonts w:ascii="宋体-简" w:hAnsi="宋体-简" w:eastAsia="宋体-简"/>
          <w:szCs w:val="21"/>
        </w:rPr>
        <w:t>"</w:t>
      </w:r>
      <w:r>
        <w:rPr>
          <w:rFonts w:hint="eastAsia" w:ascii="宋体-简" w:hAnsi="宋体-简" w:eastAsia="宋体-简"/>
          <w:szCs w:val="21"/>
        </w:rPr>
        <w:t>为主线，串联世界与中国、历史与当代、台前与幕后、艺术与生活四个维度，构建一个兼具知识性、体验性与情感共鸣的沉浸式展览。需要具有民族特色的艺术表达，并可以</w:t>
      </w:r>
      <w:r>
        <w:rPr>
          <w:rFonts w:ascii="宋体-简" w:hAnsi="宋体-简" w:eastAsia="宋体-简"/>
          <w:szCs w:val="21"/>
        </w:rPr>
        <w:t>"</w:t>
      </w:r>
      <w:r>
        <w:rPr>
          <w:rFonts w:hint="eastAsia" w:ascii="宋体-简" w:hAnsi="宋体-简" w:eastAsia="宋体-简"/>
          <w:szCs w:val="21"/>
        </w:rPr>
        <w:t>上海</w:t>
      </w:r>
      <w:r>
        <w:rPr>
          <w:rFonts w:ascii="宋体-简" w:hAnsi="宋体-简" w:eastAsia="宋体-简"/>
          <w:szCs w:val="21"/>
        </w:rPr>
        <w:t>"</w:t>
      </w:r>
      <w:r>
        <w:rPr>
          <w:rFonts w:hint="eastAsia" w:ascii="宋体-简" w:hAnsi="宋体-简" w:eastAsia="宋体-简"/>
          <w:szCs w:val="21"/>
        </w:rPr>
        <w:t>为叙事地理坐标，凸显本地文化语境，与上海大歌剧院形成地缘呼应，融入特殊展项。同时以开放性、灵活性、可拓展为核心，兼顾多重展厅使用功能需求及长期维护运营便利性，构建展厅与演出季、公众活动、品牌跨界的连接平台。</w:t>
      </w:r>
    </w:p>
    <w:p>
      <w:pPr>
        <w:pStyle w:val="15"/>
        <w:spacing w:line="500" w:lineRule="exact"/>
        <w:rPr>
          <w:rFonts w:hint="eastAsia" w:ascii="宋体-简" w:hAnsi="宋体-简" w:eastAsia="宋体-简"/>
          <w:szCs w:val="21"/>
        </w:rPr>
      </w:pPr>
      <w:r>
        <w:rPr>
          <w:rFonts w:hint="eastAsia" w:ascii="宋体-简" w:hAnsi="宋体-简" w:eastAsia="宋体-简"/>
          <w:szCs w:val="21"/>
        </w:rPr>
        <w:t>本项目拟围绕上海大歌剧院相关展示空间，建设面向公众开放的歌剧公共教育科普展览。项目应以歌剧艺术普及、公众美育传播和场馆文化形象展示为核心，</w:t>
      </w:r>
      <w:r>
        <w:rPr>
          <w:rFonts w:ascii="宋体-简" w:hAnsi="宋体-简" w:eastAsia="宋体-简"/>
          <w:szCs w:val="21"/>
        </w:rPr>
        <w:t>展览</w:t>
      </w:r>
      <w:r>
        <w:rPr>
          <w:rFonts w:hint="eastAsia" w:ascii="宋体-简" w:hAnsi="宋体-简" w:eastAsia="宋体-简"/>
          <w:szCs w:val="21"/>
        </w:rPr>
        <w:t>将</w:t>
      </w:r>
      <w:r>
        <w:rPr>
          <w:rFonts w:ascii="宋体-简" w:hAnsi="宋体-简" w:eastAsia="宋体-简"/>
          <w:szCs w:val="21"/>
        </w:rPr>
        <w:t>面向全体市民免费开放</w:t>
      </w:r>
      <w:r>
        <w:rPr>
          <w:rFonts w:hint="eastAsia" w:ascii="宋体-简" w:hAnsi="宋体-简" w:eastAsia="宋体-简"/>
          <w:szCs w:val="21"/>
        </w:rPr>
        <w:t>，需结合上海大歌剧院的空间条件、观众参观需求及公共文化服务属性，形成内容准确、表达生动、体验友好、布展合理、便于后期维护管理的综合性展示空间。</w:t>
      </w:r>
    </w:p>
    <w:p>
      <w:pPr>
        <w:pStyle w:val="15"/>
        <w:spacing w:line="500" w:lineRule="exact"/>
        <w:ind w:firstLine="0" w:firstLineChars="0"/>
        <w:rPr>
          <w:rFonts w:hint="eastAsia" w:ascii="宋体-简" w:hAnsi="宋体-简" w:eastAsia="宋体-简"/>
          <w:szCs w:val="21"/>
        </w:rPr>
      </w:pPr>
    </w:p>
    <w:p>
      <w:pPr>
        <w:numPr>
          <w:ilvl w:val="0"/>
          <w:numId w:val="4"/>
        </w:numPr>
        <w:tabs>
          <w:tab w:val="left" w:pos="567"/>
        </w:tabs>
        <w:spacing w:before="100" w:beforeAutospacing="1" w:line="500" w:lineRule="exact"/>
        <w:rPr>
          <w:rFonts w:hint="eastAsia" w:ascii="宋体" w:hAnsi="宋体"/>
          <w:b/>
          <w:szCs w:val="21"/>
        </w:rPr>
      </w:pPr>
      <w:r>
        <w:rPr>
          <w:rFonts w:hint="eastAsia" w:ascii="宋体" w:hAnsi="宋体"/>
          <w:b/>
          <w:szCs w:val="21"/>
        </w:rPr>
        <w:t>项目需求和技术要求</w:t>
      </w:r>
    </w:p>
    <w:p>
      <w:pPr>
        <w:spacing w:line="500" w:lineRule="exact"/>
        <w:ind w:firstLine="420" w:firstLineChars="200"/>
        <w:contextualSpacing/>
        <w:rPr>
          <w:rFonts w:hint="eastAsia" w:ascii="宋体" w:hAnsi="宋体"/>
          <w:szCs w:val="21"/>
        </w:rPr>
      </w:pPr>
      <w:r>
        <w:rPr>
          <w:rFonts w:hint="eastAsia" w:ascii="宋体" w:hAnsi="宋体"/>
          <w:szCs w:val="21"/>
        </w:rPr>
        <w:t>本采购项目主要包括该临时展览的展览内容策划、展览主题与叙事梳理、空间布展方案设计、展示内容设计、交互策划、照明氛围设计、材料与工艺建议、展陈制作、设备采买</w:t>
      </w:r>
      <w:r>
        <w:rPr>
          <w:rFonts w:ascii="宋体" w:hAnsi="宋体"/>
          <w:szCs w:val="21"/>
        </w:rPr>
        <w:t>/租赁</w:t>
      </w:r>
      <w:r>
        <w:rPr>
          <w:rFonts w:hint="eastAsia" w:ascii="宋体" w:hAnsi="宋体"/>
          <w:szCs w:val="21"/>
        </w:rPr>
        <w:t>、现场布展、调试完善、试运行、验收配合、资料移交、使用培训及后续维护服务等。要求在采购人提出的展览内容及框架基础上，采用切合展览主题、宗旨、周期和展品保护要求的展陈手段和设施，在满足展览要求和有关规范基础上，保质、保量、按期完成本采购项目。</w:t>
      </w:r>
    </w:p>
    <w:p>
      <w:pPr>
        <w:pStyle w:val="27"/>
        <w:numPr>
          <w:ilvl w:val="0"/>
          <w:numId w:val="5"/>
        </w:numPr>
        <w:spacing w:before="100" w:beforeAutospacing="1" w:line="500" w:lineRule="exact"/>
        <w:ind w:firstLineChars="0"/>
        <w:rPr>
          <w:rFonts w:hint="eastAsia" w:ascii="宋体" w:hAnsi="宋体"/>
          <w:b/>
          <w:bCs/>
          <w:sz w:val="21"/>
          <w:szCs w:val="21"/>
        </w:rPr>
      </w:pPr>
      <w:r>
        <w:rPr>
          <w:rFonts w:hint="eastAsia" w:ascii="宋体" w:hAnsi="宋体"/>
          <w:b/>
          <w:bCs/>
          <w:sz w:val="21"/>
          <w:szCs w:val="21"/>
        </w:rPr>
        <w:t>展览内容策划及框架</w:t>
      </w:r>
    </w:p>
    <w:p>
      <w:pPr>
        <w:pStyle w:val="15"/>
        <w:numPr>
          <w:ilvl w:val="0"/>
          <w:numId w:val="6"/>
        </w:numPr>
        <w:spacing w:line="500" w:lineRule="exact"/>
        <w:ind w:firstLineChars="0"/>
        <w:rPr>
          <w:rFonts w:hint="eastAsia" w:ascii="宋体-简" w:hAnsi="宋体-简" w:eastAsia="宋体-简"/>
          <w:szCs w:val="21"/>
        </w:rPr>
      </w:pPr>
      <w:r>
        <w:rPr>
          <w:rFonts w:hint="eastAsia" w:ascii="宋体-简" w:hAnsi="宋体-简" w:eastAsia="宋体-简"/>
          <w:szCs w:val="21"/>
        </w:rPr>
        <w:t>投标人应根据本项目定位，提出完整的歌剧公共教育科普展览内容方案。内容应围绕歌剧艺术普及、观众认知引导、场馆文化传播及公共教育需求展开，形成主题明确、结构清晰、层次合理的内容体系。</w:t>
      </w:r>
    </w:p>
    <w:p>
      <w:pPr>
        <w:pStyle w:val="15"/>
        <w:numPr>
          <w:ilvl w:val="0"/>
          <w:numId w:val="6"/>
        </w:numPr>
        <w:spacing w:line="500" w:lineRule="exact"/>
        <w:ind w:firstLineChars="0"/>
        <w:rPr>
          <w:rFonts w:hint="eastAsia" w:ascii="宋体-简" w:hAnsi="宋体-简" w:eastAsia="宋体-简"/>
          <w:szCs w:val="21"/>
        </w:rPr>
      </w:pPr>
      <w:r>
        <w:rPr>
          <w:rFonts w:hint="eastAsia" w:ascii="宋体-简" w:hAnsi="宋体-简" w:eastAsia="宋体-简"/>
          <w:szCs w:val="21"/>
        </w:rPr>
        <w:t>展览主题：声融东西 歌剧无界</w:t>
      </w:r>
    </w:p>
    <w:p>
      <w:pPr>
        <w:pStyle w:val="15"/>
        <w:numPr>
          <w:ilvl w:val="0"/>
          <w:numId w:val="6"/>
        </w:numPr>
        <w:spacing w:line="500" w:lineRule="exact"/>
        <w:ind w:firstLineChars="0"/>
        <w:rPr>
          <w:rFonts w:hint="eastAsia" w:ascii="宋体-简" w:hAnsi="宋体-简" w:eastAsia="宋体-简"/>
          <w:szCs w:val="21"/>
        </w:rPr>
      </w:pPr>
      <w:r>
        <w:rPr>
          <w:rFonts w:hint="eastAsia" w:ascii="宋体-简" w:hAnsi="宋体-简" w:eastAsia="宋体-简"/>
          <w:szCs w:val="21"/>
        </w:rPr>
        <w:t>展览框架：</w:t>
      </w:r>
    </w:p>
    <w:p>
      <w:pPr>
        <w:pStyle w:val="15"/>
        <w:spacing w:line="500" w:lineRule="exact"/>
        <w:ind w:left="440" w:firstLine="0" w:firstLineChars="0"/>
        <w:rPr>
          <w:rFonts w:hint="eastAsia" w:ascii="宋体-简" w:hAnsi="宋体-简" w:eastAsia="宋体-简"/>
          <w:szCs w:val="21"/>
        </w:rPr>
      </w:pPr>
      <w:r>
        <w:rPr>
          <w:rFonts w:hint="eastAsia" w:ascii="宋体-简" w:hAnsi="宋体-简" w:eastAsia="宋体-简"/>
          <w:szCs w:val="21"/>
        </w:rPr>
        <w:t>整体结构分为四大核心板块，整体叙事逻辑如下：</w:t>
      </w:r>
    </w:p>
    <w:p>
      <w:pPr>
        <w:pStyle w:val="15"/>
        <w:numPr>
          <w:ilvl w:val="0"/>
          <w:numId w:val="7"/>
        </w:numPr>
        <w:spacing w:line="500" w:lineRule="exact"/>
        <w:ind w:firstLineChars="0"/>
        <w:rPr>
          <w:rFonts w:hint="eastAsia" w:ascii="宋体-简" w:hAnsi="宋体-简" w:eastAsia="宋体-简"/>
          <w:szCs w:val="21"/>
        </w:rPr>
      </w:pPr>
      <w:r>
        <w:rPr>
          <w:rFonts w:ascii="宋体-简" w:hAnsi="宋体-简" w:eastAsia="宋体-简"/>
          <w:szCs w:val="21"/>
        </w:rPr>
        <w:t>空间四层递进构成</w:t>
      </w:r>
      <w:r>
        <w:rPr>
          <w:rFonts w:hint="eastAsia" w:ascii="宋体-简" w:hAnsi="宋体-简" w:eastAsia="宋体-简"/>
          <w:szCs w:val="21"/>
        </w:rPr>
        <w:t>：西方歌剧发展史、中国歌剧发展（含上海大歌剧院专属内容）、歌剧全幕后工种创作体系、复合多功能延展</w:t>
      </w:r>
      <w:r>
        <w:rPr>
          <w:rFonts w:hint="eastAsia" w:ascii="宋体-简" w:hAnsi="宋体-简" w:eastAsia="宋体-简" w:cs="Arial"/>
          <w:color w:val="000000"/>
          <w:szCs w:val="21"/>
        </w:rPr>
        <w:t>；投标方可自行调换板块顺序、</w:t>
      </w:r>
      <w:r>
        <w:rPr>
          <w:rFonts w:hint="eastAsia" w:ascii="宋体-简" w:hAnsi="宋体-简" w:eastAsia="宋体-简"/>
          <w:szCs w:val="21"/>
        </w:rPr>
        <w:t>更换板块系列名称、</w:t>
      </w:r>
      <w:r>
        <w:rPr>
          <w:rFonts w:hint="eastAsia" w:ascii="宋体-简" w:hAnsi="宋体-简" w:eastAsia="宋体-简" w:cs="Arial"/>
          <w:color w:val="000000"/>
          <w:szCs w:val="21"/>
        </w:rPr>
        <w:t>调整各板块篇幅侧重、</w:t>
      </w:r>
      <w:r>
        <w:rPr>
          <w:rFonts w:hint="eastAsia" w:ascii="宋体-简" w:hAnsi="宋体-简" w:eastAsia="宋体-简"/>
          <w:szCs w:val="21"/>
        </w:rPr>
        <w:t>增减展示剧目、</w:t>
      </w:r>
      <w:r>
        <w:rPr>
          <w:rFonts w:hint="eastAsia" w:ascii="宋体-简" w:hAnsi="宋体-简" w:eastAsia="宋体-简" w:cs="Arial"/>
          <w:color w:val="000000"/>
          <w:szCs w:val="21"/>
        </w:rPr>
        <w:t>新增过渡</w:t>
      </w:r>
      <w:r>
        <w:rPr>
          <w:rFonts w:hint="eastAsia" w:ascii="宋体-简" w:hAnsi="宋体-简" w:eastAsia="宋体-简"/>
          <w:szCs w:val="21"/>
        </w:rPr>
        <w:t>空间</w:t>
      </w:r>
      <w:r>
        <w:rPr>
          <w:rFonts w:hint="eastAsia" w:ascii="宋体-简" w:hAnsi="宋体-简" w:eastAsia="宋体-简" w:cs="Arial"/>
          <w:color w:val="000000"/>
          <w:szCs w:val="21"/>
        </w:rPr>
        <w:t>，自主设计参观动线与叙事主线。</w:t>
      </w:r>
    </w:p>
    <w:p>
      <w:pPr>
        <w:spacing w:line="500" w:lineRule="exact"/>
        <w:ind w:firstLine="360"/>
        <w:rPr>
          <w:rFonts w:hint="eastAsia" w:ascii="宋体-简" w:hAnsi="宋体-简" w:eastAsia="宋体-简" w:cs="Arial"/>
          <w:b/>
          <w:bCs/>
          <w:color w:val="000000"/>
          <w:sz w:val="24"/>
          <w:szCs w:val="21"/>
        </w:rPr>
      </w:pPr>
      <w:r>
        <w:rPr>
          <w:rFonts w:hint="eastAsia" w:ascii="宋体-简" w:hAnsi="宋体-简" w:eastAsia="宋体-简" w:cs="Arial"/>
          <w:b/>
          <w:bCs/>
          <w:color w:val="000000"/>
          <w:sz w:val="24"/>
          <w:szCs w:val="21"/>
        </w:rPr>
        <w:t>板块一：西方歌剧通史板块</w:t>
      </w:r>
    </w:p>
    <w:p>
      <w:pPr>
        <w:widowControl/>
        <w:numPr>
          <w:ilvl w:val="0"/>
          <w:numId w:val="8"/>
        </w:numPr>
        <w:spacing w:line="500" w:lineRule="exact"/>
        <w:jc w:val="left"/>
        <w:rPr>
          <w:rFonts w:hint="eastAsia" w:ascii="宋体-简" w:hAnsi="宋体-简" w:eastAsia="宋体-简"/>
          <w:szCs w:val="21"/>
        </w:rPr>
      </w:pPr>
      <w:r>
        <w:rPr>
          <w:rFonts w:hint="eastAsia" w:ascii="宋体-简" w:hAnsi="宋体-简" w:eastAsia="宋体-简"/>
          <w:szCs w:val="21"/>
        </w:rPr>
        <w:t>整体描述：按国别划分，梳理意大利、德奥、法国、俄罗斯四大歌剧主流流派，呈现四百年西方歌剧发展脉络、艺术思潮演变与风格差异。以地域为区分，总结各流派艺术底色、代表人物、经典剧目及流派艺术思潮。</w:t>
      </w:r>
    </w:p>
    <w:p>
      <w:pPr>
        <w:widowControl/>
        <w:numPr>
          <w:ilvl w:val="0"/>
          <w:numId w:val="8"/>
        </w:numPr>
        <w:spacing w:line="500" w:lineRule="exact"/>
        <w:jc w:val="left"/>
        <w:rPr>
          <w:rFonts w:hint="eastAsia" w:ascii="宋体-简" w:hAnsi="宋体-简" w:eastAsia="宋体-简"/>
          <w:szCs w:val="21"/>
        </w:rPr>
      </w:pPr>
      <w:r>
        <w:rPr>
          <w:rFonts w:hint="eastAsia" w:ascii="宋体-简" w:hAnsi="宋体-简" w:eastAsia="宋体-简"/>
          <w:szCs w:val="21"/>
        </w:rPr>
        <w:t>涉及剧目：《尤丽狄茜》《茶花女》《图兰朵》《魔笛》《魔弹射手》《尼伯龙根的指环》《卡门》《佩利亚斯与梅丽桑德》《黑桃皇后》等。</w:t>
      </w:r>
    </w:p>
    <w:p>
      <w:pPr>
        <w:widowControl/>
        <w:spacing w:line="500" w:lineRule="exact"/>
        <w:ind w:left="360"/>
        <w:jc w:val="left"/>
        <w:rPr>
          <w:rFonts w:hint="eastAsia" w:ascii="宋体-简" w:hAnsi="宋体-简" w:eastAsia="宋体-简" w:cs="Arial"/>
          <w:b/>
          <w:bCs/>
          <w:color w:val="000000"/>
          <w:sz w:val="24"/>
          <w:szCs w:val="21"/>
        </w:rPr>
      </w:pPr>
      <w:r>
        <w:rPr>
          <w:rFonts w:hint="eastAsia" w:ascii="宋体-简" w:hAnsi="宋体-简" w:eastAsia="宋体-简" w:cs="Arial"/>
          <w:b/>
          <w:bCs/>
          <w:color w:val="000000"/>
          <w:sz w:val="24"/>
          <w:szCs w:val="21"/>
        </w:rPr>
        <w:t>板块二：中国歌剧</w:t>
      </w:r>
      <w:r>
        <w:rPr>
          <w:rFonts w:ascii="宋体-简" w:hAnsi="宋体-简" w:eastAsia="宋体-简" w:cs="Arial"/>
          <w:b/>
          <w:bCs/>
          <w:color w:val="000000"/>
          <w:sz w:val="24"/>
          <w:szCs w:val="21"/>
        </w:rPr>
        <w:t xml:space="preserve"> + </w:t>
      </w:r>
      <w:r>
        <w:rPr>
          <w:rFonts w:hint="eastAsia" w:ascii="宋体-简" w:hAnsi="宋体-简" w:eastAsia="宋体-简" w:cs="Arial"/>
          <w:b/>
          <w:bCs/>
          <w:color w:val="000000"/>
          <w:sz w:val="24"/>
          <w:szCs w:val="21"/>
        </w:rPr>
        <w:t>上海大歌剧院板块</w:t>
      </w:r>
    </w:p>
    <w:p>
      <w:pPr>
        <w:widowControl/>
        <w:numPr>
          <w:ilvl w:val="0"/>
          <w:numId w:val="9"/>
        </w:numPr>
        <w:spacing w:line="500" w:lineRule="exact"/>
        <w:jc w:val="left"/>
        <w:rPr>
          <w:rFonts w:hint="eastAsia" w:ascii="宋体-简" w:hAnsi="宋体-简" w:eastAsia="宋体-简"/>
          <w:szCs w:val="21"/>
        </w:rPr>
      </w:pPr>
      <w:r>
        <w:rPr>
          <w:rFonts w:hint="eastAsia" w:ascii="宋体-简" w:hAnsi="宋体-简" w:eastAsia="宋体-简"/>
          <w:szCs w:val="21"/>
        </w:rPr>
        <w:t>整体描述：梳理中国歌剧从引入、萌芽、红色民族歌剧到当代多元原创的完整发展历程，嵌入上海本地歌剧历史，最后展示上海大歌剧院建筑、定位与全球歌剧院参照。</w:t>
      </w:r>
    </w:p>
    <w:p>
      <w:pPr>
        <w:widowControl/>
        <w:numPr>
          <w:ilvl w:val="0"/>
          <w:numId w:val="9"/>
        </w:numPr>
        <w:spacing w:line="500" w:lineRule="exact"/>
        <w:jc w:val="left"/>
        <w:rPr>
          <w:rFonts w:hint="eastAsia" w:ascii="宋体-简" w:hAnsi="宋体-简" w:eastAsia="宋体-简"/>
          <w:szCs w:val="21"/>
        </w:rPr>
      </w:pPr>
      <w:r>
        <w:rPr>
          <w:rFonts w:hint="eastAsia" w:ascii="宋体-简" w:hAnsi="宋体-简" w:eastAsia="宋体-简"/>
          <w:szCs w:val="21"/>
        </w:rPr>
        <w:t>涉及剧目：《秋子》《白毛女》《江姐》《原野》《沂蒙山》《长征》《骆驼祥子》《雷雨》《诗人李白》等。</w:t>
      </w:r>
    </w:p>
    <w:p>
      <w:pPr>
        <w:widowControl/>
        <w:spacing w:line="500" w:lineRule="exact"/>
        <w:ind w:firstLine="361" w:firstLineChars="150"/>
        <w:jc w:val="left"/>
        <w:rPr>
          <w:rFonts w:hint="eastAsia" w:ascii="宋体-简" w:hAnsi="宋体-简" w:eastAsia="宋体-简" w:cs="Arial"/>
          <w:b/>
          <w:bCs/>
          <w:color w:val="000000"/>
          <w:sz w:val="24"/>
          <w:szCs w:val="21"/>
        </w:rPr>
      </w:pPr>
      <w:r>
        <w:rPr>
          <w:rFonts w:hint="eastAsia" w:ascii="宋体-简" w:hAnsi="宋体-简" w:eastAsia="宋体-简" w:cs="Arial"/>
          <w:b/>
          <w:bCs/>
          <w:color w:val="000000"/>
          <w:sz w:val="24"/>
          <w:szCs w:val="21"/>
        </w:rPr>
        <w:t>板块三：歌剧全生产流程科普板块</w:t>
      </w:r>
    </w:p>
    <w:p>
      <w:pPr>
        <w:widowControl/>
        <w:numPr>
          <w:ilvl w:val="0"/>
          <w:numId w:val="10"/>
        </w:numPr>
        <w:spacing w:line="500" w:lineRule="exact"/>
        <w:jc w:val="left"/>
        <w:rPr>
          <w:rFonts w:hint="eastAsia" w:ascii="宋体-简" w:hAnsi="宋体-简" w:eastAsia="宋体-简"/>
          <w:szCs w:val="21"/>
        </w:rPr>
      </w:pPr>
      <w:r>
        <w:rPr>
          <w:rFonts w:hint="eastAsia" w:ascii="宋体-简" w:hAnsi="宋体-简" w:eastAsia="宋体-简"/>
          <w:szCs w:val="21"/>
        </w:rPr>
        <w:t>整体描述：覆盖舞台后台技术、词曲创作、排演统筹、演员妆造四大幕后维度，拆解歌剧从文字乐谱到舞台演出全流程，设置场景化、互动化科普内容，还原一台歌剧诞生链条。</w:t>
      </w:r>
    </w:p>
    <w:p>
      <w:pPr>
        <w:widowControl/>
        <w:numPr>
          <w:ilvl w:val="0"/>
          <w:numId w:val="10"/>
        </w:numPr>
        <w:spacing w:line="500" w:lineRule="exact"/>
        <w:jc w:val="left"/>
        <w:rPr>
          <w:rFonts w:hint="eastAsia" w:ascii="宋体-简" w:hAnsi="宋体-简" w:eastAsia="宋体-简"/>
          <w:szCs w:val="21"/>
        </w:rPr>
      </w:pPr>
      <w:r>
        <w:rPr>
          <w:rFonts w:hint="eastAsia" w:ascii="宋体-简" w:hAnsi="宋体-简" w:eastAsia="宋体-简"/>
          <w:szCs w:val="21"/>
        </w:rPr>
        <w:t>涉及剧目：不限定单一剧目，可结合前两板块所有中西经典剧目截取幕后排演、舞美、妆造素材做举例展示。</w:t>
      </w:r>
    </w:p>
    <w:p>
      <w:pPr>
        <w:widowControl/>
        <w:spacing w:line="500" w:lineRule="exact"/>
        <w:ind w:left="360"/>
        <w:jc w:val="left"/>
        <w:rPr>
          <w:rFonts w:hint="eastAsia" w:ascii="宋体-简" w:hAnsi="宋体-简" w:eastAsia="宋体-简" w:cs="Arial"/>
          <w:b/>
          <w:bCs/>
          <w:color w:val="000000"/>
          <w:sz w:val="24"/>
          <w:szCs w:val="21"/>
        </w:rPr>
      </w:pPr>
      <w:r>
        <w:rPr>
          <w:rFonts w:hint="eastAsia" w:ascii="宋体-简" w:hAnsi="宋体-简" w:eastAsia="宋体-简" w:cs="Arial"/>
          <w:b/>
          <w:bCs/>
          <w:color w:val="000000"/>
          <w:sz w:val="24"/>
          <w:szCs w:val="21"/>
        </w:rPr>
        <w:t>板块四：临展</w:t>
      </w:r>
      <w:r>
        <w:rPr>
          <w:rFonts w:ascii="宋体-简" w:hAnsi="宋体-简" w:eastAsia="宋体-简" w:cs="Arial"/>
          <w:b/>
          <w:bCs/>
          <w:color w:val="000000"/>
          <w:sz w:val="24"/>
          <w:szCs w:val="21"/>
        </w:rPr>
        <w:t xml:space="preserve"> + </w:t>
      </w:r>
      <w:r>
        <w:rPr>
          <w:rFonts w:hint="eastAsia" w:ascii="宋体-简" w:hAnsi="宋体-简" w:eastAsia="宋体-简" w:cs="Arial"/>
          <w:b/>
          <w:bCs/>
          <w:color w:val="000000"/>
          <w:sz w:val="24"/>
          <w:szCs w:val="21"/>
        </w:rPr>
        <w:t>公教复合功能板块</w:t>
      </w:r>
    </w:p>
    <w:p>
      <w:pPr>
        <w:widowControl/>
        <w:numPr>
          <w:ilvl w:val="0"/>
          <w:numId w:val="11"/>
        </w:numPr>
        <w:spacing w:line="500" w:lineRule="exact"/>
        <w:jc w:val="left"/>
        <w:rPr>
          <w:rFonts w:hint="eastAsia" w:ascii="宋体-简" w:hAnsi="宋体-简" w:eastAsia="宋体-简"/>
          <w:szCs w:val="21"/>
        </w:rPr>
      </w:pPr>
      <w:r>
        <w:rPr>
          <w:rFonts w:hint="eastAsia" w:ascii="宋体-简" w:hAnsi="宋体-简" w:eastAsia="宋体-简"/>
          <w:szCs w:val="21"/>
        </w:rPr>
        <w:t>整体描述：区别于固定常设展，打造可灵活切换的弹性空间，</w:t>
      </w:r>
      <w:r>
        <w:rPr>
          <w:rFonts w:ascii="宋体-简" w:hAnsi="宋体-简" w:eastAsia="宋体-简"/>
          <w:szCs w:val="21"/>
        </w:rPr>
        <w:t>可变展览空间（短期专题）+ 固定</w:t>
      </w:r>
      <w:r>
        <w:rPr>
          <w:rFonts w:hint="eastAsia" w:ascii="宋体-简" w:hAnsi="宋体-简" w:eastAsia="宋体-简"/>
          <w:szCs w:val="21"/>
        </w:rPr>
        <w:t>公教</w:t>
      </w:r>
      <w:r>
        <w:rPr>
          <w:rFonts w:ascii="宋体-简" w:hAnsi="宋体-简" w:eastAsia="宋体-简"/>
          <w:szCs w:val="21"/>
        </w:rPr>
        <w:t>美育活动空间（常态化互动），实现展览从静态观看走向动态艺术交流</w:t>
      </w:r>
      <w:r>
        <w:rPr>
          <w:rFonts w:hint="eastAsia" w:ascii="宋体-简" w:hAnsi="宋体-简" w:eastAsia="宋体-简"/>
          <w:szCs w:val="21"/>
        </w:rPr>
        <w:t>，兼顾短期专题临展、线下艺术普及活动、媒体发布会、艺术沙龙、跨界展演等多元使用场景。</w:t>
      </w:r>
    </w:p>
    <w:p>
      <w:pPr>
        <w:widowControl/>
        <w:numPr>
          <w:ilvl w:val="0"/>
          <w:numId w:val="11"/>
        </w:numPr>
        <w:spacing w:line="500" w:lineRule="exact"/>
        <w:jc w:val="left"/>
        <w:rPr>
          <w:rFonts w:hint="eastAsia" w:ascii="宋体-简" w:hAnsi="宋体-简" w:eastAsia="宋体-简"/>
          <w:szCs w:val="21"/>
        </w:rPr>
      </w:pPr>
      <w:r>
        <w:rPr>
          <w:rFonts w:hint="eastAsia" w:ascii="宋体-简" w:hAnsi="宋体-简" w:eastAsia="宋体-简"/>
          <w:szCs w:val="21"/>
        </w:rPr>
        <w:t>涉及剧目：适配全品类歌剧主题临展，可按需轮换古今中外各类歌剧、艺术家专题内容，无固定限定剧目。</w:t>
      </w:r>
    </w:p>
    <w:p>
      <w:pPr>
        <w:pStyle w:val="15"/>
        <w:numPr>
          <w:ilvl w:val="0"/>
          <w:numId w:val="6"/>
        </w:numPr>
        <w:spacing w:line="500" w:lineRule="exact"/>
        <w:ind w:firstLineChars="0"/>
        <w:rPr>
          <w:rFonts w:hint="eastAsia" w:ascii="宋体-简" w:hAnsi="宋体-简" w:eastAsia="宋体-简"/>
          <w:szCs w:val="21"/>
        </w:rPr>
      </w:pPr>
      <w:r>
        <w:rPr>
          <w:rFonts w:hint="eastAsia" w:ascii="宋体-简" w:hAnsi="宋体-简" w:eastAsia="宋体-简"/>
          <w:szCs w:val="21"/>
        </w:rPr>
        <w:t>展览内容应兼顾专业性、准确性与公众可读性，能够以通俗、生动、易理解的方式呈现歌剧艺术相关知识，提升普通观众对歌剧艺术、剧场文化及公共文化空间的认知兴趣。</w:t>
      </w:r>
    </w:p>
    <w:p>
      <w:pPr>
        <w:pStyle w:val="15"/>
        <w:numPr>
          <w:ilvl w:val="0"/>
          <w:numId w:val="6"/>
        </w:numPr>
        <w:spacing w:line="500" w:lineRule="exact"/>
        <w:ind w:firstLineChars="0"/>
        <w:rPr>
          <w:rFonts w:hint="eastAsia" w:ascii="宋体-简" w:hAnsi="宋体-简" w:eastAsia="宋体-简"/>
          <w:szCs w:val="21"/>
        </w:rPr>
      </w:pPr>
      <w:r>
        <w:rPr>
          <w:rFonts w:hint="eastAsia" w:ascii="宋体-简" w:hAnsi="宋体-简" w:eastAsia="宋体-简"/>
          <w:szCs w:val="21"/>
        </w:rPr>
        <w:t>展览内容应结合上海大歌剧院的场馆属性、文化定位及公众服务功能，适当体现与场馆相关的文化信息，使展览内容与场馆整体形象形成协调关系。</w:t>
      </w:r>
    </w:p>
    <w:p>
      <w:pPr>
        <w:pStyle w:val="15"/>
        <w:numPr>
          <w:ilvl w:val="0"/>
          <w:numId w:val="6"/>
        </w:numPr>
        <w:spacing w:line="500" w:lineRule="exact"/>
        <w:ind w:firstLineChars="0"/>
        <w:rPr>
          <w:rFonts w:hint="eastAsia" w:ascii="宋体-简" w:hAnsi="宋体-简" w:eastAsia="宋体-简"/>
          <w:szCs w:val="21"/>
        </w:rPr>
      </w:pPr>
      <w:r>
        <w:rPr>
          <w:rFonts w:hint="eastAsia" w:ascii="宋体-简" w:hAnsi="宋体-简" w:eastAsia="宋体-简"/>
          <w:szCs w:val="21"/>
        </w:rPr>
        <w:t>投标人应对展览文字、图片、影像、声音、实物或其他展示媒介进行整体策划。展示媒介的选择应服从内容表达和观众体验需要，不作固定形式限定。</w:t>
      </w:r>
    </w:p>
    <w:p>
      <w:pPr>
        <w:pStyle w:val="15"/>
        <w:numPr>
          <w:ilvl w:val="0"/>
          <w:numId w:val="6"/>
        </w:numPr>
        <w:spacing w:line="500" w:lineRule="exact"/>
        <w:ind w:firstLineChars="0"/>
        <w:rPr>
          <w:rFonts w:hint="eastAsia" w:ascii="宋体-简" w:hAnsi="宋体-简" w:eastAsia="宋体-简"/>
          <w:szCs w:val="21"/>
        </w:rPr>
      </w:pPr>
      <w:r>
        <w:rPr>
          <w:rFonts w:hint="eastAsia" w:ascii="宋体-简" w:hAnsi="宋体-简" w:eastAsia="宋体-简"/>
          <w:szCs w:val="21"/>
        </w:rPr>
        <w:t>展览内容应考虑不同类型观众的理解习惯，兼顾普通观众、青少年观众及</w:t>
      </w:r>
      <w:r>
        <w:rPr>
          <w:rFonts w:ascii="宋体-简" w:hAnsi="宋体-简" w:eastAsia="宋体-简"/>
          <w:szCs w:val="21"/>
        </w:rPr>
        <w:t>歌剧爱好者</w:t>
      </w:r>
      <w:r>
        <w:rPr>
          <w:rFonts w:hint="eastAsia" w:ascii="宋体-简" w:hAnsi="宋体-简" w:eastAsia="宋体-简"/>
          <w:szCs w:val="21"/>
        </w:rPr>
        <w:t>的参观需求，形成具有传播性、体验性和教育意义的展览内容。</w:t>
      </w:r>
    </w:p>
    <w:p>
      <w:pPr>
        <w:pStyle w:val="27"/>
        <w:spacing w:before="100" w:beforeAutospacing="1" w:line="500" w:lineRule="exact"/>
        <w:ind w:firstLine="0" w:firstLineChars="0"/>
        <w:rPr>
          <w:rFonts w:hint="eastAsia" w:ascii="宋体" w:hAnsi="宋体"/>
          <w:b/>
          <w:bCs/>
          <w:sz w:val="21"/>
          <w:szCs w:val="21"/>
        </w:rPr>
      </w:pPr>
    </w:p>
    <w:p>
      <w:pPr>
        <w:pStyle w:val="27"/>
        <w:numPr>
          <w:ilvl w:val="0"/>
          <w:numId w:val="5"/>
        </w:numPr>
        <w:spacing w:before="100" w:beforeAutospacing="1" w:line="500" w:lineRule="exact"/>
        <w:ind w:firstLineChars="0"/>
        <w:rPr>
          <w:rFonts w:hint="eastAsia" w:ascii="宋体" w:hAnsi="宋体"/>
          <w:b/>
          <w:bCs/>
          <w:sz w:val="21"/>
          <w:szCs w:val="21"/>
        </w:rPr>
      </w:pPr>
      <w:r>
        <w:rPr>
          <w:rFonts w:ascii="宋体" w:hAnsi="宋体"/>
          <w:b/>
          <w:bCs/>
          <w:sz w:val="21"/>
          <w:szCs w:val="21"/>
        </w:rPr>
        <w:t>展览设计</w:t>
      </w:r>
    </w:p>
    <w:p>
      <w:pPr>
        <w:pStyle w:val="27"/>
        <w:numPr>
          <w:ilvl w:val="0"/>
          <w:numId w:val="12"/>
        </w:numPr>
        <w:spacing w:before="100" w:beforeAutospacing="1" w:line="500" w:lineRule="exact"/>
        <w:ind w:firstLineChars="0"/>
        <w:rPr>
          <w:rFonts w:hint="eastAsia" w:ascii="宋体" w:hAnsi="宋体"/>
          <w:b/>
          <w:bCs/>
          <w:sz w:val="21"/>
          <w:szCs w:val="21"/>
        </w:rPr>
      </w:pPr>
      <w:r>
        <w:rPr>
          <w:rFonts w:hint="eastAsia" w:ascii="宋体-简" w:hAnsi="宋体-简" w:eastAsia="宋体-简"/>
          <w:sz w:val="21"/>
          <w:szCs w:val="21"/>
        </w:rPr>
        <w:t>投标人应结合项目现场条件、展览主题及采购人使用需求，在不能破坏场地原有墙、地、柱、顶及监控等设施的情况下提出整体空间布展方案。方案应与歌剧公共教育科普展览定位、场馆气质及公共文化空间属性相协调，形成具有艺术性、识别度和整体感的展示氛围。</w:t>
      </w:r>
    </w:p>
    <w:p>
      <w:pPr>
        <w:pStyle w:val="27"/>
        <w:numPr>
          <w:ilvl w:val="0"/>
          <w:numId w:val="12"/>
        </w:numPr>
        <w:spacing w:before="100" w:beforeAutospacing="1" w:after="100" w:line="500" w:lineRule="exact"/>
        <w:ind w:firstLineChars="0"/>
        <w:rPr>
          <w:rFonts w:hint="eastAsia" w:ascii="宋体" w:hAnsi="宋体"/>
          <w:b/>
          <w:bCs/>
          <w:szCs w:val="21"/>
        </w:rPr>
      </w:pPr>
      <w:r>
        <w:rPr>
          <w:rFonts w:hint="eastAsia" w:ascii="宋体-简" w:hAnsi="宋体-简" w:eastAsia="宋体-简"/>
          <w:sz w:val="21"/>
          <w:szCs w:val="21"/>
        </w:rPr>
        <w:t>空间布展应布局合理，参观路径清晰，能够满足观众有序参观、日常接待、导览组织及场馆管理需求。各展示区域之间应衔接自然，内容递进关系明确，参观体验连贯。</w:t>
      </w:r>
    </w:p>
    <w:p>
      <w:pPr>
        <w:pStyle w:val="27"/>
        <w:numPr>
          <w:ilvl w:val="0"/>
          <w:numId w:val="12"/>
        </w:numPr>
        <w:spacing w:before="100" w:beforeAutospacing="1" w:after="100" w:line="500" w:lineRule="exact"/>
        <w:ind w:firstLineChars="0"/>
        <w:rPr>
          <w:rFonts w:hint="eastAsia" w:ascii="宋体-简" w:hAnsi="宋体-简" w:eastAsia="宋体-简"/>
          <w:szCs w:val="21"/>
        </w:rPr>
      </w:pPr>
      <w:r>
        <w:rPr>
          <w:rFonts w:hint="eastAsia" w:ascii="宋体-简" w:hAnsi="宋体-简" w:eastAsia="宋体-简"/>
          <w:sz w:val="21"/>
          <w:szCs w:val="21"/>
        </w:rPr>
        <w:t>展示设计应充分考虑内容呈现、观众尺度、空间界面、视觉引导、交互体验、安全疏散及后期维护等因素，确保展览空间既具有良好的视觉效果，也具备实际使用便利性。</w:t>
      </w:r>
    </w:p>
    <w:p>
      <w:pPr>
        <w:pStyle w:val="15"/>
        <w:numPr>
          <w:ilvl w:val="0"/>
          <w:numId w:val="12"/>
        </w:numPr>
        <w:spacing w:after="100" w:line="500" w:lineRule="exact"/>
        <w:ind w:firstLineChars="0"/>
        <w:rPr>
          <w:rFonts w:hint="eastAsia" w:ascii="宋体-简" w:hAnsi="宋体-简" w:eastAsia="宋体-简"/>
          <w:szCs w:val="21"/>
        </w:rPr>
      </w:pPr>
      <w:r>
        <w:rPr>
          <w:rFonts w:hint="eastAsia" w:ascii="宋体-简" w:hAnsi="宋体-简" w:eastAsia="宋体-简"/>
          <w:szCs w:val="21"/>
        </w:rPr>
        <w:t>投标人应提供完整的设计表达成果，包括但不限于平面布局图、重点区域效果图、主要展示装置效果图、空间氛围图、材料工艺说明、展陈点位说明等，能够清晰呈现整体设计思路及落地效果。</w:t>
      </w:r>
    </w:p>
    <w:p>
      <w:pPr>
        <w:pStyle w:val="15"/>
        <w:numPr>
          <w:ilvl w:val="0"/>
          <w:numId w:val="12"/>
        </w:numPr>
        <w:spacing w:line="500" w:lineRule="exact"/>
        <w:ind w:firstLineChars="0"/>
        <w:rPr>
          <w:rFonts w:hint="eastAsia" w:ascii="宋体-简" w:hAnsi="宋体-简" w:eastAsia="宋体-简"/>
          <w:szCs w:val="21"/>
        </w:rPr>
      </w:pPr>
      <w:r>
        <w:rPr>
          <w:rFonts w:hint="eastAsia" w:ascii="宋体-简" w:hAnsi="宋体-简" w:eastAsia="宋体-简"/>
          <w:szCs w:val="21"/>
        </w:rPr>
        <w:t>主要展示设施、展示装置、展墙、展柜、图文版面及相关构造应明确材料、工艺、尺寸、安装方式及维护方式，确保方案具备实施可行性与后期维护便利性。</w:t>
      </w:r>
    </w:p>
    <w:p>
      <w:pPr>
        <w:pStyle w:val="15"/>
        <w:numPr>
          <w:ilvl w:val="0"/>
          <w:numId w:val="12"/>
        </w:numPr>
        <w:spacing w:line="500" w:lineRule="exact"/>
        <w:ind w:firstLineChars="0"/>
        <w:rPr>
          <w:rFonts w:hint="eastAsia" w:ascii="宋体-简" w:hAnsi="宋体-简" w:eastAsia="宋体-简"/>
          <w:szCs w:val="21"/>
        </w:rPr>
      </w:pPr>
      <w:r>
        <w:rPr>
          <w:rFonts w:hint="eastAsia" w:ascii="宋体-简" w:hAnsi="宋体-简" w:eastAsia="宋体-简"/>
          <w:szCs w:val="21"/>
        </w:rPr>
        <w:t>特殊展品：完成电子展品及复制品展品的借展、拆/包装、运输、保险（包含复制品展品点对点运输及在展览期间的保险），并配合实物及复制品展品布/撤展工作；数字展品的使用授权。</w:t>
      </w:r>
    </w:p>
    <w:p>
      <w:pPr>
        <w:pStyle w:val="15"/>
        <w:numPr>
          <w:ilvl w:val="0"/>
          <w:numId w:val="12"/>
        </w:numPr>
        <w:spacing w:line="500" w:lineRule="exact"/>
        <w:ind w:firstLineChars="0"/>
        <w:rPr>
          <w:rFonts w:hint="eastAsia" w:ascii="宋体-简" w:hAnsi="宋体-简" w:eastAsia="宋体-简"/>
          <w:szCs w:val="21"/>
        </w:rPr>
      </w:pPr>
      <w:r>
        <w:rPr>
          <w:rFonts w:hint="eastAsia" w:ascii="宋体-简" w:hAnsi="宋体-简" w:eastAsia="宋体-简"/>
          <w:szCs w:val="21"/>
        </w:rPr>
        <w:t>展览附属区域设计要求（包含而不仅限于以下清单，详见图示）</w:t>
      </w:r>
    </w:p>
    <w:p>
      <w:pPr>
        <w:pStyle w:val="15"/>
        <w:spacing w:line="500" w:lineRule="exact"/>
        <w:ind w:left="440" w:firstLine="0" w:firstLineChars="0"/>
        <w:rPr>
          <w:rFonts w:hint="eastAsia" w:ascii="宋体-简" w:hAnsi="宋体-简" w:eastAsia="宋体-简"/>
          <w:szCs w:val="21"/>
        </w:rPr>
      </w:pPr>
    </w:p>
    <w:tbl>
      <w:tblPr>
        <w:tblStyle w:val="10"/>
        <w:tblW w:w="4784" w:type="pct"/>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477"/>
        <w:gridCol w:w="3328"/>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3" w:type="pct"/>
            <w:shd w:val="clear" w:color="auto" w:fill="9FD3A4"/>
            <w:noWrap/>
          </w:tcPr>
          <w:p>
            <w:pPr>
              <w:widowControl/>
              <w:spacing w:line="500" w:lineRule="exact"/>
              <w:jc w:val="left"/>
              <w:rPr>
                <w:rFonts w:hint="eastAsia" w:ascii="宋体-简" w:hAnsi="宋体-简" w:eastAsia="宋体-简"/>
                <w:b/>
                <w:color w:val="000000"/>
                <w:kern w:val="0"/>
                <w:szCs w:val="21"/>
              </w:rPr>
            </w:pPr>
            <w:r>
              <w:rPr>
                <w:rFonts w:ascii="宋体-简" w:hAnsi="宋体-简" w:eastAsia="宋体-简"/>
                <w:b/>
                <w:color w:val="000000"/>
                <w:kern w:val="0"/>
                <w:szCs w:val="21"/>
              </w:rPr>
              <w:t>区域名称</w:t>
            </w:r>
          </w:p>
        </w:tc>
        <w:tc>
          <w:tcPr>
            <w:tcW w:w="906" w:type="pct"/>
            <w:shd w:val="clear" w:color="auto" w:fill="9FD3A4"/>
            <w:noWrap/>
          </w:tcPr>
          <w:p>
            <w:pPr>
              <w:widowControl/>
              <w:spacing w:line="500" w:lineRule="exact"/>
              <w:jc w:val="left"/>
              <w:rPr>
                <w:rFonts w:hint="eastAsia" w:ascii="宋体-简" w:hAnsi="宋体-简" w:eastAsia="宋体-简"/>
                <w:b/>
                <w:color w:val="000000"/>
                <w:kern w:val="0"/>
                <w:szCs w:val="21"/>
              </w:rPr>
            </w:pPr>
            <w:r>
              <w:rPr>
                <w:rFonts w:ascii="宋体-简" w:hAnsi="宋体-简" w:eastAsia="宋体-简"/>
                <w:b/>
                <w:color w:val="000000"/>
                <w:kern w:val="0"/>
                <w:szCs w:val="21"/>
              </w:rPr>
              <w:t>需求</w:t>
            </w:r>
          </w:p>
        </w:tc>
        <w:tc>
          <w:tcPr>
            <w:tcW w:w="2041" w:type="pct"/>
            <w:shd w:val="clear" w:color="auto" w:fill="9FD3A4"/>
          </w:tcPr>
          <w:p>
            <w:pPr>
              <w:widowControl/>
              <w:spacing w:line="500" w:lineRule="exact"/>
              <w:jc w:val="left"/>
              <w:rPr>
                <w:rFonts w:hint="eastAsia" w:ascii="宋体-简" w:hAnsi="宋体-简" w:eastAsia="宋体-简"/>
                <w:b/>
                <w:color w:val="000000"/>
                <w:kern w:val="0"/>
                <w:szCs w:val="21"/>
              </w:rPr>
            </w:pPr>
            <w:r>
              <w:rPr>
                <w:rFonts w:ascii="宋体-简" w:hAnsi="宋体-简" w:eastAsia="宋体-简"/>
                <w:b/>
                <w:color w:val="000000"/>
                <w:kern w:val="0"/>
                <w:szCs w:val="21"/>
              </w:rPr>
              <w:t>规格/数量</w:t>
            </w:r>
          </w:p>
        </w:tc>
        <w:tc>
          <w:tcPr>
            <w:tcW w:w="1160" w:type="pct"/>
            <w:shd w:val="clear" w:color="auto" w:fill="9FD3A4"/>
            <w:noWrap/>
          </w:tcPr>
          <w:p>
            <w:pPr>
              <w:widowControl/>
              <w:spacing w:line="500" w:lineRule="exact"/>
              <w:jc w:val="left"/>
              <w:rPr>
                <w:rFonts w:hint="eastAsia" w:ascii="宋体-简" w:hAnsi="宋体-简" w:eastAsia="宋体-简"/>
                <w:b/>
                <w:color w:val="000000"/>
                <w:kern w:val="0"/>
                <w:szCs w:val="21"/>
              </w:rPr>
            </w:pPr>
            <w:r>
              <w:rPr>
                <w:rFonts w:ascii="宋体-简" w:hAnsi="宋体-简" w:eastAsia="宋体-简"/>
                <w:b/>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93" w:type="pct"/>
            <w:shd w:val="clear" w:color="auto" w:fill="9FD3A4"/>
            <w:noWrap/>
          </w:tcPr>
          <w:p>
            <w:pPr>
              <w:widowControl/>
              <w:adjustRightInd w:val="0"/>
              <w:snapToGrid w:val="0"/>
              <w:spacing w:line="500" w:lineRule="exact"/>
              <w:jc w:val="left"/>
              <w:rPr>
                <w:rFonts w:hint="eastAsia" w:ascii="宋体-简" w:hAnsi="宋体-简" w:eastAsia="宋体-简"/>
                <w:color w:val="000000"/>
                <w:kern w:val="0"/>
                <w:szCs w:val="21"/>
              </w:rPr>
            </w:pPr>
            <w:r>
              <w:rPr>
                <w:rFonts w:ascii="宋体-简" w:hAnsi="宋体-简" w:eastAsia="宋体-简"/>
                <w:color w:val="000000"/>
                <w:kern w:val="0"/>
                <w:szCs w:val="21"/>
              </w:rPr>
              <w:t>文创</w:t>
            </w:r>
            <w:r>
              <w:rPr>
                <w:rFonts w:hint="eastAsia" w:ascii="宋体-简" w:hAnsi="宋体-简" w:eastAsia="宋体-简"/>
                <w:color w:val="000000"/>
                <w:kern w:val="0"/>
                <w:szCs w:val="21"/>
              </w:rPr>
              <w:t>空间衔接</w:t>
            </w:r>
          </w:p>
        </w:tc>
        <w:tc>
          <w:tcPr>
            <w:tcW w:w="906" w:type="pct"/>
            <w:noWrap/>
          </w:tcPr>
          <w:p>
            <w:pPr>
              <w:widowControl/>
              <w:adjustRightInd w:val="0"/>
              <w:snapToGrid w:val="0"/>
              <w:spacing w:line="500" w:lineRule="exact"/>
              <w:jc w:val="left"/>
              <w:rPr>
                <w:rFonts w:hint="eastAsia" w:ascii="宋体-简" w:hAnsi="宋体-简" w:eastAsia="宋体-简"/>
                <w:kern w:val="0"/>
                <w:szCs w:val="21"/>
              </w:rPr>
            </w:pPr>
            <w:r>
              <w:rPr>
                <w:rFonts w:ascii="宋体-简" w:hAnsi="宋体-简" w:eastAsia="宋体-简"/>
                <w:kern w:val="0"/>
                <w:szCs w:val="21"/>
              </w:rPr>
              <w:t>空间</w:t>
            </w:r>
            <w:r>
              <w:rPr>
                <w:rFonts w:hint="eastAsia" w:ascii="宋体-简" w:hAnsi="宋体-简" w:eastAsia="宋体-简"/>
                <w:kern w:val="0"/>
                <w:szCs w:val="21"/>
              </w:rPr>
              <w:t>外围衔接</w:t>
            </w:r>
            <w:r>
              <w:rPr>
                <w:rFonts w:ascii="宋体-简" w:hAnsi="宋体-简" w:eastAsia="宋体-简"/>
                <w:kern w:val="0"/>
                <w:szCs w:val="21"/>
              </w:rPr>
              <w:t>布置</w:t>
            </w:r>
          </w:p>
        </w:tc>
        <w:tc>
          <w:tcPr>
            <w:tcW w:w="2041" w:type="pct"/>
          </w:tcPr>
          <w:p>
            <w:pPr>
              <w:widowControl/>
              <w:adjustRightInd w:val="0"/>
              <w:snapToGrid w:val="0"/>
              <w:spacing w:line="500" w:lineRule="exact"/>
              <w:jc w:val="left"/>
              <w:rPr>
                <w:rFonts w:hint="eastAsia" w:ascii="宋体-简" w:hAnsi="宋体-简" w:eastAsia="宋体-简"/>
                <w:kern w:val="0"/>
                <w:szCs w:val="21"/>
              </w:rPr>
            </w:pPr>
            <w:r>
              <w:rPr>
                <w:rFonts w:hint="eastAsia" w:ascii="宋体-简" w:hAnsi="宋体-简" w:eastAsia="宋体-简"/>
                <w:kern w:val="0"/>
                <w:szCs w:val="21"/>
              </w:rPr>
              <w:t>文创空间出入口（</w:t>
            </w:r>
            <w:r>
              <w:rPr>
                <w:rFonts w:ascii="宋体-简" w:hAnsi="宋体-简" w:eastAsia="宋体-简"/>
                <w:kern w:val="0"/>
                <w:szCs w:val="21"/>
              </w:rPr>
              <w:t>1个）与</w:t>
            </w:r>
            <w:r>
              <w:rPr>
                <w:rFonts w:hint="eastAsia" w:ascii="宋体-简" w:hAnsi="宋体-简" w:eastAsia="宋体-简"/>
                <w:kern w:val="0"/>
                <w:szCs w:val="21"/>
              </w:rPr>
              <w:t>展厅墙面衔接设计</w:t>
            </w:r>
            <w:r>
              <w:rPr>
                <w:rFonts w:ascii="宋体-简" w:hAnsi="宋体-简" w:eastAsia="宋体-简"/>
                <w:kern w:val="0"/>
                <w:szCs w:val="21"/>
              </w:rPr>
              <w:t>，与展览风格统一</w:t>
            </w:r>
            <w:r>
              <w:rPr>
                <w:rFonts w:hint="eastAsia" w:ascii="宋体-简" w:hAnsi="宋体-简" w:eastAsia="宋体-简"/>
                <w:kern w:val="0"/>
                <w:szCs w:val="21"/>
              </w:rPr>
              <w:t>，不得遮挡文创空间出入口和文创空间储藏区域</w:t>
            </w:r>
          </w:p>
        </w:tc>
        <w:tc>
          <w:tcPr>
            <w:tcW w:w="1160" w:type="pct"/>
            <w:noWrap/>
          </w:tcPr>
          <w:p>
            <w:pPr>
              <w:widowControl/>
              <w:adjustRightInd w:val="0"/>
              <w:snapToGrid w:val="0"/>
              <w:spacing w:line="500" w:lineRule="exact"/>
              <w:jc w:val="left"/>
              <w:rPr>
                <w:rFonts w:hint="eastAsia" w:ascii="宋体-简" w:hAnsi="宋体-简" w:eastAsia="宋体-简"/>
                <w:kern w:val="0"/>
                <w:szCs w:val="21"/>
              </w:rPr>
            </w:pPr>
            <w:r>
              <w:rPr>
                <w:rFonts w:hint="eastAsia" w:ascii="宋体-简" w:hAnsi="宋体-简" w:eastAsia="宋体-简"/>
                <w:kern w:val="0"/>
                <w:szCs w:val="21"/>
              </w:rPr>
              <w:t>文创空间内部及储藏区域不在本项目设计范围内，仅配合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93" w:type="pct"/>
            <w:shd w:val="clear" w:color="auto" w:fill="9FD3A4"/>
            <w:noWrap/>
          </w:tcPr>
          <w:p>
            <w:pPr>
              <w:widowControl/>
              <w:adjustRightInd w:val="0"/>
              <w:snapToGrid w:val="0"/>
              <w:spacing w:line="500" w:lineRule="exact"/>
              <w:jc w:val="left"/>
              <w:rPr>
                <w:rFonts w:hint="eastAsia" w:ascii="宋体-简" w:hAnsi="宋体-简" w:eastAsia="宋体-简"/>
                <w:color w:val="000000"/>
                <w:kern w:val="0"/>
                <w:szCs w:val="21"/>
              </w:rPr>
            </w:pPr>
            <w:r>
              <w:rPr>
                <w:rFonts w:hint="eastAsia" w:ascii="宋体-简" w:hAnsi="宋体-简" w:eastAsia="宋体-简"/>
                <w:color w:val="000000"/>
                <w:kern w:val="0"/>
                <w:szCs w:val="21"/>
              </w:rPr>
              <w:t>餐饮空间衔接</w:t>
            </w:r>
          </w:p>
        </w:tc>
        <w:tc>
          <w:tcPr>
            <w:tcW w:w="906" w:type="pct"/>
            <w:noWrap/>
          </w:tcPr>
          <w:p>
            <w:pPr>
              <w:widowControl/>
              <w:adjustRightInd w:val="0"/>
              <w:snapToGrid w:val="0"/>
              <w:spacing w:line="500" w:lineRule="exact"/>
              <w:jc w:val="left"/>
              <w:rPr>
                <w:rFonts w:hint="eastAsia" w:ascii="宋体-简" w:hAnsi="宋体-简" w:eastAsia="宋体-简"/>
                <w:kern w:val="0"/>
                <w:szCs w:val="21"/>
              </w:rPr>
            </w:pPr>
            <w:r>
              <w:rPr>
                <w:rFonts w:ascii="宋体-简" w:hAnsi="宋体-简" w:eastAsia="宋体-简"/>
                <w:kern w:val="0"/>
                <w:szCs w:val="21"/>
              </w:rPr>
              <w:t>空间</w:t>
            </w:r>
            <w:r>
              <w:rPr>
                <w:rFonts w:hint="eastAsia" w:ascii="宋体-简" w:hAnsi="宋体-简" w:eastAsia="宋体-简"/>
                <w:kern w:val="0"/>
                <w:szCs w:val="21"/>
              </w:rPr>
              <w:t>外围衔接</w:t>
            </w:r>
            <w:r>
              <w:rPr>
                <w:rFonts w:ascii="宋体-简" w:hAnsi="宋体-简" w:eastAsia="宋体-简"/>
                <w:kern w:val="0"/>
                <w:szCs w:val="21"/>
              </w:rPr>
              <w:t>布置</w:t>
            </w:r>
          </w:p>
        </w:tc>
        <w:tc>
          <w:tcPr>
            <w:tcW w:w="2041" w:type="pct"/>
          </w:tcPr>
          <w:p>
            <w:pPr>
              <w:widowControl/>
              <w:adjustRightInd w:val="0"/>
              <w:snapToGrid w:val="0"/>
              <w:spacing w:line="500" w:lineRule="exact"/>
              <w:jc w:val="left"/>
              <w:rPr>
                <w:rFonts w:hint="eastAsia" w:ascii="宋体-简" w:hAnsi="宋体-简" w:eastAsia="宋体-简"/>
                <w:kern w:val="0"/>
                <w:szCs w:val="21"/>
              </w:rPr>
            </w:pPr>
            <w:r>
              <w:rPr>
                <w:rFonts w:hint="eastAsia" w:ascii="宋体-简" w:hAnsi="宋体-简" w:eastAsia="宋体-简"/>
                <w:kern w:val="0"/>
                <w:szCs w:val="21"/>
              </w:rPr>
              <w:t>餐饮空间出入</w:t>
            </w:r>
            <w:r>
              <w:rPr>
                <w:rFonts w:ascii="宋体-简" w:hAnsi="宋体-简" w:eastAsia="宋体-简"/>
                <w:kern w:val="0"/>
                <w:szCs w:val="21"/>
              </w:rPr>
              <w:t>口</w:t>
            </w:r>
            <w:r>
              <w:rPr>
                <w:rFonts w:hint="eastAsia" w:ascii="宋体-简" w:hAnsi="宋体-简" w:eastAsia="宋体-简"/>
                <w:kern w:val="0"/>
                <w:szCs w:val="21"/>
              </w:rPr>
              <w:t>（</w:t>
            </w:r>
            <w:r>
              <w:rPr>
                <w:rFonts w:ascii="宋体-简" w:hAnsi="宋体-简" w:eastAsia="宋体-简"/>
                <w:kern w:val="0"/>
                <w:szCs w:val="21"/>
              </w:rPr>
              <w:t>2个）</w:t>
            </w:r>
            <w:r>
              <w:rPr>
                <w:rFonts w:hint="eastAsia" w:ascii="宋体-简" w:hAnsi="宋体-简" w:eastAsia="宋体-简"/>
                <w:kern w:val="0"/>
                <w:szCs w:val="21"/>
              </w:rPr>
              <w:t>与展厅墙面衔接设计</w:t>
            </w:r>
            <w:r>
              <w:rPr>
                <w:rFonts w:ascii="宋体-简" w:hAnsi="宋体-简" w:eastAsia="宋体-简"/>
                <w:kern w:val="0"/>
                <w:szCs w:val="21"/>
              </w:rPr>
              <w:t>，与展览风格统一</w:t>
            </w:r>
            <w:r>
              <w:rPr>
                <w:rFonts w:hint="eastAsia" w:ascii="宋体-简" w:hAnsi="宋体-简" w:eastAsia="宋体-简"/>
                <w:kern w:val="0"/>
                <w:szCs w:val="21"/>
              </w:rPr>
              <w:t>，不得遮挡餐饮空间出入口</w:t>
            </w:r>
          </w:p>
        </w:tc>
        <w:tc>
          <w:tcPr>
            <w:tcW w:w="1160" w:type="pct"/>
            <w:noWrap/>
          </w:tcPr>
          <w:p>
            <w:pPr>
              <w:widowControl/>
              <w:adjustRightInd w:val="0"/>
              <w:snapToGrid w:val="0"/>
              <w:spacing w:line="500" w:lineRule="exact"/>
              <w:jc w:val="left"/>
              <w:rPr>
                <w:rFonts w:hint="eastAsia" w:ascii="宋体-简" w:hAnsi="宋体-简" w:eastAsia="宋体-简"/>
                <w:kern w:val="0"/>
                <w:szCs w:val="21"/>
              </w:rPr>
            </w:pPr>
            <w:r>
              <w:rPr>
                <w:rFonts w:hint="eastAsia" w:ascii="宋体-简" w:hAnsi="宋体-简" w:eastAsia="宋体-简"/>
                <w:kern w:val="0"/>
                <w:szCs w:val="21"/>
              </w:rPr>
              <w:t>餐饮空间内部不在本项目设计范围内，仅配合</w:t>
            </w:r>
          </w:p>
        </w:tc>
      </w:tr>
    </w:tbl>
    <w:p>
      <w:pPr>
        <w:spacing w:line="500" w:lineRule="exact"/>
        <w:rPr>
          <w:rFonts w:hint="eastAsia" w:ascii="宋体-简" w:hAnsi="宋体-简" w:eastAsia="宋体-简"/>
          <w:szCs w:val="21"/>
        </w:rPr>
      </w:pPr>
    </w:p>
    <w:p>
      <w:pPr>
        <w:spacing w:line="500" w:lineRule="exact"/>
        <w:jc w:val="center"/>
        <w:rPr>
          <w:rFonts w:hint="eastAsia" w:ascii="宋体-简" w:hAnsi="宋体-简" w:eastAsia="宋体-简"/>
          <w:szCs w:val="21"/>
        </w:rPr>
      </w:pPr>
      <w:r>
        <w:rPr>
          <w:rFonts w:hint="eastAsia" w:ascii="宋体-简" w:hAnsi="宋体-简" w:eastAsia="宋体-简"/>
          <w:szCs w:val="21"/>
        </w:rPr>
        <w:t>展览附属区域设计要求图示</w:t>
      </w:r>
      <w:r>
        <w:rPr>
          <w:rFonts w:ascii="宋体-简" w:hAnsi="宋体-简" w:eastAsia="宋体-简"/>
          <w:szCs w:val="21"/>
        </w:rPr>
        <w:drawing>
          <wp:anchor distT="0" distB="0" distL="114300" distR="114300" simplePos="0" relativeHeight="251659264" behindDoc="0" locked="0" layoutInCell="1" allowOverlap="1">
            <wp:simplePos x="0" y="0"/>
            <wp:positionH relativeFrom="column">
              <wp:posOffset>0</wp:posOffset>
            </wp:positionH>
            <wp:positionV relativeFrom="paragraph">
              <wp:posOffset>-3781425</wp:posOffset>
            </wp:positionV>
            <wp:extent cx="5274310" cy="4034155"/>
            <wp:effectExtent l="0" t="0" r="0" b="4445"/>
            <wp:wrapTopAndBottom/>
            <wp:docPr id="8341124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112467"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10" cy="4034155"/>
                    </a:xfrm>
                    <a:prstGeom prst="rect">
                      <a:avLst/>
                    </a:prstGeom>
                  </pic:spPr>
                </pic:pic>
              </a:graphicData>
            </a:graphic>
          </wp:anchor>
        </w:drawing>
      </w:r>
    </w:p>
    <w:p>
      <w:pPr>
        <w:pStyle w:val="27"/>
        <w:numPr>
          <w:ilvl w:val="0"/>
          <w:numId w:val="5"/>
        </w:numPr>
        <w:spacing w:before="100" w:beforeAutospacing="1" w:line="500" w:lineRule="exact"/>
        <w:ind w:firstLineChars="0"/>
        <w:outlineLvl w:val="1"/>
        <w:rPr>
          <w:rFonts w:hint="eastAsia" w:ascii="宋体" w:hAnsi="宋体"/>
          <w:b/>
          <w:bCs/>
          <w:szCs w:val="21"/>
        </w:rPr>
      </w:pPr>
      <w:r>
        <w:rPr>
          <w:rFonts w:hint="eastAsia" w:ascii="宋体" w:hAnsi="宋体"/>
          <w:b/>
          <w:bCs/>
          <w:sz w:val="21"/>
          <w:szCs w:val="21"/>
        </w:rPr>
        <w:t>展项制作技术要求</w:t>
      </w:r>
    </w:p>
    <w:p>
      <w:pPr>
        <w:spacing w:line="500" w:lineRule="exact"/>
        <w:ind w:firstLine="420" w:firstLineChars="200"/>
        <w:outlineLvl w:val="1"/>
        <w:rPr>
          <w:rFonts w:hint="eastAsia" w:ascii="宋体-简" w:hAnsi="宋体-简" w:eastAsia="宋体-简"/>
          <w:szCs w:val="21"/>
        </w:rPr>
      </w:pPr>
      <w:r>
        <w:rPr>
          <w:rFonts w:ascii="宋体-简" w:hAnsi="宋体-简" w:eastAsia="宋体-简"/>
          <w:szCs w:val="21"/>
        </w:rPr>
        <w:t>完成展品展项（含甲供设备）的深化设计、制作、采购、租赁、安装、调试、维保及操作培训。</w:t>
      </w:r>
      <w:r>
        <w:rPr>
          <w:rFonts w:hint="eastAsia" w:ascii="宋体-简" w:hAnsi="宋体-简" w:eastAsia="宋体-简"/>
          <w:szCs w:val="21"/>
        </w:rPr>
        <w:t>具体临展厅场地位置及图纸见</w:t>
      </w:r>
      <w:r>
        <w:rPr>
          <w:rFonts w:hint="eastAsia" w:ascii="宋体-简" w:hAnsi="宋体-简" w:eastAsia="宋体-简"/>
          <w:b/>
          <w:bCs/>
          <w:szCs w:val="21"/>
        </w:rPr>
        <w:t>附件一、附件二及附件三</w:t>
      </w:r>
      <w:r>
        <w:rPr>
          <w:rFonts w:hint="eastAsia" w:ascii="宋体-简" w:hAnsi="宋体-简" w:eastAsia="宋体-简"/>
          <w:szCs w:val="21"/>
        </w:rPr>
        <w:t>，所涉场地原有资产（含模型）及特殊展品情况详见</w:t>
      </w:r>
      <w:r>
        <w:rPr>
          <w:rFonts w:hint="eastAsia" w:ascii="宋体-简" w:hAnsi="宋体-简" w:eastAsia="宋体-简"/>
          <w:b/>
          <w:bCs/>
          <w:szCs w:val="21"/>
        </w:rPr>
        <w:t>附件四</w:t>
      </w:r>
      <w:r>
        <w:rPr>
          <w:rFonts w:hint="eastAsia" w:ascii="宋体-简" w:hAnsi="宋体-简" w:eastAsia="宋体-简"/>
          <w:szCs w:val="21"/>
        </w:rPr>
        <w:t>，特殊展项图纸（声场装置）详见</w:t>
      </w:r>
      <w:r>
        <w:rPr>
          <w:rFonts w:hint="eastAsia" w:ascii="宋体-简" w:hAnsi="宋体-简" w:eastAsia="宋体-简"/>
          <w:b/>
          <w:bCs/>
          <w:szCs w:val="21"/>
        </w:rPr>
        <w:t>附件五</w:t>
      </w:r>
      <w:r>
        <w:rPr>
          <w:rFonts w:hint="eastAsia" w:ascii="宋体-简" w:hAnsi="宋体-简" w:eastAsia="宋体-简"/>
          <w:szCs w:val="21"/>
        </w:rPr>
        <w:t>。</w:t>
      </w:r>
    </w:p>
    <w:p>
      <w:pPr>
        <w:spacing w:line="500" w:lineRule="exact"/>
        <w:rPr>
          <w:rFonts w:hint="eastAsia" w:ascii="宋体-简" w:hAnsi="宋体-简" w:eastAsia="宋体-简" w:cs="Arial"/>
          <w:color w:val="000000"/>
          <w:szCs w:val="21"/>
        </w:rPr>
      </w:pPr>
      <w:r>
        <w:rPr>
          <w:rFonts w:ascii="宋体-简" w:hAnsi="宋体-简" w:eastAsia="宋体-简"/>
          <w:kern w:val="0"/>
          <w:szCs w:val="21"/>
        </w:rPr>
        <w:t>注：</w:t>
      </w:r>
    </w:p>
    <w:p>
      <w:pPr>
        <w:numPr>
          <w:ilvl w:val="0"/>
          <w:numId w:val="13"/>
        </w:numPr>
        <w:spacing w:line="500" w:lineRule="exact"/>
        <w:ind w:left="420" w:hanging="420"/>
        <w:rPr>
          <w:rFonts w:hint="eastAsia" w:ascii="宋体-简" w:hAnsi="宋体-简" w:eastAsia="宋体-简" w:cs="Arial"/>
          <w:color w:val="000000"/>
          <w:szCs w:val="21"/>
        </w:rPr>
      </w:pPr>
      <w:r>
        <w:rPr>
          <w:rFonts w:ascii="宋体-简" w:hAnsi="宋体-简" w:eastAsia="宋体-简" w:cs="Arial"/>
          <w:color w:val="000000"/>
          <w:szCs w:val="21"/>
        </w:rPr>
        <w:t>展览内如有设计其他图片、视频素材及数字资源，中标人需自行取得授权或购买版权并制作，确保无版权纠纷</w:t>
      </w:r>
    </w:p>
    <w:p>
      <w:pPr>
        <w:numPr>
          <w:ilvl w:val="0"/>
          <w:numId w:val="13"/>
        </w:numPr>
        <w:spacing w:line="500" w:lineRule="exact"/>
        <w:ind w:left="420" w:hanging="420"/>
        <w:rPr>
          <w:rFonts w:hint="eastAsia" w:ascii="宋体-简" w:hAnsi="宋体-简" w:eastAsia="宋体-简" w:cs="Arial"/>
          <w:color w:val="000000"/>
          <w:szCs w:val="21"/>
        </w:rPr>
      </w:pPr>
      <w:r>
        <w:rPr>
          <w:rFonts w:hint="eastAsia" w:ascii="宋体-简" w:hAnsi="宋体-简" w:eastAsia="宋体-简" w:cs="Arial"/>
          <w:color w:val="000000"/>
          <w:szCs w:val="21"/>
        </w:rPr>
        <w:t>所有硬件设备按需采用买断/</w:t>
      </w:r>
      <w:r>
        <w:rPr>
          <w:rFonts w:hint="eastAsia" w:ascii="宋体-简" w:hAnsi="宋体-简" w:eastAsia="宋体-简" w:cs="Arial"/>
          <w:b/>
          <w:bCs/>
          <w:color w:val="000000"/>
          <w:szCs w:val="21"/>
        </w:rPr>
        <w:t>租赁形式</w:t>
      </w:r>
      <w:r>
        <w:rPr>
          <w:rFonts w:hint="eastAsia" w:ascii="宋体-简" w:hAnsi="宋体-简" w:eastAsia="宋体-简" w:cs="Arial"/>
          <w:color w:val="000000"/>
          <w:szCs w:val="21"/>
        </w:rPr>
        <w:t>，租期需覆盖此次展期。可复用硬件如L</w:t>
      </w:r>
      <w:r>
        <w:rPr>
          <w:rFonts w:ascii="宋体-简" w:hAnsi="宋体-简" w:eastAsia="宋体-简" w:cs="Arial"/>
          <w:color w:val="000000"/>
          <w:szCs w:val="21"/>
        </w:rPr>
        <w:t>ED</w:t>
      </w:r>
      <w:r>
        <w:rPr>
          <w:rFonts w:hint="eastAsia" w:ascii="宋体-简" w:hAnsi="宋体-简" w:eastAsia="宋体-简" w:cs="Arial"/>
          <w:color w:val="000000"/>
          <w:szCs w:val="21"/>
        </w:rPr>
        <w:t>屏幕需采用买断形式。</w:t>
      </w:r>
    </w:p>
    <w:p>
      <w:pPr>
        <w:spacing w:line="500" w:lineRule="exact"/>
        <w:rPr>
          <w:rFonts w:hint="eastAsia" w:ascii="宋体-简" w:hAnsi="宋体-简" w:eastAsia="宋体-简" w:cs="Arial"/>
          <w:color w:val="000000"/>
          <w:szCs w:val="21"/>
        </w:rPr>
      </w:pPr>
      <w:r>
        <w:rPr>
          <w:rFonts w:ascii="宋体-简" w:hAnsi="宋体-简" w:eastAsia="宋体-简"/>
          <w:color w:val="26292D"/>
          <w:szCs w:val="21"/>
        </w:rPr>
        <w:t xml:space="preserve">2.3.1 </w:t>
      </w:r>
      <w:r>
        <w:rPr>
          <w:rFonts w:hint="eastAsia" w:ascii="宋体-简" w:hAnsi="宋体-简" w:eastAsia="宋体-简"/>
          <w:color w:val="26292D"/>
          <w:szCs w:val="21"/>
        </w:rPr>
        <w:t>总则</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本技术标准要求适用于本项目展览深化设计、展陈搭建、多媒体系统、材料及设备供应、制作加工、运输保管、安装调试、联调试运行、布展撤展配合、展期运维、拆除恢复及验收移交。具体项目、数量、物理尺寸、实施位置及提供方式，以招标文件、经确认的设备清单和深化设计图纸为准。</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投标人应充分理解展览内容、展示效果、展出场地、展览周期及公共展览空间的使用特点，统筹考虑结构安全、消防安全、用电安全、环境保护、观众通行、展品防护、成品保护、运行维护及展后恢复。</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展览搭建与多媒体系统应形成完整、协调、可实施的技术体系，做到结构牢固、安全可靠、节能环保、工艺适宜、质量稳定、操作简便并便于检修维护。各专业之间的接口、固定、供电、信号、控制及收口不得遗漏。</w:t>
      </w:r>
    </w:p>
    <w:p>
      <w:pPr>
        <w:spacing w:after="120" w:line="300" w:lineRule="auto"/>
        <w:ind w:firstLine="420"/>
        <w:rPr>
          <w:rFonts w:hint="eastAsia" w:ascii="宋体-简" w:hAnsi="宋体-简" w:eastAsia="宋体-简"/>
          <w:color w:val="26292D"/>
          <w:szCs w:val="21"/>
          <w:highlight w:val="none"/>
        </w:rPr>
      </w:pPr>
      <w:r>
        <w:rPr>
          <w:rFonts w:hint="eastAsia" w:ascii="宋体-简" w:hAnsi="宋体-简" w:eastAsia="宋体-简"/>
          <w:color w:val="26292D"/>
          <w:szCs w:val="21"/>
        </w:rPr>
        <w:t>4. 本文件规定的功能、材料、工艺和性能指标为最低要求，不限定具体品牌、型号或专有技术路线。投标人拟采用的方案不得低于</w:t>
      </w:r>
      <w:r>
        <w:rPr>
          <w:rFonts w:hint="eastAsia" w:ascii="宋体-简" w:hAnsi="宋体-简" w:eastAsia="宋体-简"/>
          <w:color w:val="26292D"/>
          <w:szCs w:val="21"/>
          <w:highlight w:val="none"/>
        </w:rPr>
        <w:t>本文件、经确认图纸所反映的功能和性能水平。</w:t>
      </w:r>
    </w:p>
    <w:p>
      <w:pPr>
        <w:spacing w:after="120" w:line="300" w:lineRule="auto"/>
        <w:ind w:firstLine="420"/>
        <w:rPr>
          <w:rFonts w:hint="eastAsia" w:ascii="宋体-简" w:hAnsi="宋体-简" w:eastAsia="宋体-简"/>
          <w:color w:val="26292D"/>
          <w:szCs w:val="21"/>
          <w:highlight w:val="none"/>
        </w:rPr>
      </w:pPr>
      <w:r>
        <w:rPr>
          <w:rFonts w:hint="eastAsia" w:ascii="宋体-简" w:hAnsi="宋体-简" w:eastAsia="宋体-简"/>
          <w:color w:val="26292D"/>
          <w:szCs w:val="21"/>
          <w:highlight w:val="none"/>
        </w:rPr>
        <w:t>5. 对招标图纸和技术文件可以合理预见且属于原招标范围的辅材、连接件、收口、加固、接口适配、安装配套、调试及检测工作，投标人应在深化设计和报价中统筹考虑。涉及新增功能或实质性范围变更的，按合同约定履行书面确认程序。</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6. 未经采购人确认，不得擅自改变展览布局、展示形式、材料性能、结构做法、色彩效果、设备点位、系统功能、主要接口或安装方式。</w:t>
      </w:r>
    </w:p>
    <w:p>
      <w:pPr>
        <w:pStyle w:val="2"/>
        <w:spacing w:before="200" w:after="140" w:line="264" w:lineRule="auto"/>
        <w:rPr>
          <w:rFonts w:hint="eastAsia" w:ascii="宋体-简" w:hAnsi="宋体-简" w:eastAsia="宋体-简" w:cs="Times New Roman"/>
          <w:color w:val="26292D"/>
          <w:sz w:val="21"/>
          <w:szCs w:val="21"/>
        </w:rPr>
      </w:pPr>
      <w:r>
        <w:rPr>
          <w:rFonts w:hint="eastAsia" w:ascii="宋体-简" w:hAnsi="宋体-简" w:eastAsia="宋体-简" w:cs="Times New Roman"/>
          <w:color w:val="26292D"/>
          <w:sz w:val="21"/>
          <w:szCs w:val="21"/>
        </w:rPr>
        <w:t>2.3.2 适用标准及执行原则</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项目设计、材料采购、加工制作、安装施工、系统调试、检测、运行及验收，应符合现行国家标准、行业标准、项目所在地有关规定、采购人要求及场馆管理制度。</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质量标准按照国家标准、行业标准或采购人指定标准确定；上述标准不一致时，执行较新或较严格的要求。没有国家标准或行业标准的，按照通常标准或者符合合同目的的特定标准执行。</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凡涉及本项目技术、安全、环境保护以及设备安装、调试和使用的国家、地方标准、规范、规定和要求，无论是否在本文件中逐项列举，均应遵守。</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材料燃烧性能、环保及有害物质限量，</w:t>
      </w:r>
      <w:r>
        <w:rPr>
          <w:rFonts w:ascii="宋体-简" w:hAnsi="宋体-简" w:eastAsia="宋体-简"/>
          <w:color w:val="26292D"/>
          <w:szCs w:val="21"/>
        </w:rPr>
        <w:t>符合国家相关规定</w:t>
      </w:r>
      <w:r>
        <w:rPr>
          <w:rFonts w:hint="eastAsia" w:ascii="宋体-简" w:hAnsi="宋体-简" w:eastAsia="宋体-简"/>
          <w:color w:val="26292D"/>
          <w:szCs w:val="21"/>
        </w:rPr>
        <w:t>。阻燃板等材料应提供与使用部位、材料名称和燃烧性能等级相对应的有效检测资料。</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招标文件、设计图纸、设备清单及场馆要求之间存在矛盾或适用边界不清时，投标人应在实施前书面提出，由采购人确认后执行，不得自行降低标准。</w:t>
      </w:r>
    </w:p>
    <w:p>
      <w:pPr>
        <w:pStyle w:val="2"/>
        <w:spacing w:before="200" w:after="140" w:line="264" w:lineRule="auto"/>
        <w:rPr>
          <w:rFonts w:hint="eastAsia" w:ascii="宋体-简" w:hAnsi="宋体-简" w:eastAsia="宋体-简" w:cs="Times New Roman"/>
          <w:color w:val="26292D"/>
          <w:sz w:val="21"/>
          <w:szCs w:val="21"/>
        </w:rPr>
      </w:pPr>
      <w:r>
        <w:rPr>
          <w:rFonts w:hint="eastAsia" w:ascii="宋体-简" w:hAnsi="宋体-简" w:eastAsia="宋体-简" w:cs="Times New Roman"/>
          <w:color w:val="26292D"/>
          <w:sz w:val="21"/>
          <w:szCs w:val="21"/>
        </w:rPr>
        <w:t>2.3.3 深化设计及技术文件要求</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中标人应根据展览陈列内容、项目需求、招标资料、设备清单及现场条件，提交完整的展览深化设计方案，附相关说明。设计深度应足以表达设计意图、材料工艺、施工细节、系统关系和验收条件，并能够据此实施。</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展陈搭建深化文件应包括展览布局、平面及立面、展墙与造型、展柜展台、展板展具、图文美工、照明、电气、综合布线、材料及工艺、安装节点、固定加固、收口处理、成品保护及拆除恢复等内容。</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多媒体深化文件应包括点位平面图、供电及控制关系图、综合布线图、安装定位图、结构固定及节点图、检修空间示意和设备材料表，明确线路走向、接口关系、安装方式和调试要求。</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深化设计应明确展墙和展陈设施布置、图文及说明牌位置、照明和多媒体应用、公共及疏散标识、综合布线、安全和消防配合关系，并与场馆原有建筑、机电、网络、安防及控制条件协调。</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中标人应在深化前进行现场复测，核对建筑尺寸、完成面、门洞、吊挂条件、供电点、网络点、设备机位、检修空间及运输通道。复测结果与招标资料不一致时，应及时书面报告。</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6. 图纸应清楚表达材料名称、规格、性能、颜色、厚度、构造层次、连接方法、安装尺寸及必要的技术参数；非标准构件、吊挂或重型设备应明确受力关系、固定方式及安全措施。</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7. 深化设计方案和图纸采用国际标准计量单位。长度用毫米（mm），面积用平方米（m²），容积用立方米（m³），重量用克（g）或千克（kg）；功率、电压、电流、亮度、声压和数据速率等单位应规范统一。</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8. 深化设计方案、样板及拟实施技术资料须经采购人确认后实施。采购人的确认不免除中标人对完整性、可实施性、安全性、兼容性和最终质量承担的责任。</w:t>
      </w:r>
    </w:p>
    <w:p>
      <w:pPr>
        <w:pStyle w:val="2"/>
        <w:spacing w:before="200" w:after="140" w:line="264" w:lineRule="auto"/>
        <w:rPr>
          <w:rFonts w:hint="eastAsia" w:ascii="宋体-简" w:hAnsi="宋体-简" w:eastAsia="宋体-简" w:cs="Times New Roman"/>
          <w:color w:val="26292D"/>
          <w:sz w:val="21"/>
          <w:szCs w:val="21"/>
        </w:rPr>
      </w:pPr>
      <w:r>
        <w:rPr>
          <w:rFonts w:hint="eastAsia" w:ascii="宋体-简" w:hAnsi="宋体-简" w:eastAsia="宋体-简" w:cs="Times New Roman"/>
          <w:color w:val="26292D"/>
          <w:sz w:val="21"/>
          <w:szCs w:val="21"/>
        </w:rPr>
        <w:t>2.3.4 材料及设备供应要求</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除招标文件明确由采购人提供的内容外，本项目范围内材料、设备及配件应由中标人根据招标文件、深化设计及国家有关规定完成采购或配置、运输、检验和保管。</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所有材料、制品、设备及配件应为符合国家规定的合格产品，外观和性能完整，不得使用污染、破损、受潮、变形、过期、来源不明或性能不明的产品。</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所有布展材料、施工材料及设备应提供与其相符的产品合格证、质量保证书、检验报告、性能资料或使用说明；涉及消防、环保和安全性能的，应提供相应证明文件。</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主要材料及设备在采购或批量实施前，应提交规格、性能、技术参数、颜色、样品及相关证明资料，经采购人确认后使用。招标文件不指定品牌；投标及报审资料应明确拟用品质和参数，以便核验。</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材料进场时应按报审资料和确认样品核对名称、规格、厚度、颜色、纹理、性能、数量及外观。不同批次用于连续可视完成面的材料，应保证色泽和观感一致。</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6.采用阻燃板的部位，其板材厚度不得低于</w:t>
      </w:r>
      <w:r>
        <w:rPr>
          <w:rFonts w:ascii="宋体-简" w:hAnsi="宋体-简" w:eastAsia="宋体-简"/>
          <w:color w:val="26292D"/>
          <w:szCs w:val="21"/>
        </w:rPr>
        <w:t>12mm</w:t>
      </w:r>
      <w:r>
        <w:rPr>
          <w:rFonts w:hint="eastAsia" w:ascii="宋体-简" w:hAnsi="宋体-简" w:eastAsia="宋体-简"/>
          <w:color w:val="26292D"/>
          <w:szCs w:val="21"/>
        </w:rPr>
        <w:t>，燃烧性能原则上应达到B1级及以上，并不得低于消防要求。其他部位的板材规格和构造层次应根据设计、结构和使用条件确定。</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7. 涂料、腻子、胶粘剂、人造板、饰面、喷绘介质及相关辅助材料应满足环保和低气味要求，有害物质限量应符合现行国家标准；施工和养护完成后应具备正常开放条件。</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8. 材料和设备应采取防潮、防尘、防碰撞及防静电等适用的运输和存放措施。因保管不当造成性能下降、变形、污染或损坏的，不得用于本项目。</w:t>
      </w:r>
    </w:p>
    <w:p>
      <w:pPr>
        <w:pStyle w:val="2"/>
        <w:spacing w:before="200" w:after="140" w:line="264" w:lineRule="auto"/>
        <w:rPr>
          <w:rFonts w:hint="eastAsia" w:ascii="宋体-简" w:hAnsi="宋体-简" w:eastAsia="宋体-简" w:cs="Times New Roman"/>
          <w:color w:val="26292D"/>
          <w:sz w:val="21"/>
          <w:szCs w:val="21"/>
        </w:rPr>
      </w:pPr>
      <w:r>
        <w:rPr>
          <w:rFonts w:hint="eastAsia" w:ascii="宋体-简" w:hAnsi="宋体-简" w:eastAsia="宋体-简" w:cs="Times New Roman"/>
          <w:color w:val="26292D"/>
          <w:sz w:val="21"/>
          <w:szCs w:val="21"/>
        </w:rPr>
        <w:t>2.3.5 展览搭建技术要求</w:t>
      </w:r>
    </w:p>
    <w:p>
      <w:pPr>
        <w:pStyle w:val="3"/>
        <w:spacing w:before="16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b w:val="0"/>
          <w:bCs w:val="0"/>
          <w:color w:val="26292D"/>
          <w:sz w:val="21"/>
          <w:szCs w:val="21"/>
        </w:rPr>
        <w:t>（一）展墙、吊顶及造型结构</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展墙、吊顶、弧形墙、造型门套及其他临时展陈结构，应按照经确认深化图施工；构造层次、骨架规格、连接间距及加固方式应与高度、造型、跨度和实际荷载相适应。</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结构应安全牢固、受力合理，具有与用途相适应的承载余量和抗倾覆能力，不得出现倾斜、晃动、开裂、明显变形、连接松动或构件脱落。承载展品、图文构件、灯具或多媒体设备的部位应设置可靠加固。</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展墙应横平竖直并垂直于地面，立面垂直度允许偏差不得超过4mm；现行验收标准或经确认图纸规定更严格限值的，执行更严格要求。</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板材安装应固定牢靠、接缝严密；板缝、转角、不同材料交接及易开裂部位应采用相适应的嵌缝、防裂和加固处理。完成面应连续平整，无明显接缝、翘曲、破损和污染。</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弧形或异形完成面应线型连续、过渡自然，与经确认图纸一致；门套、洞口、设备嵌入边界及相邻材料交接处应尺寸准确、接口严密、收口平整。</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6. 临时结构原则上应采用可拆卸、可恢复的连接方式，不得擅自破坏原有墙、地、柱、顶及既有设施。确需锚固、开孔或连接时，应事先提交节点方案并取得书面确认。</w:t>
      </w:r>
    </w:p>
    <w:p>
      <w:pPr>
        <w:pStyle w:val="3"/>
        <w:spacing w:before="16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b w:val="0"/>
          <w:bCs w:val="0"/>
          <w:color w:val="26292D"/>
          <w:sz w:val="21"/>
          <w:szCs w:val="21"/>
        </w:rPr>
        <w:t>（二）墙面基层及涂饰</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涂饰施工前应检查基层，清除灰尘、油污、疏松层和起皮部位；裂缝、钉眼、孔洞、空鼓及凹凸不平处应完成修补、找平和打磨。</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2.局部批刮腻子的部位，应对缺陷区域完整修补；规定全批腻子的墙面，应整体批刮、找平和打磨。基层应牢固、干燥、洁净、平整，无空鼓、脱层和明显裂缝。</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乳胶漆涂刷工艺不少于一底一面。实际涂刷应达到样板所确认的遮盖度、色泽和完成效果。</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大面积施工前应制作颜色和工艺样板，经确认后方可实施。连续墙面应统一材料批次和调色比例，修补区域应控制与原有或相邻完成面的色差。</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完成面应平整、完整、色泽均匀，无漏刷、透底、流挂、起皮、鼓泡、明显颗粒、刷痕、裂缝、污渍和接茬；阴阳角及与其他完成面交接部位应处理到位。</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6. 涂刷前应对门、开关面板、摄像点位、灯具、踢脚线、地面及其他既有设施做好保护；发生污染、剐蹭或损坏时，应及时清洁并按原标准恢复。</w:t>
      </w:r>
    </w:p>
    <w:p>
      <w:pPr>
        <w:pStyle w:val="3"/>
        <w:spacing w:before="16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b w:val="0"/>
          <w:bCs w:val="0"/>
          <w:color w:val="26292D"/>
          <w:sz w:val="21"/>
          <w:szCs w:val="21"/>
        </w:rPr>
        <w:t>（三）、展柜及展台</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1.如需隔断应按深化设计采用安全施工方式。原则上厚度不低于10mm；最终构造、钢化或夹层方式及厚度，应结合尺寸、支承方式、使用位置和安全要求确定。</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 xml:space="preserve">2. </w:t>
      </w:r>
      <w:r>
        <w:rPr>
          <w:rFonts w:ascii="宋体-简" w:hAnsi="宋体-简" w:eastAsia="宋体-简"/>
          <w:color w:val="26292D"/>
          <w:szCs w:val="21"/>
        </w:rPr>
        <w:t>展柜及展台应洁净且</w:t>
      </w:r>
      <w:r>
        <w:rPr>
          <w:rFonts w:hint="eastAsia" w:ascii="宋体-简" w:hAnsi="宋体-简" w:eastAsia="宋体-简"/>
          <w:color w:val="26292D"/>
          <w:szCs w:val="21"/>
        </w:rPr>
        <w:t>无影响安全和观感的裂纹、爆边、崩角、明显划痕、气泡、脱胶或波纹；边缘应进行安全处理，安装应牢固，连接和收口应平整严密。</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展柜、展台及悬空展示构件应按照经确认图纸制作，尺寸、造型、颜色、饰面及照明效果应与确认样板一致，结构应稳固并满足陈列、开启和维护需要。</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展柜和展台边角不得存在尖锐突出物；饰面不得有明显色差、划伤、翘边和胶痕。展示空间内部不得采用可能损伤展品或影响观感的外露尖锐连接件。</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悬空展柜、隔断、异形展台及其他非标准构件安装前，应提交固定节点、受力方式和安装方案；需复核的部位经确认后方可施工。</w:t>
      </w:r>
    </w:p>
    <w:p>
      <w:pPr>
        <w:pStyle w:val="3"/>
        <w:spacing w:before="16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b w:val="0"/>
          <w:bCs w:val="0"/>
          <w:color w:val="26292D"/>
          <w:sz w:val="21"/>
          <w:szCs w:val="21"/>
        </w:rPr>
        <w:t>（四）图文美工制作与安装</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中标人应依据经确认的图文设计文件完成墙面图文、说明牌、展签、展板、立体文字、吊旗、引导标识、地面标识、灯箱画面及其他美工内容的制作安装。</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批量制作前应校对文字、数字、标点、版式、尺寸、色彩和图片清晰度，并按要求打样。未经确认不得批量输出；确认后如无书面变更，不得擅自修改内容和版式。</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输出画面应清晰，色彩还原和裁切尺寸准确；连续画面拼接应图文完整、位置对应、色调一致，不得出现明显跳线、重影或错位。</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安装应平整、牢固、边线顺直、位置准确，无错字、漏字、明显色差、划痕、毛刺、起边、翘角、褶皱、鼓泡和胶痕。可移除图文材料拆除后不得对原完成面造成不当损伤。</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立体文字和构件应按经确认的造型、厚度和颜色加工，切割边缘平整、涂饰均匀，安装横平竖直、固定可靠，不得发生松动或脱落。</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6. 户外或人流可接触部位的图文及构件，应满足相应的耐候、阻燃和固定安全要求；材料使用不得低于消防及场馆管理要求。</w:t>
      </w:r>
    </w:p>
    <w:p>
      <w:pPr>
        <w:pStyle w:val="3"/>
        <w:spacing w:before="16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b w:val="0"/>
          <w:bCs w:val="0"/>
          <w:color w:val="26292D"/>
          <w:sz w:val="21"/>
          <w:szCs w:val="21"/>
        </w:rPr>
        <w:t>（五）灯光及相关电气</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展陈照明及相关电源、控制、线缆和连接件应采用符合国家标准的合格产品，其规格、数量、长度、功率和安装位置按经确认图纸执行。</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线性或展柜照明应安装平直、连续，出光均匀，无明显暗区、断点和色差；嵌入部位应做好散热、绝缘和隐藏处理，并预留检修条件。</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灯具安装位置、投射方向、照度和视觉效果应配合展陈内容，经现场调试后确认；不得产生影响参观、展品安全或多媒体画面的明显眩光和干扰。</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电气线路应布置整齐、固定可靠，设置相适应的短路、过载、漏电和接地保护，不得出现线头外露、绝缘破损、私拉乱接、接头松动、异常发热或带电部件可触及。</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接线、通电和调试应由符合项目管理要求的专业人员实施；完成后应进行供电、控制、保护功能和连续运行检查，合格后方可交付。</w:t>
      </w:r>
    </w:p>
    <w:p>
      <w:pPr>
        <w:pStyle w:val="2"/>
        <w:spacing w:before="20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color w:val="26292D"/>
          <w:sz w:val="21"/>
          <w:szCs w:val="21"/>
        </w:rPr>
        <w:t>2.3.6 多媒体系统技术要求</w:t>
      </w:r>
    </w:p>
    <w:p>
      <w:pPr>
        <w:pStyle w:val="3"/>
        <w:spacing w:before="16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b w:val="0"/>
          <w:bCs w:val="0"/>
          <w:color w:val="26292D"/>
          <w:sz w:val="21"/>
          <w:szCs w:val="21"/>
        </w:rPr>
        <w:t>（一）系统通用要求</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多媒体系统应与展览内容、展示空间、照明、电气、网络、安防和展陈结构协调，完成设备配置、安装固定、线路连接、内容适配、系统控制、调试试运行及展期维护。</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各功能模块应与内容文件、信号源、控制端、网络环境、音频系统及电源条件匹配。视频、音频、控制、互动和监控信号应传输稳定，不得出现影响使用的丢帧、卡顿、花屏、黑屏、失真、杂音、控制失效或间歇性断连。</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设备外观应完整，无明显划伤、变形和污染；安装应横平竖直、固定可靠、边界整齐，并与展陈空间协调。设备、安装构件和线路不得妨碍参观动线、疏散、展品安全及日常维护。</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系统应具备与展期相适应的连续运行能力，便于统一启停、内容播放、状态检查和故障排查。需接入采购人或场馆现有网络、安防及控制系统的，应按已提供接口条件完成配合和联调。</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下列指标为功能性最低要求，不限定实现该功能的具体设备形式。数量、实际画面尺寸、使用点位和安装方式以</w:t>
      </w:r>
      <w:r>
        <w:rPr>
          <w:rFonts w:hint="eastAsia" w:ascii="宋体-简" w:hAnsi="宋体-简" w:eastAsia="宋体-简"/>
          <w:color w:val="26292D"/>
          <w:szCs w:val="21"/>
          <w:lang w:eastAsia="zh-CN"/>
        </w:rPr>
        <w:t>中标人提供且</w:t>
      </w:r>
      <w:r>
        <w:rPr>
          <w:rFonts w:hint="eastAsia" w:ascii="宋体-简" w:hAnsi="宋体-简" w:eastAsia="宋体-简"/>
          <w:color w:val="26292D"/>
          <w:szCs w:val="21"/>
        </w:rPr>
        <w:t>经</w:t>
      </w:r>
      <w:r>
        <w:rPr>
          <w:rFonts w:hint="eastAsia" w:ascii="宋体-简" w:hAnsi="宋体-简" w:eastAsia="宋体-简"/>
          <w:color w:val="26292D"/>
          <w:szCs w:val="21"/>
          <w:lang w:eastAsia="zh-CN"/>
        </w:rPr>
        <w:t>采购人</w:t>
      </w:r>
      <w:r>
        <w:rPr>
          <w:rFonts w:hint="eastAsia" w:ascii="宋体-简" w:hAnsi="宋体-简" w:eastAsia="宋体-简"/>
          <w:color w:val="26292D"/>
          <w:szCs w:val="21"/>
        </w:rPr>
        <w:t>确认</w:t>
      </w:r>
      <w:r>
        <w:rPr>
          <w:rFonts w:hint="eastAsia" w:ascii="宋体-简" w:hAnsi="宋体-简" w:eastAsia="宋体-简"/>
          <w:color w:val="26292D"/>
          <w:szCs w:val="21"/>
          <w:lang w:eastAsia="zh-CN"/>
        </w:rPr>
        <w:t>的</w:t>
      </w:r>
      <w:r>
        <w:rPr>
          <w:rFonts w:hint="eastAsia" w:ascii="宋体-简" w:hAnsi="宋体-简" w:eastAsia="宋体-简"/>
          <w:color w:val="26292D"/>
          <w:szCs w:val="21"/>
        </w:rPr>
        <w:t>设备清单及深化设计图纸为准。</w:t>
      </w:r>
    </w:p>
    <w:p>
      <w:pPr>
        <w:pStyle w:val="3"/>
        <w:spacing w:before="16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b w:val="0"/>
          <w:bCs w:val="0"/>
          <w:color w:val="26292D"/>
          <w:sz w:val="21"/>
          <w:szCs w:val="21"/>
        </w:rPr>
        <w:t>（二）视觉显示</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873"/>
        <w:gridCol w:w="5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24" w:type="pct"/>
            <w:shd w:val="clear" w:color="auto" w:fill="DCE6F1"/>
            <w:tcMar>
              <w:top w:w="90" w:type="dxa"/>
              <w:left w:w="120" w:type="dxa"/>
              <w:bottom w:w="90" w:type="dxa"/>
              <w:right w:w="120" w:type="dxa"/>
            </w:tcMar>
            <w:vAlign w:val="center"/>
          </w:tcPr>
          <w:p>
            <w:pPr>
              <w:jc w:val="center"/>
              <w:rPr>
                <w:rFonts w:hint="eastAsia" w:ascii="宋体-简" w:hAnsi="宋体-简" w:eastAsia="宋体-简"/>
                <w:color w:val="26292D"/>
                <w:szCs w:val="21"/>
              </w:rPr>
            </w:pPr>
            <w:r>
              <w:rPr>
                <w:rFonts w:hint="eastAsia" w:ascii="宋体-简" w:hAnsi="宋体-简" w:eastAsia="宋体-简"/>
                <w:color w:val="26292D"/>
                <w:szCs w:val="21"/>
              </w:rPr>
              <w:t>编号</w:t>
            </w:r>
          </w:p>
        </w:tc>
        <w:tc>
          <w:tcPr>
            <w:tcW w:w="1096" w:type="pct"/>
            <w:shd w:val="clear" w:color="auto" w:fill="DCE6F1"/>
            <w:tcMar>
              <w:top w:w="90" w:type="dxa"/>
              <w:left w:w="120" w:type="dxa"/>
              <w:bottom w:w="90" w:type="dxa"/>
              <w:right w:w="120" w:type="dxa"/>
            </w:tcMar>
            <w:vAlign w:val="center"/>
          </w:tcPr>
          <w:p>
            <w:pPr>
              <w:jc w:val="center"/>
              <w:rPr>
                <w:rFonts w:hint="eastAsia" w:ascii="宋体-简" w:hAnsi="宋体-简" w:eastAsia="宋体-简"/>
                <w:color w:val="26292D"/>
                <w:szCs w:val="21"/>
              </w:rPr>
            </w:pPr>
            <w:r>
              <w:rPr>
                <w:rFonts w:hint="eastAsia" w:ascii="宋体-简" w:hAnsi="宋体-简" w:eastAsia="宋体-简"/>
                <w:color w:val="26292D"/>
                <w:szCs w:val="21"/>
              </w:rPr>
              <w:t>功能场景</w:t>
            </w:r>
          </w:p>
        </w:tc>
        <w:tc>
          <w:tcPr>
            <w:tcW w:w="3480" w:type="pct"/>
            <w:shd w:val="clear" w:color="auto" w:fill="DCE6F1"/>
            <w:tcMar>
              <w:top w:w="90" w:type="dxa"/>
              <w:left w:w="120" w:type="dxa"/>
              <w:bottom w:w="90" w:type="dxa"/>
              <w:right w:w="120" w:type="dxa"/>
            </w:tcMar>
            <w:vAlign w:val="center"/>
          </w:tcPr>
          <w:p>
            <w:pPr>
              <w:jc w:val="center"/>
              <w:rPr>
                <w:rFonts w:hint="eastAsia" w:ascii="宋体-简" w:hAnsi="宋体-简" w:eastAsia="宋体-简"/>
                <w:color w:val="26292D"/>
                <w:szCs w:val="21"/>
              </w:rPr>
            </w:pPr>
            <w:r>
              <w:rPr>
                <w:rFonts w:hint="eastAsia" w:ascii="宋体-简" w:hAnsi="宋体-简" w:eastAsia="宋体-简"/>
                <w:color w:val="26292D"/>
                <w:szCs w:val="21"/>
              </w:rPr>
              <w:t>最低技术与性能要求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V1</w:t>
            </w:r>
          </w:p>
        </w:tc>
        <w:tc>
          <w:tcPr>
            <w:tcW w:w="1096"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常规视频展示场景</w:t>
            </w:r>
          </w:p>
        </w:tc>
        <w:tc>
          <w:tcPr>
            <w:tcW w:w="3480"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物理分辨率不低于1920×1080；显示比例16:9；色彩表现不低于16.7M、8 bit；亮度不低于250 cd/m²；对比度不低于1200:1；响应时间不大于8 ms；水平、垂直可视角度均不低于178°。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V2</w:t>
            </w:r>
          </w:p>
        </w:tc>
        <w:tc>
          <w:tcPr>
            <w:tcW w:w="1096"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大幅高清展示场景</w:t>
            </w:r>
          </w:p>
        </w:tc>
        <w:tc>
          <w:tcPr>
            <w:tcW w:w="3480"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物理分辨率不低于3840×2160；显示帧率不低于60 Hz；亮度不低于300 cd/m²；对比度不低于4000:1；水平、垂直可视角度均不低于178°；工作寿命不低于30000小时；支持本地或网络内容播放。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V3</w:t>
            </w:r>
          </w:p>
        </w:tc>
        <w:tc>
          <w:tcPr>
            <w:tcW w:w="1096"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LED屏呈现画面</w:t>
            </w:r>
          </w:p>
        </w:tc>
        <w:tc>
          <w:tcPr>
            <w:tcW w:w="3480"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整体显示尺寸与经确认图纸一致；像素间距不大于1.86 mm；白平衡亮度不低于600 nit；对比度不低于6500:1；刷新率不低于3840 Hz；换帧频率不低于60帧/秒；水平视角不低于160°、垂直视角不低于140°；色温可调；最大功耗不高于395 W/m²、平均功耗不高于118 W/m²。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V4</w:t>
            </w:r>
          </w:p>
        </w:tc>
        <w:tc>
          <w:tcPr>
            <w:tcW w:w="1096"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投影视觉场景</w:t>
            </w:r>
          </w:p>
        </w:tc>
        <w:tc>
          <w:tcPr>
            <w:tcW w:w="3480"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有效画面完整覆盖经确认区域；输出分辨率不低于3840×2160、60 Hz；亮度不低于10000 ISO流明；画面均匀度不低于90%；光源寿命不低于20000小时；正常模式噪声不高于38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V5</w:t>
            </w:r>
          </w:p>
        </w:tc>
        <w:tc>
          <w:tcPr>
            <w:tcW w:w="1096"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互动视觉场景</w:t>
            </w:r>
          </w:p>
        </w:tc>
        <w:tc>
          <w:tcPr>
            <w:tcW w:w="3480"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物理分辨率不低于3840×2160；显示帧率不低于60 Hz；响应时间不大于6.5 ms；亮度不低于350 cd/m²；对比度不低于5000:1；可视角度不低于178°；</w:t>
            </w:r>
          </w:p>
        </w:tc>
      </w:tr>
    </w:tbl>
    <w:p>
      <w:pPr>
        <w:spacing w:after="40"/>
        <w:rPr>
          <w:rFonts w:hint="eastAsia" w:ascii="宋体-简" w:hAnsi="宋体-简" w:eastAsia="宋体-简"/>
          <w:color w:val="26292D"/>
          <w:szCs w:val="21"/>
        </w:rPr>
      </w:pPr>
    </w:p>
    <w:p>
      <w:pPr>
        <w:pStyle w:val="3"/>
        <w:spacing w:before="16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b w:val="0"/>
          <w:bCs w:val="0"/>
          <w:color w:val="26292D"/>
          <w:sz w:val="21"/>
          <w:szCs w:val="21"/>
        </w:rPr>
        <w:t>（三）声音呈现</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139"/>
        <w:gridCol w:w="5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24" w:type="pct"/>
            <w:shd w:val="clear" w:color="auto" w:fill="DCE6F1"/>
            <w:tcMar>
              <w:top w:w="90" w:type="dxa"/>
              <w:left w:w="120" w:type="dxa"/>
              <w:bottom w:w="90" w:type="dxa"/>
              <w:right w:w="120" w:type="dxa"/>
            </w:tcMar>
            <w:vAlign w:val="center"/>
          </w:tcPr>
          <w:p>
            <w:pPr>
              <w:jc w:val="center"/>
              <w:rPr>
                <w:rFonts w:hint="eastAsia" w:ascii="宋体-简" w:hAnsi="宋体-简" w:eastAsia="宋体-简"/>
                <w:color w:val="26292D"/>
                <w:szCs w:val="21"/>
              </w:rPr>
            </w:pPr>
            <w:r>
              <w:rPr>
                <w:rFonts w:hint="eastAsia" w:ascii="宋体-简" w:hAnsi="宋体-简" w:eastAsia="宋体-简"/>
                <w:color w:val="26292D"/>
                <w:szCs w:val="21"/>
              </w:rPr>
              <w:t>编号</w:t>
            </w:r>
          </w:p>
        </w:tc>
        <w:tc>
          <w:tcPr>
            <w:tcW w:w="1251" w:type="pct"/>
            <w:shd w:val="clear" w:color="auto" w:fill="DCE6F1"/>
            <w:tcMar>
              <w:top w:w="90" w:type="dxa"/>
              <w:left w:w="120" w:type="dxa"/>
              <w:bottom w:w="90" w:type="dxa"/>
              <w:right w:w="120" w:type="dxa"/>
            </w:tcMar>
            <w:vAlign w:val="center"/>
          </w:tcPr>
          <w:p>
            <w:pPr>
              <w:jc w:val="center"/>
              <w:rPr>
                <w:rFonts w:hint="eastAsia" w:ascii="宋体-简" w:hAnsi="宋体-简" w:eastAsia="宋体-简"/>
                <w:color w:val="26292D"/>
                <w:szCs w:val="21"/>
              </w:rPr>
            </w:pPr>
            <w:r>
              <w:rPr>
                <w:rFonts w:hint="eastAsia" w:ascii="宋体-简" w:hAnsi="宋体-简" w:eastAsia="宋体-简"/>
                <w:color w:val="26292D"/>
                <w:szCs w:val="21"/>
              </w:rPr>
              <w:t>功能场景</w:t>
            </w:r>
          </w:p>
        </w:tc>
        <w:tc>
          <w:tcPr>
            <w:tcW w:w="3325" w:type="pct"/>
            <w:shd w:val="clear" w:color="auto" w:fill="DCE6F1"/>
            <w:tcMar>
              <w:top w:w="90" w:type="dxa"/>
              <w:left w:w="120" w:type="dxa"/>
              <w:bottom w:w="90" w:type="dxa"/>
              <w:right w:w="120" w:type="dxa"/>
            </w:tcMar>
            <w:vAlign w:val="center"/>
          </w:tcPr>
          <w:p>
            <w:pPr>
              <w:jc w:val="center"/>
              <w:rPr>
                <w:rFonts w:hint="eastAsia" w:ascii="宋体-简" w:hAnsi="宋体-简" w:eastAsia="宋体-简"/>
                <w:color w:val="26292D"/>
                <w:szCs w:val="21"/>
              </w:rPr>
            </w:pPr>
            <w:r>
              <w:rPr>
                <w:rFonts w:hint="eastAsia" w:ascii="宋体-简" w:hAnsi="宋体-简" w:eastAsia="宋体-简"/>
                <w:color w:val="26292D"/>
                <w:szCs w:val="21"/>
              </w:rPr>
              <w:t>最低技术与性能要求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A1</w:t>
            </w:r>
          </w:p>
        </w:tc>
        <w:tc>
          <w:tcPr>
            <w:tcW w:w="1251"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个人独立聆听场景</w:t>
            </w:r>
          </w:p>
        </w:tc>
        <w:tc>
          <w:tcPr>
            <w:tcW w:w="3325"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有效频率响应覆盖20 Hz—20 kHz；阻抗和灵敏度与播放端匹配，参考阻抗约30 Ω、灵敏度不低于108 dB SPL@1 kHz；连接长度满足安装与使用位置要求；佩戴和操作适合展览公众使用。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A2</w:t>
            </w:r>
          </w:p>
        </w:tc>
        <w:tc>
          <w:tcPr>
            <w:tcW w:w="1251"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局部聚焦声音场景</w:t>
            </w:r>
          </w:p>
        </w:tc>
        <w:tc>
          <w:tcPr>
            <w:tcW w:w="3325"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有效频率范围覆盖20 Hz—20 kHz；信噪比不低于75 dB；额定功率下总谐波失真不高于6%；配套放大输出功率不低于30 W；形成与展示点位相匹配的局部声场，减少相邻展项声音干扰。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A3</w:t>
            </w:r>
          </w:p>
        </w:tc>
        <w:tc>
          <w:tcPr>
            <w:tcW w:w="1251"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区域声音覆盖场景</w:t>
            </w:r>
          </w:p>
        </w:tc>
        <w:tc>
          <w:tcPr>
            <w:tcW w:w="3325"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频率响应不窄于50 Hz—20 kHz（±3 dB）；标准阻抗8 Ω；灵敏度不低于98 dB（1 W/1 m，允许偏差±2 dB）；额定功率不低于300 W、最大功率不低于600 W；持续最大声压级不低于120 dB；水平和垂直覆盖角度均不低于60°。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A4</w:t>
            </w:r>
          </w:p>
        </w:tc>
        <w:tc>
          <w:tcPr>
            <w:tcW w:w="1251" w:type="pct"/>
            <w:tcMar>
              <w:top w:w="90" w:type="dxa"/>
              <w:left w:w="120" w:type="dxa"/>
              <w:bottom w:w="90" w:type="dxa"/>
              <w:right w:w="120" w:type="dxa"/>
            </w:tcMar>
            <w:vAlign w:val="center"/>
          </w:tcPr>
          <w:p>
            <w:pPr>
              <w:spacing w:line="283" w:lineRule="auto"/>
              <w:jc w:val="center"/>
              <w:rPr>
                <w:rFonts w:hint="eastAsia" w:ascii="宋体-简" w:hAnsi="宋体-简" w:eastAsia="宋体-简"/>
                <w:color w:val="26292D"/>
                <w:szCs w:val="21"/>
              </w:rPr>
            </w:pPr>
            <w:r>
              <w:rPr>
                <w:rFonts w:hint="eastAsia" w:ascii="宋体-简" w:hAnsi="宋体-简" w:eastAsia="宋体-简"/>
                <w:color w:val="26292D"/>
                <w:szCs w:val="21"/>
              </w:rPr>
              <w:t>音频功率匹配</w:t>
            </w:r>
          </w:p>
        </w:tc>
        <w:tc>
          <w:tcPr>
            <w:tcW w:w="3325" w:type="pct"/>
            <w:tcMar>
              <w:top w:w="90" w:type="dxa"/>
              <w:left w:w="120" w:type="dxa"/>
              <w:bottom w:w="90" w:type="dxa"/>
              <w:right w:w="120" w:type="dxa"/>
            </w:tcMar>
            <w:vAlign w:val="center"/>
          </w:tcPr>
          <w:p>
            <w:pPr>
              <w:spacing w:line="283" w:lineRule="auto"/>
              <w:rPr>
                <w:rFonts w:hint="eastAsia" w:ascii="宋体-简" w:hAnsi="宋体-简" w:eastAsia="宋体-简"/>
                <w:color w:val="26292D"/>
                <w:szCs w:val="21"/>
              </w:rPr>
            </w:pPr>
            <w:r>
              <w:rPr>
                <w:rFonts w:hint="eastAsia" w:ascii="宋体-简" w:hAnsi="宋体-简" w:eastAsia="宋体-简"/>
                <w:color w:val="26292D"/>
                <w:szCs w:val="21"/>
              </w:rPr>
              <w:t>立体声输出能力不低于2×500 W/8 Ω、2×750 W/4 Ω，桥接单声道输出能力不低于1500 W/8 Ω；频率响应不窄于20 Hz—18 kHz（±3 dB）；总谐波失真小于0.1%；信噪比不低于100 dB；具备过热、短路、直流、限流、软启动及输出保护。</w:t>
            </w:r>
          </w:p>
        </w:tc>
      </w:tr>
    </w:tbl>
    <w:p>
      <w:pPr>
        <w:spacing w:after="40"/>
        <w:rPr>
          <w:rFonts w:hint="eastAsia" w:ascii="宋体-简" w:hAnsi="宋体-简" w:eastAsia="宋体-简"/>
          <w:color w:val="26292D"/>
          <w:szCs w:val="21"/>
        </w:rPr>
      </w:pPr>
    </w:p>
    <w:p>
      <w:pPr>
        <w:pStyle w:val="2"/>
        <w:spacing w:before="200" w:after="140" w:line="264" w:lineRule="auto"/>
        <w:rPr>
          <w:rFonts w:hint="eastAsia" w:ascii="宋体-简" w:hAnsi="宋体-简" w:eastAsia="宋体-简" w:cs="Times New Roman"/>
          <w:b w:val="0"/>
          <w:bCs w:val="0"/>
          <w:color w:val="26292D"/>
          <w:sz w:val="21"/>
          <w:szCs w:val="21"/>
        </w:rPr>
      </w:pPr>
      <w:r>
        <w:rPr>
          <w:rFonts w:hint="eastAsia" w:ascii="宋体-简" w:hAnsi="宋体-简" w:eastAsia="宋体-简" w:cs="Times New Roman"/>
          <w:color w:val="26292D"/>
          <w:sz w:val="21"/>
          <w:szCs w:val="21"/>
        </w:rPr>
        <w:t>2.3.7 施工安装及专业协调要求</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中标人应服从采购人和场馆的进场、施工、消防、安保及开放管理要求，按规定办理人员、车辆、设备、动火、高处作业和临时用电等手续，并按批准施工组织实施，</w:t>
      </w:r>
      <w:r>
        <w:rPr>
          <w:rFonts w:hint="eastAsia" w:ascii="宋体-简" w:hAnsi="宋体-简" w:eastAsia="宋体-简"/>
          <w:szCs w:val="21"/>
        </w:rPr>
        <w:t>以合理、安全、规范的施工组织方式，确保按照约定的工程节点完成相关工作。</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搭建施工、多媒体安装、照明、电气、网络及安防配合应统一放线定位，明确作业顺序和交接条件，避免结构封闭后出现无法布线、散热、检修或拆卸的问题。</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依据场馆现有插座、网络及弱电接入条件合理安排点位和线路。确需新增配电、网络或接入配套时，应在深化图中明确负荷、回路、线缆、敷设及接口关系，并履行确认程序。</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安装构件应与现场基层、设备荷载和使用方式匹配；吊挂、壁挂、嵌入、落地或机柜等具体形式由深化设计确定。重型、悬挂或公众可接触部位应设置可靠固定和相应安全措施。所有展品展项应安全稳固，避免任何可能对观众造成伤害的不安全因素；同时充分考虑展品展项自身的安全防护、防盗等要求；充分考虑展品展项运行维护的便利性，预留维修通道，并准备必要的备品备件。</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5. 电源线、信号线和网络线应分类布置、固定可靠、标识清晰，并进行适当保护与隐蔽。线路转弯、接头、穿越和接口处不得过度拉伸、挤压、松脱或形成明显干扰。</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6. 设备及电气部件应预留通风、散热、检修、插拔和维护空间；安装位置不得遮挡展览内容、影响观众观看与操作，不得妨碍疏散和原有设施使用。</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7. 施工期间应对原有顶、地、墙、柱、门窗、踢脚线、灯具、摄像点位、开关面板及其他设施进行保护，采取防尘、防烟、防噪声和防异味措施；关键工序应留存检查和影像记录。</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 xml:space="preserve">8. </w:t>
      </w:r>
      <w:r>
        <w:rPr>
          <w:rFonts w:hint="eastAsia" w:ascii="宋体-简" w:hAnsi="宋体-简" w:eastAsia="宋体-简"/>
          <w:szCs w:val="21"/>
        </w:rPr>
        <w:t>现场搭建期间应做好现场施工隔离和必要的安全保护、防尘、防噪、防异味等措施。</w:t>
      </w:r>
      <w:r>
        <w:rPr>
          <w:rFonts w:hint="eastAsia" w:ascii="宋体-简" w:hAnsi="宋体-简" w:eastAsia="宋体-简"/>
          <w:color w:val="26292D"/>
          <w:szCs w:val="21"/>
        </w:rPr>
        <w:t>每日施工结束后应及时清理现场，材料、工具和垃圾按指定区域有序存放，保持通道和作业面安全整洁，不影响场馆的正常开放和附近区域的正常通行，不破坏展览场地的建筑装饰。</w:t>
      </w:r>
    </w:p>
    <w:p>
      <w:pPr>
        <w:spacing w:after="120" w:line="300" w:lineRule="auto"/>
        <w:ind w:firstLine="420"/>
        <w:rPr>
          <w:rFonts w:hint="eastAsia" w:ascii="宋体-简" w:hAnsi="宋体-简" w:eastAsia="宋体-简"/>
          <w:color w:val="26292D"/>
          <w:szCs w:val="21"/>
        </w:rPr>
      </w:pPr>
    </w:p>
    <w:p>
      <w:pPr>
        <w:pStyle w:val="2"/>
        <w:spacing w:before="200" w:after="140" w:line="264" w:lineRule="auto"/>
        <w:rPr>
          <w:rFonts w:hint="eastAsia" w:ascii="宋体-简" w:hAnsi="宋体-简" w:eastAsia="宋体-简" w:cs="Times New Roman"/>
          <w:color w:val="26292D"/>
          <w:sz w:val="21"/>
          <w:szCs w:val="21"/>
        </w:rPr>
      </w:pPr>
      <w:r>
        <w:rPr>
          <w:rFonts w:hint="eastAsia" w:ascii="宋体-简" w:hAnsi="宋体-简" w:eastAsia="宋体-简" w:cs="Times New Roman"/>
          <w:color w:val="26292D"/>
          <w:sz w:val="21"/>
          <w:szCs w:val="21"/>
        </w:rPr>
        <w:t>2.3.8 调试、联调及试运行</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1. 搭建及安装完成后，中标人应完成自检、分项检查、单机调试、分系统调试、系统联调和试运行，并对发现的问题闭环整改。</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2. 展陈部分应检查结构稳定、尺寸位置、完成面、及展柜、图文内容、照明效果、电气安全和成品保护，确保与经确认图纸、清单及样板一致。</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3. 多媒体调试至少包括图像显示、内容播放、声音输出、互动响应、网络通信、监控接入、数据存储、控制启停、设备状态和断电重启后的功能恢复。</w:t>
      </w:r>
    </w:p>
    <w:p>
      <w:pPr>
        <w:spacing w:after="120" w:line="300" w:lineRule="auto"/>
        <w:ind w:firstLine="420"/>
        <w:rPr>
          <w:rFonts w:hint="eastAsia" w:ascii="宋体-简" w:hAnsi="宋体-简" w:eastAsia="宋体-简"/>
          <w:color w:val="26292D"/>
          <w:szCs w:val="21"/>
        </w:rPr>
      </w:pPr>
      <w:r>
        <w:rPr>
          <w:rFonts w:hint="eastAsia" w:ascii="宋体-简" w:hAnsi="宋体-简" w:eastAsia="宋体-简"/>
          <w:color w:val="26292D"/>
          <w:szCs w:val="21"/>
        </w:rPr>
        <w:t>4. 视觉呈现应检查分辨率、亮度、色彩、画面比例、几何关系、同步、刷新和可视范围；声音呈现应检查声场覆盖、信噪、失真、音量一致性及展项间串扰；互动功能应检查触发范围、校准、响应、识别、反馈和连续运行。</w:t>
      </w:r>
    </w:p>
    <w:p>
      <w:pPr>
        <w:spacing w:line="500" w:lineRule="exact"/>
        <w:rPr>
          <w:rFonts w:hint="eastAsia" w:ascii="宋体-简" w:hAnsi="宋体-简" w:eastAsia="宋体-简"/>
          <w:szCs w:val="21"/>
        </w:rPr>
      </w:pPr>
    </w:p>
    <w:p>
      <w:pPr>
        <w:pStyle w:val="27"/>
        <w:numPr>
          <w:ilvl w:val="0"/>
          <w:numId w:val="5"/>
        </w:numPr>
        <w:spacing w:before="100" w:beforeAutospacing="1" w:line="500" w:lineRule="exact"/>
        <w:ind w:firstLineChars="0"/>
        <w:rPr>
          <w:rFonts w:hint="eastAsia" w:ascii="宋体" w:hAnsi="宋体"/>
          <w:b/>
          <w:bCs/>
          <w:sz w:val="21"/>
          <w:szCs w:val="21"/>
        </w:rPr>
      </w:pPr>
      <w:r>
        <w:rPr>
          <w:rFonts w:ascii="宋体" w:hAnsi="宋体"/>
          <w:b/>
          <w:bCs/>
          <w:sz w:val="21"/>
          <w:szCs w:val="21"/>
        </w:rPr>
        <w:t>展陈展期</w:t>
      </w:r>
      <w:r>
        <w:rPr>
          <w:rFonts w:hint="eastAsia" w:ascii="宋体" w:hAnsi="宋体"/>
          <w:b/>
          <w:bCs/>
          <w:sz w:val="21"/>
          <w:szCs w:val="21"/>
        </w:rPr>
        <w:t>维保以及</w:t>
      </w:r>
      <w:r>
        <w:rPr>
          <w:rFonts w:ascii="宋体" w:hAnsi="宋体"/>
          <w:b/>
          <w:bCs/>
          <w:sz w:val="21"/>
          <w:szCs w:val="21"/>
        </w:rPr>
        <w:t>撤展配合</w:t>
      </w:r>
    </w:p>
    <w:p>
      <w:pPr>
        <w:spacing w:line="500" w:lineRule="exact"/>
        <w:rPr>
          <w:rFonts w:hint="eastAsia" w:ascii="宋体-简" w:hAnsi="宋体-简" w:eastAsia="宋体-简"/>
          <w:szCs w:val="21"/>
        </w:rPr>
      </w:pPr>
      <w:r>
        <w:rPr>
          <w:rFonts w:hint="eastAsia" w:ascii="宋体-简" w:hAnsi="宋体-简" w:eastAsia="宋体-简"/>
          <w:szCs w:val="21"/>
        </w:rPr>
        <w:t>投标人应完成从方案策划、设计深化到现场布展、开放调试、验收移交、后续维保服务及展期结束后撤展配合的全过程工作，并确保最终成果满足采购人对展览内容、空间效果、观众体验、使用安全及日常管理的要求。投标人负责整体展期内展墙、展具、互动装置等所有布展项的维保配合工作，现场展览运营由采购方自行负责，包含线上票务、现场检票、排队入场、展厅秩序管理、互动引导、导览讲解、展厅内活动组织、日常展厅清洁等运营内容。</w:t>
      </w:r>
    </w:p>
    <w:p>
      <w:pPr>
        <w:pStyle w:val="15"/>
        <w:ind w:firstLine="0" w:firstLineChars="0"/>
        <w:rPr>
          <w:sz w:val="24"/>
          <w:szCs w:val="24"/>
        </w:rPr>
      </w:pPr>
    </w:p>
    <w:p>
      <w:pPr>
        <w:pStyle w:val="15"/>
        <w:numPr>
          <w:ilvl w:val="0"/>
          <w:numId w:val="14"/>
        </w:numPr>
        <w:spacing w:line="500" w:lineRule="exact"/>
        <w:ind w:firstLineChars="0"/>
        <w:rPr>
          <w:rFonts w:hint="eastAsia" w:ascii="宋体-简" w:hAnsi="宋体-简" w:eastAsia="宋体-简"/>
          <w:szCs w:val="21"/>
        </w:rPr>
      </w:pPr>
      <w:r>
        <w:rPr>
          <w:rFonts w:hint="eastAsia" w:ascii="宋体-简" w:hAnsi="宋体-简" w:eastAsia="宋体-简"/>
          <w:szCs w:val="21"/>
        </w:rPr>
        <w:t>完成或配合采购人完成其他与工程相关的工作，如施工安全监管、报监报审、竣工验收、审计结算等。</w:t>
      </w:r>
    </w:p>
    <w:p>
      <w:pPr>
        <w:pStyle w:val="15"/>
        <w:numPr>
          <w:ilvl w:val="0"/>
          <w:numId w:val="14"/>
        </w:numPr>
        <w:spacing w:line="500" w:lineRule="exact"/>
        <w:ind w:firstLineChars="0"/>
        <w:rPr>
          <w:rFonts w:hint="eastAsia" w:ascii="宋体-简" w:hAnsi="宋体-简" w:eastAsia="宋体-简"/>
          <w:szCs w:val="21"/>
        </w:rPr>
      </w:pPr>
      <w:r>
        <w:rPr>
          <w:rFonts w:hint="eastAsia" w:ascii="宋体-简" w:hAnsi="宋体-简" w:eastAsia="宋体-简"/>
          <w:szCs w:val="21"/>
        </w:rPr>
        <w:t>投标人应配合就展览设计、多媒体互动引导、展项设备使用等对采购人所属运营人员进行交接培训。</w:t>
      </w:r>
    </w:p>
    <w:p>
      <w:pPr>
        <w:pStyle w:val="15"/>
        <w:numPr>
          <w:ilvl w:val="0"/>
          <w:numId w:val="14"/>
        </w:numPr>
        <w:spacing w:after="120" w:line="500" w:lineRule="exact"/>
        <w:ind w:firstLineChars="0"/>
        <w:rPr>
          <w:rFonts w:hint="eastAsia" w:ascii="宋体-简" w:hAnsi="宋体-简" w:eastAsia="宋体-简"/>
          <w:color w:val="26292D"/>
          <w:szCs w:val="21"/>
        </w:rPr>
      </w:pPr>
      <w:r>
        <w:rPr>
          <w:rFonts w:ascii="宋体-简" w:hAnsi="宋体-简" w:eastAsia="宋体-简"/>
          <w:color w:val="26292D"/>
          <w:szCs w:val="21"/>
        </w:rPr>
        <w:t>中标人应保证展期内展墙、完成面、图文构件、展柜展台、照明、电气及多媒体系统处于安全、完好和正常使用状态。</w:t>
      </w:r>
    </w:p>
    <w:p>
      <w:pPr>
        <w:pStyle w:val="15"/>
        <w:numPr>
          <w:ilvl w:val="0"/>
          <w:numId w:val="14"/>
        </w:numPr>
        <w:spacing w:after="120" w:line="500" w:lineRule="exact"/>
        <w:ind w:firstLineChars="0"/>
        <w:rPr>
          <w:rFonts w:hint="eastAsia" w:ascii="宋体-简" w:hAnsi="宋体-简" w:eastAsia="宋体-简"/>
          <w:color w:val="26292D"/>
          <w:szCs w:val="21"/>
        </w:rPr>
      </w:pPr>
      <w:r>
        <w:rPr>
          <w:rFonts w:hint="eastAsia" w:ascii="宋体-简" w:hAnsi="宋体-简" w:eastAsia="宋体-简"/>
          <w:color w:val="26292D"/>
          <w:szCs w:val="21"/>
        </w:rPr>
        <w:t>展期内应定期巡检</w:t>
      </w:r>
      <w:r>
        <w:rPr>
          <w:rFonts w:hint="eastAsia" w:ascii="宋体-简" w:hAnsi="宋体-简" w:eastAsia="宋体-简"/>
          <w:szCs w:val="21"/>
        </w:rPr>
        <w:t>，巡检频次为每4个月</w:t>
      </w:r>
      <w:r>
        <w:rPr>
          <w:rFonts w:ascii="宋体-简" w:hAnsi="宋体-简" w:eastAsia="宋体-简"/>
          <w:szCs w:val="21"/>
        </w:rPr>
        <w:t>1</w:t>
      </w:r>
      <w:r>
        <w:rPr>
          <w:rFonts w:hint="eastAsia" w:ascii="宋体-简" w:hAnsi="宋体-简" w:eastAsia="宋体-简"/>
          <w:szCs w:val="21"/>
        </w:rPr>
        <w:t>次，需预约采购人进行联合巡检，巡检内容包含</w:t>
      </w:r>
      <w:r>
        <w:rPr>
          <w:rFonts w:hint="eastAsia" w:ascii="宋体-简" w:hAnsi="宋体-简" w:eastAsia="宋体-简"/>
          <w:color w:val="26292D"/>
          <w:szCs w:val="21"/>
        </w:rPr>
        <w:t>结构稳定、墙面开裂或涂层脱落、构件松动、图文翘边、展柜及道具、照明电气、显示画面、声音、互动响应、网络通信、监控存储、设备固定、线路连接和散热状态，并形成记录。</w:t>
      </w:r>
    </w:p>
    <w:p>
      <w:pPr>
        <w:pStyle w:val="15"/>
        <w:numPr>
          <w:ilvl w:val="0"/>
          <w:numId w:val="14"/>
        </w:numPr>
        <w:spacing w:after="120" w:line="500" w:lineRule="exact"/>
        <w:ind w:firstLineChars="0"/>
        <w:rPr>
          <w:rFonts w:hint="eastAsia" w:ascii="宋体-简" w:hAnsi="宋体-简" w:eastAsia="宋体-简"/>
          <w:color w:val="26292D"/>
          <w:szCs w:val="21"/>
        </w:rPr>
      </w:pPr>
      <w:r>
        <w:rPr>
          <w:rFonts w:hint="eastAsia" w:ascii="宋体-简" w:hAnsi="宋体-简" w:eastAsia="宋体-简"/>
          <w:color w:val="26292D"/>
          <w:szCs w:val="21"/>
        </w:rPr>
        <w:t>应配合采购人进行展品或内容调整、设备启停、状态检查、故障排查、数据测试和必要的现场调整；不得因操作或维护影响展品安全和正常开放。</w:t>
      </w:r>
    </w:p>
    <w:p>
      <w:pPr>
        <w:pStyle w:val="15"/>
        <w:numPr>
          <w:ilvl w:val="0"/>
          <w:numId w:val="14"/>
        </w:numPr>
        <w:spacing w:after="120" w:line="500" w:lineRule="exact"/>
        <w:ind w:firstLineChars="0"/>
        <w:rPr>
          <w:rFonts w:hint="eastAsia" w:ascii="宋体-简" w:hAnsi="宋体-简" w:eastAsia="宋体-简"/>
          <w:color w:val="26292D"/>
          <w:szCs w:val="21"/>
        </w:rPr>
      </w:pPr>
      <w:r>
        <w:rPr>
          <w:rFonts w:hint="eastAsia" w:ascii="宋体-简" w:hAnsi="宋体-简" w:eastAsia="宋体-简"/>
          <w:color w:val="26292D"/>
          <w:szCs w:val="21"/>
        </w:rPr>
        <w:t>发现结构松动、构件脱落、破损、电气故障或其他安全问题时，应立即采取隔离、断电、加固等临时安全措施，并按采购文件和合同约定完成响应、到场及修复。</w:t>
      </w:r>
    </w:p>
    <w:p>
      <w:pPr>
        <w:pStyle w:val="15"/>
        <w:numPr>
          <w:ilvl w:val="0"/>
          <w:numId w:val="14"/>
        </w:numPr>
        <w:spacing w:after="120" w:line="500" w:lineRule="exact"/>
        <w:ind w:firstLineChars="0"/>
        <w:rPr>
          <w:rFonts w:hint="eastAsia" w:ascii="宋体-简" w:hAnsi="宋体-简" w:eastAsia="宋体-简"/>
          <w:color w:val="26292D"/>
          <w:szCs w:val="21"/>
        </w:rPr>
      </w:pPr>
      <w:r>
        <w:rPr>
          <w:rFonts w:hint="eastAsia" w:ascii="宋体-简" w:hAnsi="宋体-简" w:eastAsia="宋体-简"/>
          <w:szCs w:val="21"/>
        </w:rPr>
        <w:t>因材料、设备、制作或安装质量造成的问题，中标人应负责维修、更换和恢复，保证展示功能及展览正常开放。</w:t>
      </w:r>
    </w:p>
    <w:p>
      <w:pPr>
        <w:pStyle w:val="15"/>
        <w:numPr>
          <w:ilvl w:val="0"/>
          <w:numId w:val="14"/>
        </w:numPr>
        <w:spacing w:after="120" w:line="500" w:lineRule="exact"/>
        <w:ind w:firstLineChars="0"/>
        <w:rPr>
          <w:rFonts w:hint="eastAsia" w:ascii="宋体-简" w:hAnsi="宋体-简" w:eastAsia="宋体-简"/>
          <w:color w:val="26292D"/>
          <w:szCs w:val="21"/>
        </w:rPr>
      </w:pPr>
      <w:r>
        <w:rPr>
          <w:rFonts w:hint="eastAsia" w:ascii="宋体-简" w:hAnsi="宋体-简" w:eastAsia="宋体-简"/>
          <w:szCs w:val="21"/>
        </w:rPr>
        <w:t>投标人应按照采购人约定撤展日期提前完成撤展手续，并进行现场撤展配合。</w:t>
      </w:r>
    </w:p>
    <w:p>
      <w:pPr>
        <w:pStyle w:val="15"/>
        <w:spacing w:line="500" w:lineRule="exact"/>
        <w:ind w:firstLine="0" w:firstLineChars="0"/>
        <w:rPr>
          <w:rFonts w:hint="eastAsia" w:ascii="宋体-简" w:hAnsi="宋体-简" w:eastAsia="宋体-简"/>
          <w:b/>
          <w:bCs/>
          <w:szCs w:val="21"/>
        </w:rPr>
      </w:pPr>
    </w:p>
    <w:p>
      <w:pPr>
        <w:pStyle w:val="27"/>
        <w:numPr>
          <w:ilvl w:val="0"/>
          <w:numId w:val="5"/>
        </w:numPr>
        <w:spacing w:before="100" w:beforeAutospacing="1" w:line="500" w:lineRule="exact"/>
        <w:ind w:firstLineChars="0"/>
        <w:outlineLvl w:val="0"/>
        <w:rPr>
          <w:rFonts w:hint="eastAsia" w:ascii="宋体" w:hAnsi="宋体"/>
          <w:b/>
          <w:bCs/>
          <w:sz w:val="21"/>
          <w:szCs w:val="21"/>
        </w:rPr>
      </w:pPr>
      <w:r>
        <w:rPr>
          <w:rFonts w:hint="eastAsia" w:ascii="宋体" w:hAnsi="宋体"/>
          <w:b/>
          <w:bCs/>
          <w:sz w:val="21"/>
          <w:szCs w:val="21"/>
        </w:rPr>
        <w:t>项目质量要求、售后服务要求</w:t>
      </w:r>
    </w:p>
    <w:p>
      <w:pPr>
        <w:spacing w:line="500" w:lineRule="exact"/>
        <w:ind w:firstLine="420"/>
        <w:outlineLvl w:val="1"/>
      </w:pPr>
      <w:r>
        <w:rPr>
          <w:rFonts w:hint="eastAsia" w:ascii="宋体-简" w:hAnsi="宋体-简" w:eastAsia="宋体-简"/>
          <w:b/>
          <w:bCs/>
          <w:szCs w:val="21"/>
        </w:rPr>
        <w:t>本展览展品展项的设计、制作用材要求适合于大流量高强度的操作、演示、使用要求。</w:t>
      </w:r>
      <w:r>
        <w:rPr>
          <w:rFonts w:hint="eastAsia"/>
        </w:rPr>
        <w:t>投标人在进行系统设计时要考虑各系统的实用性、安全性、可靠性、兼容性、灵活性、先进性、开放性、扩展性、便捷性、高效节能、环保等各项因素，要选用性能优良、使用可靠的设备和器材产品。为保证系统的兼容性和利于售后服务，同一个子系统内的设备需尽可能来自同一设备生产厂家，并与原有系统实现无缝对接。</w:t>
      </w:r>
    </w:p>
    <w:p>
      <w:pPr>
        <w:spacing w:line="500" w:lineRule="exact"/>
        <w:ind w:firstLine="420"/>
        <w:outlineLvl w:val="1"/>
        <w:rPr>
          <w:sz w:val="24"/>
          <w:szCs w:val="24"/>
        </w:rPr>
      </w:pPr>
    </w:p>
    <w:p>
      <w:pPr>
        <w:pStyle w:val="27"/>
        <w:numPr>
          <w:ilvl w:val="0"/>
          <w:numId w:val="5"/>
        </w:numPr>
        <w:spacing w:before="100" w:beforeAutospacing="1" w:line="500" w:lineRule="exact"/>
        <w:ind w:firstLineChars="0"/>
        <w:outlineLvl w:val="1"/>
        <w:rPr>
          <w:rFonts w:hint="eastAsia" w:ascii="宋体" w:hAnsi="宋体"/>
          <w:b/>
          <w:bCs/>
          <w:sz w:val="21"/>
          <w:szCs w:val="21"/>
          <w:lang w:val="zh-TW"/>
        </w:rPr>
      </w:pPr>
      <w:r>
        <w:rPr>
          <w:rFonts w:hint="eastAsia" w:ascii="宋体" w:hAnsi="宋体"/>
          <w:b/>
          <w:bCs/>
          <w:sz w:val="21"/>
          <w:szCs w:val="21"/>
          <w:lang w:val="zh-TW"/>
        </w:rPr>
        <w:t>验收和退回</w:t>
      </w:r>
    </w:p>
    <w:p>
      <w:pPr>
        <w:pStyle w:val="15"/>
        <w:spacing w:line="500" w:lineRule="exact"/>
        <w:rPr>
          <w:rFonts w:hint="eastAsia" w:ascii="宋体-简" w:hAnsi="宋体-简" w:eastAsia="宋体-简"/>
          <w:szCs w:val="21"/>
        </w:rPr>
      </w:pPr>
      <w:r>
        <w:rPr>
          <w:rFonts w:hint="eastAsia" w:ascii="宋体-简" w:hAnsi="宋体-简" w:eastAsia="宋体-简"/>
          <w:szCs w:val="21"/>
        </w:rPr>
        <w:t>招标人将组织专家组对中标人最终效果根据招标需求和有关要求进行试运行与验收，如发现有重大缺陷、技术指标与数据等不符合规范、标准，或艺术效果达不到招标人要求的，将由中标单位进行整改，二次整改不合格的将中止合同，拆除安装的系统设备并退回招标人已付款项，给招标人造成经济损失的，应赔偿损失。</w:t>
      </w:r>
    </w:p>
    <w:p>
      <w:pPr>
        <w:pStyle w:val="15"/>
        <w:spacing w:line="500" w:lineRule="exact"/>
        <w:rPr>
          <w:rFonts w:hint="eastAsia" w:ascii="宋体-简" w:hAnsi="宋体-简" w:eastAsia="宋体-简"/>
          <w:szCs w:val="21"/>
        </w:rPr>
      </w:pPr>
    </w:p>
    <w:p>
      <w:pPr>
        <w:pStyle w:val="27"/>
        <w:numPr>
          <w:ilvl w:val="0"/>
          <w:numId w:val="5"/>
        </w:numPr>
        <w:spacing w:before="100" w:beforeAutospacing="1" w:line="500" w:lineRule="exact"/>
        <w:ind w:firstLineChars="0"/>
        <w:outlineLvl w:val="1"/>
        <w:rPr>
          <w:rFonts w:hint="eastAsia" w:ascii="宋体" w:hAnsi="宋体"/>
          <w:b/>
          <w:bCs/>
          <w:sz w:val="21"/>
          <w:szCs w:val="21"/>
          <w:lang w:val="zh-TW"/>
        </w:rPr>
      </w:pPr>
      <w:r>
        <w:rPr>
          <w:rFonts w:hint="eastAsia" w:ascii="宋体" w:hAnsi="宋体"/>
          <w:b/>
          <w:bCs/>
          <w:sz w:val="21"/>
          <w:szCs w:val="21"/>
          <w:lang w:val="zh-TW"/>
        </w:rPr>
        <w:t>本展览的</w:t>
      </w:r>
      <w:r>
        <w:rPr>
          <w:rFonts w:hint="eastAsia" w:ascii="宋体" w:hAnsi="宋体"/>
          <w:b/>
          <w:bCs/>
          <w:sz w:val="21"/>
          <w:szCs w:val="21"/>
          <w:lang w:val="zh-TW" w:eastAsia="zh-CN"/>
        </w:rPr>
        <w:t>服务要求</w:t>
      </w:r>
    </w:p>
    <w:p>
      <w:pPr>
        <w:pStyle w:val="15"/>
        <w:spacing w:line="500" w:lineRule="exact"/>
        <w:rPr>
          <w:rFonts w:hint="eastAsia" w:ascii="宋体-简" w:hAnsi="宋体-简" w:eastAsia="宋体-简"/>
          <w:szCs w:val="21"/>
        </w:rPr>
      </w:pPr>
      <w:r>
        <w:rPr>
          <w:rFonts w:hint="eastAsia" w:ascii="宋体-简" w:hAnsi="宋体-简" w:eastAsia="宋体-简"/>
          <w:szCs w:val="21"/>
          <w:lang w:eastAsia="zh-CN"/>
        </w:rPr>
        <w:t>自竣工完成到</w:t>
      </w:r>
      <w:r>
        <w:rPr>
          <w:rFonts w:hint="eastAsia" w:ascii="宋体-简" w:hAnsi="宋体-简" w:eastAsia="宋体-简"/>
          <w:szCs w:val="21"/>
        </w:rPr>
        <w:t>展览</w:t>
      </w:r>
      <w:r>
        <w:rPr>
          <w:rFonts w:hint="eastAsia" w:ascii="宋体-简" w:hAnsi="宋体-简" w:eastAsia="宋体-简"/>
          <w:szCs w:val="21"/>
          <w:lang w:eastAsia="zh-CN"/>
        </w:rPr>
        <w:t>结束</w:t>
      </w:r>
      <w:r>
        <w:rPr>
          <w:rFonts w:hint="eastAsia" w:ascii="宋体-简" w:hAnsi="宋体-简" w:eastAsia="宋体-简"/>
          <w:szCs w:val="21"/>
        </w:rPr>
        <w:t>期间，中标人</w:t>
      </w:r>
      <w:r>
        <w:rPr>
          <w:rFonts w:hint="eastAsia" w:ascii="宋体-简" w:hAnsi="宋体-简" w:eastAsia="宋体-简"/>
          <w:szCs w:val="21"/>
          <w:lang w:eastAsia="zh-CN"/>
        </w:rPr>
        <w:t>应完成本项目的质量保证工作。</w:t>
      </w:r>
      <w:r>
        <w:rPr>
          <w:rFonts w:hint="eastAsia" w:ascii="宋体-简" w:hAnsi="宋体-简" w:eastAsia="宋体-简"/>
          <w:szCs w:val="21"/>
        </w:rPr>
        <w:t>中标人应对其提供的所有视频硬件设备、软件系统及</w:t>
      </w:r>
      <w:r>
        <w:rPr>
          <w:rFonts w:hint="eastAsia" w:ascii="宋体-简" w:hAnsi="宋体-简" w:eastAsia="宋体-简"/>
          <w:szCs w:val="21"/>
          <w:lang w:eastAsia="zh-CN"/>
        </w:rPr>
        <w:t>相关展示内容</w:t>
      </w:r>
      <w:r>
        <w:rPr>
          <w:rFonts w:hint="eastAsia" w:ascii="宋体-简" w:hAnsi="宋体-简" w:eastAsia="宋体-简"/>
          <w:szCs w:val="21"/>
        </w:rPr>
        <w:t>提供质保服务，如遇软件产品升级改版，中标人应免费提供更新升级服务。</w:t>
      </w:r>
      <w:r>
        <w:rPr>
          <w:rFonts w:hint="eastAsia" w:ascii="宋体-简" w:hAnsi="宋体-简" w:eastAsia="宋体-简"/>
          <w:szCs w:val="21"/>
          <w:lang w:eastAsia="zh-CN"/>
        </w:rPr>
        <w:t>自</w:t>
      </w:r>
      <w:r>
        <w:rPr>
          <w:rFonts w:hint="eastAsia" w:ascii="宋体-简" w:hAnsi="宋体-简" w:eastAsia="宋体-简"/>
          <w:szCs w:val="21"/>
        </w:rPr>
        <w:t>实际竣工验收通过</w:t>
      </w:r>
      <w:r>
        <w:rPr>
          <w:rFonts w:hint="eastAsia" w:ascii="宋体-简" w:hAnsi="宋体-简" w:eastAsia="宋体-简"/>
          <w:szCs w:val="21"/>
          <w:lang w:eastAsia="zh-CN"/>
        </w:rPr>
        <w:t>之</w:t>
      </w:r>
      <w:r>
        <w:rPr>
          <w:rFonts w:hint="eastAsia" w:ascii="宋体-简" w:hAnsi="宋体-简" w:eastAsia="宋体-简"/>
          <w:szCs w:val="21"/>
        </w:rPr>
        <w:t>日起</w:t>
      </w:r>
      <w:r>
        <w:rPr>
          <w:rFonts w:hint="eastAsia" w:ascii="宋体-简" w:hAnsi="宋体-简" w:eastAsia="宋体-简"/>
          <w:szCs w:val="21"/>
          <w:lang w:eastAsia="zh-CN"/>
        </w:rPr>
        <w:t>，</w:t>
      </w:r>
      <w:r>
        <w:rPr>
          <w:rFonts w:hint="eastAsia" w:ascii="宋体-简" w:hAnsi="宋体-简" w:eastAsia="宋体-简"/>
          <w:szCs w:val="21"/>
        </w:rPr>
        <w:t>除设备耗材外中标人应提供在接到报修的</w:t>
      </w:r>
      <w:r>
        <w:rPr>
          <w:rFonts w:ascii="宋体-简" w:hAnsi="宋体-简" w:eastAsia="宋体-简"/>
          <w:szCs w:val="21"/>
        </w:rPr>
        <w:t>48</w:t>
      </w:r>
      <w:r>
        <w:rPr>
          <w:rFonts w:hint="eastAsia" w:ascii="宋体-简" w:hAnsi="宋体-简" w:eastAsia="宋体-简"/>
          <w:szCs w:val="21"/>
        </w:rPr>
        <w:t>小时内到达现</w:t>
      </w:r>
      <w:bookmarkStart w:id="3" w:name="_GoBack"/>
      <w:bookmarkEnd w:id="3"/>
      <w:r>
        <w:rPr>
          <w:rFonts w:hint="eastAsia" w:ascii="宋体-简" w:hAnsi="宋体-简" w:eastAsia="宋体-简"/>
          <w:szCs w:val="21"/>
        </w:rPr>
        <w:t>场进行免费维修的服务，不能当场修复的，必须</w:t>
      </w:r>
      <w:r>
        <w:rPr>
          <w:rFonts w:ascii="宋体-简" w:hAnsi="宋体-简" w:eastAsia="宋体-简"/>
          <w:szCs w:val="21"/>
        </w:rPr>
        <w:t>2</w:t>
      </w:r>
      <w:r>
        <w:rPr>
          <w:rFonts w:hint="eastAsia" w:ascii="宋体-简" w:hAnsi="宋体-简" w:eastAsia="宋体-简"/>
          <w:szCs w:val="21"/>
        </w:rPr>
        <w:t>天内提供备品备件或备机等措施，以确保系统正常使用。</w:t>
      </w:r>
    </w:p>
    <w:p>
      <w:pPr>
        <w:pStyle w:val="15"/>
        <w:spacing w:line="500" w:lineRule="exact"/>
        <w:rPr>
          <w:rFonts w:hint="eastAsia" w:ascii="宋体-简" w:hAnsi="宋体-简" w:eastAsia="宋体-简"/>
          <w:szCs w:val="21"/>
        </w:rPr>
      </w:pPr>
    </w:p>
    <w:p>
      <w:pPr>
        <w:pStyle w:val="27"/>
        <w:numPr>
          <w:ilvl w:val="0"/>
          <w:numId w:val="5"/>
        </w:numPr>
        <w:spacing w:before="100" w:beforeAutospacing="1" w:line="500" w:lineRule="exact"/>
        <w:ind w:firstLineChars="0"/>
        <w:outlineLvl w:val="0"/>
        <w:rPr>
          <w:rFonts w:hint="eastAsia" w:ascii="宋体" w:hAnsi="宋体"/>
          <w:b/>
          <w:bCs/>
          <w:sz w:val="21"/>
          <w:szCs w:val="21"/>
        </w:rPr>
      </w:pPr>
      <w:r>
        <w:rPr>
          <w:rFonts w:hint="eastAsia" w:ascii="宋体" w:hAnsi="宋体"/>
          <w:b/>
          <w:bCs/>
          <w:sz w:val="21"/>
          <w:szCs w:val="21"/>
        </w:rPr>
        <w:t>项目团队的要求</w:t>
      </w:r>
    </w:p>
    <w:p>
      <w:pPr>
        <w:pStyle w:val="15"/>
        <w:spacing w:line="500" w:lineRule="exact"/>
        <w:rPr>
          <w:rFonts w:hint="eastAsia" w:ascii="宋体-简" w:hAnsi="宋体-简" w:eastAsia="宋体-简"/>
          <w:szCs w:val="21"/>
        </w:rPr>
      </w:pPr>
      <w:r>
        <w:rPr>
          <w:rFonts w:hint="eastAsia" w:ascii="宋体-简" w:hAnsi="宋体-简" w:eastAsia="宋体-简"/>
          <w:szCs w:val="21"/>
        </w:rPr>
        <w:t>投标人应组建满足项目建设要求的专业团队，包括展览策划、项目总监、项目经理、设计总监、技术主管、平面设计、空间设计、多媒体设计、施工管理、专业内容顾问等。项目总监1人、项目经理</w:t>
      </w:r>
      <w:r>
        <w:rPr>
          <w:rFonts w:ascii="宋体-简" w:hAnsi="宋体-简" w:eastAsia="宋体-简"/>
          <w:szCs w:val="21"/>
        </w:rPr>
        <w:t>1</w:t>
      </w:r>
      <w:r>
        <w:rPr>
          <w:rFonts w:hint="eastAsia" w:ascii="宋体-简" w:hAnsi="宋体-简" w:eastAsia="宋体-简"/>
          <w:szCs w:val="21"/>
        </w:rPr>
        <w:t>人、展览策划</w:t>
      </w:r>
      <w:r>
        <w:rPr>
          <w:rFonts w:ascii="宋体-简" w:hAnsi="宋体-简" w:eastAsia="宋体-简"/>
          <w:szCs w:val="21"/>
        </w:rPr>
        <w:t>1</w:t>
      </w:r>
      <w:r>
        <w:rPr>
          <w:rFonts w:hint="eastAsia" w:ascii="宋体-简" w:hAnsi="宋体-简" w:eastAsia="宋体-简"/>
          <w:szCs w:val="21"/>
        </w:rPr>
        <w:t>人、技术主管</w:t>
      </w:r>
      <w:r>
        <w:rPr>
          <w:rFonts w:ascii="宋体-简" w:hAnsi="宋体-简" w:eastAsia="宋体-简"/>
          <w:szCs w:val="21"/>
        </w:rPr>
        <w:t>1</w:t>
      </w:r>
      <w:r>
        <w:rPr>
          <w:rFonts w:hint="eastAsia" w:ascii="宋体-简" w:hAnsi="宋体-简" w:eastAsia="宋体-简"/>
          <w:szCs w:val="21"/>
        </w:rPr>
        <w:t>人须为投标人职工，学历需求均为本科及以上，项目总监需具备1</w:t>
      </w:r>
      <w:r>
        <w:rPr>
          <w:rFonts w:ascii="宋体-简" w:hAnsi="宋体-简" w:eastAsia="宋体-简"/>
          <w:szCs w:val="21"/>
        </w:rPr>
        <w:t>0</w:t>
      </w:r>
      <w:r>
        <w:rPr>
          <w:rFonts w:hint="eastAsia" w:ascii="宋体-简" w:hAnsi="宋体-简" w:eastAsia="宋体-简"/>
          <w:szCs w:val="21"/>
        </w:rPr>
        <w:t>年及以上工作经验，5年及以上展示展览、文化空间或相关项目管理工作经验；展览策划需具备5年以上展览展示、文化空间或相关展览策划工作经验；项目经理及技术经理学历需为本科及以上，具备</w:t>
      </w:r>
      <w:r>
        <w:rPr>
          <w:rFonts w:ascii="宋体-简" w:hAnsi="宋体-简" w:eastAsia="宋体-简"/>
          <w:szCs w:val="21"/>
        </w:rPr>
        <w:t>3</w:t>
      </w:r>
      <w:r>
        <w:rPr>
          <w:rFonts w:hint="eastAsia" w:ascii="宋体-简" w:hAnsi="宋体-简" w:eastAsia="宋体-简"/>
          <w:szCs w:val="21"/>
        </w:rPr>
        <w:t>年及以上展览展示、文化空间或相关项目管理及实施经验。</w:t>
      </w:r>
    </w:p>
    <w:p>
      <w:pPr>
        <w:pStyle w:val="15"/>
        <w:spacing w:line="500" w:lineRule="exact"/>
        <w:rPr>
          <w:rFonts w:hint="eastAsia" w:ascii="宋体-简" w:hAnsi="宋体-简" w:eastAsia="宋体-简"/>
          <w:szCs w:val="21"/>
        </w:rPr>
      </w:pPr>
    </w:p>
    <w:p>
      <w:pPr>
        <w:pStyle w:val="27"/>
        <w:numPr>
          <w:ilvl w:val="0"/>
          <w:numId w:val="5"/>
        </w:numPr>
        <w:spacing w:before="100" w:beforeAutospacing="1" w:line="500" w:lineRule="exact"/>
        <w:ind w:firstLineChars="0"/>
        <w:outlineLvl w:val="0"/>
        <w:rPr>
          <w:sz w:val="24"/>
        </w:rPr>
      </w:pPr>
      <w:bookmarkStart w:id="1" w:name="OLE_LINK15"/>
      <w:bookmarkStart w:id="2" w:name="OLE_LINK14"/>
      <w:r>
        <w:rPr>
          <w:rFonts w:hint="eastAsia" w:ascii="宋体" w:hAnsi="宋体"/>
          <w:b/>
          <w:bCs/>
          <w:sz w:val="21"/>
          <w:szCs w:val="21"/>
        </w:rPr>
        <w:t>知识产权归属与、三方素材使用与保密</w:t>
      </w:r>
    </w:p>
    <w:p>
      <w:pPr>
        <w:pStyle w:val="15"/>
        <w:spacing w:line="500" w:lineRule="exact"/>
        <w:rPr>
          <w:rFonts w:hint="eastAsia" w:ascii="宋体-简" w:hAnsi="宋体-简" w:eastAsia="宋体-简"/>
          <w:szCs w:val="21"/>
        </w:rPr>
      </w:pPr>
      <w:r>
        <w:rPr>
          <w:rFonts w:ascii="宋体-简" w:hAnsi="宋体-简" w:eastAsia="宋体-简"/>
          <w:szCs w:val="21"/>
        </w:rPr>
        <w:t xml:space="preserve">2.9.1 </w:t>
      </w:r>
      <w:r>
        <w:rPr>
          <w:rFonts w:hint="eastAsia" w:ascii="宋体" w:hAnsi="宋体"/>
          <w:b/>
          <w:bCs/>
          <w:kern w:val="0"/>
          <w:szCs w:val="21"/>
        </w:rPr>
        <w:t>知识产权</w:t>
      </w:r>
      <w:r>
        <w:rPr>
          <w:rFonts w:hint="eastAsia" w:ascii="宋体" w:hAnsi="宋体"/>
          <w:b/>
          <w:bCs/>
          <w:szCs w:val="21"/>
        </w:rPr>
        <w:t>归属与三方素材使用</w:t>
      </w:r>
    </w:p>
    <w:p>
      <w:pPr>
        <w:pStyle w:val="15"/>
        <w:numPr>
          <w:ilvl w:val="0"/>
          <w:numId w:val="15"/>
        </w:numPr>
        <w:spacing w:line="500" w:lineRule="exact"/>
        <w:ind w:firstLineChars="0"/>
        <w:rPr>
          <w:rFonts w:hint="eastAsia" w:ascii="宋体-简" w:hAnsi="宋体-简" w:eastAsia="宋体-简"/>
          <w:szCs w:val="21"/>
        </w:rPr>
      </w:pPr>
      <w:r>
        <w:rPr>
          <w:rFonts w:hint="eastAsia" w:ascii="宋体-简" w:hAnsi="宋体-简" w:eastAsia="宋体-简"/>
          <w:szCs w:val="21"/>
        </w:rPr>
        <w:t>中标人为实施本项目所形成的最终成果及其它工作成果（包括但不限于工作中所取得的数据、中间成果、设计方案、源代码、文档等，以下简称“项目成果”），其完整知识产权（包括著作权、专利申请权、商标权等）自产生之日起即归采购人所有，中标人不得以任何方式保留或主张权利。项目成果中若包含中标人先前已拥有的基础性技术或框架，中标人应在本合同签署时向采购人书面披露，并就前述内容授予采购人永久、免费、不可撤销的使用许可。</w:t>
      </w:r>
    </w:p>
    <w:p>
      <w:pPr>
        <w:pStyle w:val="15"/>
        <w:numPr>
          <w:ilvl w:val="0"/>
          <w:numId w:val="15"/>
        </w:numPr>
        <w:spacing w:line="500" w:lineRule="exact"/>
        <w:ind w:firstLineChars="0"/>
        <w:rPr>
          <w:rFonts w:hint="eastAsia" w:ascii="宋体-简" w:hAnsi="宋体-简" w:eastAsia="宋体-简"/>
          <w:szCs w:val="21"/>
        </w:rPr>
      </w:pPr>
      <w:r>
        <w:rPr>
          <w:rFonts w:hint="eastAsia" w:ascii="宋体-简" w:hAnsi="宋体-简" w:eastAsia="宋体-简"/>
          <w:szCs w:val="21"/>
        </w:rPr>
        <w:t>对于项目成果中需引用或集成第三方素材（包括但不限于文字作品、图片、音视频、字体、软件、数据等）、著作或其他机构享有知识产权的内容，中标人保证在项目约定展期及双方确认的宣传推广渠道内，已取得合法、有效的使用和展览授权。授权方式可采用以下任一形式：</w:t>
      </w:r>
    </w:p>
    <w:p>
      <w:pPr>
        <w:pStyle w:val="15"/>
        <w:spacing w:line="500" w:lineRule="exact"/>
        <w:ind w:left="420" w:leftChars="200"/>
        <w:rPr>
          <w:rFonts w:hint="eastAsia" w:ascii="宋体-简" w:hAnsi="宋体-简" w:eastAsia="宋体-简"/>
          <w:szCs w:val="21"/>
        </w:rPr>
      </w:pPr>
      <w:r>
        <w:rPr>
          <w:rFonts w:hint="eastAsia" w:ascii="宋体-简" w:hAnsi="宋体-简" w:eastAsia="宋体-简"/>
          <w:szCs w:val="21"/>
        </w:rPr>
        <w:t>（a）由权利方直接向采购人出具授权文件；</w:t>
      </w:r>
    </w:p>
    <w:p>
      <w:pPr>
        <w:pStyle w:val="15"/>
        <w:spacing w:line="500" w:lineRule="exact"/>
        <w:ind w:left="420" w:leftChars="200"/>
        <w:rPr>
          <w:rFonts w:hint="eastAsia" w:ascii="宋体-简" w:hAnsi="宋体-简" w:eastAsia="宋体-简"/>
          <w:szCs w:val="21"/>
        </w:rPr>
      </w:pPr>
      <w:r>
        <w:rPr>
          <w:rFonts w:hint="eastAsia" w:ascii="宋体-简" w:hAnsi="宋体-简" w:eastAsia="宋体-简"/>
          <w:szCs w:val="21"/>
        </w:rPr>
        <w:t>（b）由权利方向中标人出具授权，再由中标人依据授权范围向采购人进行转授权。</w:t>
      </w:r>
    </w:p>
    <w:p>
      <w:pPr>
        <w:pStyle w:val="15"/>
        <w:spacing w:line="500" w:lineRule="exact"/>
        <w:ind w:left="420" w:leftChars="200"/>
        <w:rPr>
          <w:rFonts w:hint="eastAsia" w:ascii="宋体-简" w:hAnsi="宋体-简" w:eastAsia="宋体-简"/>
          <w:szCs w:val="21"/>
        </w:rPr>
      </w:pPr>
      <w:r>
        <w:rPr>
          <w:rFonts w:hint="eastAsia" w:ascii="宋体-简" w:hAnsi="宋体-简" w:eastAsia="宋体-简"/>
          <w:szCs w:val="21"/>
        </w:rPr>
        <w:t>中标人应在项目交付时向采购人提供完整的授权证明文件（包括授权主体、授权内容、授权期限、使用范围等）。</w:t>
      </w:r>
    </w:p>
    <w:p>
      <w:pPr>
        <w:pStyle w:val="15"/>
        <w:numPr>
          <w:ilvl w:val="0"/>
          <w:numId w:val="15"/>
        </w:numPr>
        <w:spacing w:line="500" w:lineRule="exact"/>
        <w:ind w:firstLineChars="0"/>
        <w:rPr>
          <w:rFonts w:hint="eastAsia" w:ascii="宋体-简" w:hAnsi="宋体-简" w:eastAsia="宋体-简"/>
          <w:szCs w:val="21"/>
        </w:rPr>
      </w:pPr>
      <w:r>
        <w:rPr>
          <w:rFonts w:hint="eastAsia" w:ascii="宋体-简" w:hAnsi="宋体-简" w:eastAsia="宋体-简"/>
          <w:szCs w:val="21"/>
        </w:rPr>
        <w:t>若采购人需要在约定展期之外延长使用时间，或增加约定宣传渠道以外的其他推广途径（即“超额使用”），中标人应积极协助采购人与授权方沟通，征得授权方书面同意后另行签署补充授权协议，相关额外授权费用由双方另行协商承担。中标人不对超额使用部分的授权可获取性承担保证责任。</w:t>
      </w:r>
    </w:p>
    <w:p>
      <w:pPr>
        <w:pStyle w:val="15"/>
        <w:spacing w:line="500" w:lineRule="exact"/>
        <w:ind w:left="860" w:firstLine="0" w:firstLineChars="0"/>
        <w:rPr>
          <w:rFonts w:hint="eastAsia" w:ascii="宋体-简" w:hAnsi="宋体-简" w:eastAsia="宋体-简"/>
          <w:szCs w:val="21"/>
        </w:rPr>
      </w:pPr>
    </w:p>
    <w:p>
      <w:pPr>
        <w:pStyle w:val="15"/>
        <w:spacing w:line="500" w:lineRule="exact"/>
        <w:rPr>
          <w:rFonts w:hint="eastAsia" w:ascii="宋体-简" w:hAnsi="宋体-简" w:eastAsia="宋体-简"/>
          <w:szCs w:val="21"/>
        </w:rPr>
      </w:pPr>
      <w:r>
        <w:rPr>
          <w:rFonts w:ascii="宋体-简" w:hAnsi="宋体-简" w:eastAsia="宋体-简"/>
          <w:szCs w:val="21"/>
        </w:rPr>
        <w:t xml:space="preserve">2.9.2 </w:t>
      </w:r>
      <w:r>
        <w:rPr>
          <w:rFonts w:hint="eastAsia" w:ascii="宋体-简" w:hAnsi="宋体-简" w:eastAsia="宋体-简"/>
          <w:szCs w:val="21"/>
        </w:rPr>
        <w:t>侵权责任承担</w:t>
      </w:r>
    </w:p>
    <w:p>
      <w:pPr>
        <w:pStyle w:val="15"/>
        <w:spacing w:line="500" w:lineRule="exact"/>
        <w:ind w:left="420"/>
        <w:rPr>
          <w:rFonts w:hint="eastAsia" w:ascii="宋体-简" w:hAnsi="宋体-简" w:eastAsia="宋体-简"/>
          <w:szCs w:val="21"/>
        </w:rPr>
      </w:pPr>
      <w:r>
        <w:rPr>
          <w:rFonts w:hint="eastAsia" w:ascii="宋体-简" w:hAnsi="宋体-简" w:eastAsia="宋体-简"/>
          <w:szCs w:val="21"/>
        </w:rPr>
        <w:t>中标人保证，其自主创作的部分及已按第</w:t>
      </w:r>
      <w:r>
        <w:rPr>
          <w:rFonts w:ascii="宋体-简" w:hAnsi="宋体-简" w:eastAsia="宋体-简"/>
          <w:szCs w:val="21"/>
        </w:rPr>
        <w:t>2.9.1</w:t>
      </w:r>
      <w:r>
        <w:rPr>
          <w:rFonts w:hint="eastAsia" w:ascii="宋体-简" w:hAnsi="宋体-简" w:eastAsia="宋体-简"/>
          <w:szCs w:val="21"/>
        </w:rPr>
        <w:t>项的第二条款取得授权的第三方素材，不会侵犯任何第三方的著作权、专利权、商标权及其他知识产权。若采购人因使用项目成果（在约定授权范围内）而遭第三方提起知识产权索赔，中标人应负责处理该等索赔并承担由此产生的全部法律责任，包括但不限于赔偿采购人因此遭受的损失及支付的合理律师费用；但因采购人超出授权范围使用第三方素材所引发的索赔，由采购人自行承担。</w:t>
      </w:r>
    </w:p>
    <w:bookmarkEnd w:id="1"/>
    <w:bookmarkEnd w:id="2"/>
    <w:p>
      <w:pPr>
        <w:pStyle w:val="15"/>
        <w:spacing w:line="500" w:lineRule="exact"/>
        <w:ind w:left="420"/>
        <w:rPr>
          <w:rFonts w:hint="eastAsia" w:ascii="宋体-简" w:hAnsi="宋体-简" w:eastAsia="宋体-简"/>
          <w:szCs w:val="21"/>
        </w:rPr>
      </w:pPr>
    </w:p>
    <w:p>
      <w:pPr>
        <w:pStyle w:val="15"/>
        <w:spacing w:line="500" w:lineRule="exact"/>
        <w:rPr>
          <w:rFonts w:hint="eastAsia" w:ascii="宋体-简" w:hAnsi="宋体-简" w:eastAsia="宋体-简"/>
          <w:szCs w:val="21"/>
        </w:rPr>
      </w:pPr>
      <w:r>
        <w:rPr>
          <w:rFonts w:ascii="宋体-简" w:hAnsi="宋体-简" w:eastAsia="宋体-简"/>
          <w:szCs w:val="21"/>
        </w:rPr>
        <w:t xml:space="preserve">2.9.3 </w:t>
      </w:r>
      <w:r>
        <w:rPr>
          <w:rFonts w:hint="eastAsia" w:ascii="宋体-简" w:hAnsi="宋体-简" w:eastAsia="宋体-简"/>
          <w:szCs w:val="21"/>
        </w:rPr>
        <w:t>保密与使用限制</w:t>
      </w:r>
    </w:p>
    <w:p>
      <w:pPr>
        <w:pStyle w:val="15"/>
        <w:spacing w:line="500" w:lineRule="exact"/>
        <w:ind w:left="420"/>
        <w:rPr>
          <w:rFonts w:hint="eastAsia" w:ascii="宋体-简" w:hAnsi="宋体-简" w:eastAsia="宋体-简"/>
          <w:b/>
          <w:bCs/>
          <w:szCs w:val="21"/>
        </w:rPr>
      </w:pPr>
      <w:r>
        <w:rPr>
          <w:rFonts w:hint="eastAsia" w:ascii="宋体-简" w:hAnsi="宋体-简" w:eastAsia="宋体-简"/>
          <w:szCs w:val="21"/>
        </w:rPr>
        <w:t>中标人对采购人提供的所有资料（包括本采购文件及附件、视频、图片等）及项目成果负有保密义务，未经采购人书面同意，不得发表、引用或向任何第三方提供或泄露与项目相关的业务资料及制作成果。即使不以营利为目的（如用于广告宣传、业绩介绍等），中标人亦须事先获得采购人书面许可。</w:t>
      </w:r>
    </w:p>
    <w:p>
      <w:pPr>
        <w:spacing w:line="500" w:lineRule="exact"/>
        <w:rPr>
          <w:rFonts w:hint="eastAsia" w:ascii="宋体-简" w:hAnsi="宋体-简" w:eastAsia="宋体-简"/>
          <w:vanish/>
          <w:szCs w:val="21"/>
        </w:rPr>
      </w:pPr>
    </w:p>
    <w:p>
      <w:pPr>
        <w:pStyle w:val="15"/>
        <w:spacing w:line="500" w:lineRule="exact"/>
        <w:ind w:firstLine="0" w:firstLineChars="0"/>
        <w:rPr>
          <w:rFonts w:hint="eastAsia" w:ascii="宋体-简" w:hAnsi="宋体-简" w:eastAsia="宋体-简"/>
          <w:szCs w:val="21"/>
        </w:rPr>
      </w:pPr>
    </w:p>
    <w:p>
      <w:pPr>
        <w:tabs>
          <w:tab w:val="left" w:pos="7200"/>
        </w:tabs>
        <w:spacing w:line="500" w:lineRule="exact"/>
        <w:rPr>
          <w:rFonts w:hint="eastAsia" w:ascii="宋体-简" w:hAnsi="宋体-简" w:eastAsia="宋体-简"/>
          <w:szCs w:val="21"/>
        </w:rPr>
      </w:pPr>
    </w:p>
    <w:sectPr>
      <w:headerReference r:id="rId3"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Calibri Light">
    <w:altName w:val="Century Gothic"/>
    <w:panose1 w:val="020F0302020204030204"/>
    <w:charset w:val="00"/>
    <w:family w:val="swiss"/>
    <w:pitch w:val="default"/>
    <w:sig w:usb0="00000000" w:usb1="00000000" w:usb2="00000009" w:usb3="00000000" w:csb0="000001FF" w:csb1="00000000"/>
  </w:font>
  <w:font w:name="Century Gothic">
    <w:panose1 w:val="020B0502020202020204"/>
    <w:charset w:val="00"/>
    <w:family w:val="auto"/>
    <w:pitch w:val="default"/>
    <w:sig w:usb0="00000287" w:usb1="00000000" w:usb2="00000000" w:usb3="00000000" w:csb0="2000009F" w:csb1="DFD70000"/>
  </w:font>
  <w:font w:name="NHM Ingrid">
    <w:altName w:val="Calibri"/>
    <w:panose1 w:val="00000000000000000000"/>
    <w:charset w:val="00"/>
    <w:family w:val="modern"/>
    <w:pitch w:val="default"/>
    <w:sig w:usb0="00000000" w:usb1="00000000" w:usb2="00000000" w:usb3="00000000" w:csb0="00000001" w:csb1="00000000"/>
  </w:font>
  <w:font w:name="Syntax">
    <w:altName w:val="Calibri"/>
    <w:panose1 w:val="00000000000000000000"/>
    <w:charset w:val="00"/>
    <w:family w:val="swiss"/>
    <w:pitch w:val="default"/>
    <w:sig w:usb0="00000000" w:usb1="00000000" w:usb2="00000000" w:usb3="00000000" w:csb0="00000001" w:csb1="00000000"/>
  </w:font>
  <w:font w:name="宋体-简">
    <w:altName w:val="宋体"/>
    <w:panose1 w:val="00000000000000000000"/>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E247C1"/>
    <w:multiLevelType w:val="multilevel"/>
    <w:tmpl w:val="09E247C1"/>
    <w:lvl w:ilvl="0" w:tentative="0">
      <w:start w:val="1"/>
      <w:numFmt w:val="japaneseCounting"/>
      <w:lvlText w:val="%1、"/>
      <w:lvlJc w:val="left"/>
      <w:pPr>
        <w:ind w:left="450" w:hanging="450"/>
      </w:pPr>
      <w:rPr>
        <w:rFonts w:hAnsi="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CFB312E"/>
    <w:multiLevelType w:val="multilevel"/>
    <w:tmpl w:val="0CFB312E"/>
    <w:lvl w:ilvl="0" w:tentative="0">
      <w:start w:val="1"/>
      <w:numFmt w:val="decimal"/>
      <w:lvlText w:val="(%1)"/>
      <w:lvlJc w:val="left"/>
      <w:pPr>
        <w:ind w:left="880" w:hanging="440"/>
      </w:pPr>
      <w:rPr>
        <w:rFonts w:hint="default"/>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2">
    <w:nsid w:val="16DC387C"/>
    <w:multiLevelType w:val="multilevel"/>
    <w:tmpl w:val="16DC387C"/>
    <w:lvl w:ilvl="0" w:tentative="0">
      <w:start w:val="1"/>
      <w:numFmt w:val="decimal"/>
      <w:lvlText w:val="%1)"/>
      <w:lvlJc w:val="left"/>
      <w:pPr>
        <w:ind w:left="440" w:hanging="440"/>
      </w:pPr>
      <w:rPr>
        <w:b w:val="0"/>
        <w:bCs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180655C0"/>
    <w:multiLevelType w:val="multilevel"/>
    <w:tmpl w:val="180655C0"/>
    <w:lvl w:ilvl="0" w:tentative="0">
      <w:start w:val="1"/>
      <w:numFmt w:val="decimal"/>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1F4467F"/>
    <w:multiLevelType w:val="multilevel"/>
    <w:tmpl w:val="21F4467F"/>
    <w:lvl w:ilvl="0" w:tentative="0">
      <w:start w:val="1"/>
      <w:numFmt w:val="lowerLetter"/>
      <w:lvlText w:val="%1)"/>
      <w:lvlJc w:val="left"/>
      <w:pPr>
        <w:ind w:left="800" w:hanging="44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7DE3ABE"/>
    <w:multiLevelType w:val="multilevel"/>
    <w:tmpl w:val="27DE3ABE"/>
    <w:lvl w:ilvl="0" w:tentative="0">
      <w:start w:val="1"/>
      <w:numFmt w:val="decimal"/>
      <w:lvlText w:val="%1."/>
      <w:lvlJc w:val="left"/>
      <w:pPr>
        <w:tabs>
          <w:tab w:val="left" w:pos="851"/>
        </w:tabs>
        <w:ind w:left="851" w:hanging="851"/>
      </w:pPr>
      <w:rPr>
        <w:rFonts w:hint="default" w:ascii="NHM Ingrid" w:hAnsi="NHM Ingrid" w:cs="Times New Roman"/>
        <w:b/>
        <w:i w:val="0"/>
        <w:sz w:val="22"/>
        <w:szCs w:val="22"/>
      </w:rPr>
    </w:lvl>
    <w:lvl w:ilvl="1" w:tentative="0">
      <w:start w:val="1"/>
      <w:numFmt w:val="decimal"/>
      <w:pStyle w:val="16"/>
      <w:lvlText w:val="%1.%2"/>
      <w:lvlJc w:val="left"/>
      <w:pPr>
        <w:tabs>
          <w:tab w:val="left" w:pos="851"/>
        </w:tabs>
        <w:ind w:left="851" w:hanging="851"/>
      </w:pPr>
      <w:rPr>
        <w:rFonts w:hint="default" w:ascii="NHM Ingrid" w:hAnsi="NHM Ingrid" w:cs="Arial"/>
        <w:color w:val="000000"/>
        <w:sz w:val="22"/>
        <w:szCs w:val="22"/>
      </w:rPr>
    </w:lvl>
    <w:lvl w:ilvl="2" w:tentative="0">
      <w:start w:val="1"/>
      <w:numFmt w:val="decimal"/>
      <w:lvlText w:val="%3)"/>
      <w:lvlJc w:val="left"/>
      <w:pPr>
        <w:tabs>
          <w:tab w:val="left" w:pos="851"/>
        </w:tabs>
        <w:ind w:left="851" w:hanging="851"/>
      </w:pPr>
      <w:rPr>
        <w:b w:val="0"/>
        <w:i w:val="0"/>
      </w:rPr>
    </w:lvl>
    <w:lvl w:ilvl="3" w:tentative="0">
      <w:start w:val="1"/>
      <w:numFmt w:val="lowerLetter"/>
      <w:lvlText w:val="(%4)"/>
      <w:lvlJc w:val="left"/>
      <w:pPr>
        <w:tabs>
          <w:tab w:val="left" w:pos="1699"/>
        </w:tabs>
        <w:ind w:left="1701" w:hanging="850"/>
      </w:pPr>
      <w:rPr>
        <w:rFonts w:hint="default" w:ascii="Arial" w:hAnsi="Arial" w:cs="Arial"/>
        <w:sz w:val="20"/>
        <w:szCs w:val="20"/>
      </w:rPr>
    </w:lvl>
    <w:lvl w:ilvl="4" w:tentative="0">
      <w:start w:val="1"/>
      <w:numFmt w:val="lowerRoman"/>
      <w:lvlText w:val="(%5)"/>
      <w:lvlJc w:val="left"/>
      <w:pPr>
        <w:tabs>
          <w:tab w:val="left" w:pos="2552"/>
        </w:tabs>
        <w:ind w:left="2552" w:hanging="851"/>
      </w:pPr>
      <w:rPr>
        <w:rFonts w:cs="Times New Roman"/>
      </w:rPr>
    </w:lvl>
    <w:lvl w:ilvl="5" w:tentative="0">
      <w:start w:val="27"/>
      <w:numFmt w:val="lowerLetter"/>
      <w:lvlText w:val="(%6)"/>
      <w:lvlJc w:val="left"/>
      <w:pPr>
        <w:tabs>
          <w:tab w:val="left" w:pos="3402"/>
        </w:tabs>
        <w:ind w:left="3402" w:hanging="850"/>
      </w:pPr>
      <w:rPr>
        <w:rFonts w:cs="Times New Roman"/>
      </w:rPr>
    </w:lvl>
    <w:lvl w:ilvl="6" w:tentative="0">
      <w:start w:val="1"/>
      <w:numFmt w:val="decimal"/>
      <w:lvlText w:val="%7."/>
      <w:lvlJc w:val="left"/>
      <w:pPr>
        <w:tabs>
          <w:tab w:val="left" w:pos="2520"/>
        </w:tabs>
        <w:ind w:left="2520" w:hanging="360"/>
      </w:pPr>
      <w:rPr>
        <w:rFonts w:cs="Times New Roman"/>
      </w:rPr>
    </w:lvl>
    <w:lvl w:ilvl="7" w:tentative="0">
      <w:start w:val="1"/>
      <w:numFmt w:val="lowerLetter"/>
      <w:lvlText w:val="%8."/>
      <w:lvlJc w:val="left"/>
      <w:pPr>
        <w:tabs>
          <w:tab w:val="left" w:pos="2880"/>
        </w:tabs>
        <w:ind w:left="2880" w:hanging="360"/>
      </w:pPr>
      <w:rPr>
        <w:rFonts w:cs="Times New Roman"/>
      </w:rPr>
    </w:lvl>
    <w:lvl w:ilvl="8" w:tentative="0">
      <w:start w:val="1"/>
      <w:numFmt w:val="lowerRoman"/>
      <w:lvlText w:val="%9."/>
      <w:lvlJc w:val="left"/>
      <w:pPr>
        <w:tabs>
          <w:tab w:val="left" w:pos="3240"/>
        </w:tabs>
        <w:ind w:left="3240" w:hanging="360"/>
      </w:pPr>
      <w:rPr>
        <w:rFonts w:cs="Times New Roman"/>
      </w:rPr>
    </w:lvl>
  </w:abstractNum>
  <w:abstractNum w:abstractNumId="6">
    <w:nsid w:val="2B3E11A9"/>
    <w:multiLevelType w:val="multilevel"/>
    <w:tmpl w:val="2B3E11A9"/>
    <w:lvl w:ilvl="0" w:tentative="0">
      <w:start w:val="1"/>
      <w:numFmt w:val="decimal"/>
      <w:lvlText w:val="2.%1"/>
      <w:lvlJc w:val="left"/>
      <w:pPr>
        <w:ind w:left="420" w:hanging="420"/>
      </w:pPr>
      <w:rPr>
        <w:rFonts w:hint="eastAsia"/>
      </w:rPr>
    </w:lvl>
    <w:lvl w:ilvl="1" w:tentative="0">
      <w:start w:val="1"/>
      <w:numFmt w:val="decimal"/>
      <w:lvlText w:val="2.1.%2"/>
      <w:lvlJc w:val="left"/>
      <w:pPr>
        <w:ind w:left="860" w:hanging="440"/>
      </w:pPr>
      <w:rPr>
        <w:rFonts w:hint="eastAsia"/>
        <w:b w:val="0"/>
        <w:bCs w:val="0"/>
        <w:sz w:val="21"/>
        <w:szCs w:val="21"/>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6901D1"/>
    <w:multiLevelType w:val="multilevel"/>
    <w:tmpl w:val="376901D1"/>
    <w:lvl w:ilvl="0" w:tentative="0">
      <w:start w:val="1"/>
      <w:numFmt w:val="lowerLetter"/>
      <w:lvlText w:val="%1)"/>
      <w:lvlJc w:val="left"/>
      <w:pPr>
        <w:ind w:left="800" w:hanging="44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3CEC7740"/>
    <w:multiLevelType w:val="multilevel"/>
    <w:tmpl w:val="3CEC7740"/>
    <w:lvl w:ilvl="0" w:tentative="0">
      <w:start w:val="1"/>
      <w:numFmt w:val="lowerLetter"/>
      <w:lvlText w:val="%1)"/>
      <w:lvlJc w:val="left"/>
      <w:pPr>
        <w:ind w:left="800" w:hanging="44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2C4666E"/>
    <w:multiLevelType w:val="multilevel"/>
    <w:tmpl w:val="52C4666E"/>
    <w:lvl w:ilvl="0" w:tentative="0">
      <w:start w:val="1"/>
      <w:numFmt w:val="japaneseCounting"/>
      <w:lvlText w:val="%1、"/>
      <w:lvlJc w:val="left"/>
      <w:pPr>
        <w:ind w:left="450" w:hanging="450"/>
      </w:pPr>
      <w:rPr>
        <w:rFonts w:hAnsi="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70E0EB4"/>
    <w:multiLevelType w:val="multilevel"/>
    <w:tmpl w:val="570E0EB4"/>
    <w:lvl w:ilvl="0" w:tentative="0">
      <w:start w:val="1"/>
      <w:numFmt w:val="lowerLetter"/>
      <w:lvlText w:val="%1)"/>
      <w:lvlJc w:val="left"/>
      <w:pPr>
        <w:ind w:left="800" w:hanging="44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242B9CE"/>
    <w:multiLevelType w:val="singleLevel"/>
    <w:tmpl w:val="6242B9CE"/>
    <w:lvl w:ilvl="0" w:tentative="0">
      <w:start w:val="1"/>
      <w:numFmt w:val="decimalEnclosedCircleChinese"/>
      <w:suff w:val="nothing"/>
      <w:lvlText w:val="%1　"/>
      <w:lvlJc w:val="left"/>
      <w:pPr>
        <w:ind w:left="-400" w:firstLine="400"/>
      </w:pPr>
      <w:rPr>
        <w:rFonts w:hint="eastAsia"/>
        <w:lang w:val="en-US"/>
      </w:rPr>
    </w:lvl>
  </w:abstractNum>
  <w:abstractNum w:abstractNumId="12">
    <w:nsid w:val="6A24226B"/>
    <w:multiLevelType w:val="multilevel"/>
    <w:tmpl w:val="6A2422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C0412C4"/>
    <w:multiLevelType w:val="multilevel"/>
    <w:tmpl w:val="6C0412C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6FCB2046"/>
    <w:multiLevelType w:val="multilevel"/>
    <w:tmpl w:val="6FCB2046"/>
    <w:lvl w:ilvl="0" w:tentative="0">
      <w:start w:val="1"/>
      <w:numFmt w:val="decimal"/>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0"/>
  </w:num>
  <w:num w:numId="5">
    <w:abstractNumId w:val="6"/>
  </w:num>
  <w:num w:numId="6">
    <w:abstractNumId w:val="13"/>
  </w:num>
  <w:num w:numId="7">
    <w:abstractNumId w:val="1"/>
  </w:num>
  <w:num w:numId="8">
    <w:abstractNumId w:val="4"/>
  </w:num>
  <w:num w:numId="9">
    <w:abstractNumId w:val="8"/>
  </w:num>
  <w:num w:numId="10">
    <w:abstractNumId w:val="7"/>
  </w:num>
  <w:num w:numId="11">
    <w:abstractNumId w:val="10"/>
  </w:num>
  <w:num w:numId="12">
    <w:abstractNumId w:val="2"/>
  </w:num>
  <w:num w:numId="13">
    <w:abstractNumId w:val="11"/>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hZmI4MDVmMTQ2MjVkZjFlZGQ5NmFkYTRlMjc0MmEifQ=="/>
  </w:docVars>
  <w:rsids>
    <w:rsidRoot w:val="216175FB"/>
    <w:rsid w:val="00011676"/>
    <w:rsid w:val="00020BBF"/>
    <w:rsid w:val="00041435"/>
    <w:rsid w:val="0004337B"/>
    <w:rsid w:val="000444F8"/>
    <w:rsid w:val="00051F79"/>
    <w:rsid w:val="00053B57"/>
    <w:rsid w:val="00054BC6"/>
    <w:rsid w:val="00064A74"/>
    <w:rsid w:val="000672A6"/>
    <w:rsid w:val="00067632"/>
    <w:rsid w:val="00072372"/>
    <w:rsid w:val="000763BD"/>
    <w:rsid w:val="0008053B"/>
    <w:rsid w:val="0008559E"/>
    <w:rsid w:val="00086BB4"/>
    <w:rsid w:val="000913A8"/>
    <w:rsid w:val="00094274"/>
    <w:rsid w:val="0009770B"/>
    <w:rsid w:val="000A001F"/>
    <w:rsid w:val="000A061D"/>
    <w:rsid w:val="000A1F0E"/>
    <w:rsid w:val="000C7159"/>
    <w:rsid w:val="000C77EE"/>
    <w:rsid w:val="000E0356"/>
    <w:rsid w:val="000E1956"/>
    <w:rsid w:val="000E75BC"/>
    <w:rsid w:val="000F217B"/>
    <w:rsid w:val="000F258A"/>
    <w:rsid w:val="000F2BD7"/>
    <w:rsid w:val="000F2C2C"/>
    <w:rsid w:val="000F7737"/>
    <w:rsid w:val="000F77A9"/>
    <w:rsid w:val="00114E43"/>
    <w:rsid w:val="001411D3"/>
    <w:rsid w:val="001424DA"/>
    <w:rsid w:val="001453E5"/>
    <w:rsid w:val="0014775F"/>
    <w:rsid w:val="001477BB"/>
    <w:rsid w:val="00150C8F"/>
    <w:rsid w:val="00177758"/>
    <w:rsid w:val="00182B03"/>
    <w:rsid w:val="00194805"/>
    <w:rsid w:val="001A7E92"/>
    <w:rsid w:val="001B404E"/>
    <w:rsid w:val="001D2496"/>
    <w:rsid w:val="001D2B5A"/>
    <w:rsid w:val="001D3A56"/>
    <w:rsid w:val="001D5042"/>
    <w:rsid w:val="001E1234"/>
    <w:rsid w:val="001E4B99"/>
    <w:rsid w:val="001E6E30"/>
    <w:rsid w:val="001F64B4"/>
    <w:rsid w:val="00204F1E"/>
    <w:rsid w:val="0020663D"/>
    <w:rsid w:val="00210ECA"/>
    <w:rsid w:val="00216BA8"/>
    <w:rsid w:val="002226B2"/>
    <w:rsid w:val="002247DF"/>
    <w:rsid w:val="002248C4"/>
    <w:rsid w:val="00226FA8"/>
    <w:rsid w:val="0023114D"/>
    <w:rsid w:val="0023452B"/>
    <w:rsid w:val="0025785D"/>
    <w:rsid w:val="00267BB5"/>
    <w:rsid w:val="00273E1A"/>
    <w:rsid w:val="00274DB7"/>
    <w:rsid w:val="002806AC"/>
    <w:rsid w:val="00281247"/>
    <w:rsid w:val="00284820"/>
    <w:rsid w:val="00292545"/>
    <w:rsid w:val="002C13F5"/>
    <w:rsid w:val="002C3532"/>
    <w:rsid w:val="002D425A"/>
    <w:rsid w:val="002D5F3D"/>
    <w:rsid w:val="002E65A7"/>
    <w:rsid w:val="002E682F"/>
    <w:rsid w:val="002F0D33"/>
    <w:rsid w:val="002F46BB"/>
    <w:rsid w:val="003008EA"/>
    <w:rsid w:val="00311D90"/>
    <w:rsid w:val="0032149D"/>
    <w:rsid w:val="003251A0"/>
    <w:rsid w:val="00326853"/>
    <w:rsid w:val="00331D78"/>
    <w:rsid w:val="0035040A"/>
    <w:rsid w:val="003545D3"/>
    <w:rsid w:val="00355E05"/>
    <w:rsid w:val="003574B7"/>
    <w:rsid w:val="003600A0"/>
    <w:rsid w:val="0037216C"/>
    <w:rsid w:val="0037378B"/>
    <w:rsid w:val="003765BD"/>
    <w:rsid w:val="00384C9F"/>
    <w:rsid w:val="00390F6B"/>
    <w:rsid w:val="003A4336"/>
    <w:rsid w:val="003A4E70"/>
    <w:rsid w:val="003B658D"/>
    <w:rsid w:val="003C3FFF"/>
    <w:rsid w:val="003C5C92"/>
    <w:rsid w:val="003D2B5D"/>
    <w:rsid w:val="003E2CD0"/>
    <w:rsid w:val="003E2CF7"/>
    <w:rsid w:val="003E6FB1"/>
    <w:rsid w:val="003F0950"/>
    <w:rsid w:val="003F243B"/>
    <w:rsid w:val="00404FAE"/>
    <w:rsid w:val="00411F1C"/>
    <w:rsid w:val="00425B52"/>
    <w:rsid w:val="00433265"/>
    <w:rsid w:val="00433913"/>
    <w:rsid w:val="00434F69"/>
    <w:rsid w:val="004376E8"/>
    <w:rsid w:val="00451C90"/>
    <w:rsid w:val="00451D50"/>
    <w:rsid w:val="004539F8"/>
    <w:rsid w:val="00454464"/>
    <w:rsid w:val="00456A5A"/>
    <w:rsid w:val="0046549C"/>
    <w:rsid w:val="004738EE"/>
    <w:rsid w:val="00481175"/>
    <w:rsid w:val="00485953"/>
    <w:rsid w:val="00486059"/>
    <w:rsid w:val="00487CE4"/>
    <w:rsid w:val="00490B3A"/>
    <w:rsid w:val="004B469C"/>
    <w:rsid w:val="004B5C2F"/>
    <w:rsid w:val="004C10E2"/>
    <w:rsid w:val="004D3AB2"/>
    <w:rsid w:val="004D3F04"/>
    <w:rsid w:val="004D63A4"/>
    <w:rsid w:val="004D6FD9"/>
    <w:rsid w:val="004F3307"/>
    <w:rsid w:val="004F3F71"/>
    <w:rsid w:val="0050750B"/>
    <w:rsid w:val="005164BB"/>
    <w:rsid w:val="00523A12"/>
    <w:rsid w:val="00527272"/>
    <w:rsid w:val="00533C97"/>
    <w:rsid w:val="0053595C"/>
    <w:rsid w:val="00543FCE"/>
    <w:rsid w:val="00551D93"/>
    <w:rsid w:val="005525A1"/>
    <w:rsid w:val="005571D4"/>
    <w:rsid w:val="00592DEE"/>
    <w:rsid w:val="00592F57"/>
    <w:rsid w:val="00595173"/>
    <w:rsid w:val="005B502D"/>
    <w:rsid w:val="005C1C58"/>
    <w:rsid w:val="005D1002"/>
    <w:rsid w:val="005D2059"/>
    <w:rsid w:val="005D2397"/>
    <w:rsid w:val="005D2630"/>
    <w:rsid w:val="005E3C48"/>
    <w:rsid w:val="005E6FBF"/>
    <w:rsid w:val="005E7622"/>
    <w:rsid w:val="005E79B5"/>
    <w:rsid w:val="005F49CC"/>
    <w:rsid w:val="005F7456"/>
    <w:rsid w:val="005F7DBC"/>
    <w:rsid w:val="00602F6C"/>
    <w:rsid w:val="006301EC"/>
    <w:rsid w:val="00645808"/>
    <w:rsid w:val="006464C4"/>
    <w:rsid w:val="006644B7"/>
    <w:rsid w:val="00664ACA"/>
    <w:rsid w:val="00682151"/>
    <w:rsid w:val="00682B4E"/>
    <w:rsid w:val="00685E9C"/>
    <w:rsid w:val="006920A7"/>
    <w:rsid w:val="0069710C"/>
    <w:rsid w:val="006A0895"/>
    <w:rsid w:val="006A3783"/>
    <w:rsid w:val="006B4506"/>
    <w:rsid w:val="006C16F7"/>
    <w:rsid w:val="006C2EF8"/>
    <w:rsid w:val="006C6737"/>
    <w:rsid w:val="006D08F4"/>
    <w:rsid w:val="006D102A"/>
    <w:rsid w:val="006E06EB"/>
    <w:rsid w:val="006E4BC8"/>
    <w:rsid w:val="006F6644"/>
    <w:rsid w:val="0070280E"/>
    <w:rsid w:val="00707F17"/>
    <w:rsid w:val="00716F6A"/>
    <w:rsid w:val="007178BB"/>
    <w:rsid w:val="00723908"/>
    <w:rsid w:val="007330C0"/>
    <w:rsid w:val="00736A14"/>
    <w:rsid w:val="00742863"/>
    <w:rsid w:val="00746B10"/>
    <w:rsid w:val="00752041"/>
    <w:rsid w:val="00775C65"/>
    <w:rsid w:val="0077708C"/>
    <w:rsid w:val="0078269C"/>
    <w:rsid w:val="00787F28"/>
    <w:rsid w:val="00795680"/>
    <w:rsid w:val="00797916"/>
    <w:rsid w:val="007A1D9C"/>
    <w:rsid w:val="007A2720"/>
    <w:rsid w:val="007A2C25"/>
    <w:rsid w:val="007A5F1A"/>
    <w:rsid w:val="007A61C9"/>
    <w:rsid w:val="007B1780"/>
    <w:rsid w:val="007B3C36"/>
    <w:rsid w:val="007B7C39"/>
    <w:rsid w:val="007C3541"/>
    <w:rsid w:val="007D5B6A"/>
    <w:rsid w:val="007E37FC"/>
    <w:rsid w:val="007E78DE"/>
    <w:rsid w:val="007F31AB"/>
    <w:rsid w:val="007F396D"/>
    <w:rsid w:val="007F5043"/>
    <w:rsid w:val="00800506"/>
    <w:rsid w:val="00802C54"/>
    <w:rsid w:val="00803569"/>
    <w:rsid w:val="00817EFF"/>
    <w:rsid w:val="008246C4"/>
    <w:rsid w:val="008264FB"/>
    <w:rsid w:val="00830372"/>
    <w:rsid w:val="00843BA4"/>
    <w:rsid w:val="00860191"/>
    <w:rsid w:val="00863791"/>
    <w:rsid w:val="0086459F"/>
    <w:rsid w:val="00870E46"/>
    <w:rsid w:val="00874BF7"/>
    <w:rsid w:val="00875C82"/>
    <w:rsid w:val="00877483"/>
    <w:rsid w:val="008A340D"/>
    <w:rsid w:val="008B1493"/>
    <w:rsid w:val="008B2FCC"/>
    <w:rsid w:val="008C579F"/>
    <w:rsid w:val="008D2364"/>
    <w:rsid w:val="008D2E8F"/>
    <w:rsid w:val="008E4321"/>
    <w:rsid w:val="008E520E"/>
    <w:rsid w:val="0090439D"/>
    <w:rsid w:val="0090746C"/>
    <w:rsid w:val="00911CFE"/>
    <w:rsid w:val="0091327B"/>
    <w:rsid w:val="00920F55"/>
    <w:rsid w:val="00922869"/>
    <w:rsid w:val="0093118C"/>
    <w:rsid w:val="00942687"/>
    <w:rsid w:val="00943C38"/>
    <w:rsid w:val="00955DBC"/>
    <w:rsid w:val="0096642D"/>
    <w:rsid w:val="00972057"/>
    <w:rsid w:val="00990FF9"/>
    <w:rsid w:val="009A5B31"/>
    <w:rsid w:val="009B3D45"/>
    <w:rsid w:val="009B5168"/>
    <w:rsid w:val="009C3697"/>
    <w:rsid w:val="009E4678"/>
    <w:rsid w:val="009F4A5C"/>
    <w:rsid w:val="00A00848"/>
    <w:rsid w:val="00A041D5"/>
    <w:rsid w:val="00A05433"/>
    <w:rsid w:val="00A15966"/>
    <w:rsid w:val="00A412AF"/>
    <w:rsid w:val="00A43111"/>
    <w:rsid w:val="00A47D92"/>
    <w:rsid w:val="00A513DF"/>
    <w:rsid w:val="00A54FBA"/>
    <w:rsid w:val="00A62651"/>
    <w:rsid w:val="00A72D9E"/>
    <w:rsid w:val="00A75C79"/>
    <w:rsid w:val="00A8468E"/>
    <w:rsid w:val="00A85066"/>
    <w:rsid w:val="00A92C11"/>
    <w:rsid w:val="00A96B20"/>
    <w:rsid w:val="00AA7874"/>
    <w:rsid w:val="00AB205B"/>
    <w:rsid w:val="00AC1810"/>
    <w:rsid w:val="00AC40E7"/>
    <w:rsid w:val="00AC4CD2"/>
    <w:rsid w:val="00AC5801"/>
    <w:rsid w:val="00AD03F8"/>
    <w:rsid w:val="00AE5C77"/>
    <w:rsid w:val="00AE7B96"/>
    <w:rsid w:val="00AF4A74"/>
    <w:rsid w:val="00B029C1"/>
    <w:rsid w:val="00B114CE"/>
    <w:rsid w:val="00B23904"/>
    <w:rsid w:val="00B2427C"/>
    <w:rsid w:val="00B56683"/>
    <w:rsid w:val="00B5774B"/>
    <w:rsid w:val="00B75F7F"/>
    <w:rsid w:val="00B77E92"/>
    <w:rsid w:val="00B831CC"/>
    <w:rsid w:val="00B90D24"/>
    <w:rsid w:val="00B91455"/>
    <w:rsid w:val="00B94566"/>
    <w:rsid w:val="00BA28F8"/>
    <w:rsid w:val="00BA3C78"/>
    <w:rsid w:val="00BA6FEE"/>
    <w:rsid w:val="00BB033F"/>
    <w:rsid w:val="00BB56C9"/>
    <w:rsid w:val="00BC0FF5"/>
    <w:rsid w:val="00BC562E"/>
    <w:rsid w:val="00BD09D4"/>
    <w:rsid w:val="00BD4F57"/>
    <w:rsid w:val="00BD7020"/>
    <w:rsid w:val="00BE3A06"/>
    <w:rsid w:val="00BE3B8D"/>
    <w:rsid w:val="00BF1C82"/>
    <w:rsid w:val="00BF2CE6"/>
    <w:rsid w:val="00BF30F2"/>
    <w:rsid w:val="00BF3D60"/>
    <w:rsid w:val="00BF6550"/>
    <w:rsid w:val="00C330A1"/>
    <w:rsid w:val="00C33253"/>
    <w:rsid w:val="00C371F4"/>
    <w:rsid w:val="00C44D38"/>
    <w:rsid w:val="00C464E8"/>
    <w:rsid w:val="00C52396"/>
    <w:rsid w:val="00C523C3"/>
    <w:rsid w:val="00C55C08"/>
    <w:rsid w:val="00C5756D"/>
    <w:rsid w:val="00C62917"/>
    <w:rsid w:val="00C646D7"/>
    <w:rsid w:val="00C714DC"/>
    <w:rsid w:val="00C71CE2"/>
    <w:rsid w:val="00C76E62"/>
    <w:rsid w:val="00C86237"/>
    <w:rsid w:val="00C93F40"/>
    <w:rsid w:val="00C95E49"/>
    <w:rsid w:val="00CA186C"/>
    <w:rsid w:val="00CA2B7C"/>
    <w:rsid w:val="00CA6D13"/>
    <w:rsid w:val="00CB4238"/>
    <w:rsid w:val="00CB5119"/>
    <w:rsid w:val="00CC10AA"/>
    <w:rsid w:val="00CD01D4"/>
    <w:rsid w:val="00CD1333"/>
    <w:rsid w:val="00CD7FE6"/>
    <w:rsid w:val="00CE1059"/>
    <w:rsid w:val="00CE1285"/>
    <w:rsid w:val="00CE462B"/>
    <w:rsid w:val="00CE6720"/>
    <w:rsid w:val="00CE68ED"/>
    <w:rsid w:val="00CF3BE4"/>
    <w:rsid w:val="00CF6E12"/>
    <w:rsid w:val="00D04E5E"/>
    <w:rsid w:val="00D11D38"/>
    <w:rsid w:val="00D2000B"/>
    <w:rsid w:val="00D21A20"/>
    <w:rsid w:val="00D22BD3"/>
    <w:rsid w:val="00D3082F"/>
    <w:rsid w:val="00D322F3"/>
    <w:rsid w:val="00D57F20"/>
    <w:rsid w:val="00D7572D"/>
    <w:rsid w:val="00D77CE1"/>
    <w:rsid w:val="00D81128"/>
    <w:rsid w:val="00D8235E"/>
    <w:rsid w:val="00D95F0A"/>
    <w:rsid w:val="00DB371A"/>
    <w:rsid w:val="00DB739F"/>
    <w:rsid w:val="00DB7831"/>
    <w:rsid w:val="00DC070E"/>
    <w:rsid w:val="00DE4628"/>
    <w:rsid w:val="00DE5713"/>
    <w:rsid w:val="00DE61C0"/>
    <w:rsid w:val="00DF307C"/>
    <w:rsid w:val="00E033D6"/>
    <w:rsid w:val="00E118CD"/>
    <w:rsid w:val="00E11B9E"/>
    <w:rsid w:val="00E146E5"/>
    <w:rsid w:val="00E272ED"/>
    <w:rsid w:val="00E338FF"/>
    <w:rsid w:val="00E33CFE"/>
    <w:rsid w:val="00E350E0"/>
    <w:rsid w:val="00E43649"/>
    <w:rsid w:val="00E51868"/>
    <w:rsid w:val="00E52370"/>
    <w:rsid w:val="00E54AEE"/>
    <w:rsid w:val="00E65565"/>
    <w:rsid w:val="00E7011D"/>
    <w:rsid w:val="00E728FA"/>
    <w:rsid w:val="00E777F0"/>
    <w:rsid w:val="00E8107B"/>
    <w:rsid w:val="00E8308D"/>
    <w:rsid w:val="00E83A89"/>
    <w:rsid w:val="00E94A71"/>
    <w:rsid w:val="00E9526D"/>
    <w:rsid w:val="00EA169E"/>
    <w:rsid w:val="00EA18AF"/>
    <w:rsid w:val="00EA2E2E"/>
    <w:rsid w:val="00EC3F4F"/>
    <w:rsid w:val="00EC4BFB"/>
    <w:rsid w:val="00EF5783"/>
    <w:rsid w:val="00EF63A0"/>
    <w:rsid w:val="00F0301F"/>
    <w:rsid w:val="00F036BE"/>
    <w:rsid w:val="00F11C0A"/>
    <w:rsid w:val="00F12536"/>
    <w:rsid w:val="00F16F03"/>
    <w:rsid w:val="00F22069"/>
    <w:rsid w:val="00F27430"/>
    <w:rsid w:val="00F47D83"/>
    <w:rsid w:val="00F54859"/>
    <w:rsid w:val="00F64473"/>
    <w:rsid w:val="00F778A8"/>
    <w:rsid w:val="00F84B85"/>
    <w:rsid w:val="00F90554"/>
    <w:rsid w:val="00F92505"/>
    <w:rsid w:val="00F93C61"/>
    <w:rsid w:val="00F955F4"/>
    <w:rsid w:val="00F966CE"/>
    <w:rsid w:val="00F96EB6"/>
    <w:rsid w:val="00FA2D41"/>
    <w:rsid w:val="00FA473E"/>
    <w:rsid w:val="00FA5814"/>
    <w:rsid w:val="00FA5C42"/>
    <w:rsid w:val="00FA5EBE"/>
    <w:rsid w:val="00FA6F4A"/>
    <w:rsid w:val="00FB26ED"/>
    <w:rsid w:val="00FC4465"/>
    <w:rsid w:val="00FC621D"/>
    <w:rsid w:val="00FC7A13"/>
    <w:rsid w:val="00FD2BA9"/>
    <w:rsid w:val="00FF005E"/>
    <w:rsid w:val="00FF28EF"/>
    <w:rsid w:val="077A296C"/>
    <w:rsid w:val="0D370001"/>
    <w:rsid w:val="13580D01"/>
    <w:rsid w:val="216175FB"/>
    <w:rsid w:val="2A376372"/>
    <w:rsid w:val="2B4966C2"/>
    <w:rsid w:val="2FDD632E"/>
    <w:rsid w:val="2FEDDFCD"/>
    <w:rsid w:val="31740010"/>
    <w:rsid w:val="375EBCD4"/>
    <w:rsid w:val="3B3FC3DB"/>
    <w:rsid w:val="3F359B05"/>
    <w:rsid w:val="56FDEB75"/>
    <w:rsid w:val="5DAE1EDC"/>
    <w:rsid w:val="5EEA61D6"/>
    <w:rsid w:val="65E03BED"/>
    <w:rsid w:val="6BB97B50"/>
    <w:rsid w:val="6FAF2F58"/>
    <w:rsid w:val="6FDE004B"/>
    <w:rsid w:val="77AF6F4C"/>
    <w:rsid w:val="77FB9B06"/>
    <w:rsid w:val="79C530D1"/>
    <w:rsid w:val="7E777B01"/>
    <w:rsid w:val="7F6E4F3F"/>
    <w:rsid w:val="7FD53174"/>
    <w:rsid w:val="7FEFE220"/>
    <w:rsid w:val="7FFF4E8E"/>
    <w:rsid w:val="867A2630"/>
    <w:rsid w:val="8BFDE005"/>
    <w:rsid w:val="9D96CF6C"/>
    <w:rsid w:val="9EDD6636"/>
    <w:rsid w:val="ADB58559"/>
    <w:rsid w:val="AE7EF4E3"/>
    <w:rsid w:val="B7FD71F8"/>
    <w:rsid w:val="BC6EF2A0"/>
    <w:rsid w:val="DCBF2FDC"/>
    <w:rsid w:val="DD8C97B6"/>
    <w:rsid w:val="EB9BE261"/>
    <w:rsid w:val="ECDEBE73"/>
    <w:rsid w:val="EEFD92D9"/>
    <w:rsid w:val="EF7BC8EE"/>
    <w:rsid w:val="EF7F69F2"/>
    <w:rsid w:val="F76FE6A6"/>
    <w:rsid w:val="FAB0B38F"/>
    <w:rsid w:val="FBB4057F"/>
    <w:rsid w:val="FBDC7C30"/>
    <w:rsid w:val="FC2E0B10"/>
    <w:rsid w:val="FCBFA777"/>
    <w:rsid w:val="FCEBCE6C"/>
    <w:rsid w:val="FDFE04BC"/>
    <w:rsid w:val="FFCB54B2"/>
    <w:rsid w:val="FFEF93C0"/>
    <w:rsid w:val="FFFD3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keepLines/>
      <w:spacing w:before="480"/>
      <w:outlineLvl w:val="0"/>
    </w:pPr>
    <w:rPr>
      <w:rFonts w:asciiTheme="majorHAnsi" w:hAnsiTheme="majorHAnsi" w:eastAsiaTheme="majorEastAsia" w:cstheme="majorBidi"/>
      <w:b/>
      <w:bCs/>
      <w:color w:val="1F4E79"/>
      <w:sz w:val="30"/>
      <w:szCs w:val="28"/>
    </w:rPr>
  </w:style>
  <w:style w:type="paragraph" w:styleId="3">
    <w:name w:val="heading 2"/>
    <w:basedOn w:val="1"/>
    <w:next w:val="1"/>
    <w:unhideWhenUsed/>
    <w:qFormat/>
    <w:uiPriority w:val="9"/>
    <w:pPr>
      <w:keepNext/>
      <w:keepLines/>
      <w:spacing w:before="200"/>
      <w:outlineLvl w:val="1"/>
    </w:pPr>
    <w:rPr>
      <w:rFonts w:asciiTheme="majorHAnsi" w:hAnsiTheme="majorHAnsi" w:eastAsiaTheme="majorEastAsia" w:cstheme="majorBidi"/>
      <w:b/>
      <w:bCs/>
      <w:color w:val="1F4E79"/>
      <w:sz w:val="25"/>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unhideWhenUsed/>
    <w:qFormat/>
    <w:uiPriority w:val="99"/>
    <w:pPr>
      <w:jc w:val="left"/>
    </w:pPr>
  </w:style>
  <w:style w:type="paragraph" w:styleId="5">
    <w:name w:val="Date"/>
    <w:basedOn w:val="1"/>
    <w:next w:val="1"/>
    <w:link w:val="30"/>
    <w:qFormat/>
    <w:uiPriority w:val="0"/>
    <w:pPr>
      <w:ind w:left="100" w:leftChars="2500"/>
    </w:pPr>
  </w:style>
  <w:style w:type="paragraph" w:styleId="6">
    <w:name w:val="Balloon Text"/>
    <w:basedOn w:val="1"/>
    <w:link w:val="22"/>
    <w:qFormat/>
    <w:uiPriority w:val="0"/>
    <w:rPr>
      <w:sz w:val="18"/>
      <w:szCs w:val="18"/>
    </w:rPr>
  </w:style>
  <w:style w:type="paragraph" w:styleId="7">
    <w:name w:val="footer"/>
    <w:basedOn w:val="1"/>
    <w:link w:val="20"/>
    <w:qFormat/>
    <w:uiPriority w:val="0"/>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4"/>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annotation reference"/>
    <w:basedOn w:val="12"/>
    <w:qFormat/>
    <w:uiPriority w:val="0"/>
    <w:rPr>
      <w:sz w:val="21"/>
      <w:szCs w:val="21"/>
    </w:rPr>
  </w:style>
  <w:style w:type="paragraph" w:styleId="15">
    <w:name w:val="List Paragraph"/>
    <w:basedOn w:val="1"/>
    <w:qFormat/>
    <w:uiPriority w:val="34"/>
    <w:pPr>
      <w:ind w:firstLine="420" w:firstLineChars="200"/>
    </w:pPr>
  </w:style>
  <w:style w:type="paragraph" w:customStyle="1" w:styleId="16">
    <w:name w:val="Legal Text 2"/>
    <w:basedOn w:val="1"/>
    <w:qFormat/>
    <w:uiPriority w:val="99"/>
    <w:pPr>
      <w:widowControl/>
      <w:numPr>
        <w:ilvl w:val="1"/>
        <w:numId w:val="1"/>
      </w:numPr>
      <w:jc w:val="left"/>
    </w:pPr>
    <w:rPr>
      <w:rFonts w:ascii="Syntax" w:hAnsi="Syntax"/>
      <w:kern w:val="0"/>
      <w:sz w:val="20"/>
      <w:szCs w:val="20"/>
      <w:lang w:eastAsia="en-US"/>
    </w:rPr>
  </w:style>
  <w:style w:type="character" w:customStyle="1" w:styleId="17">
    <w:name w:val="NormalCharacter"/>
    <w:qFormat/>
    <w:uiPriority w:val="0"/>
  </w:style>
  <w:style w:type="paragraph" w:customStyle="1" w:styleId="18">
    <w:name w:val="Table Text"/>
    <w:basedOn w:val="1"/>
    <w:semiHidden/>
    <w:qFormat/>
    <w:uiPriority w:val="0"/>
    <w:rPr>
      <w:rFonts w:ascii="宋体" w:hAnsi="宋体" w:cs="宋体"/>
      <w:sz w:val="29"/>
      <w:szCs w:val="29"/>
      <w:lang w:eastAsia="en-US"/>
    </w:rPr>
  </w:style>
  <w:style w:type="paragraph" w:customStyle="1" w:styleId="19">
    <w:name w:val="修订1"/>
    <w:hidden/>
    <w:unhideWhenUsed/>
    <w:qFormat/>
    <w:uiPriority w:val="99"/>
    <w:rPr>
      <w:rFonts w:ascii="Times New Roman" w:hAnsi="Times New Roman" w:eastAsia="宋体" w:cs="Times New Roman"/>
      <w:kern w:val="2"/>
      <w:sz w:val="21"/>
      <w:szCs w:val="22"/>
      <w:lang w:val="en-US" w:eastAsia="zh-CN" w:bidi="ar-SA"/>
    </w:rPr>
  </w:style>
  <w:style w:type="character" w:customStyle="1" w:styleId="20">
    <w:name w:val="页脚 字符"/>
    <w:basedOn w:val="12"/>
    <w:link w:val="7"/>
    <w:qFormat/>
    <w:uiPriority w:val="0"/>
    <w:rPr>
      <w:rFonts w:ascii="Times New Roman" w:hAnsi="Times New Roman" w:eastAsia="宋体" w:cs="Times New Roman"/>
      <w:kern w:val="2"/>
      <w:sz w:val="18"/>
      <w:szCs w:val="18"/>
    </w:rPr>
  </w:style>
  <w:style w:type="paragraph" w:customStyle="1" w:styleId="21">
    <w:name w:val="修订2"/>
    <w:hidden/>
    <w:unhideWhenUsed/>
    <w:qFormat/>
    <w:uiPriority w:val="99"/>
    <w:rPr>
      <w:rFonts w:ascii="Times New Roman" w:hAnsi="Times New Roman" w:eastAsia="宋体" w:cs="Times New Roman"/>
      <w:kern w:val="2"/>
      <w:sz w:val="21"/>
      <w:szCs w:val="22"/>
      <w:lang w:val="en-US" w:eastAsia="zh-CN" w:bidi="ar-SA"/>
    </w:rPr>
  </w:style>
  <w:style w:type="character" w:customStyle="1" w:styleId="22">
    <w:name w:val="批注框文本 字符"/>
    <w:basedOn w:val="12"/>
    <w:link w:val="6"/>
    <w:qFormat/>
    <w:uiPriority w:val="0"/>
    <w:rPr>
      <w:rFonts w:ascii="Times New Roman" w:hAnsi="Times New Roman" w:eastAsia="宋体" w:cs="Times New Roman"/>
      <w:kern w:val="2"/>
      <w:sz w:val="18"/>
      <w:szCs w:val="18"/>
    </w:rPr>
  </w:style>
  <w:style w:type="character" w:customStyle="1" w:styleId="23">
    <w:name w:val="批注文字 字符"/>
    <w:basedOn w:val="12"/>
    <w:link w:val="4"/>
    <w:qFormat/>
    <w:uiPriority w:val="99"/>
    <w:rPr>
      <w:rFonts w:ascii="Times New Roman" w:hAnsi="Times New Roman" w:eastAsia="宋体" w:cs="Times New Roman"/>
      <w:kern w:val="2"/>
      <w:sz w:val="21"/>
      <w:szCs w:val="22"/>
    </w:rPr>
  </w:style>
  <w:style w:type="character" w:customStyle="1" w:styleId="24">
    <w:name w:val="批注主题 字符"/>
    <w:basedOn w:val="23"/>
    <w:link w:val="9"/>
    <w:qFormat/>
    <w:uiPriority w:val="0"/>
    <w:rPr>
      <w:rFonts w:ascii="Times New Roman" w:hAnsi="Times New Roman" w:eastAsia="宋体" w:cs="Times New Roman"/>
      <w:kern w:val="2"/>
      <w:sz w:val="21"/>
      <w:szCs w:val="22"/>
    </w:rPr>
  </w:style>
  <w:style w:type="paragraph" w:customStyle="1" w:styleId="25">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26">
    <w:name w:val="修订4"/>
    <w:hidden/>
    <w:unhideWhenUsed/>
    <w:qFormat/>
    <w:uiPriority w:val="99"/>
    <w:rPr>
      <w:rFonts w:ascii="Times New Roman" w:hAnsi="Times New Roman" w:eastAsia="宋体" w:cs="Times New Roman"/>
      <w:kern w:val="2"/>
      <w:sz w:val="21"/>
      <w:szCs w:val="22"/>
      <w:lang w:val="en-US" w:eastAsia="zh-CN" w:bidi="ar-SA"/>
    </w:rPr>
  </w:style>
  <w:style w:type="paragraph" w:customStyle="1" w:styleId="27">
    <w:name w:val="列出段落1"/>
    <w:basedOn w:val="1"/>
    <w:link w:val="28"/>
    <w:qFormat/>
    <w:uiPriority w:val="0"/>
    <w:pPr>
      <w:ind w:firstLine="420" w:firstLineChars="200"/>
    </w:pPr>
    <w:rPr>
      <w:kern w:val="0"/>
      <w:sz w:val="20"/>
      <w:szCs w:val="24"/>
    </w:rPr>
  </w:style>
  <w:style w:type="character" w:customStyle="1" w:styleId="28">
    <w:name w:val="列出段落 Char"/>
    <w:link w:val="27"/>
    <w:qFormat/>
    <w:locked/>
    <w:uiPriority w:val="0"/>
    <w:rPr>
      <w:rFonts w:ascii="Times New Roman" w:hAnsi="Times New Roman" w:eastAsia="宋体" w:cs="Times New Roman"/>
      <w:szCs w:val="24"/>
    </w:rPr>
  </w:style>
  <w:style w:type="paragraph" w:customStyle="1" w:styleId="29">
    <w:name w:val="修订5"/>
    <w:hidden/>
    <w:unhideWhenUsed/>
    <w:qFormat/>
    <w:uiPriority w:val="99"/>
    <w:rPr>
      <w:rFonts w:ascii="Times New Roman" w:hAnsi="Times New Roman" w:eastAsia="宋体" w:cs="Times New Roman"/>
      <w:kern w:val="2"/>
      <w:sz w:val="21"/>
      <w:szCs w:val="22"/>
      <w:lang w:val="en-US" w:eastAsia="zh-CN" w:bidi="ar-SA"/>
    </w:rPr>
  </w:style>
  <w:style w:type="character" w:customStyle="1" w:styleId="30">
    <w:name w:val="日期 字符"/>
    <w:basedOn w:val="12"/>
    <w:link w:val="5"/>
    <w:qFormat/>
    <w:uiPriority w:val="0"/>
    <w:rPr>
      <w:rFonts w:ascii="Times New Roman" w:hAnsi="Times New Roman" w:eastAsia="宋体" w:cs="Times New Roman"/>
      <w:kern w:val="2"/>
      <w:sz w:val="21"/>
      <w:szCs w:val="22"/>
    </w:rPr>
  </w:style>
  <w:style w:type="paragraph" w:customStyle="1" w:styleId="31">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2013</Words>
  <Characters>11480</Characters>
  <Lines>95</Lines>
  <Paragraphs>26</Paragraphs>
  <TotalTime>5</TotalTime>
  <ScaleCrop>false</ScaleCrop>
  <LinksUpToDate>false</LinksUpToDate>
  <CharactersWithSpaces>13467</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2026-08-13T11:53:00Z</dcterms:created>
  <dc:creator>Vivi</dc:creator>
  <cp:lastModifiedBy>高际航</cp:lastModifiedBy>
  <dcterms:modified xsi:type="dcterms:W3CDTF">2026-08-14T10:54:57Z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E79170FB7D1DF2AAB6737D6A5C8AE13F_43</vt:lpwstr>
  </property>
  <property fmtid="{D5CDD505-2E9C-101B-9397-08002B2CF9AE}" pid="4" name="KSOTemplateDocerSaveRecord">
    <vt:lpwstr>eyJoZGlkIjoiNzQ3OTViNjU4MzVhM2I0YTVjZjViYWI5NDA3ZDI3OWYiLCJ1c2VySWQiOiIyNjA4MDcwMzIifQ==</vt:lpwstr>
  </property>
</Properties>
</file>