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2DD24">
      <w:pPr>
        <w:spacing w:line="360" w:lineRule="auto"/>
        <w:ind w:firstLine="883"/>
        <w:jc w:val="center"/>
        <w:rPr>
          <w:rFonts w:ascii="Times New Roman" w:hAnsi="Times New Roman" w:eastAsia="方正小标宋_GBK" w:cs="Times New Roman"/>
          <w:sz w:val="44"/>
          <w:szCs w:val="44"/>
        </w:rPr>
      </w:pPr>
      <w:bookmarkStart w:id="0" w:name="_Toc69194644"/>
    </w:p>
    <w:p w14:paraId="2F7150EA">
      <w:pPr>
        <w:spacing w:line="360" w:lineRule="auto"/>
        <w:ind w:firstLine="883"/>
        <w:jc w:val="center"/>
        <w:rPr>
          <w:rFonts w:ascii="Times New Roman" w:hAnsi="Times New Roman" w:eastAsia="方正小标宋_GBK" w:cs="Times New Roman"/>
          <w:sz w:val="44"/>
          <w:szCs w:val="44"/>
        </w:rPr>
      </w:pPr>
    </w:p>
    <w:p w14:paraId="3C1C9077">
      <w:pPr>
        <w:spacing w:line="360" w:lineRule="auto"/>
        <w:ind w:firstLine="883"/>
        <w:jc w:val="center"/>
        <w:rPr>
          <w:rFonts w:ascii="Times New Roman" w:hAnsi="Times New Roman" w:eastAsia="方正小标宋_GBK" w:cs="Times New Roman"/>
          <w:sz w:val="44"/>
          <w:szCs w:val="44"/>
        </w:rPr>
      </w:pPr>
    </w:p>
    <w:p w14:paraId="28BAE8BC">
      <w:pPr>
        <w:spacing w:line="360" w:lineRule="auto"/>
        <w:ind w:firstLine="883"/>
        <w:jc w:val="center"/>
        <w:rPr>
          <w:rFonts w:ascii="Times New Roman" w:hAnsi="Times New Roman" w:eastAsia="方正小标宋_GBK" w:cs="Times New Roman"/>
          <w:sz w:val="44"/>
          <w:szCs w:val="44"/>
        </w:rPr>
      </w:pPr>
    </w:p>
    <w:p w14:paraId="591E094A">
      <w:pPr>
        <w:spacing w:line="360" w:lineRule="auto"/>
        <w:ind w:firstLine="883"/>
        <w:jc w:val="center"/>
        <w:rPr>
          <w:rFonts w:ascii="Times New Roman" w:hAnsi="Times New Roman" w:eastAsia="方正小标宋_GBK" w:cs="Times New Roman"/>
          <w:sz w:val="44"/>
          <w:szCs w:val="44"/>
        </w:rPr>
      </w:pPr>
    </w:p>
    <w:p w14:paraId="1C65C56B">
      <w:pPr>
        <w:spacing w:line="360" w:lineRule="auto"/>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“一网通办”运营服务（第三方监管）</w:t>
      </w:r>
    </w:p>
    <w:p w14:paraId="537E6041">
      <w:pPr>
        <w:spacing w:line="360" w:lineRule="auto"/>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采购需求</w:t>
      </w:r>
    </w:p>
    <w:p w14:paraId="0CAB0A79">
      <w:pPr>
        <w:rPr>
          <w:rFonts w:ascii="Times New Roman" w:hAnsi="Times New Roman" w:eastAsia="仿宋_GB2312" w:cs="Times New Roman"/>
          <w:sz w:val="32"/>
          <w:szCs w:val="32"/>
        </w:rPr>
      </w:pPr>
    </w:p>
    <w:p w14:paraId="581F9CBE">
      <w:pPr>
        <w:rPr>
          <w:rFonts w:ascii="Times New Roman" w:hAnsi="Times New Roman" w:eastAsia="仿宋_GB2312" w:cs="Times New Roman"/>
          <w:sz w:val="32"/>
          <w:szCs w:val="32"/>
        </w:rPr>
      </w:pPr>
    </w:p>
    <w:p w14:paraId="7A679019">
      <w:pPr>
        <w:rPr>
          <w:rFonts w:ascii="Times New Roman" w:hAnsi="Times New Roman" w:eastAsia="仿宋_GB2312" w:cs="Times New Roman"/>
          <w:sz w:val="32"/>
          <w:szCs w:val="32"/>
        </w:rPr>
      </w:pPr>
    </w:p>
    <w:p w14:paraId="45E061A3">
      <w:pPr>
        <w:rPr>
          <w:rFonts w:ascii="Times New Roman" w:hAnsi="Times New Roman" w:eastAsia="仿宋_GB2312" w:cs="Times New Roman"/>
          <w:sz w:val="32"/>
          <w:szCs w:val="32"/>
        </w:rPr>
      </w:pPr>
    </w:p>
    <w:p w14:paraId="6D119263">
      <w:pPr>
        <w:rPr>
          <w:rFonts w:ascii="Times New Roman" w:hAnsi="Times New Roman" w:eastAsia="仿宋_GB2312" w:cs="Times New Roman"/>
          <w:sz w:val="32"/>
          <w:szCs w:val="32"/>
        </w:rPr>
      </w:pPr>
    </w:p>
    <w:p w14:paraId="26A39A04">
      <w:pPr>
        <w:rPr>
          <w:rFonts w:ascii="Times New Roman" w:hAnsi="Times New Roman" w:eastAsia="仿宋_GB2312" w:cs="Times New Roman"/>
          <w:sz w:val="32"/>
          <w:szCs w:val="32"/>
        </w:rPr>
      </w:pPr>
    </w:p>
    <w:p w14:paraId="25A3A756">
      <w:pPr>
        <w:rPr>
          <w:rFonts w:ascii="Times New Roman" w:hAnsi="Times New Roman" w:eastAsia="仿宋_GB2312" w:cs="Times New Roman"/>
          <w:sz w:val="32"/>
          <w:szCs w:val="32"/>
        </w:rPr>
      </w:pPr>
    </w:p>
    <w:p w14:paraId="46857FB5">
      <w:pPr>
        <w:rPr>
          <w:rFonts w:ascii="Times New Roman" w:hAnsi="Times New Roman" w:eastAsia="仿宋_GB2312" w:cs="Times New Roman"/>
          <w:sz w:val="32"/>
          <w:szCs w:val="32"/>
        </w:rPr>
      </w:pPr>
    </w:p>
    <w:p w14:paraId="35B798B1">
      <w:pPr>
        <w:rPr>
          <w:rFonts w:ascii="Times New Roman" w:hAnsi="Times New Roman" w:eastAsia="仿宋_GB2312" w:cs="Times New Roman"/>
          <w:sz w:val="32"/>
          <w:szCs w:val="32"/>
        </w:rPr>
      </w:pPr>
    </w:p>
    <w:p w14:paraId="46F63CCF">
      <w:pPr>
        <w:rPr>
          <w:rFonts w:ascii="Times New Roman" w:hAnsi="Times New Roman" w:eastAsia="仿宋_GB2312" w:cs="Times New Roman"/>
          <w:sz w:val="32"/>
          <w:szCs w:val="32"/>
        </w:rPr>
      </w:pPr>
    </w:p>
    <w:p w14:paraId="13BA795A">
      <w:pPr>
        <w:rPr>
          <w:rFonts w:ascii="Times New Roman" w:hAnsi="Times New Roman" w:eastAsia="仿宋_GB2312" w:cs="Times New Roman"/>
          <w:sz w:val="32"/>
          <w:szCs w:val="32"/>
        </w:rPr>
      </w:pPr>
    </w:p>
    <w:p w14:paraId="183EEB87">
      <w:pPr>
        <w:spacing w:line="360" w:lineRule="auto"/>
        <w:ind w:firstLine="643"/>
        <w:jc w:val="center"/>
        <w:rPr>
          <w:rFonts w:ascii="Times New Roman" w:hAnsi="Times New Roman" w:eastAsia="黑体" w:cs="Times New Roman"/>
          <w:sz w:val="32"/>
          <w:szCs w:val="44"/>
        </w:rPr>
      </w:pPr>
      <w:r>
        <w:rPr>
          <w:rFonts w:ascii="Times New Roman" w:hAnsi="Times New Roman" w:eastAsia="黑体" w:cs="Times New Roman"/>
          <w:sz w:val="32"/>
          <w:szCs w:val="44"/>
        </w:rPr>
        <w:t>上海市大数据中心</w:t>
      </w:r>
    </w:p>
    <w:p w14:paraId="46140D18">
      <w:pPr>
        <w:spacing w:line="360" w:lineRule="auto"/>
        <w:ind w:firstLine="643"/>
        <w:jc w:val="center"/>
        <w:rPr>
          <w:rFonts w:ascii="Times New Roman" w:hAnsi="Times New Roman" w:eastAsia="黑体" w:cs="Times New Roman"/>
          <w:sz w:val="32"/>
          <w:szCs w:val="44"/>
        </w:rPr>
        <w:sectPr>
          <w:footerReference r:id="rId3" w:type="default"/>
          <w:pgSz w:w="11906" w:h="16838"/>
          <w:pgMar w:top="1440" w:right="1797" w:bottom="1440" w:left="1797" w:header="851" w:footer="992" w:gutter="0"/>
          <w:pgNumType w:start="1"/>
          <w:cols w:space="425" w:num="1"/>
          <w:docGrid w:type="lines" w:linePitch="312" w:charSpace="0"/>
        </w:sectPr>
      </w:pPr>
      <w:r>
        <w:rPr>
          <w:rFonts w:ascii="Times New Roman" w:hAnsi="Times New Roman" w:eastAsia="黑体" w:cs="Times New Roman"/>
          <w:sz w:val="32"/>
          <w:szCs w:val="44"/>
        </w:rPr>
        <w:t>2025年1</w:t>
      </w:r>
      <w:r>
        <w:rPr>
          <w:rFonts w:hint="eastAsia" w:ascii="Times New Roman" w:hAnsi="Times New Roman" w:eastAsia="黑体" w:cs="Times New Roman"/>
          <w:sz w:val="32"/>
          <w:szCs w:val="44"/>
          <w:lang w:val="en-US" w:eastAsia="zh-CN"/>
        </w:rPr>
        <w:t>1</w:t>
      </w:r>
      <w:r>
        <w:rPr>
          <w:rFonts w:ascii="Times New Roman" w:hAnsi="Times New Roman" w:eastAsia="黑体" w:cs="Times New Roman"/>
          <w:sz w:val="32"/>
          <w:szCs w:val="44"/>
        </w:rPr>
        <w:t>月</w:t>
      </w:r>
    </w:p>
    <w:p w14:paraId="10ECE8C0">
      <w:pPr>
        <w:ind w:firstLine="640" w:firstLineChars="200"/>
        <w:outlineLvl w:val="0"/>
        <w:rPr>
          <w:rFonts w:ascii="Times New Roman" w:hAnsi="Times New Roman" w:eastAsia="黑体" w:cs="Times New Roman"/>
          <w:sz w:val="32"/>
          <w:szCs w:val="32"/>
        </w:rPr>
      </w:pPr>
      <w:r>
        <w:rPr>
          <w:rFonts w:ascii="Times New Roman" w:hAnsi="黑体" w:eastAsia="黑体" w:cs="Times New Roman"/>
          <w:sz w:val="32"/>
          <w:szCs w:val="32"/>
        </w:rPr>
        <w:t>一、第三方监管项目概述</w:t>
      </w:r>
      <w:bookmarkEnd w:id="0"/>
    </w:p>
    <w:p w14:paraId="1F166E32">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项目采购人：</w:t>
      </w:r>
      <w:r>
        <w:rPr>
          <w:rFonts w:ascii="Times New Roman" w:hAnsi="Times New Roman" w:eastAsia="仿宋_GB2312" w:cs="Times New Roman"/>
          <w:sz w:val="32"/>
          <w:szCs w:val="32"/>
        </w:rPr>
        <w:t>项目采购人为上海市大数据中心，主要承担全市政务云和政务外网等基础设施、大数据资源平台以及“一网通办”平台的建设、管理和长效运营工作，负责研究制订政务数据相关技术标准，推进本市政务信息系统整合共享、汇聚融合多方数据以及开展大数据挖掘分析研究工作等职能。</w:t>
      </w:r>
    </w:p>
    <w:p w14:paraId="23DD1AF0">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项目背景：</w:t>
      </w:r>
      <w:r>
        <w:rPr>
          <w:rFonts w:ascii="Times New Roman" w:hAnsi="Times New Roman" w:eastAsia="仿宋_GB2312" w:cs="Times New Roman"/>
          <w:sz w:val="32"/>
          <w:szCs w:val="32"/>
        </w:rPr>
        <w:t>为贯彻落实全国“互联网+政务服务”有关工作要求及市委、市政府关于“一网通办”工作的总体部署，稳步、有序推进“一网通办”工作向纵深发展，确保各项任务按时按质完成，推动平台各项服务功能不断优化完善，持续提高为民服务水平和服务体验，2018年至今，上海市大数据中心依托第三方专业运营服务商提供的相关运营服务，持续推动“一网通办”平台升级迭代。通过本项目的推进，为主体项目（“一网通办”运营服务）的高效、规范、有序实施提供有力的第三方监管服务支撑。</w:t>
      </w:r>
    </w:p>
    <w:p w14:paraId="5AB4B770">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服务期限：</w:t>
      </w:r>
      <w:r>
        <w:rPr>
          <w:rFonts w:ascii="Times New Roman" w:hAnsi="Times New Roman" w:eastAsia="仿宋_GB2312" w:cs="Times New Roman"/>
          <w:sz w:val="32"/>
          <w:szCs w:val="32"/>
        </w:rPr>
        <w:t>自本合同签订生效之日起至第三方监管单位完成采购人2025年度签订的上海市大数据中心“一网通办”运营服务项目合同全部运营服务内容对应的第三方监管服务（即信息化监理及绩效服务）并完成最终绩效考评为止。</w:t>
      </w:r>
    </w:p>
    <w:p w14:paraId="7AF8DB05">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服务地点：</w:t>
      </w:r>
      <w:r>
        <w:rPr>
          <w:rFonts w:ascii="Times New Roman" w:hAnsi="Times New Roman" w:eastAsia="仿宋_GB2312" w:cs="Times New Roman"/>
          <w:sz w:val="32"/>
          <w:szCs w:val="32"/>
        </w:rPr>
        <w:t>上海市静安区寿阳路99弄15号</w:t>
      </w:r>
    </w:p>
    <w:p w14:paraId="281B2523">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预算金额：</w:t>
      </w:r>
      <w:r>
        <w:rPr>
          <w:rFonts w:ascii="Times New Roman" w:hAnsi="Times New Roman" w:eastAsia="仿宋_GB2312" w:cs="Times New Roman"/>
          <w:sz w:val="32"/>
          <w:szCs w:val="32"/>
        </w:rPr>
        <w:t>400万元</w:t>
      </w:r>
    </w:p>
    <w:p w14:paraId="425F2495">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采购金额（最高限价）：</w:t>
      </w:r>
      <w:r>
        <w:rPr>
          <w:rFonts w:ascii="Times New Roman" w:hAnsi="Times New Roman" w:eastAsia="仿宋_GB2312" w:cs="Times New Roman"/>
          <w:sz w:val="32"/>
          <w:szCs w:val="32"/>
        </w:rPr>
        <w:t>400万元</w:t>
      </w:r>
    </w:p>
    <w:p w14:paraId="39967840">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组织形式：</w:t>
      </w:r>
      <w:r>
        <w:rPr>
          <w:rFonts w:ascii="Times New Roman" w:hAnsi="Times New Roman" w:eastAsia="仿宋_GB2312" w:cs="Times New Roman"/>
          <w:sz w:val="32"/>
          <w:szCs w:val="32"/>
        </w:rPr>
        <w:t>集中采购</w:t>
      </w:r>
    </w:p>
    <w:p w14:paraId="44234301">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采购方式：</w:t>
      </w:r>
      <w:r>
        <w:rPr>
          <w:rFonts w:ascii="Times New Roman" w:hAnsi="Times New Roman" w:eastAsia="仿宋_GB2312" w:cs="Times New Roman"/>
          <w:sz w:val="32"/>
          <w:szCs w:val="32"/>
        </w:rPr>
        <w:t>公开招标</w:t>
      </w:r>
    </w:p>
    <w:p w14:paraId="59CE50E5">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面向企业类型：</w:t>
      </w:r>
      <w:r>
        <w:rPr>
          <w:rFonts w:ascii="Times New Roman" w:hAnsi="Times New Roman" w:eastAsia="仿宋_GB2312" w:cs="Times New Roman"/>
          <w:sz w:val="32"/>
          <w:szCs w:val="32"/>
        </w:rPr>
        <w:t>中小企业</w:t>
      </w:r>
    </w:p>
    <w:p w14:paraId="21BDFDC8">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是否接受联合体投标：</w:t>
      </w:r>
      <w:r>
        <w:rPr>
          <w:rFonts w:ascii="Times New Roman" w:hAnsi="Times New Roman" w:eastAsia="仿宋_GB2312" w:cs="Times New Roman"/>
          <w:sz w:val="32"/>
          <w:szCs w:val="32"/>
        </w:rPr>
        <w:t>是</w:t>
      </w:r>
    </w:p>
    <w:p w14:paraId="422C043A">
      <w:pPr>
        <w:ind w:firstLine="640" w:firstLineChars="200"/>
        <w:outlineLvl w:val="0"/>
        <w:rPr>
          <w:rFonts w:ascii="Times New Roman" w:hAnsi="Times New Roman" w:eastAsia="黑体" w:cs="Times New Roman"/>
          <w:sz w:val="32"/>
          <w:szCs w:val="32"/>
        </w:rPr>
      </w:pPr>
      <w:bookmarkStart w:id="1" w:name="_Toc69194645"/>
      <w:r>
        <w:rPr>
          <w:rFonts w:ascii="Times New Roman" w:hAnsi="黑体" w:eastAsia="黑体" w:cs="Times New Roman"/>
          <w:sz w:val="32"/>
          <w:szCs w:val="32"/>
        </w:rPr>
        <w:t>二、第三方监管服务范围</w:t>
      </w:r>
      <w:bookmarkEnd w:id="1"/>
    </w:p>
    <w:p w14:paraId="2DFC07E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的实施将在上海市大数据中心进行，第三方监管服务主要包括监理服务和绩效管理服务，服务单位需要对“一网通办”运营服务项目合同全部运营服务内容对应的第三方监管服务（即信息化监理及绩效服务）的实施阶段、验收阶段的质量控制、进度控制、变更控制、信息安全控制、知识产权保护控制、合同管理、文档管理以及对项目实施过程进行组织协调等的相关工作实施监理服务。同时开展绩效管理，对项目有效产出进行审查和核对。服务单位应全面维护采购方委托的项目合法权益，帮助采购方尽可能实现预定的合理目标。（详见附表一：服务费限价表，包含服务内容、服务单价及预估工作量）</w:t>
      </w:r>
    </w:p>
    <w:p w14:paraId="5903EBDF">
      <w:pPr>
        <w:ind w:firstLine="640" w:firstLineChars="200"/>
        <w:outlineLvl w:val="0"/>
        <w:rPr>
          <w:rFonts w:ascii="Times New Roman" w:hAnsi="Times New Roman" w:eastAsia="黑体" w:cs="Times New Roman"/>
          <w:sz w:val="32"/>
          <w:szCs w:val="32"/>
        </w:rPr>
      </w:pPr>
      <w:bookmarkStart w:id="2" w:name="_Toc69194646"/>
      <w:r>
        <w:rPr>
          <w:rFonts w:ascii="Times New Roman" w:hAnsi="黑体" w:eastAsia="黑体" w:cs="Times New Roman"/>
          <w:sz w:val="32"/>
          <w:szCs w:val="32"/>
        </w:rPr>
        <w:t>三、第三方监管服务需求</w:t>
      </w:r>
      <w:bookmarkEnd w:id="2"/>
    </w:p>
    <w:p w14:paraId="0461E10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方监管服务（即信息化监理及绩效服务）应覆盖“一网通办”运营服务项目全过程，供应商按照国家相关规定，依据项目立项文件、资金预算申请及批复、采购文件、响应文件、合同等有关资料，对采购方“一网通办”运营服务的履行情况实施独立、客观的监督、评价和建议，“一网通办”运营服务内容主要包括服务能力接入、服务能力支撑和其他服务保障。</w:t>
      </w:r>
    </w:p>
    <w:p w14:paraId="450688B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项目监理及绩效工作对“一网通办”运营服务供应商提供的运营服务的工作量、工作内容、完成质量、服务成效、绩效评估进行审核和协助验收，对运营过程中发生的质量问题、重大事故进行责任边界判定。每月20个工作日内应按照采购方要求以书面形式提交上月的运营项目工作月报及第三方监理月报，未按时提交以上材料将扣除当月服务费用的3%。</w:t>
      </w:r>
    </w:p>
    <w:p w14:paraId="33D56621">
      <w:pPr>
        <w:ind w:firstLine="643" w:firstLineChars="200"/>
        <w:outlineLvl w:val="0"/>
        <w:rPr>
          <w:rFonts w:ascii="Times New Roman" w:hAnsi="Times New Roman" w:eastAsia="楷体_GB2312" w:cs="Times New Roman"/>
          <w:b/>
          <w:sz w:val="32"/>
          <w:szCs w:val="32"/>
        </w:rPr>
      </w:pPr>
      <w:r>
        <w:rPr>
          <w:rFonts w:ascii="Times New Roman" w:hAnsi="Times New Roman" w:eastAsia="楷体_GB2312" w:cs="Times New Roman"/>
          <w:b/>
          <w:sz w:val="32"/>
          <w:szCs w:val="32"/>
        </w:rPr>
        <w:t>（一）监理工作内容</w:t>
      </w:r>
    </w:p>
    <w:p w14:paraId="46A9FB8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根据本项目监理工作范围，同时结合项目的特点，监理内容至少包括如下内容：</w:t>
      </w:r>
    </w:p>
    <w:p w14:paraId="65890DE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1.按照项目的要求成立项目组，指派有相应资质的人员担任项目总监理工程师、总监理工程师代表、监理工程师和其他岗位人员等；</w:t>
      </w:r>
    </w:p>
    <w:p w14:paraId="284B02C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2.根据建设单位项目内容，提交项目监理大纲等；</w:t>
      </w:r>
    </w:p>
    <w:p w14:paraId="70E4F9E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3.根据建设单位的要求，对运营项目接收的各类需求，统一做好需求管理，对承建单位提供的实施方案进行审核，确保实施方案内容满足项目需求并具有可操作性；</w:t>
      </w:r>
    </w:p>
    <w:p w14:paraId="55B7F26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4.配合建设单位审定项目承建单位提交的项目实施计划和方案，制定出合理的项目进度计划；</w:t>
      </w:r>
    </w:p>
    <w:p w14:paraId="0B927FE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5.审核项目承建单位提出的运营服务质量保障体系，包含各服务目录的相关规范流程、角色职责、计量规则、验收标准等；</w:t>
      </w:r>
    </w:p>
    <w:p w14:paraId="0305402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6.根据承建单位提供的实施方案，协助建设单位确定并细化考核指标和考核方式；</w:t>
      </w:r>
    </w:p>
    <w:p w14:paraId="47F5F4B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7.对承建单位的实施过程进行监督管理，在实施过程中督促承建单位严格执行合同和国家相关技术规范、标准，需要对以下几个方面作重点监督管理：</w:t>
      </w:r>
    </w:p>
    <w:p w14:paraId="4B822B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1）配合建设单位，做好运营项目中各类工作的需求管理；</w:t>
      </w:r>
    </w:p>
    <w:p w14:paraId="3C49B50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2）配合建设单位，按月度做好项目总结工作，及时跟踪、汇总项目文档材料实施情况、项目工作量核算工作等，形成监理月报；</w:t>
      </w:r>
    </w:p>
    <w:p w14:paraId="0AC4016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3）协调相关单位做好项目测试工作，包括监督自测情况，以及协调第三方测评工作；</w:t>
      </w:r>
    </w:p>
    <w:p w14:paraId="6146637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4）配合建设单位，对项目进度与质量进行严格把控，建立明确的奖惩制度；</w:t>
      </w:r>
    </w:p>
    <w:p w14:paraId="00C915C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5）当项目进度与质量不符合预期，需书面向建设单位及时提出纠偏意见建议；</w:t>
      </w:r>
    </w:p>
    <w:p w14:paraId="68FA2A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6）配合建设单位，根据项目执行情况对服务规范进行优化调整；</w:t>
      </w:r>
    </w:p>
    <w:p w14:paraId="10DB3E8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7）对项目中存在的其他问题，及时提出监理建议和意见。</w:t>
      </w:r>
    </w:p>
    <w:p w14:paraId="1427A7E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8.协调建设单位和承建单位之间的关系；</w:t>
      </w:r>
    </w:p>
    <w:p w14:paraId="19D414C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督促承建单位严格按现行建设单位的相关规范、规程、相关质量控制标准、安全防护措施和实施方案和计划进行实施，严格控制服务质量。针对实施过程中出现的问题及时向项目建设单位和承建单位发出预警，参与鉴定质量责任，组织项目协调会，整理并签发会议纪要；</w:t>
      </w:r>
    </w:p>
    <w:p w14:paraId="24976020">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10.督促、检查承建单位落实安全保证措施；</w:t>
      </w:r>
    </w:p>
    <w:p w14:paraId="1FD4A2F0">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11.根据承建单位提交的实施计划，分阶段协调实施进度计划，及时提出调整意见，控制项目时间节点和进度，保证项目顺利进行；</w:t>
      </w:r>
    </w:p>
    <w:p w14:paraId="7E838D6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12.按照合同约定的要求，与建设单位一起进行项目里程碑节点审核，对不符合实施方案及信息化监理原则的部分提出修改意见，协助建设单位对项目进行阶段验收，撰写阶段监理报告；</w:t>
      </w:r>
    </w:p>
    <w:p w14:paraId="30ED068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13.组织本项目（监理工作）范围内运营服务质量的检查（必要时使用相关工具设备进行抽查和验证）、阶段验收和竣工验收；</w:t>
      </w:r>
    </w:p>
    <w:p w14:paraId="41ED856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14.协助建设单位进行项目实施过程中的变更管理；</w:t>
      </w:r>
    </w:p>
    <w:p w14:paraId="2120E17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15.协助建设单位做好本项目的实施过程文档管理工作，做好版本控制，并且确保项目验收材料与实施过程文档之间的一致性；</w:t>
      </w:r>
    </w:p>
    <w:p w14:paraId="3112783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16.检查、审核承建单位的最终交付物是否完整、齐备，是否符合合同的约定，是否已经按照指定的时间和方式提交给建设单位；</w:t>
      </w:r>
    </w:p>
    <w:p w14:paraId="0EBF824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17.检查所交付系统的合同中提及的相关竣工验收资料是否已经提交；</w:t>
      </w:r>
    </w:p>
    <w:p w14:paraId="19506A8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18.在项目的整个过程中，对建设单位、承建单位有关方案、技术秘密等涉及知识产权的内容进行检查、监督和保护；</w:t>
      </w:r>
    </w:p>
    <w:p w14:paraId="1763DFA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19.协助建设单位组织竣工验收、参加项目竣工验收并协助建设单位进行项目竣工资料的整理工作；</w:t>
      </w:r>
    </w:p>
    <w:p w14:paraId="0175CF2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20.进行监理总结，移交监理资料和其他有关资料。</w:t>
      </w:r>
    </w:p>
    <w:p w14:paraId="2737EFB8">
      <w:pPr>
        <w:ind w:firstLine="643" w:firstLineChars="200"/>
        <w:outlineLvl w:val="0"/>
        <w:rPr>
          <w:rFonts w:ascii="Times New Roman" w:hAnsi="Times New Roman" w:eastAsia="楷体_GB2312" w:cs="Times New Roman"/>
          <w:b/>
          <w:sz w:val="32"/>
          <w:szCs w:val="32"/>
        </w:rPr>
      </w:pPr>
      <w:r>
        <w:rPr>
          <w:rFonts w:ascii="Times New Roman" w:hAnsi="Times New Roman" w:eastAsia="楷体_GB2312" w:cs="Times New Roman"/>
          <w:b/>
          <w:sz w:val="32"/>
          <w:szCs w:val="32"/>
        </w:rPr>
        <w:t>（二）绩效工作内容</w:t>
      </w:r>
    </w:p>
    <w:p w14:paraId="355621F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标人应在“一网通办”运营服务期间配合建设单位开展绩效目标管理、绩效跟踪和绩效评价工作。建立“一网通办”运营项目整体绩效管理体系，管理体系的内容包括：对运营项目开展过程跟踪及项目验收的绩效评估；审核服务任务绩效目标定义合理性；对服务任务实施过程及验收阶段的绩效目标达成情况行分析与评价。绩效评价服务贯穿整个运营服务周期的全过程。</w:t>
      </w:r>
    </w:p>
    <w:p w14:paraId="60D82BC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服务任务绩效的前评价指服务任务发放时结合服务任务审核流程进行前评价，针对服务任务的必要性、投入经济性、绩效目标合理性、实施方案合理性、工作量和资金估算合理性和可行性等内容进行论证，形成前评价意见。</w:t>
      </w:r>
    </w:p>
    <w:p w14:paraId="1A38E06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2.“一网通办”运营项目绩效的中期评审是指在项目进度过半时对绩效目标的实现情况进行跟踪评价，并对跟踪评价结果和绩效目标的偏差进行分析，对存在的问题提出整改建议，形成中期评审报告。</w:t>
      </w:r>
    </w:p>
    <w:p w14:paraId="533FBF40">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3.服务任务绩效的验收评价指在服务任务验收时针对服务任务的过程、产出和效益等进行综合评价，形成绩效评价报告。</w:t>
      </w:r>
    </w:p>
    <w:p w14:paraId="670562E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另外，中标人应依据运营服务项目的合同、采购文件、响应文件、服务需求及实施方案、服务任务交付物等有关资料，结合服务目录以及相关规范对运营商交付成果进行审核，明确各服务目录的有效产出。</w:t>
      </w:r>
    </w:p>
    <w:p w14:paraId="576353B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产出量评估作为项目关键节点的重点工作，应满足以下要求：</w:t>
      </w:r>
    </w:p>
    <w:p w14:paraId="538972B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1.按服务任务开展产出量评估工作，收集服务任务的相关需求、实施方案、交付物以及相关佐证资料；</w:t>
      </w:r>
    </w:p>
    <w:p w14:paraId="78B66DD0">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2.依据相关规定建立服务任务交付成果与服务目录各服务项的对应关系和产出量评估标准，评估确定每一个服务任务的服务项有效交付数量；</w:t>
      </w:r>
    </w:p>
    <w:p w14:paraId="442E1A1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3.对项目有效产出进行审查和核对，评估和确认相关扣减项内容，出具产出量评估报告，明确产出量评估意见。</w:t>
      </w:r>
    </w:p>
    <w:p w14:paraId="58E7D1AA">
      <w:pPr>
        <w:ind w:firstLine="643" w:firstLineChars="200"/>
        <w:outlineLvl w:val="0"/>
        <w:rPr>
          <w:rFonts w:ascii="Times New Roman" w:hAnsi="Times New Roman" w:eastAsia="楷体_GB2312" w:cs="Times New Roman"/>
          <w:b/>
          <w:sz w:val="32"/>
          <w:szCs w:val="32"/>
        </w:rPr>
      </w:pPr>
      <w:r>
        <w:rPr>
          <w:rFonts w:ascii="Times New Roman" w:hAnsi="Times New Roman" w:eastAsia="楷体_GB2312" w:cs="Times New Roman"/>
          <w:b/>
          <w:sz w:val="32"/>
          <w:szCs w:val="32"/>
        </w:rPr>
        <w:t>（三）其他工作内容</w:t>
      </w:r>
    </w:p>
    <w:p w14:paraId="2F5A809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根据采购人需求完成其他相关工作。</w:t>
      </w:r>
    </w:p>
    <w:p w14:paraId="78880E21">
      <w:pPr>
        <w:ind w:firstLine="640" w:firstLineChars="200"/>
        <w:rPr>
          <w:rFonts w:ascii="Times New Roman" w:hAnsi="Times New Roman" w:eastAsia="黑体" w:cs="Times New Roman"/>
          <w:sz w:val="32"/>
          <w:szCs w:val="32"/>
        </w:rPr>
      </w:pPr>
      <w:bookmarkStart w:id="3" w:name="_Toc9447_WPSOffice_Level1"/>
      <w:bookmarkStart w:id="4" w:name="_Toc63630485"/>
      <w:bookmarkStart w:id="5" w:name="_Toc5915308"/>
      <w:r>
        <w:rPr>
          <w:rFonts w:ascii="Times New Roman" w:hAnsi="黑体" w:eastAsia="黑体" w:cs="Times New Roman"/>
          <w:sz w:val="32"/>
          <w:szCs w:val="32"/>
        </w:rPr>
        <w:t>四、第三方监管工作目标</w:t>
      </w:r>
      <w:bookmarkEnd w:id="3"/>
      <w:bookmarkEnd w:id="4"/>
      <w:bookmarkEnd w:id="5"/>
    </w:p>
    <w:p w14:paraId="2A017E5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根据快速、高效、经济和高质的建设总目标，确定本系统建设的质量、进度和投资目标。</w:t>
      </w:r>
    </w:p>
    <w:p w14:paraId="232282E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1、质量目标：满足国家颁布的有关规定、规范要求。</w:t>
      </w:r>
    </w:p>
    <w:p w14:paraId="548D63F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2、进度目标：按项目要求或建设单位要求完成相应各节点目标。</w:t>
      </w:r>
    </w:p>
    <w:p w14:paraId="479499C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3、投资目标：系统项目总支出费用合理、合规。</w:t>
      </w:r>
    </w:p>
    <w:p w14:paraId="582F6646">
      <w:pPr>
        <w:ind w:firstLine="640" w:firstLineChars="200"/>
        <w:rPr>
          <w:rFonts w:ascii="Times New Roman" w:hAnsi="Times New Roman" w:eastAsia="黑体" w:cs="Times New Roman"/>
          <w:sz w:val="32"/>
          <w:szCs w:val="32"/>
        </w:rPr>
      </w:pPr>
      <w:bookmarkStart w:id="6" w:name="_Toc69194682"/>
      <w:r>
        <w:rPr>
          <w:rFonts w:ascii="Times New Roman" w:hAnsi="黑体" w:eastAsia="黑体" w:cs="Times New Roman"/>
          <w:sz w:val="32"/>
          <w:szCs w:val="32"/>
        </w:rPr>
        <w:t>五、服务质量考核</w:t>
      </w:r>
      <w:bookmarkEnd w:id="6"/>
      <w:r>
        <w:rPr>
          <w:rFonts w:ascii="Times New Roman" w:hAnsi="黑体" w:eastAsia="黑体" w:cs="Times New Roman"/>
          <w:sz w:val="32"/>
          <w:szCs w:val="32"/>
        </w:rPr>
        <w:t>要求</w:t>
      </w:r>
    </w:p>
    <w:p w14:paraId="2D8521D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根据上述服务需求，项目验收前由采购人对第三方监管运营过程管理、第三方监管服务质量、第三方监管相关材料移交等工作进行综合评价，并出具第三方监管服务用户报告，评价结果包括优秀、良好、一般。</w:t>
      </w:r>
    </w:p>
    <w:p w14:paraId="594BAB7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服务质量的考核结果将作为确认采购人（甲方）需支付的最终合同总价的依据之一。</w:t>
      </w:r>
    </w:p>
    <w:p w14:paraId="30BCE34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就采购人（甲方）需支付的最终合同总价，服务质量考核结果为优秀和良好的按中标金额的100%支付，服务质量考核结果为一般的按中标金额的97%支付。</w:t>
      </w:r>
    </w:p>
    <w:p w14:paraId="4BBA3FC5">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服务质量考核表</w:t>
      </w:r>
    </w:p>
    <w:tbl>
      <w:tblPr>
        <w:tblStyle w:val="10"/>
        <w:tblW w:w="10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992"/>
        <w:gridCol w:w="1518"/>
        <w:gridCol w:w="709"/>
        <w:gridCol w:w="5774"/>
      </w:tblGrid>
      <w:tr w14:paraId="3E56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9" w:type="dxa"/>
            <w:shd w:val="clear" w:color="auto" w:fill="BEBEBE" w:themeFill="background1" w:themeFillShade="BF"/>
            <w:vAlign w:val="center"/>
          </w:tcPr>
          <w:p w14:paraId="36A8C717">
            <w:pPr>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一级指标</w:t>
            </w:r>
          </w:p>
        </w:tc>
        <w:tc>
          <w:tcPr>
            <w:tcW w:w="992" w:type="dxa"/>
            <w:shd w:val="clear" w:color="auto" w:fill="BEBEBE" w:themeFill="background1" w:themeFillShade="BF"/>
            <w:vAlign w:val="center"/>
          </w:tcPr>
          <w:p w14:paraId="62AB185A">
            <w:pPr>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权重</w:t>
            </w:r>
          </w:p>
        </w:tc>
        <w:tc>
          <w:tcPr>
            <w:tcW w:w="1518" w:type="dxa"/>
            <w:shd w:val="clear" w:color="auto" w:fill="BEBEBE" w:themeFill="background1" w:themeFillShade="BF"/>
            <w:vAlign w:val="center"/>
          </w:tcPr>
          <w:p w14:paraId="3407D3C5">
            <w:pPr>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二级指标</w:t>
            </w:r>
          </w:p>
        </w:tc>
        <w:tc>
          <w:tcPr>
            <w:tcW w:w="709" w:type="dxa"/>
            <w:shd w:val="clear" w:color="auto" w:fill="BEBEBE" w:themeFill="background1" w:themeFillShade="BF"/>
            <w:vAlign w:val="center"/>
          </w:tcPr>
          <w:p w14:paraId="2184DD2B">
            <w:pPr>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权重</w:t>
            </w:r>
          </w:p>
        </w:tc>
        <w:tc>
          <w:tcPr>
            <w:tcW w:w="5774" w:type="dxa"/>
            <w:shd w:val="clear" w:color="auto" w:fill="BEBEBE" w:themeFill="background1" w:themeFillShade="BF"/>
            <w:vAlign w:val="center"/>
          </w:tcPr>
          <w:p w14:paraId="6C698518">
            <w:pPr>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评分标准</w:t>
            </w:r>
          </w:p>
        </w:tc>
      </w:tr>
      <w:tr w14:paraId="4301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vAlign w:val="center"/>
          </w:tcPr>
          <w:p w14:paraId="3B848348">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服务响应</w:t>
            </w:r>
          </w:p>
        </w:tc>
        <w:tc>
          <w:tcPr>
            <w:tcW w:w="992" w:type="dxa"/>
            <w:vMerge w:val="restart"/>
            <w:vAlign w:val="center"/>
          </w:tcPr>
          <w:p w14:paraId="2C0BA2D2">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1518" w:type="dxa"/>
            <w:vAlign w:val="center"/>
          </w:tcPr>
          <w:p w14:paraId="740AE315">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响应时效性</w:t>
            </w:r>
          </w:p>
        </w:tc>
        <w:tc>
          <w:tcPr>
            <w:tcW w:w="709" w:type="dxa"/>
            <w:vAlign w:val="center"/>
          </w:tcPr>
          <w:p w14:paraId="4F3650E1">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5774" w:type="dxa"/>
            <w:vAlign w:val="center"/>
          </w:tcPr>
          <w:p w14:paraId="5EA2164C">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及时响应甲方服务需求或者及时按照日常监管服务计划开展监管服务，每发生一起延期一周响应扣2分，扣完为止；</w:t>
            </w:r>
          </w:p>
        </w:tc>
      </w:tr>
      <w:tr w14:paraId="5707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vAlign w:val="center"/>
          </w:tcPr>
          <w:p w14:paraId="2BAF8BA1">
            <w:pPr>
              <w:jc w:val="center"/>
              <w:rPr>
                <w:rFonts w:ascii="Times New Roman" w:hAnsi="Times New Roman" w:eastAsia="宋体" w:cs="Times New Roman"/>
                <w:kern w:val="0"/>
                <w:sz w:val="24"/>
                <w:szCs w:val="24"/>
              </w:rPr>
            </w:pPr>
          </w:p>
        </w:tc>
        <w:tc>
          <w:tcPr>
            <w:tcW w:w="992" w:type="dxa"/>
            <w:vMerge w:val="continue"/>
            <w:vAlign w:val="center"/>
          </w:tcPr>
          <w:p w14:paraId="38E2A011">
            <w:pPr>
              <w:jc w:val="center"/>
              <w:rPr>
                <w:rFonts w:ascii="Times New Roman" w:hAnsi="Times New Roman" w:eastAsia="宋体" w:cs="Times New Roman"/>
                <w:kern w:val="0"/>
                <w:sz w:val="24"/>
                <w:szCs w:val="24"/>
              </w:rPr>
            </w:pPr>
          </w:p>
        </w:tc>
        <w:tc>
          <w:tcPr>
            <w:tcW w:w="1518" w:type="dxa"/>
            <w:vAlign w:val="center"/>
          </w:tcPr>
          <w:p w14:paraId="2DC828F5">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响应有效性</w:t>
            </w:r>
          </w:p>
        </w:tc>
        <w:tc>
          <w:tcPr>
            <w:tcW w:w="709" w:type="dxa"/>
            <w:vAlign w:val="center"/>
          </w:tcPr>
          <w:p w14:paraId="5F0306CE">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5774" w:type="dxa"/>
            <w:vAlign w:val="center"/>
          </w:tcPr>
          <w:p w14:paraId="3B8D2E3A">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及时制定合理的服务响应计划，投入适合的资源，每发生一起响应计划和资源投入不符合服务要求的扣除2分，扣完为止；</w:t>
            </w:r>
          </w:p>
        </w:tc>
      </w:tr>
      <w:tr w14:paraId="6FED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vAlign w:val="center"/>
          </w:tcPr>
          <w:p w14:paraId="5DBAC577">
            <w:pPr>
              <w:jc w:val="center"/>
              <w:rPr>
                <w:rFonts w:ascii="Times New Roman" w:hAnsi="Times New Roman" w:eastAsia="宋体" w:cs="Times New Roman"/>
                <w:kern w:val="0"/>
                <w:sz w:val="24"/>
                <w:szCs w:val="24"/>
              </w:rPr>
            </w:pPr>
          </w:p>
        </w:tc>
        <w:tc>
          <w:tcPr>
            <w:tcW w:w="992" w:type="dxa"/>
            <w:vMerge w:val="continue"/>
            <w:vAlign w:val="center"/>
          </w:tcPr>
          <w:p w14:paraId="75076B80">
            <w:pPr>
              <w:jc w:val="center"/>
              <w:rPr>
                <w:rFonts w:ascii="Times New Roman" w:hAnsi="Times New Roman" w:eastAsia="宋体" w:cs="Times New Roman"/>
                <w:kern w:val="0"/>
                <w:sz w:val="24"/>
                <w:szCs w:val="24"/>
              </w:rPr>
            </w:pPr>
          </w:p>
        </w:tc>
        <w:tc>
          <w:tcPr>
            <w:tcW w:w="1518" w:type="dxa"/>
            <w:vAlign w:val="center"/>
          </w:tcPr>
          <w:p w14:paraId="7F5D0981">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需求满足情况</w:t>
            </w:r>
          </w:p>
        </w:tc>
        <w:tc>
          <w:tcPr>
            <w:tcW w:w="709" w:type="dxa"/>
            <w:vAlign w:val="center"/>
          </w:tcPr>
          <w:p w14:paraId="00852942">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5774" w:type="dxa"/>
            <w:vAlign w:val="center"/>
          </w:tcPr>
          <w:p w14:paraId="57B6A868">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监管方案完全响应并满足服务需求，每发生一起监管方案不满足需求的扣除2分，扣完为止；</w:t>
            </w:r>
          </w:p>
        </w:tc>
      </w:tr>
      <w:tr w14:paraId="6145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vAlign w:val="center"/>
          </w:tcPr>
          <w:p w14:paraId="078FE7E6">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服务交付</w:t>
            </w:r>
          </w:p>
        </w:tc>
        <w:tc>
          <w:tcPr>
            <w:tcW w:w="992" w:type="dxa"/>
            <w:vMerge w:val="restart"/>
            <w:vAlign w:val="center"/>
          </w:tcPr>
          <w:p w14:paraId="054A0596">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1518" w:type="dxa"/>
            <w:vMerge w:val="restart"/>
            <w:vAlign w:val="center"/>
          </w:tcPr>
          <w:p w14:paraId="0CA7F075">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交付质量</w:t>
            </w:r>
          </w:p>
        </w:tc>
        <w:tc>
          <w:tcPr>
            <w:tcW w:w="709" w:type="dxa"/>
            <w:vAlign w:val="center"/>
          </w:tcPr>
          <w:p w14:paraId="0C4E9490">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5774" w:type="dxa"/>
            <w:vAlign w:val="center"/>
          </w:tcPr>
          <w:p w14:paraId="230481B4">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应该完整交付监管交付物，每发生一起监管交付物缺失的扣除5分，每发生一起监管交付物内容不完整的扣除3分，扣完为止；</w:t>
            </w:r>
          </w:p>
        </w:tc>
      </w:tr>
      <w:tr w14:paraId="6D03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vAlign w:val="center"/>
          </w:tcPr>
          <w:p w14:paraId="645994DF">
            <w:pPr>
              <w:jc w:val="center"/>
              <w:rPr>
                <w:rFonts w:ascii="Times New Roman" w:hAnsi="Times New Roman" w:eastAsia="宋体" w:cs="Times New Roman"/>
                <w:kern w:val="0"/>
                <w:sz w:val="24"/>
                <w:szCs w:val="24"/>
              </w:rPr>
            </w:pPr>
          </w:p>
        </w:tc>
        <w:tc>
          <w:tcPr>
            <w:tcW w:w="992" w:type="dxa"/>
            <w:vMerge w:val="continue"/>
            <w:vAlign w:val="center"/>
          </w:tcPr>
          <w:p w14:paraId="3000E485">
            <w:pPr>
              <w:jc w:val="center"/>
              <w:rPr>
                <w:rFonts w:ascii="Times New Roman" w:hAnsi="Times New Roman" w:eastAsia="宋体" w:cs="Times New Roman"/>
                <w:kern w:val="0"/>
                <w:sz w:val="24"/>
                <w:szCs w:val="24"/>
              </w:rPr>
            </w:pPr>
          </w:p>
        </w:tc>
        <w:tc>
          <w:tcPr>
            <w:tcW w:w="1518" w:type="dxa"/>
            <w:vMerge w:val="continue"/>
            <w:vAlign w:val="center"/>
          </w:tcPr>
          <w:p w14:paraId="4EA813C3">
            <w:pPr>
              <w:jc w:val="center"/>
              <w:rPr>
                <w:rFonts w:ascii="Times New Roman" w:hAnsi="Times New Roman" w:eastAsia="宋体" w:cs="Times New Roman"/>
                <w:kern w:val="0"/>
                <w:sz w:val="24"/>
                <w:szCs w:val="24"/>
              </w:rPr>
            </w:pPr>
          </w:p>
        </w:tc>
        <w:tc>
          <w:tcPr>
            <w:tcW w:w="709" w:type="dxa"/>
            <w:vAlign w:val="center"/>
          </w:tcPr>
          <w:p w14:paraId="7FA36CAC">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5774" w:type="dxa"/>
            <w:vAlign w:val="center"/>
          </w:tcPr>
          <w:p w14:paraId="780BD891">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要求整改的问题未按时完成整改的，每项每延迟一周扣3分，扣完为止；</w:t>
            </w:r>
          </w:p>
        </w:tc>
      </w:tr>
      <w:tr w14:paraId="3C98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vAlign w:val="center"/>
          </w:tcPr>
          <w:p w14:paraId="624B7DFE">
            <w:pPr>
              <w:jc w:val="center"/>
              <w:rPr>
                <w:rFonts w:ascii="Times New Roman" w:hAnsi="Times New Roman" w:eastAsia="宋体" w:cs="Times New Roman"/>
                <w:kern w:val="0"/>
                <w:sz w:val="24"/>
                <w:szCs w:val="24"/>
              </w:rPr>
            </w:pPr>
          </w:p>
        </w:tc>
        <w:tc>
          <w:tcPr>
            <w:tcW w:w="992" w:type="dxa"/>
            <w:vMerge w:val="continue"/>
            <w:vAlign w:val="center"/>
          </w:tcPr>
          <w:p w14:paraId="1C0DC7F2">
            <w:pPr>
              <w:jc w:val="center"/>
              <w:rPr>
                <w:rFonts w:ascii="Times New Roman" w:hAnsi="Times New Roman" w:eastAsia="宋体" w:cs="Times New Roman"/>
                <w:kern w:val="0"/>
                <w:sz w:val="24"/>
                <w:szCs w:val="24"/>
              </w:rPr>
            </w:pPr>
          </w:p>
        </w:tc>
        <w:tc>
          <w:tcPr>
            <w:tcW w:w="1518" w:type="dxa"/>
            <w:vMerge w:val="continue"/>
            <w:vAlign w:val="center"/>
          </w:tcPr>
          <w:p w14:paraId="78F6B8EC">
            <w:pPr>
              <w:jc w:val="center"/>
              <w:rPr>
                <w:rFonts w:ascii="Times New Roman" w:hAnsi="Times New Roman" w:eastAsia="宋体" w:cs="Times New Roman"/>
                <w:kern w:val="0"/>
                <w:sz w:val="24"/>
                <w:szCs w:val="24"/>
              </w:rPr>
            </w:pPr>
          </w:p>
        </w:tc>
        <w:tc>
          <w:tcPr>
            <w:tcW w:w="709" w:type="dxa"/>
            <w:vAlign w:val="center"/>
          </w:tcPr>
          <w:p w14:paraId="29A82410">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5774" w:type="dxa"/>
            <w:vAlign w:val="center"/>
          </w:tcPr>
          <w:p w14:paraId="0DF6041A">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监管结论被甲方发现并查证存在有责质量问题每次扣2分，扣完为止</w:t>
            </w:r>
          </w:p>
        </w:tc>
      </w:tr>
      <w:tr w14:paraId="6B76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9" w:type="dxa"/>
            <w:vMerge w:val="continue"/>
            <w:vAlign w:val="center"/>
          </w:tcPr>
          <w:p w14:paraId="72746102">
            <w:pPr>
              <w:jc w:val="center"/>
              <w:rPr>
                <w:rFonts w:ascii="Times New Roman" w:hAnsi="Times New Roman" w:eastAsia="宋体" w:cs="Times New Roman"/>
                <w:kern w:val="0"/>
                <w:sz w:val="24"/>
                <w:szCs w:val="24"/>
              </w:rPr>
            </w:pPr>
          </w:p>
        </w:tc>
        <w:tc>
          <w:tcPr>
            <w:tcW w:w="992" w:type="dxa"/>
            <w:vMerge w:val="continue"/>
            <w:vAlign w:val="center"/>
          </w:tcPr>
          <w:p w14:paraId="5D1F8037">
            <w:pPr>
              <w:jc w:val="center"/>
              <w:rPr>
                <w:rFonts w:ascii="Times New Roman" w:hAnsi="Times New Roman" w:eastAsia="宋体" w:cs="Times New Roman"/>
                <w:kern w:val="0"/>
                <w:sz w:val="24"/>
                <w:szCs w:val="24"/>
              </w:rPr>
            </w:pPr>
          </w:p>
        </w:tc>
        <w:tc>
          <w:tcPr>
            <w:tcW w:w="1518" w:type="dxa"/>
            <w:vAlign w:val="center"/>
          </w:tcPr>
          <w:p w14:paraId="107A342C">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交付时效性</w:t>
            </w:r>
          </w:p>
        </w:tc>
        <w:tc>
          <w:tcPr>
            <w:tcW w:w="709" w:type="dxa"/>
            <w:vAlign w:val="center"/>
          </w:tcPr>
          <w:p w14:paraId="45474806">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5774" w:type="dxa"/>
            <w:vAlign w:val="center"/>
          </w:tcPr>
          <w:p w14:paraId="59F27E45">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监管服务应及时完成交付，每延期1周扣2分扣完为止；</w:t>
            </w:r>
          </w:p>
        </w:tc>
      </w:tr>
      <w:tr w14:paraId="7CF0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vAlign w:val="center"/>
          </w:tcPr>
          <w:p w14:paraId="73C72A42">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服务满意度</w:t>
            </w:r>
          </w:p>
        </w:tc>
        <w:tc>
          <w:tcPr>
            <w:tcW w:w="992" w:type="dxa"/>
            <w:vMerge w:val="restart"/>
            <w:vAlign w:val="center"/>
          </w:tcPr>
          <w:p w14:paraId="05B74198">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1518" w:type="dxa"/>
            <w:vAlign w:val="center"/>
          </w:tcPr>
          <w:p w14:paraId="23905E1A">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服务满意度</w:t>
            </w:r>
          </w:p>
        </w:tc>
        <w:tc>
          <w:tcPr>
            <w:tcW w:w="709" w:type="dxa"/>
            <w:vAlign w:val="center"/>
          </w:tcPr>
          <w:p w14:paraId="27DA6D69">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5774" w:type="dxa"/>
            <w:vAlign w:val="center"/>
          </w:tcPr>
          <w:p w14:paraId="32CDED34">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按照服务满意度评价结果对此项评分；并按以下方式扣分，扣完为止:</w:t>
            </w:r>
          </w:p>
          <w:p w14:paraId="7271DE2C">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①满意度&lt;60 分的，扣 10 分；②满意度≥60、&lt;80 分的，扣 5分；③满意度≥80 分的，不扣分。</w:t>
            </w:r>
          </w:p>
        </w:tc>
      </w:tr>
      <w:tr w14:paraId="3145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vAlign w:val="center"/>
          </w:tcPr>
          <w:p w14:paraId="77D9CEC5">
            <w:pPr>
              <w:jc w:val="center"/>
              <w:rPr>
                <w:rFonts w:ascii="Times New Roman" w:hAnsi="Times New Roman" w:eastAsia="宋体" w:cs="Times New Roman"/>
                <w:kern w:val="0"/>
                <w:sz w:val="24"/>
                <w:szCs w:val="24"/>
              </w:rPr>
            </w:pPr>
          </w:p>
        </w:tc>
        <w:tc>
          <w:tcPr>
            <w:tcW w:w="992" w:type="dxa"/>
            <w:vMerge w:val="continue"/>
            <w:vAlign w:val="center"/>
          </w:tcPr>
          <w:p w14:paraId="42120FDD">
            <w:pPr>
              <w:jc w:val="center"/>
              <w:rPr>
                <w:rFonts w:ascii="Times New Roman" w:hAnsi="Times New Roman" w:eastAsia="宋体" w:cs="Times New Roman"/>
                <w:kern w:val="0"/>
                <w:sz w:val="24"/>
                <w:szCs w:val="24"/>
              </w:rPr>
            </w:pPr>
          </w:p>
        </w:tc>
        <w:tc>
          <w:tcPr>
            <w:tcW w:w="1518" w:type="dxa"/>
            <w:vAlign w:val="center"/>
          </w:tcPr>
          <w:p w14:paraId="38FBB89E">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有责投诉</w:t>
            </w:r>
          </w:p>
        </w:tc>
        <w:tc>
          <w:tcPr>
            <w:tcW w:w="709" w:type="dxa"/>
            <w:vAlign w:val="center"/>
          </w:tcPr>
          <w:p w14:paraId="1AE1B6C9">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5774" w:type="dxa"/>
            <w:vAlign w:val="center"/>
          </w:tcPr>
          <w:p w14:paraId="20CF0662">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在监管服务周期内未受到投诉或通报的，不扣分；每出现一次被甲方投诉的扣2分，扣完为止:</w:t>
            </w:r>
          </w:p>
        </w:tc>
      </w:tr>
      <w:tr w14:paraId="6021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14:paraId="7711FD1A">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其他加分扣分项</w:t>
            </w:r>
          </w:p>
        </w:tc>
        <w:tc>
          <w:tcPr>
            <w:tcW w:w="992" w:type="dxa"/>
            <w:vAlign w:val="center"/>
          </w:tcPr>
          <w:p w14:paraId="7EFC8BD5">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N/A</w:t>
            </w:r>
          </w:p>
        </w:tc>
        <w:tc>
          <w:tcPr>
            <w:tcW w:w="1518" w:type="dxa"/>
            <w:vAlign w:val="center"/>
          </w:tcPr>
          <w:p w14:paraId="76577FC8">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高水平规划方案或者合理化建议</w:t>
            </w:r>
          </w:p>
        </w:tc>
        <w:tc>
          <w:tcPr>
            <w:tcW w:w="709" w:type="dxa"/>
            <w:vAlign w:val="center"/>
          </w:tcPr>
          <w:p w14:paraId="736819E9">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N/A</w:t>
            </w:r>
          </w:p>
        </w:tc>
        <w:tc>
          <w:tcPr>
            <w:tcW w:w="5774" w:type="dxa"/>
            <w:vAlign w:val="center"/>
          </w:tcPr>
          <w:p w14:paraId="10498178">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乙方每提供一个高水平监管方案或者合理化建议，经甲方认可，可奖励 5-10分，单月奖励不超过 10 分。</w:t>
            </w:r>
          </w:p>
        </w:tc>
      </w:tr>
      <w:tr w14:paraId="1271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2" w:type="dxa"/>
            <w:gridSpan w:val="5"/>
            <w:vAlign w:val="center"/>
          </w:tcPr>
          <w:p w14:paraId="3580BBB2">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合计(含加分、扣分的总分最高为100分)</w:t>
            </w:r>
          </w:p>
        </w:tc>
      </w:tr>
    </w:tbl>
    <w:p w14:paraId="22A2844B">
      <w:pPr>
        <w:rPr>
          <w:rFonts w:ascii="Times New Roman" w:hAnsi="Times New Roman" w:cs="Times New Roman"/>
        </w:rPr>
      </w:pPr>
    </w:p>
    <w:p w14:paraId="5B99B6DD">
      <w:pPr>
        <w:ind w:firstLine="640" w:firstLineChars="200"/>
        <w:rPr>
          <w:rFonts w:ascii="Times New Roman" w:hAnsi="Times New Roman" w:eastAsia="黑体" w:cs="Times New Roman"/>
          <w:sz w:val="32"/>
          <w:szCs w:val="32"/>
        </w:rPr>
      </w:pPr>
      <w:bookmarkStart w:id="7" w:name="_Toc69194684"/>
      <w:r>
        <w:rPr>
          <w:rFonts w:ascii="Times New Roman" w:hAnsi="Times New Roman" w:eastAsia="黑体" w:cs="Times New Roman"/>
          <w:sz w:val="32"/>
          <w:szCs w:val="32"/>
        </w:rPr>
        <w:t>六、项目过程管理</w:t>
      </w:r>
    </w:p>
    <w:p w14:paraId="6A55035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方监管服务单位应配合“一网通办”运营服务项目进行过程管理，每月运营服务结束后20个工作日内应按照采购方要求以书面形式提交上一月度的运营项目工作月报及第三方监理月报。未按时提交以上材料的，将扣除服务费当月费用的3%。</w:t>
      </w:r>
    </w:p>
    <w:p w14:paraId="388C1167">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七、项目验收</w:t>
      </w:r>
      <w:bookmarkEnd w:id="7"/>
      <w:r>
        <w:rPr>
          <w:rFonts w:ascii="Times New Roman" w:hAnsi="Times New Roman" w:eastAsia="黑体" w:cs="Times New Roman"/>
          <w:sz w:val="32"/>
          <w:szCs w:val="32"/>
        </w:rPr>
        <w:t>要求</w:t>
      </w:r>
    </w:p>
    <w:p w14:paraId="0F7B358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服务期限终止后20个工作日内，服务提供方应当按照采购方要求以书面形式提交本服务周期的运营项目验收材料、运营监理总结报告、产出量评估报告与绩效评价报告。如未按时提交以上材料的，将扣除服务费的3%。采购人在收到服务提供方提交的监理总结报告、产出量评估报告与绩效评价报告后30个工作日内，对服务提供方的工作进行验收。如属于服务提供方原因致使运营服务未能通过验收的，服务提供方应当在30个工作日内进行整改，并自行承担相关整改费用，再次接受采购人的验收，直至符合约定要求。</w:t>
      </w:r>
    </w:p>
    <w:p w14:paraId="6D8ADE25">
      <w:pPr>
        <w:ind w:firstLine="640" w:firstLineChars="200"/>
        <w:rPr>
          <w:rFonts w:ascii="Times New Roman" w:hAnsi="Times New Roman" w:eastAsia="黑体" w:cs="Times New Roman"/>
          <w:sz w:val="32"/>
          <w:szCs w:val="32"/>
        </w:rPr>
      </w:pPr>
      <w:bookmarkStart w:id="8" w:name="_Toc69194685"/>
      <w:r>
        <w:rPr>
          <w:rFonts w:ascii="Times New Roman" w:hAnsi="Times New Roman" w:eastAsia="黑体" w:cs="Times New Roman"/>
          <w:sz w:val="32"/>
          <w:szCs w:val="32"/>
        </w:rPr>
        <w:t>八、服务团队和人员</w:t>
      </w:r>
      <w:bookmarkEnd w:id="8"/>
      <w:r>
        <w:rPr>
          <w:rFonts w:ascii="Times New Roman" w:hAnsi="Times New Roman" w:eastAsia="黑体" w:cs="Times New Roman"/>
          <w:sz w:val="32"/>
          <w:szCs w:val="32"/>
        </w:rPr>
        <w:t>要求</w:t>
      </w:r>
    </w:p>
    <w:p w14:paraId="013976C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供应商应选派在项目服务方面富有经验的团队人员负责本项目的监理及绩效服务，项目团队应根据工作需求配置对应的服务人员（供应商联合投标的，则服务团队的人数总和与其中任一方的人员资质满足要求即可），具体人员要求如下表所示：</w:t>
      </w:r>
    </w:p>
    <w:tbl>
      <w:tblPr>
        <w:tblStyle w:val="10"/>
        <w:tblW w:w="11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560"/>
        <w:gridCol w:w="2410"/>
        <w:gridCol w:w="1227"/>
        <w:gridCol w:w="3969"/>
        <w:gridCol w:w="1276"/>
      </w:tblGrid>
      <w:tr w14:paraId="22F8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3" w:type="dxa"/>
            <w:shd w:val="clear" w:color="auto" w:fill="BEBEBE" w:themeFill="background1" w:themeFillShade="BF"/>
            <w:vAlign w:val="center"/>
          </w:tcPr>
          <w:p w14:paraId="71823A35">
            <w:pPr>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序号</w:t>
            </w:r>
          </w:p>
        </w:tc>
        <w:tc>
          <w:tcPr>
            <w:tcW w:w="1560" w:type="dxa"/>
            <w:shd w:val="clear" w:color="auto" w:fill="BEBEBE" w:themeFill="background1" w:themeFillShade="BF"/>
            <w:vAlign w:val="center"/>
          </w:tcPr>
          <w:p w14:paraId="733FD9F0">
            <w:pPr>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工作岗位</w:t>
            </w:r>
          </w:p>
        </w:tc>
        <w:tc>
          <w:tcPr>
            <w:tcW w:w="2410" w:type="dxa"/>
            <w:shd w:val="clear" w:color="auto" w:fill="BEBEBE" w:themeFill="background1" w:themeFillShade="BF"/>
            <w:vAlign w:val="center"/>
          </w:tcPr>
          <w:p w14:paraId="13A22154">
            <w:pPr>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主要职责</w:t>
            </w:r>
          </w:p>
        </w:tc>
        <w:tc>
          <w:tcPr>
            <w:tcW w:w="1227" w:type="dxa"/>
            <w:shd w:val="clear" w:color="auto" w:fill="BEBEBE" w:themeFill="background1" w:themeFillShade="BF"/>
            <w:vAlign w:val="center"/>
          </w:tcPr>
          <w:p w14:paraId="5496E33E">
            <w:pPr>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人数</w:t>
            </w:r>
          </w:p>
        </w:tc>
        <w:tc>
          <w:tcPr>
            <w:tcW w:w="3969" w:type="dxa"/>
            <w:shd w:val="clear" w:color="auto" w:fill="BEBEBE" w:themeFill="background1" w:themeFillShade="BF"/>
            <w:vAlign w:val="center"/>
          </w:tcPr>
          <w:p w14:paraId="4E7FF5BD">
            <w:pPr>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人员要求</w:t>
            </w:r>
          </w:p>
        </w:tc>
        <w:tc>
          <w:tcPr>
            <w:tcW w:w="1276" w:type="dxa"/>
            <w:shd w:val="clear" w:color="auto" w:fill="BEBEBE" w:themeFill="background1" w:themeFillShade="BF"/>
            <w:vAlign w:val="center"/>
          </w:tcPr>
          <w:p w14:paraId="7DA573A3">
            <w:pPr>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驻场要求</w:t>
            </w:r>
          </w:p>
        </w:tc>
      </w:tr>
      <w:tr w14:paraId="1CFE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13" w:type="dxa"/>
            <w:vAlign w:val="center"/>
          </w:tcPr>
          <w:p w14:paraId="5669672D">
            <w:pPr>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1560" w:type="dxa"/>
            <w:vAlign w:val="center"/>
          </w:tcPr>
          <w:p w14:paraId="78BB1C8F">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总监理工程师</w:t>
            </w:r>
          </w:p>
        </w:tc>
        <w:tc>
          <w:tcPr>
            <w:tcW w:w="2410" w:type="dxa"/>
            <w:vAlign w:val="center"/>
          </w:tcPr>
          <w:p w14:paraId="1840D828">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具有较强的组织能力和综合协调能力，能够根据“一网通办”运营服务项目的实际进展状况及时地分析并预见影响运营服务质量、安全、进度的隐患，并提出切实可行的解决方案和办法</w:t>
            </w:r>
          </w:p>
        </w:tc>
        <w:tc>
          <w:tcPr>
            <w:tcW w:w="1227" w:type="dxa"/>
            <w:vAlign w:val="center"/>
          </w:tcPr>
          <w:p w14:paraId="107FD1F9">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1人</w:t>
            </w:r>
          </w:p>
        </w:tc>
        <w:tc>
          <w:tcPr>
            <w:tcW w:w="3969" w:type="dxa"/>
            <w:vAlign w:val="center"/>
          </w:tcPr>
          <w:p w14:paraId="6FAF510D">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必须为供应商本单位的工作人员，具有10年以上信息系统监理从业经验,持有《信息系统监理师》证书，年龄不得超过60周岁。具有类似信息化监理项目总监理工程师经验，具有人力资源和社会保障部门或人事局颁发的计算机相关高级工程师职称证书优先考虑。</w:t>
            </w:r>
          </w:p>
        </w:tc>
        <w:tc>
          <w:tcPr>
            <w:tcW w:w="1276" w:type="dxa"/>
            <w:vAlign w:val="center"/>
          </w:tcPr>
          <w:p w14:paraId="27350A75">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不驻场</w:t>
            </w:r>
          </w:p>
        </w:tc>
      </w:tr>
      <w:tr w14:paraId="4742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13" w:type="dxa"/>
            <w:vAlign w:val="center"/>
          </w:tcPr>
          <w:p w14:paraId="57BA5923">
            <w:pPr>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p>
        </w:tc>
        <w:tc>
          <w:tcPr>
            <w:tcW w:w="1560" w:type="dxa"/>
            <w:vAlign w:val="center"/>
          </w:tcPr>
          <w:p w14:paraId="7CBE7167">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监理工程师</w:t>
            </w:r>
          </w:p>
        </w:tc>
        <w:tc>
          <w:tcPr>
            <w:tcW w:w="2410" w:type="dxa"/>
            <w:vAlign w:val="center"/>
          </w:tcPr>
          <w:p w14:paraId="51BBBD01">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专业应满足本项目工作需要，关键部位及工序应保证旁站跟踪监理。</w:t>
            </w:r>
          </w:p>
        </w:tc>
        <w:tc>
          <w:tcPr>
            <w:tcW w:w="1227" w:type="dxa"/>
            <w:vAlign w:val="center"/>
          </w:tcPr>
          <w:p w14:paraId="77F27D72">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不少于7人（不包括总监理工程师）</w:t>
            </w:r>
          </w:p>
        </w:tc>
        <w:tc>
          <w:tcPr>
            <w:tcW w:w="3969" w:type="dxa"/>
            <w:vAlign w:val="center"/>
          </w:tcPr>
          <w:p w14:paraId="1BE24183">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全部必须是供应商的在职人员；</w:t>
            </w:r>
          </w:p>
          <w:p w14:paraId="1C7FAC7E">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应该具有相关专业学历、专业证书和职称证书，并参与过同类项目。</w:t>
            </w:r>
          </w:p>
          <w:p w14:paraId="62F3ADB9">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监理团队全员均具有《信息系统监理师》的优先考虑；</w:t>
            </w:r>
          </w:p>
          <w:p w14:paraId="21B52542">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团队成员有职业资格证书，包括人力资源和社会保障部门或人事局颁发的计算机相关的高级工程师职称证书、软件评测师、信息安全保障人员认证（CISAW）相关证书者(须同时具备《信息系统监理师》)优先考虑。</w:t>
            </w:r>
          </w:p>
        </w:tc>
        <w:tc>
          <w:tcPr>
            <w:tcW w:w="1276" w:type="dxa"/>
            <w:vAlign w:val="center"/>
          </w:tcPr>
          <w:p w14:paraId="4F744CDB">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不驻场</w:t>
            </w:r>
          </w:p>
        </w:tc>
      </w:tr>
      <w:tr w14:paraId="07E9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13" w:type="dxa"/>
            <w:vAlign w:val="center"/>
          </w:tcPr>
          <w:p w14:paraId="4BCB5D9D">
            <w:pPr>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w:t>
            </w:r>
          </w:p>
        </w:tc>
        <w:tc>
          <w:tcPr>
            <w:tcW w:w="1560" w:type="dxa"/>
            <w:vAlign w:val="center"/>
          </w:tcPr>
          <w:p w14:paraId="7CA665E9">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绩效人员</w:t>
            </w:r>
          </w:p>
        </w:tc>
        <w:tc>
          <w:tcPr>
            <w:tcW w:w="2410" w:type="dxa"/>
            <w:vAlign w:val="center"/>
          </w:tcPr>
          <w:p w14:paraId="628185EF">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负责产出量评估和绩效评估相关工作。</w:t>
            </w:r>
          </w:p>
        </w:tc>
        <w:tc>
          <w:tcPr>
            <w:tcW w:w="1227" w:type="dxa"/>
            <w:vAlign w:val="center"/>
          </w:tcPr>
          <w:p w14:paraId="3EFA1A97">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不少于5人</w:t>
            </w:r>
          </w:p>
        </w:tc>
        <w:tc>
          <w:tcPr>
            <w:tcW w:w="3969" w:type="dxa"/>
            <w:vAlign w:val="center"/>
          </w:tcPr>
          <w:p w14:paraId="25C8EB3F">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全部必须是供应商的在职人员；本科以上学历，至少3人具备3年或3年及以上基于服务目录计价的运营类项目产出量评估工作经验；至少有2人具备3年或3年以上绩效评价工作经验，主持过运营类信息化项目的绩效评价工作。</w:t>
            </w:r>
          </w:p>
        </w:tc>
        <w:tc>
          <w:tcPr>
            <w:tcW w:w="1276" w:type="dxa"/>
            <w:vAlign w:val="center"/>
          </w:tcPr>
          <w:p w14:paraId="098986B4">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不驻场</w:t>
            </w:r>
          </w:p>
        </w:tc>
      </w:tr>
    </w:tbl>
    <w:p w14:paraId="573C991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对供应商的资质要求如下：</w:t>
      </w:r>
    </w:p>
    <w:p w14:paraId="6F8F13F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供应商具备ISO9001质量管理体系认证证书、中国合格评定国家认可委员会实验室认可证书（CNAS软件检测领域）、信息安全服务资质认证证书（CCRC）的优先考虑。</w:t>
      </w:r>
    </w:p>
    <w:p w14:paraId="0382DFE9">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对供应商</w:t>
      </w:r>
      <w:r>
        <w:rPr>
          <w:rFonts w:ascii="Times New Roman" w:hAnsi="Times New Roman" w:eastAsia="仿宋_GB2312" w:cs="Times New Roman"/>
          <w:sz w:val="32"/>
          <w:szCs w:val="32"/>
        </w:rPr>
        <w:t>服务响应的要求如下：</w:t>
      </w:r>
    </w:p>
    <w:p w14:paraId="38290A7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在开展第三方监管服务工作中，供应商应对项目采购人提出的相关工作要求应做到及时响应和及时回复，必要时，需按照采购人的具体需求到工作现场予以响应（针对重要问题需供应商在</w:t>
      </w:r>
      <w:r>
        <w:rPr>
          <w:rFonts w:hint="eastAsia" w:ascii="Times New Roman" w:hAnsi="Times New Roman" w:eastAsia="仿宋_GB2312" w:cs="Times New Roman"/>
          <w:sz w:val="32"/>
          <w:szCs w:val="32"/>
        </w:rPr>
        <w:t>半小时内到达现场处理，一般问题需供应商在1小时内到达现场处理</w:t>
      </w:r>
      <w:r>
        <w:rPr>
          <w:rFonts w:ascii="Times New Roman" w:hAnsi="Times New Roman" w:eastAsia="仿宋_GB2312" w:cs="Times New Roman"/>
          <w:sz w:val="32"/>
          <w:szCs w:val="32"/>
        </w:rPr>
        <w:t>），提高问题解决处理效率。同时，供应商应在投标文件中向项目采购单位作出无推诿的服务响应承诺，并明确相应的保障措施。</w:t>
      </w:r>
    </w:p>
    <w:p w14:paraId="145942E2">
      <w:pPr>
        <w:ind w:firstLine="640" w:firstLineChars="200"/>
        <w:outlineLvl w:val="0"/>
        <w:rPr>
          <w:rFonts w:ascii="Times New Roman" w:hAnsi="Times New Roman" w:eastAsia="黑体" w:cs="Times New Roman"/>
          <w:sz w:val="32"/>
          <w:szCs w:val="32"/>
        </w:rPr>
      </w:pPr>
      <w:bookmarkStart w:id="9" w:name="_Toc69194686"/>
      <w:r>
        <w:rPr>
          <w:rFonts w:ascii="Times New Roman" w:hAnsi="Times New Roman" w:eastAsia="黑体" w:cs="Times New Roman"/>
          <w:sz w:val="32"/>
          <w:szCs w:val="32"/>
        </w:rPr>
        <w:t>九、服务提供方资质</w:t>
      </w:r>
      <w:bookmarkEnd w:id="9"/>
      <w:r>
        <w:rPr>
          <w:rFonts w:ascii="Times New Roman" w:hAnsi="Times New Roman" w:eastAsia="黑体" w:cs="Times New Roman"/>
          <w:sz w:val="32"/>
          <w:szCs w:val="32"/>
        </w:rPr>
        <w:t>要求</w:t>
      </w:r>
    </w:p>
    <w:p w14:paraId="7710E8A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满足《中华人民共和国政府采购法》第二十二条规定；</w:t>
      </w:r>
    </w:p>
    <w:p w14:paraId="1B78FE7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根据《上海市政府采购供应商登记及诚信管理办法》已登记入库的服务提供方。</w:t>
      </w:r>
    </w:p>
    <w:p w14:paraId="3733CA9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3.落实政府采购政策需满足的资格要求:根据《政府采购促进中小企业发展办法》等规定，本项目专门面向中小企业采购。中小企业应当按照规定提供《中小企业声明函》。</w:t>
      </w:r>
    </w:p>
    <w:p w14:paraId="47BC0A9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4.本项目的特定资格要求:</w:t>
      </w:r>
    </w:p>
    <w:p w14:paraId="6533F34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未被“信用中国”(www.creditchina.gov.cn)、中国政府采购网(www.ccgp.gov.cn)列入失信被执行人、重大税收违法案件当事人名单、政府采购严重违法失信行为记录名单；</w:t>
      </w:r>
    </w:p>
    <w:p w14:paraId="64F057A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接受联合体响应。联合响应的须符合招标文件规定:提交联合响应协议且格式符合招标文件要求，确定联合响应协议中的甲方作为联合体主办方，联合体成员不得多于2个，联合体各方不得再单独参加或者与其他供应商另外组成联合体参加同一合同项下的政府采购活动。</w:t>
      </w:r>
    </w:p>
    <w:p w14:paraId="67C83FA8">
      <w:pPr>
        <w:ind w:firstLine="640" w:firstLineChars="200"/>
        <w:outlineLvl w:val="0"/>
        <w:rPr>
          <w:rFonts w:ascii="Times New Roman" w:hAnsi="Times New Roman" w:eastAsia="黑体" w:cs="Times New Roman"/>
          <w:sz w:val="32"/>
          <w:szCs w:val="32"/>
        </w:rPr>
      </w:pPr>
      <w:bookmarkStart w:id="10" w:name="_Toc69194690"/>
      <w:r>
        <w:rPr>
          <w:rFonts w:ascii="Times New Roman" w:hAnsi="Times New Roman" w:eastAsia="黑体" w:cs="Times New Roman"/>
          <w:sz w:val="32"/>
          <w:szCs w:val="32"/>
        </w:rPr>
        <w:t>十、项目的变更、解除和终止</w:t>
      </w:r>
    </w:p>
    <w:p w14:paraId="7EBE1E2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服务提供方丧失履约能力、发生资不抵债或进入破产程序，招标单位可在任何时候以书面形式通知服务提供方终止本项目的执行而不给予服务提供方补偿。该终止本项目将不损害或影响招标单位已经采取或将要采取任何行动或补救措施的权利。</w:t>
      </w:r>
    </w:p>
    <w:p w14:paraId="34E89CE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如遇国家、行业管理部门等机构的有关标准和规定调整的，导致本项目内容须做相应调整时，双方应按照公平、合理的原则共同协商修改本项目对应的合同的相关条款。</w:t>
      </w:r>
    </w:p>
    <w:p w14:paraId="5D91E8E9">
      <w:pPr>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十一、保密责任</w:t>
      </w:r>
    </w:p>
    <w:p w14:paraId="580A51B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223F2FC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39BF609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中标人（含中标人参与本项目的人员以及其合作方）未经采购人书面许可，不得以任何形式自行使用或以任何方式向第三方披露、转让、授权、出售与本项目有关的技术成果、计算机软件、源代码、策划文档、技术诀窍、秘密信息、技术资料和其他文件。</w:t>
      </w:r>
    </w:p>
    <w:p w14:paraId="35714B9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4、以上内容的保密期限自中标人知悉保密信息起始至保密信息被合法公开之日止。</w:t>
      </w:r>
    </w:p>
    <w:p w14:paraId="4272CFA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中标人对采购人提供的临时使用账号要保密，不得公开，对组件开发的账号密码需进行加密，避免信息安全的泄露。未经采购人的同意不得利用采购人的网络及平台进行短信、彩信、微信、邮件等发送，造成的一切后果由中标人负责。</w:t>
      </w:r>
    </w:p>
    <w:p w14:paraId="4700FDE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服务过程中标人如出现失、窃密事情，参照网络和数据安全事件处罚措施同等处置，具体处罚措施由中心保密管理部门确定。 </w:t>
      </w:r>
    </w:p>
    <w:p w14:paraId="1CCF3493">
      <w:pPr>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十二、付款方式</w:t>
      </w:r>
    </w:p>
    <w:p w14:paraId="2E811707">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（一）如果中标金额大于等于 200 万元，采用以下分期付款方式：</w:t>
      </w:r>
    </w:p>
    <w:p w14:paraId="2B017A46">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1）第一笔：合同签订生效后且采购人收到有效发票后10 个工作日内，支付第一笔合同款 200 万元；</w:t>
      </w:r>
    </w:p>
    <w:p w14:paraId="57169BAF">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2）第二笔：项目最终绩效考评通过且采购人收到监理总结报告和有效发票后 10 个工作日内，支付合同尾款（即合同价款与第一笔已付款的差额）。</w:t>
      </w:r>
    </w:p>
    <w:p w14:paraId="1A11E3AC">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付款条件备注：供应商应当在采购人每次付款前提前至少10个工作日向采购人提供有效发票。</w:t>
      </w:r>
    </w:p>
    <w:p w14:paraId="3E750353">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（二）如果中标金额低于 200 万元，在合同签订生效后且采购人收到有效发票后 10 个工作日内，一次性支付合同价款。</w:t>
      </w:r>
    </w:p>
    <w:p w14:paraId="015EFB1E">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（三）此外，按照采购人要求，原则上，每月 20 日前应书面提交上月的主体运营项目工作月报及第三方监理工作月报，阶段性验收工作开展时按照采购人要求及时书面提交上一阶段的相关项目过程材料（包括阶段性监理报告、产出量报告与绩效评价跟踪报告等），服务期满后按照采购人要求及时书面提交本服务周期内的运营项目验收材料、运营监理总结报告、产出量评估报告与绩效评价报告等相关材料，如未按时提交以上材料将扣除对应时间范围内监理服务费的 3%。</w:t>
      </w:r>
    </w:p>
    <w:p w14:paraId="1F923BAB">
      <w:pPr>
        <w:ind w:firstLine="562"/>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14:paraId="178FF65F">
      <w:pPr>
        <w:ind w:firstLine="562" w:firstLineChars="200"/>
        <w:jc w:val="center"/>
        <w:rPr>
          <w:rFonts w:ascii="Times New Roman" w:hAnsi="Times New Roman" w:eastAsia="仿宋_GB2312" w:cs="Times New Roman"/>
          <w:b/>
          <w:bCs/>
          <w:sz w:val="28"/>
          <w:szCs w:val="28"/>
        </w:rPr>
        <w:sectPr>
          <w:footerReference r:id="rId4" w:type="default"/>
          <w:pgSz w:w="11906" w:h="16838"/>
          <w:pgMar w:top="1440" w:right="1797" w:bottom="1440" w:left="1797" w:header="851" w:footer="992" w:gutter="0"/>
          <w:pgNumType w:start="1"/>
          <w:cols w:space="425" w:num="1"/>
          <w:docGrid w:type="lines" w:linePitch="312" w:charSpace="0"/>
        </w:sectPr>
      </w:pPr>
    </w:p>
    <w:p w14:paraId="474AFED4">
      <w:pPr>
        <w:jc w:val="center"/>
        <w:rPr>
          <w:rFonts w:ascii="Times New Roman" w:hAnsi="Times New Roman" w:eastAsia="方正小标宋_GBK" w:cs="Times New Roman"/>
          <w:sz w:val="36"/>
        </w:rPr>
      </w:pPr>
      <w:r>
        <w:rPr>
          <w:rFonts w:ascii="Times New Roman" w:hAnsi="Times New Roman" w:eastAsia="方正小标宋_GBK" w:cs="Times New Roman"/>
          <w:sz w:val="36"/>
        </w:rPr>
        <w:t>附表一、服务费限价表</w:t>
      </w:r>
    </w:p>
    <w:bookmarkEnd w:id="10"/>
    <w:tbl>
      <w:tblPr>
        <w:tblStyle w:val="9"/>
        <w:tblW w:w="5601" w:type="pct"/>
        <w:jc w:val="center"/>
        <w:tblLayout w:type="autofit"/>
        <w:tblCellMar>
          <w:top w:w="0" w:type="dxa"/>
          <w:left w:w="108" w:type="dxa"/>
          <w:bottom w:w="0" w:type="dxa"/>
          <w:right w:w="108" w:type="dxa"/>
        </w:tblCellMar>
      </w:tblPr>
      <w:tblGrid>
        <w:gridCol w:w="457"/>
        <w:gridCol w:w="658"/>
        <w:gridCol w:w="1772"/>
        <w:gridCol w:w="1106"/>
        <w:gridCol w:w="3099"/>
        <w:gridCol w:w="939"/>
        <w:gridCol w:w="466"/>
        <w:gridCol w:w="1056"/>
      </w:tblGrid>
      <w:tr w14:paraId="7C98EE87">
        <w:tblPrEx>
          <w:tblCellMar>
            <w:top w:w="0" w:type="dxa"/>
            <w:left w:w="108" w:type="dxa"/>
            <w:bottom w:w="0" w:type="dxa"/>
            <w:right w:w="108" w:type="dxa"/>
          </w:tblCellMar>
        </w:tblPrEx>
        <w:trPr>
          <w:trHeight w:val="576" w:hRule="atLeast"/>
          <w:jc w:val="center"/>
        </w:trPr>
        <w:tc>
          <w:tcPr>
            <w:tcW w:w="22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1FD260">
            <w:pPr>
              <w:jc w:val="center"/>
              <w:rPr>
                <w:rFonts w:ascii="Times New Roman" w:hAnsi="Times New Roman" w:cs="Times New Roman"/>
                <w:b/>
                <w:sz w:val="24"/>
                <w:szCs w:val="24"/>
              </w:rPr>
            </w:pPr>
            <w:r>
              <w:rPr>
                <w:rFonts w:ascii="Times New Roman" w:hAnsi="Times New Roman" w:cs="Times New Roman"/>
                <w:b/>
                <w:sz w:val="24"/>
                <w:szCs w:val="24"/>
              </w:rPr>
              <w:t>序号</w:t>
            </w:r>
          </w:p>
        </w:tc>
        <w:tc>
          <w:tcPr>
            <w:tcW w:w="41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B4805D">
            <w:pPr>
              <w:jc w:val="center"/>
              <w:rPr>
                <w:rFonts w:ascii="Times New Roman" w:hAnsi="Times New Roman" w:cs="Times New Roman"/>
                <w:b/>
                <w:sz w:val="24"/>
                <w:szCs w:val="24"/>
              </w:rPr>
            </w:pPr>
            <w:r>
              <w:rPr>
                <w:rFonts w:ascii="Times New Roman" w:hAnsi="Times New Roman" w:cs="Times New Roman"/>
                <w:b/>
                <w:sz w:val="24"/>
                <w:szCs w:val="24"/>
              </w:rPr>
              <w:t>监管服务项</w:t>
            </w:r>
          </w:p>
        </w:tc>
        <w:tc>
          <w:tcPr>
            <w:tcW w:w="99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D0A44B">
            <w:pPr>
              <w:jc w:val="center"/>
              <w:rPr>
                <w:rFonts w:ascii="Times New Roman" w:hAnsi="Times New Roman" w:cs="Times New Roman"/>
                <w:b/>
                <w:sz w:val="24"/>
                <w:szCs w:val="24"/>
              </w:rPr>
            </w:pPr>
            <w:r>
              <w:rPr>
                <w:rFonts w:ascii="Times New Roman" w:hAnsi="Times New Roman" w:cs="Times New Roman"/>
                <w:b/>
                <w:sz w:val="24"/>
                <w:szCs w:val="24"/>
              </w:rPr>
              <w:t>工作内容</w:t>
            </w:r>
          </w:p>
        </w:tc>
        <w:tc>
          <w:tcPr>
            <w:tcW w:w="64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2C2523">
            <w:pPr>
              <w:jc w:val="center"/>
              <w:rPr>
                <w:rFonts w:ascii="Times New Roman" w:hAnsi="Times New Roman" w:cs="Times New Roman"/>
                <w:b/>
                <w:sz w:val="24"/>
                <w:szCs w:val="24"/>
              </w:rPr>
            </w:pPr>
            <w:r>
              <w:rPr>
                <w:rFonts w:ascii="Times New Roman" w:hAnsi="Times New Roman" w:cs="Times New Roman"/>
                <w:b/>
                <w:sz w:val="24"/>
                <w:szCs w:val="24"/>
              </w:rPr>
              <w:t>产出物</w:t>
            </w:r>
          </w:p>
        </w:tc>
        <w:tc>
          <w:tcPr>
            <w:tcW w:w="169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089ED5">
            <w:pPr>
              <w:jc w:val="center"/>
              <w:rPr>
                <w:rFonts w:ascii="Times New Roman" w:hAnsi="Times New Roman" w:cs="Times New Roman"/>
                <w:b/>
                <w:sz w:val="24"/>
                <w:szCs w:val="24"/>
              </w:rPr>
            </w:pPr>
            <w:r>
              <w:rPr>
                <w:rFonts w:ascii="Times New Roman" w:hAnsi="Times New Roman" w:cs="Times New Roman"/>
                <w:b/>
                <w:sz w:val="24"/>
                <w:szCs w:val="24"/>
              </w:rPr>
              <w:t>产出物明细</w:t>
            </w:r>
          </w:p>
        </w:tc>
        <w:tc>
          <w:tcPr>
            <w:tcW w:w="35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8C9D22">
            <w:pPr>
              <w:jc w:val="center"/>
              <w:rPr>
                <w:rFonts w:ascii="Times New Roman" w:hAnsi="Times New Roman" w:cs="Times New Roman"/>
                <w:b/>
                <w:sz w:val="24"/>
                <w:szCs w:val="24"/>
              </w:rPr>
            </w:pPr>
            <w:r>
              <w:rPr>
                <w:rFonts w:ascii="Times New Roman" w:hAnsi="Times New Roman" w:cs="Times New Roman"/>
                <w:b/>
                <w:sz w:val="24"/>
                <w:szCs w:val="24"/>
              </w:rPr>
              <w:t>最高限价（元）</w:t>
            </w:r>
          </w:p>
        </w:tc>
        <w:tc>
          <w:tcPr>
            <w:tcW w:w="31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61839B">
            <w:pPr>
              <w:jc w:val="center"/>
              <w:rPr>
                <w:rFonts w:ascii="Times New Roman" w:hAnsi="Times New Roman" w:cs="Times New Roman"/>
                <w:b/>
                <w:sz w:val="24"/>
                <w:szCs w:val="24"/>
              </w:rPr>
            </w:pPr>
            <w:r>
              <w:rPr>
                <w:rFonts w:ascii="Times New Roman" w:hAnsi="Times New Roman" w:cs="Times New Roman"/>
                <w:b/>
                <w:sz w:val="24"/>
                <w:szCs w:val="24"/>
              </w:rPr>
              <w:t>预估量</w:t>
            </w:r>
          </w:p>
        </w:tc>
        <w:tc>
          <w:tcPr>
            <w:tcW w:w="35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506A74">
            <w:pPr>
              <w:jc w:val="center"/>
              <w:rPr>
                <w:rFonts w:ascii="Times New Roman" w:hAnsi="Times New Roman" w:cs="Times New Roman"/>
                <w:b/>
                <w:sz w:val="24"/>
                <w:szCs w:val="24"/>
              </w:rPr>
            </w:pPr>
            <w:r>
              <w:rPr>
                <w:rFonts w:ascii="Times New Roman" w:hAnsi="Times New Roman" w:cs="Times New Roman"/>
                <w:b/>
                <w:sz w:val="24"/>
                <w:szCs w:val="24"/>
              </w:rPr>
              <w:t>小计（元）</w:t>
            </w:r>
          </w:p>
        </w:tc>
      </w:tr>
      <w:tr w14:paraId="64784546">
        <w:tblPrEx>
          <w:tblCellMar>
            <w:top w:w="0" w:type="dxa"/>
            <w:left w:w="108" w:type="dxa"/>
            <w:bottom w:w="0" w:type="dxa"/>
            <w:right w:w="108" w:type="dxa"/>
          </w:tblCellMar>
        </w:tblPrEx>
        <w:trPr>
          <w:trHeight w:val="1328"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774C57A0">
            <w:pPr>
              <w:jc w:val="center"/>
              <w:rPr>
                <w:rFonts w:ascii="Times New Roman" w:hAnsi="Times New Roman" w:cs="Times New Roman"/>
                <w:sz w:val="24"/>
                <w:szCs w:val="24"/>
              </w:rPr>
            </w:pPr>
            <w:r>
              <w:rPr>
                <w:rFonts w:ascii="Times New Roman" w:hAnsi="Times New Roman" w:cs="Times New Roman"/>
                <w:sz w:val="24"/>
                <w:szCs w:val="24"/>
              </w:rPr>
              <w:t>1</w:t>
            </w:r>
          </w:p>
        </w:tc>
        <w:tc>
          <w:tcPr>
            <w:tcW w:w="414" w:type="pct"/>
            <w:vMerge w:val="restart"/>
            <w:tcBorders>
              <w:top w:val="single" w:color="000000" w:sz="4" w:space="0"/>
              <w:left w:val="single" w:color="000000" w:sz="4" w:space="0"/>
              <w:right w:val="single" w:color="000000" w:sz="4" w:space="0"/>
            </w:tcBorders>
            <w:vAlign w:val="center"/>
          </w:tcPr>
          <w:p w14:paraId="341E7BCD">
            <w:pPr>
              <w:jc w:val="center"/>
              <w:rPr>
                <w:rFonts w:ascii="Times New Roman" w:hAnsi="Times New Roman" w:cs="Times New Roman"/>
                <w:sz w:val="24"/>
                <w:szCs w:val="24"/>
              </w:rPr>
            </w:pPr>
            <w:r>
              <w:rPr>
                <w:rFonts w:ascii="Times New Roman" w:hAnsi="Times New Roman" w:cs="Times New Roman"/>
                <w:sz w:val="24"/>
                <w:szCs w:val="24"/>
              </w:rPr>
              <w:t>监理服务</w:t>
            </w:r>
          </w:p>
        </w:tc>
        <w:tc>
          <w:tcPr>
            <w:tcW w:w="997" w:type="pct"/>
            <w:vMerge w:val="restart"/>
            <w:tcBorders>
              <w:top w:val="single" w:color="000000" w:sz="4" w:space="0"/>
              <w:left w:val="single" w:color="000000" w:sz="4" w:space="0"/>
              <w:right w:val="single" w:color="000000" w:sz="4" w:space="0"/>
            </w:tcBorders>
            <w:vAlign w:val="center"/>
          </w:tcPr>
          <w:p w14:paraId="333E68CB">
            <w:pPr>
              <w:rPr>
                <w:rFonts w:ascii="Times New Roman" w:hAnsi="Times New Roman" w:cs="Times New Roman"/>
                <w:sz w:val="24"/>
                <w:szCs w:val="24"/>
              </w:rPr>
            </w:pPr>
            <w:r>
              <w:rPr>
                <w:rFonts w:ascii="Times New Roman" w:hAnsi="Times New Roman" w:cs="Times New Roman"/>
                <w:sz w:val="24"/>
                <w:szCs w:val="24"/>
              </w:rPr>
              <w:t>在运营服务全过程的各个阶段遵循相关规范要求，依据合同、招投标文件、相关管理要求和规范，对服务商运营服务的关键性过程和阶段性成果进行审查和评估，检查其是否符合预定的质量要求，强化运营服务质量的事前空制、事中监管和事后评估。合规性审核服务工作贯穿运营服务的日常过程，在服务交付质量评估、项目付款、项目验收等关键性节点根据要求开展重点审核工作，在服务单的发放、交付等环节提出合规性的审核意见，并最终出具相关监理报告。</w:t>
            </w:r>
          </w:p>
        </w:tc>
        <w:tc>
          <w:tcPr>
            <w:tcW w:w="648" w:type="pct"/>
            <w:vMerge w:val="restart"/>
            <w:tcBorders>
              <w:top w:val="single" w:color="000000" w:sz="4" w:space="0"/>
              <w:left w:val="single" w:color="000000" w:sz="4" w:space="0"/>
              <w:right w:val="single" w:color="000000" w:sz="4" w:space="0"/>
            </w:tcBorders>
            <w:vAlign w:val="center"/>
          </w:tcPr>
          <w:p w14:paraId="7BE995D0">
            <w:pPr>
              <w:jc w:val="left"/>
              <w:rPr>
                <w:rFonts w:ascii="Times New Roman" w:hAnsi="Times New Roman" w:cs="Times New Roman"/>
                <w:sz w:val="24"/>
                <w:szCs w:val="24"/>
              </w:rPr>
            </w:pPr>
            <w:r>
              <w:rPr>
                <w:rFonts w:ascii="Times New Roman" w:hAnsi="Times New Roman" w:cs="Times New Roman"/>
                <w:sz w:val="24"/>
                <w:szCs w:val="24"/>
              </w:rPr>
              <w:t>运营服务规范监理意见：1份；运营工作量申报审核清单：预计28个服务目录；监理月报：预计12份；服务单申报监理意见：预计30份；服务单验收监理意见:预计30份；运营阶段性监理报告：预计4份</w:t>
            </w:r>
          </w:p>
        </w:tc>
        <w:tc>
          <w:tcPr>
            <w:tcW w:w="1691" w:type="pct"/>
            <w:tcBorders>
              <w:top w:val="single" w:color="000000" w:sz="4" w:space="0"/>
              <w:left w:val="single" w:color="000000" w:sz="4" w:space="0"/>
              <w:bottom w:val="single" w:color="000000" w:sz="4" w:space="0"/>
              <w:right w:val="single" w:color="000000" w:sz="4" w:space="0"/>
            </w:tcBorders>
            <w:vAlign w:val="center"/>
          </w:tcPr>
          <w:p w14:paraId="1839B732">
            <w:pPr>
              <w:rPr>
                <w:rFonts w:ascii="Times New Roman" w:hAnsi="Times New Roman" w:cs="Times New Roman"/>
                <w:sz w:val="24"/>
                <w:szCs w:val="24"/>
              </w:rPr>
            </w:pPr>
            <w:r>
              <w:rPr>
                <w:rFonts w:ascii="Times New Roman" w:hAnsi="Times New Roman" w:cs="Times New Roman"/>
                <w:sz w:val="24"/>
                <w:szCs w:val="24"/>
              </w:rPr>
              <w:t>运营服务规范监理意见：监理单位与业主单位、服务商明确项目服务范围与工作内容，督促服务商按照合</w:t>
            </w:r>
            <w:bookmarkStart w:id="11" w:name="_GoBack"/>
            <w:bookmarkEnd w:id="11"/>
            <w:r>
              <w:rPr>
                <w:rFonts w:ascii="Times New Roman" w:hAnsi="Times New Roman" w:cs="Times New Roman"/>
                <w:sz w:val="24"/>
                <w:szCs w:val="24"/>
              </w:rPr>
              <w:t>同约定的运营服务内容编制详细的服务目录服务规范，明确服务总体的规范要求，各项服务工作要求、实施流程、计量规则与输出物结果，工作量填报规范、文档质量要求等。</w:t>
            </w:r>
          </w:p>
        </w:tc>
        <w:tc>
          <w:tcPr>
            <w:tcW w:w="358" w:type="pct"/>
            <w:tcBorders>
              <w:top w:val="single" w:color="000000" w:sz="4" w:space="0"/>
              <w:left w:val="single" w:color="000000" w:sz="4" w:space="0"/>
              <w:bottom w:val="single" w:color="000000" w:sz="4" w:space="0"/>
              <w:right w:val="single" w:color="000000" w:sz="4" w:space="0"/>
            </w:tcBorders>
            <w:vAlign w:val="center"/>
          </w:tcPr>
          <w:p w14:paraId="04C65339">
            <w:pPr>
              <w:jc w:val="center"/>
              <w:rPr>
                <w:rFonts w:ascii="Times New Roman" w:hAnsi="Times New Roman" w:cs="Times New Roman"/>
                <w:sz w:val="24"/>
                <w:szCs w:val="24"/>
              </w:rPr>
            </w:pPr>
            <w:r>
              <w:rPr>
                <w:rFonts w:ascii="Times New Roman" w:hAnsi="Times New Roman" w:cs="Times New Roman"/>
                <w:sz w:val="24"/>
                <w:szCs w:val="24"/>
              </w:rPr>
              <w:t>100000</w:t>
            </w:r>
          </w:p>
        </w:tc>
        <w:tc>
          <w:tcPr>
            <w:tcW w:w="313" w:type="pct"/>
            <w:tcBorders>
              <w:top w:val="single" w:color="000000" w:sz="4" w:space="0"/>
              <w:left w:val="single" w:color="000000" w:sz="4" w:space="0"/>
              <w:bottom w:val="single" w:color="000000" w:sz="4" w:space="0"/>
              <w:right w:val="single" w:color="000000" w:sz="4" w:space="0"/>
            </w:tcBorders>
            <w:vAlign w:val="center"/>
          </w:tcPr>
          <w:p w14:paraId="7C8BF7D2">
            <w:pPr>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top w:val="single" w:color="000000" w:sz="4" w:space="0"/>
              <w:left w:val="single" w:color="000000" w:sz="4" w:space="0"/>
              <w:bottom w:val="single" w:color="000000" w:sz="4" w:space="0"/>
              <w:right w:val="single" w:color="000000" w:sz="4" w:space="0"/>
            </w:tcBorders>
            <w:vAlign w:val="center"/>
          </w:tcPr>
          <w:p w14:paraId="2B6AA209">
            <w:pPr>
              <w:jc w:val="center"/>
              <w:rPr>
                <w:rFonts w:ascii="Times New Roman" w:hAnsi="Times New Roman" w:cs="Times New Roman"/>
                <w:sz w:val="24"/>
                <w:szCs w:val="24"/>
              </w:rPr>
            </w:pPr>
            <w:r>
              <w:rPr>
                <w:rFonts w:ascii="Times New Roman" w:hAnsi="Times New Roman" w:cs="Times New Roman"/>
                <w:sz w:val="24"/>
                <w:szCs w:val="24"/>
              </w:rPr>
              <w:t>100000</w:t>
            </w:r>
          </w:p>
        </w:tc>
      </w:tr>
      <w:tr w14:paraId="20570162">
        <w:tblPrEx>
          <w:tblCellMar>
            <w:top w:w="0" w:type="dxa"/>
            <w:left w:w="108" w:type="dxa"/>
            <w:bottom w:w="0" w:type="dxa"/>
            <w:right w:w="108" w:type="dxa"/>
          </w:tblCellMar>
        </w:tblPrEx>
        <w:trPr>
          <w:trHeight w:val="1328"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1FB7DBB6">
            <w:pPr>
              <w:jc w:val="center"/>
              <w:rPr>
                <w:rFonts w:ascii="Times New Roman" w:hAnsi="Times New Roman" w:cs="Times New Roman"/>
                <w:sz w:val="24"/>
                <w:szCs w:val="24"/>
              </w:rPr>
            </w:pPr>
            <w:r>
              <w:rPr>
                <w:rFonts w:ascii="Times New Roman" w:hAnsi="Times New Roman" w:cs="Times New Roman"/>
                <w:sz w:val="24"/>
                <w:szCs w:val="24"/>
              </w:rPr>
              <w:t>2</w:t>
            </w:r>
          </w:p>
        </w:tc>
        <w:tc>
          <w:tcPr>
            <w:tcW w:w="414" w:type="pct"/>
            <w:vMerge w:val="continue"/>
            <w:tcBorders>
              <w:left w:val="single" w:color="000000" w:sz="4" w:space="0"/>
              <w:right w:val="single" w:color="000000" w:sz="4" w:space="0"/>
            </w:tcBorders>
            <w:vAlign w:val="center"/>
          </w:tcPr>
          <w:p w14:paraId="136FD016">
            <w:pPr>
              <w:jc w:val="center"/>
              <w:rPr>
                <w:rFonts w:ascii="Times New Roman" w:hAnsi="Times New Roman" w:cs="Times New Roman"/>
                <w:sz w:val="24"/>
                <w:szCs w:val="24"/>
              </w:rPr>
            </w:pPr>
          </w:p>
        </w:tc>
        <w:tc>
          <w:tcPr>
            <w:tcW w:w="997" w:type="pct"/>
            <w:vMerge w:val="continue"/>
            <w:tcBorders>
              <w:left w:val="single" w:color="000000" w:sz="4" w:space="0"/>
              <w:right w:val="single" w:color="000000" w:sz="4" w:space="0"/>
            </w:tcBorders>
            <w:vAlign w:val="center"/>
          </w:tcPr>
          <w:p w14:paraId="37AF3F55">
            <w:pPr>
              <w:rPr>
                <w:rFonts w:ascii="Times New Roman" w:hAnsi="Times New Roman" w:cs="Times New Roman"/>
                <w:sz w:val="24"/>
                <w:szCs w:val="24"/>
              </w:rPr>
            </w:pPr>
          </w:p>
        </w:tc>
        <w:tc>
          <w:tcPr>
            <w:tcW w:w="648" w:type="pct"/>
            <w:vMerge w:val="continue"/>
            <w:tcBorders>
              <w:left w:val="single" w:color="000000" w:sz="4" w:space="0"/>
              <w:right w:val="single" w:color="000000" w:sz="4" w:space="0"/>
            </w:tcBorders>
            <w:vAlign w:val="center"/>
          </w:tcPr>
          <w:p w14:paraId="6EFD27D8">
            <w:pPr>
              <w:jc w:val="left"/>
              <w:rPr>
                <w:rFonts w:ascii="Times New Roman" w:hAnsi="Times New Roman" w:cs="Times New Roman"/>
                <w:sz w:val="24"/>
                <w:szCs w:val="24"/>
              </w:rPr>
            </w:pPr>
          </w:p>
        </w:tc>
        <w:tc>
          <w:tcPr>
            <w:tcW w:w="1691" w:type="pct"/>
            <w:tcBorders>
              <w:top w:val="single" w:color="000000" w:sz="4" w:space="0"/>
              <w:left w:val="single" w:color="000000" w:sz="4" w:space="0"/>
              <w:bottom w:val="single" w:color="000000" w:sz="4" w:space="0"/>
              <w:right w:val="single" w:color="000000" w:sz="4" w:space="0"/>
            </w:tcBorders>
            <w:vAlign w:val="center"/>
          </w:tcPr>
          <w:p w14:paraId="5D781953">
            <w:pPr>
              <w:rPr>
                <w:rFonts w:ascii="Times New Roman" w:hAnsi="Times New Roman" w:cs="Times New Roman"/>
                <w:sz w:val="24"/>
                <w:szCs w:val="24"/>
              </w:rPr>
            </w:pPr>
            <w:r>
              <w:rPr>
                <w:rFonts w:ascii="Times New Roman" w:hAnsi="Times New Roman" w:cs="Times New Roman"/>
                <w:sz w:val="24"/>
                <w:szCs w:val="24"/>
              </w:rPr>
              <w:t>运营工作量申报审核清单：对“一网通办”运营服务运营服务商申报的工作量清单进行审核，形成业务部门、运营服务商、监理单位三方确认的工作量申报表，预计不少于28个服务目录。</w:t>
            </w:r>
          </w:p>
        </w:tc>
        <w:tc>
          <w:tcPr>
            <w:tcW w:w="358" w:type="pct"/>
            <w:tcBorders>
              <w:top w:val="single" w:color="000000" w:sz="4" w:space="0"/>
              <w:left w:val="single" w:color="000000" w:sz="4" w:space="0"/>
              <w:bottom w:val="single" w:color="000000" w:sz="4" w:space="0"/>
              <w:right w:val="single" w:color="000000" w:sz="4" w:space="0"/>
            </w:tcBorders>
            <w:vAlign w:val="center"/>
          </w:tcPr>
          <w:p w14:paraId="408E9F13">
            <w:pPr>
              <w:jc w:val="center"/>
              <w:rPr>
                <w:rFonts w:ascii="Times New Roman" w:hAnsi="Times New Roman" w:cs="Times New Roman"/>
                <w:sz w:val="24"/>
                <w:szCs w:val="24"/>
              </w:rPr>
            </w:pPr>
            <w:r>
              <w:rPr>
                <w:rFonts w:ascii="Times New Roman" w:hAnsi="Times New Roman" w:cs="Times New Roman"/>
                <w:sz w:val="24"/>
                <w:szCs w:val="24"/>
              </w:rPr>
              <w:t>15000</w:t>
            </w:r>
          </w:p>
        </w:tc>
        <w:tc>
          <w:tcPr>
            <w:tcW w:w="313" w:type="pct"/>
            <w:tcBorders>
              <w:top w:val="single" w:color="000000" w:sz="4" w:space="0"/>
              <w:left w:val="single" w:color="000000" w:sz="4" w:space="0"/>
              <w:bottom w:val="single" w:color="000000" w:sz="4" w:space="0"/>
              <w:right w:val="single" w:color="000000" w:sz="4" w:space="0"/>
            </w:tcBorders>
            <w:vAlign w:val="center"/>
          </w:tcPr>
          <w:p w14:paraId="5DE735FD">
            <w:pPr>
              <w:jc w:val="center"/>
              <w:rPr>
                <w:rFonts w:ascii="Times New Roman" w:hAnsi="Times New Roman" w:cs="Times New Roman"/>
                <w:sz w:val="24"/>
                <w:szCs w:val="24"/>
              </w:rPr>
            </w:pPr>
            <w:r>
              <w:rPr>
                <w:rFonts w:ascii="Times New Roman" w:hAnsi="Times New Roman" w:cs="Times New Roman"/>
                <w:sz w:val="24"/>
                <w:szCs w:val="24"/>
              </w:rPr>
              <w:t>28</w:t>
            </w:r>
          </w:p>
        </w:tc>
        <w:tc>
          <w:tcPr>
            <w:tcW w:w="356" w:type="pct"/>
            <w:tcBorders>
              <w:top w:val="single" w:color="000000" w:sz="4" w:space="0"/>
              <w:left w:val="single" w:color="000000" w:sz="4" w:space="0"/>
              <w:bottom w:val="single" w:color="000000" w:sz="4" w:space="0"/>
              <w:right w:val="single" w:color="000000" w:sz="4" w:space="0"/>
            </w:tcBorders>
            <w:vAlign w:val="center"/>
          </w:tcPr>
          <w:p w14:paraId="190A26AD">
            <w:pPr>
              <w:jc w:val="center"/>
              <w:rPr>
                <w:rFonts w:ascii="Times New Roman" w:hAnsi="Times New Roman" w:cs="Times New Roman"/>
                <w:sz w:val="24"/>
                <w:szCs w:val="24"/>
              </w:rPr>
            </w:pPr>
            <w:r>
              <w:rPr>
                <w:rFonts w:ascii="Times New Roman" w:hAnsi="Times New Roman" w:cs="Times New Roman"/>
                <w:sz w:val="24"/>
                <w:szCs w:val="24"/>
              </w:rPr>
              <w:t>420000</w:t>
            </w:r>
          </w:p>
        </w:tc>
      </w:tr>
      <w:tr w14:paraId="716B63E4">
        <w:tblPrEx>
          <w:tblCellMar>
            <w:top w:w="0" w:type="dxa"/>
            <w:left w:w="108" w:type="dxa"/>
            <w:bottom w:w="0" w:type="dxa"/>
            <w:right w:w="108" w:type="dxa"/>
          </w:tblCellMar>
        </w:tblPrEx>
        <w:trPr>
          <w:trHeight w:val="90"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5C4083B8">
            <w:pPr>
              <w:jc w:val="center"/>
              <w:rPr>
                <w:rFonts w:ascii="Times New Roman" w:hAnsi="Times New Roman" w:cs="Times New Roman"/>
                <w:sz w:val="24"/>
                <w:szCs w:val="24"/>
              </w:rPr>
            </w:pPr>
            <w:r>
              <w:rPr>
                <w:rFonts w:ascii="Times New Roman" w:hAnsi="Times New Roman" w:cs="Times New Roman"/>
                <w:sz w:val="24"/>
                <w:szCs w:val="24"/>
              </w:rPr>
              <w:t>3</w:t>
            </w:r>
          </w:p>
        </w:tc>
        <w:tc>
          <w:tcPr>
            <w:tcW w:w="414" w:type="pct"/>
            <w:vMerge w:val="continue"/>
            <w:tcBorders>
              <w:left w:val="single" w:color="000000" w:sz="4" w:space="0"/>
              <w:right w:val="single" w:color="000000" w:sz="4" w:space="0"/>
            </w:tcBorders>
            <w:vAlign w:val="center"/>
          </w:tcPr>
          <w:p w14:paraId="3AEF34DA">
            <w:pPr>
              <w:jc w:val="center"/>
              <w:rPr>
                <w:rFonts w:ascii="Times New Roman" w:hAnsi="Times New Roman" w:cs="Times New Roman"/>
                <w:sz w:val="24"/>
                <w:szCs w:val="24"/>
              </w:rPr>
            </w:pPr>
          </w:p>
        </w:tc>
        <w:tc>
          <w:tcPr>
            <w:tcW w:w="997" w:type="pct"/>
            <w:vMerge w:val="continue"/>
            <w:tcBorders>
              <w:left w:val="single" w:color="000000" w:sz="4" w:space="0"/>
              <w:right w:val="single" w:color="000000" w:sz="4" w:space="0"/>
            </w:tcBorders>
            <w:vAlign w:val="center"/>
          </w:tcPr>
          <w:p w14:paraId="39B3A8E7">
            <w:pPr>
              <w:rPr>
                <w:rFonts w:ascii="Times New Roman" w:hAnsi="Times New Roman" w:cs="Times New Roman"/>
                <w:sz w:val="24"/>
                <w:szCs w:val="24"/>
              </w:rPr>
            </w:pPr>
          </w:p>
        </w:tc>
        <w:tc>
          <w:tcPr>
            <w:tcW w:w="648" w:type="pct"/>
            <w:vMerge w:val="continue"/>
            <w:tcBorders>
              <w:left w:val="single" w:color="000000" w:sz="4" w:space="0"/>
              <w:right w:val="single" w:color="000000" w:sz="4" w:space="0"/>
            </w:tcBorders>
            <w:vAlign w:val="center"/>
          </w:tcPr>
          <w:p w14:paraId="6D592079">
            <w:pPr>
              <w:jc w:val="left"/>
              <w:rPr>
                <w:rFonts w:ascii="Times New Roman" w:hAnsi="Times New Roman" w:cs="Times New Roman"/>
                <w:sz w:val="24"/>
                <w:szCs w:val="24"/>
              </w:rPr>
            </w:pPr>
          </w:p>
        </w:tc>
        <w:tc>
          <w:tcPr>
            <w:tcW w:w="1691" w:type="pct"/>
            <w:tcBorders>
              <w:top w:val="single" w:color="000000" w:sz="4" w:space="0"/>
              <w:left w:val="single" w:color="000000" w:sz="4" w:space="0"/>
              <w:bottom w:val="single" w:color="000000" w:sz="4" w:space="0"/>
              <w:right w:val="single" w:color="000000" w:sz="4" w:space="0"/>
            </w:tcBorders>
            <w:vAlign w:val="center"/>
          </w:tcPr>
          <w:p w14:paraId="0488534E">
            <w:pPr>
              <w:rPr>
                <w:rFonts w:ascii="Times New Roman" w:hAnsi="Times New Roman" w:cs="Times New Roman"/>
                <w:sz w:val="24"/>
                <w:szCs w:val="24"/>
              </w:rPr>
            </w:pPr>
            <w:r>
              <w:rPr>
                <w:rFonts w:ascii="Times New Roman" w:hAnsi="Times New Roman" w:cs="Times New Roman"/>
                <w:sz w:val="24"/>
                <w:szCs w:val="24"/>
              </w:rPr>
              <w:t>运营服务监理月报：每月进行运营工作量审核、运营项目工作量审核，并于每月20日提交上月的运营项目工作月报与监理月报，针对运营服务商每月发生的“一网通办”运营服务工作内容，形成对应的监理月报。每月各一份，合计12份。</w:t>
            </w:r>
          </w:p>
        </w:tc>
        <w:tc>
          <w:tcPr>
            <w:tcW w:w="358" w:type="pct"/>
            <w:tcBorders>
              <w:top w:val="single" w:color="000000" w:sz="4" w:space="0"/>
              <w:left w:val="single" w:color="000000" w:sz="4" w:space="0"/>
              <w:bottom w:val="single" w:color="000000" w:sz="4" w:space="0"/>
              <w:right w:val="single" w:color="000000" w:sz="4" w:space="0"/>
            </w:tcBorders>
            <w:vAlign w:val="center"/>
          </w:tcPr>
          <w:p w14:paraId="38A78A9A">
            <w:pPr>
              <w:jc w:val="center"/>
              <w:rPr>
                <w:rFonts w:ascii="Times New Roman" w:hAnsi="Times New Roman" w:cs="Times New Roman"/>
                <w:sz w:val="24"/>
                <w:szCs w:val="24"/>
              </w:rPr>
            </w:pPr>
            <w:r>
              <w:rPr>
                <w:rFonts w:ascii="Times New Roman" w:hAnsi="Times New Roman" w:cs="Times New Roman"/>
                <w:sz w:val="24"/>
                <w:szCs w:val="24"/>
              </w:rPr>
              <w:t>10000</w:t>
            </w:r>
          </w:p>
        </w:tc>
        <w:tc>
          <w:tcPr>
            <w:tcW w:w="313" w:type="pct"/>
            <w:tcBorders>
              <w:top w:val="single" w:color="000000" w:sz="4" w:space="0"/>
              <w:left w:val="single" w:color="000000" w:sz="4" w:space="0"/>
              <w:bottom w:val="single" w:color="000000" w:sz="4" w:space="0"/>
              <w:right w:val="single" w:color="000000" w:sz="4" w:space="0"/>
            </w:tcBorders>
            <w:vAlign w:val="center"/>
          </w:tcPr>
          <w:p w14:paraId="69A70790">
            <w:pPr>
              <w:jc w:val="center"/>
              <w:rPr>
                <w:rFonts w:ascii="Times New Roman" w:hAnsi="Times New Roman" w:cs="Times New Roman"/>
                <w:sz w:val="24"/>
                <w:szCs w:val="24"/>
              </w:rPr>
            </w:pPr>
            <w:r>
              <w:rPr>
                <w:rFonts w:ascii="Times New Roman" w:hAnsi="Times New Roman" w:cs="Times New Roman"/>
                <w:sz w:val="24"/>
                <w:szCs w:val="24"/>
              </w:rPr>
              <w:t>12</w:t>
            </w:r>
          </w:p>
        </w:tc>
        <w:tc>
          <w:tcPr>
            <w:tcW w:w="356" w:type="pct"/>
            <w:tcBorders>
              <w:top w:val="single" w:color="000000" w:sz="4" w:space="0"/>
              <w:left w:val="single" w:color="000000" w:sz="4" w:space="0"/>
              <w:bottom w:val="single" w:color="000000" w:sz="4" w:space="0"/>
              <w:right w:val="single" w:color="000000" w:sz="4" w:space="0"/>
            </w:tcBorders>
            <w:vAlign w:val="center"/>
          </w:tcPr>
          <w:p w14:paraId="2E5AAA5E">
            <w:pPr>
              <w:jc w:val="center"/>
              <w:rPr>
                <w:rFonts w:ascii="Times New Roman" w:hAnsi="Times New Roman" w:cs="Times New Roman"/>
                <w:sz w:val="24"/>
                <w:szCs w:val="24"/>
              </w:rPr>
            </w:pPr>
            <w:r>
              <w:rPr>
                <w:rFonts w:ascii="Times New Roman" w:hAnsi="Times New Roman" w:cs="Times New Roman"/>
                <w:sz w:val="24"/>
                <w:szCs w:val="24"/>
              </w:rPr>
              <w:t>120000</w:t>
            </w:r>
          </w:p>
        </w:tc>
      </w:tr>
      <w:tr w14:paraId="050616FB">
        <w:tblPrEx>
          <w:tblCellMar>
            <w:top w:w="0" w:type="dxa"/>
            <w:left w:w="108" w:type="dxa"/>
            <w:bottom w:w="0" w:type="dxa"/>
            <w:right w:w="108" w:type="dxa"/>
          </w:tblCellMar>
        </w:tblPrEx>
        <w:trPr>
          <w:trHeight w:val="1728"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2E29D791">
            <w:pPr>
              <w:jc w:val="center"/>
              <w:rPr>
                <w:rFonts w:ascii="Times New Roman" w:hAnsi="Times New Roman" w:cs="Times New Roman"/>
                <w:sz w:val="24"/>
                <w:szCs w:val="24"/>
              </w:rPr>
            </w:pPr>
            <w:r>
              <w:rPr>
                <w:rFonts w:ascii="Times New Roman" w:hAnsi="Times New Roman" w:cs="Times New Roman"/>
                <w:sz w:val="24"/>
                <w:szCs w:val="24"/>
              </w:rPr>
              <w:t>4</w:t>
            </w:r>
          </w:p>
        </w:tc>
        <w:tc>
          <w:tcPr>
            <w:tcW w:w="414" w:type="pct"/>
            <w:vMerge w:val="continue"/>
            <w:tcBorders>
              <w:left w:val="single" w:color="000000" w:sz="4" w:space="0"/>
              <w:right w:val="single" w:color="000000" w:sz="4" w:space="0"/>
            </w:tcBorders>
            <w:vAlign w:val="center"/>
          </w:tcPr>
          <w:p w14:paraId="6EB69458">
            <w:pPr>
              <w:jc w:val="center"/>
              <w:rPr>
                <w:rFonts w:ascii="Times New Roman" w:hAnsi="Times New Roman" w:cs="Times New Roman"/>
                <w:sz w:val="24"/>
                <w:szCs w:val="24"/>
              </w:rPr>
            </w:pPr>
          </w:p>
        </w:tc>
        <w:tc>
          <w:tcPr>
            <w:tcW w:w="997" w:type="pct"/>
            <w:vMerge w:val="continue"/>
            <w:tcBorders>
              <w:left w:val="single" w:color="000000" w:sz="4" w:space="0"/>
              <w:right w:val="single" w:color="000000" w:sz="4" w:space="0"/>
            </w:tcBorders>
            <w:vAlign w:val="center"/>
          </w:tcPr>
          <w:p w14:paraId="60DABB02">
            <w:pPr>
              <w:rPr>
                <w:rFonts w:ascii="Times New Roman" w:hAnsi="Times New Roman" w:cs="Times New Roman"/>
                <w:sz w:val="24"/>
                <w:szCs w:val="24"/>
              </w:rPr>
            </w:pPr>
          </w:p>
        </w:tc>
        <w:tc>
          <w:tcPr>
            <w:tcW w:w="648" w:type="pct"/>
            <w:vMerge w:val="continue"/>
            <w:tcBorders>
              <w:left w:val="single" w:color="000000" w:sz="4" w:space="0"/>
              <w:right w:val="single" w:color="000000" w:sz="4" w:space="0"/>
            </w:tcBorders>
            <w:vAlign w:val="center"/>
          </w:tcPr>
          <w:p w14:paraId="51E937F9">
            <w:pPr>
              <w:jc w:val="left"/>
              <w:rPr>
                <w:rFonts w:ascii="Times New Roman" w:hAnsi="Times New Roman" w:cs="Times New Roman"/>
                <w:sz w:val="24"/>
                <w:szCs w:val="24"/>
              </w:rPr>
            </w:pPr>
          </w:p>
        </w:tc>
        <w:tc>
          <w:tcPr>
            <w:tcW w:w="1691" w:type="pct"/>
            <w:tcBorders>
              <w:top w:val="single" w:color="000000" w:sz="4" w:space="0"/>
              <w:left w:val="single" w:color="000000" w:sz="4" w:space="0"/>
              <w:bottom w:val="single" w:color="000000" w:sz="4" w:space="0"/>
              <w:right w:val="single" w:color="000000" w:sz="4" w:space="0"/>
            </w:tcBorders>
            <w:vAlign w:val="center"/>
          </w:tcPr>
          <w:p w14:paraId="54F43A54">
            <w:pPr>
              <w:rPr>
                <w:rFonts w:ascii="Times New Roman" w:hAnsi="Times New Roman" w:cs="Times New Roman"/>
                <w:sz w:val="24"/>
                <w:szCs w:val="24"/>
              </w:rPr>
            </w:pPr>
            <w:r>
              <w:rPr>
                <w:rFonts w:ascii="Times New Roman" w:hAnsi="Times New Roman" w:cs="Times New Roman"/>
                <w:sz w:val="24"/>
                <w:szCs w:val="24"/>
              </w:rPr>
              <w:t>服务单申报监理意见：针对“一网通办”运营服务各服务单申报的工作内容、绩效目标、输出物形成监理审核意见，输出业务部门、运营服务商、监理单位三方确认的服务单</w:t>
            </w:r>
          </w:p>
        </w:tc>
        <w:tc>
          <w:tcPr>
            <w:tcW w:w="358" w:type="pct"/>
            <w:tcBorders>
              <w:top w:val="single" w:color="000000" w:sz="4" w:space="0"/>
              <w:left w:val="single" w:color="000000" w:sz="4" w:space="0"/>
              <w:bottom w:val="single" w:color="000000" w:sz="4" w:space="0"/>
              <w:right w:val="single" w:color="000000" w:sz="4" w:space="0"/>
            </w:tcBorders>
            <w:vAlign w:val="center"/>
          </w:tcPr>
          <w:p w14:paraId="5902092B">
            <w:pPr>
              <w:jc w:val="center"/>
              <w:rPr>
                <w:rFonts w:ascii="Times New Roman" w:hAnsi="Times New Roman" w:cs="Times New Roman"/>
                <w:sz w:val="24"/>
                <w:szCs w:val="24"/>
              </w:rPr>
            </w:pPr>
            <w:r>
              <w:rPr>
                <w:rFonts w:ascii="Times New Roman" w:hAnsi="Times New Roman" w:cs="Times New Roman"/>
                <w:sz w:val="24"/>
                <w:szCs w:val="24"/>
              </w:rPr>
              <w:t>20000</w:t>
            </w:r>
          </w:p>
        </w:tc>
        <w:tc>
          <w:tcPr>
            <w:tcW w:w="313" w:type="pct"/>
            <w:tcBorders>
              <w:top w:val="single" w:color="000000" w:sz="4" w:space="0"/>
              <w:left w:val="single" w:color="000000" w:sz="4" w:space="0"/>
              <w:bottom w:val="single" w:color="000000" w:sz="4" w:space="0"/>
              <w:right w:val="single" w:color="000000" w:sz="4" w:space="0"/>
            </w:tcBorders>
            <w:vAlign w:val="center"/>
          </w:tcPr>
          <w:p w14:paraId="7D7D0962">
            <w:pPr>
              <w:jc w:val="center"/>
              <w:rPr>
                <w:rFonts w:ascii="Times New Roman" w:hAnsi="Times New Roman" w:cs="Times New Roman"/>
                <w:sz w:val="24"/>
                <w:szCs w:val="24"/>
              </w:rPr>
            </w:pPr>
            <w:r>
              <w:rPr>
                <w:rFonts w:ascii="Times New Roman" w:hAnsi="Times New Roman" w:cs="Times New Roman"/>
                <w:sz w:val="24"/>
                <w:szCs w:val="24"/>
              </w:rPr>
              <w:t>30</w:t>
            </w:r>
          </w:p>
        </w:tc>
        <w:tc>
          <w:tcPr>
            <w:tcW w:w="356" w:type="pct"/>
            <w:tcBorders>
              <w:top w:val="single" w:color="000000" w:sz="4" w:space="0"/>
              <w:left w:val="single" w:color="000000" w:sz="4" w:space="0"/>
              <w:bottom w:val="single" w:color="000000" w:sz="4" w:space="0"/>
              <w:right w:val="single" w:color="000000" w:sz="4" w:space="0"/>
            </w:tcBorders>
            <w:vAlign w:val="center"/>
          </w:tcPr>
          <w:p w14:paraId="0203144C">
            <w:pPr>
              <w:jc w:val="center"/>
              <w:rPr>
                <w:rFonts w:ascii="Times New Roman" w:hAnsi="Times New Roman" w:cs="Times New Roman"/>
                <w:sz w:val="24"/>
                <w:szCs w:val="24"/>
              </w:rPr>
            </w:pPr>
            <w:r>
              <w:rPr>
                <w:rFonts w:ascii="Times New Roman" w:hAnsi="Times New Roman" w:cs="Times New Roman"/>
                <w:sz w:val="24"/>
                <w:szCs w:val="24"/>
              </w:rPr>
              <w:t>600000</w:t>
            </w:r>
          </w:p>
        </w:tc>
      </w:tr>
      <w:tr w14:paraId="5D8BEAC7">
        <w:tblPrEx>
          <w:tblCellMar>
            <w:top w:w="0" w:type="dxa"/>
            <w:left w:w="108" w:type="dxa"/>
            <w:bottom w:w="0" w:type="dxa"/>
            <w:right w:w="108" w:type="dxa"/>
          </w:tblCellMar>
        </w:tblPrEx>
        <w:trPr>
          <w:trHeight w:val="1728"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17719372">
            <w:pPr>
              <w:jc w:val="center"/>
              <w:rPr>
                <w:rFonts w:ascii="Times New Roman" w:hAnsi="Times New Roman" w:cs="Times New Roman"/>
                <w:sz w:val="24"/>
                <w:szCs w:val="24"/>
              </w:rPr>
            </w:pPr>
            <w:r>
              <w:rPr>
                <w:rFonts w:ascii="Times New Roman" w:hAnsi="Times New Roman" w:cs="Times New Roman"/>
                <w:sz w:val="24"/>
                <w:szCs w:val="24"/>
              </w:rPr>
              <w:t>5</w:t>
            </w:r>
          </w:p>
        </w:tc>
        <w:tc>
          <w:tcPr>
            <w:tcW w:w="414" w:type="pct"/>
            <w:vMerge w:val="continue"/>
            <w:tcBorders>
              <w:left w:val="single" w:color="000000" w:sz="4" w:space="0"/>
              <w:right w:val="single" w:color="000000" w:sz="4" w:space="0"/>
            </w:tcBorders>
            <w:vAlign w:val="center"/>
          </w:tcPr>
          <w:p w14:paraId="3C5DD018">
            <w:pPr>
              <w:jc w:val="center"/>
              <w:rPr>
                <w:rFonts w:ascii="Times New Roman" w:hAnsi="Times New Roman" w:cs="Times New Roman"/>
                <w:sz w:val="24"/>
                <w:szCs w:val="24"/>
              </w:rPr>
            </w:pPr>
          </w:p>
        </w:tc>
        <w:tc>
          <w:tcPr>
            <w:tcW w:w="997" w:type="pct"/>
            <w:vMerge w:val="continue"/>
            <w:tcBorders>
              <w:left w:val="single" w:color="000000" w:sz="4" w:space="0"/>
              <w:right w:val="single" w:color="000000" w:sz="4" w:space="0"/>
            </w:tcBorders>
            <w:vAlign w:val="center"/>
          </w:tcPr>
          <w:p w14:paraId="61E8C8DB">
            <w:pPr>
              <w:rPr>
                <w:rFonts w:ascii="Times New Roman" w:hAnsi="Times New Roman" w:cs="Times New Roman"/>
                <w:sz w:val="24"/>
                <w:szCs w:val="24"/>
              </w:rPr>
            </w:pPr>
          </w:p>
        </w:tc>
        <w:tc>
          <w:tcPr>
            <w:tcW w:w="648" w:type="pct"/>
            <w:vMerge w:val="continue"/>
            <w:tcBorders>
              <w:left w:val="single" w:color="000000" w:sz="4" w:space="0"/>
              <w:right w:val="single" w:color="000000" w:sz="4" w:space="0"/>
            </w:tcBorders>
            <w:vAlign w:val="center"/>
          </w:tcPr>
          <w:p w14:paraId="4F4BE031">
            <w:pPr>
              <w:jc w:val="left"/>
              <w:rPr>
                <w:rFonts w:ascii="Times New Roman" w:hAnsi="Times New Roman" w:cs="Times New Roman"/>
                <w:sz w:val="24"/>
                <w:szCs w:val="24"/>
              </w:rPr>
            </w:pPr>
          </w:p>
        </w:tc>
        <w:tc>
          <w:tcPr>
            <w:tcW w:w="1691" w:type="pct"/>
            <w:tcBorders>
              <w:top w:val="single" w:color="000000" w:sz="4" w:space="0"/>
              <w:left w:val="single" w:color="000000" w:sz="4" w:space="0"/>
              <w:bottom w:val="single" w:color="000000" w:sz="4" w:space="0"/>
              <w:right w:val="single" w:color="000000" w:sz="4" w:space="0"/>
            </w:tcBorders>
            <w:vAlign w:val="center"/>
          </w:tcPr>
          <w:p w14:paraId="1BA56402">
            <w:pPr>
              <w:rPr>
                <w:rFonts w:ascii="Times New Roman" w:hAnsi="Times New Roman" w:cs="Times New Roman"/>
                <w:sz w:val="24"/>
                <w:szCs w:val="24"/>
              </w:rPr>
            </w:pPr>
            <w:r>
              <w:rPr>
                <w:rFonts w:ascii="Times New Roman" w:hAnsi="Times New Roman" w:cs="Times New Roman"/>
                <w:sz w:val="24"/>
                <w:szCs w:val="24"/>
              </w:rPr>
              <w:t>服务验收单监理意见：针对“一网通办”运营服务各服务单实际完成情况，对服务验收单形成监理审核意见</w:t>
            </w:r>
          </w:p>
        </w:tc>
        <w:tc>
          <w:tcPr>
            <w:tcW w:w="358" w:type="pct"/>
            <w:tcBorders>
              <w:top w:val="single" w:color="000000" w:sz="4" w:space="0"/>
              <w:left w:val="single" w:color="000000" w:sz="4" w:space="0"/>
              <w:bottom w:val="single" w:color="000000" w:sz="4" w:space="0"/>
              <w:right w:val="single" w:color="000000" w:sz="4" w:space="0"/>
            </w:tcBorders>
            <w:vAlign w:val="center"/>
          </w:tcPr>
          <w:p w14:paraId="781709FF">
            <w:pPr>
              <w:jc w:val="center"/>
              <w:rPr>
                <w:rFonts w:ascii="Times New Roman" w:hAnsi="Times New Roman" w:cs="Times New Roman"/>
                <w:sz w:val="24"/>
                <w:szCs w:val="24"/>
              </w:rPr>
            </w:pPr>
            <w:r>
              <w:rPr>
                <w:rFonts w:ascii="Times New Roman" w:hAnsi="Times New Roman" w:cs="Times New Roman"/>
                <w:sz w:val="24"/>
                <w:szCs w:val="24"/>
              </w:rPr>
              <w:t>20000</w:t>
            </w:r>
          </w:p>
        </w:tc>
        <w:tc>
          <w:tcPr>
            <w:tcW w:w="313" w:type="pct"/>
            <w:tcBorders>
              <w:top w:val="single" w:color="000000" w:sz="4" w:space="0"/>
              <w:left w:val="single" w:color="000000" w:sz="4" w:space="0"/>
              <w:bottom w:val="single" w:color="000000" w:sz="4" w:space="0"/>
              <w:right w:val="single" w:color="000000" w:sz="4" w:space="0"/>
            </w:tcBorders>
            <w:vAlign w:val="center"/>
          </w:tcPr>
          <w:p w14:paraId="43B4C9B1">
            <w:pPr>
              <w:jc w:val="center"/>
              <w:rPr>
                <w:rFonts w:ascii="Times New Roman" w:hAnsi="Times New Roman" w:cs="Times New Roman"/>
                <w:sz w:val="24"/>
                <w:szCs w:val="24"/>
              </w:rPr>
            </w:pPr>
            <w:r>
              <w:rPr>
                <w:rFonts w:ascii="Times New Roman" w:hAnsi="Times New Roman" w:cs="Times New Roman"/>
                <w:sz w:val="24"/>
                <w:szCs w:val="24"/>
              </w:rPr>
              <w:t>30</w:t>
            </w:r>
          </w:p>
        </w:tc>
        <w:tc>
          <w:tcPr>
            <w:tcW w:w="356" w:type="pct"/>
            <w:tcBorders>
              <w:top w:val="single" w:color="000000" w:sz="4" w:space="0"/>
              <w:left w:val="single" w:color="000000" w:sz="4" w:space="0"/>
              <w:bottom w:val="single" w:color="000000" w:sz="4" w:space="0"/>
              <w:right w:val="single" w:color="000000" w:sz="4" w:space="0"/>
            </w:tcBorders>
            <w:vAlign w:val="center"/>
          </w:tcPr>
          <w:p w14:paraId="1A80BA17">
            <w:pPr>
              <w:jc w:val="center"/>
              <w:rPr>
                <w:rFonts w:ascii="Times New Roman" w:hAnsi="Times New Roman" w:cs="Times New Roman"/>
                <w:sz w:val="24"/>
                <w:szCs w:val="24"/>
              </w:rPr>
            </w:pPr>
            <w:r>
              <w:rPr>
                <w:rFonts w:ascii="Times New Roman" w:hAnsi="Times New Roman" w:cs="Times New Roman"/>
                <w:sz w:val="24"/>
                <w:szCs w:val="24"/>
              </w:rPr>
              <w:t>600000</w:t>
            </w:r>
          </w:p>
        </w:tc>
      </w:tr>
      <w:tr w14:paraId="022A1441">
        <w:tblPrEx>
          <w:tblCellMar>
            <w:top w:w="0" w:type="dxa"/>
            <w:left w:w="108" w:type="dxa"/>
            <w:bottom w:w="0" w:type="dxa"/>
            <w:right w:w="108" w:type="dxa"/>
          </w:tblCellMar>
        </w:tblPrEx>
        <w:trPr>
          <w:trHeight w:val="2016"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31F71AFC">
            <w:pPr>
              <w:jc w:val="center"/>
              <w:rPr>
                <w:rFonts w:ascii="Times New Roman" w:hAnsi="Times New Roman" w:cs="Times New Roman"/>
                <w:sz w:val="24"/>
                <w:szCs w:val="24"/>
              </w:rPr>
            </w:pPr>
            <w:r>
              <w:rPr>
                <w:rFonts w:ascii="Times New Roman" w:hAnsi="Times New Roman" w:cs="Times New Roman"/>
                <w:sz w:val="24"/>
                <w:szCs w:val="24"/>
              </w:rPr>
              <w:t>6</w:t>
            </w:r>
          </w:p>
        </w:tc>
        <w:tc>
          <w:tcPr>
            <w:tcW w:w="414" w:type="pct"/>
            <w:vMerge w:val="continue"/>
            <w:tcBorders>
              <w:left w:val="single" w:color="000000" w:sz="4" w:space="0"/>
              <w:right w:val="single" w:color="000000" w:sz="4" w:space="0"/>
            </w:tcBorders>
            <w:vAlign w:val="center"/>
          </w:tcPr>
          <w:p w14:paraId="7805E22D">
            <w:pPr>
              <w:jc w:val="center"/>
              <w:rPr>
                <w:rFonts w:ascii="Times New Roman" w:hAnsi="Times New Roman" w:cs="Times New Roman"/>
                <w:sz w:val="24"/>
                <w:szCs w:val="24"/>
              </w:rPr>
            </w:pPr>
          </w:p>
        </w:tc>
        <w:tc>
          <w:tcPr>
            <w:tcW w:w="997" w:type="pct"/>
            <w:vMerge w:val="continue"/>
            <w:tcBorders>
              <w:left w:val="single" w:color="000000" w:sz="4" w:space="0"/>
              <w:right w:val="single" w:color="000000" w:sz="4" w:space="0"/>
            </w:tcBorders>
            <w:vAlign w:val="center"/>
          </w:tcPr>
          <w:p w14:paraId="45424114">
            <w:pPr>
              <w:rPr>
                <w:rFonts w:ascii="Times New Roman" w:hAnsi="Times New Roman" w:cs="Times New Roman"/>
                <w:sz w:val="24"/>
                <w:szCs w:val="24"/>
              </w:rPr>
            </w:pPr>
          </w:p>
        </w:tc>
        <w:tc>
          <w:tcPr>
            <w:tcW w:w="648" w:type="pct"/>
            <w:vMerge w:val="continue"/>
            <w:tcBorders>
              <w:left w:val="single" w:color="000000" w:sz="4" w:space="0"/>
              <w:right w:val="single" w:color="000000" w:sz="4" w:space="0"/>
            </w:tcBorders>
            <w:vAlign w:val="center"/>
          </w:tcPr>
          <w:p w14:paraId="18AA58A0">
            <w:pPr>
              <w:jc w:val="left"/>
              <w:rPr>
                <w:rFonts w:ascii="Times New Roman" w:hAnsi="Times New Roman" w:cs="Times New Roman"/>
                <w:sz w:val="24"/>
                <w:szCs w:val="24"/>
              </w:rPr>
            </w:pPr>
          </w:p>
        </w:tc>
        <w:tc>
          <w:tcPr>
            <w:tcW w:w="1691" w:type="pct"/>
            <w:tcBorders>
              <w:top w:val="single" w:color="000000" w:sz="4" w:space="0"/>
              <w:left w:val="single" w:color="000000" w:sz="4" w:space="0"/>
              <w:bottom w:val="single" w:color="000000" w:sz="4" w:space="0"/>
              <w:right w:val="single" w:color="000000" w:sz="4" w:space="0"/>
            </w:tcBorders>
            <w:vAlign w:val="center"/>
          </w:tcPr>
          <w:p w14:paraId="3B3F9867">
            <w:pPr>
              <w:rPr>
                <w:rFonts w:ascii="Times New Roman" w:hAnsi="Times New Roman" w:cs="Times New Roman"/>
                <w:sz w:val="24"/>
                <w:szCs w:val="24"/>
              </w:rPr>
            </w:pPr>
            <w:r>
              <w:rPr>
                <w:rFonts w:ascii="Times New Roman" w:hAnsi="Times New Roman" w:cs="Times New Roman"/>
                <w:sz w:val="24"/>
                <w:szCs w:val="24"/>
              </w:rPr>
              <w:t>运营服务阶段性监理报告：对“一网通办”运营服务按季度或按实际阶段验收节点，形成阶段性监理报告，每个季度各一份，合计4份。</w:t>
            </w:r>
          </w:p>
        </w:tc>
        <w:tc>
          <w:tcPr>
            <w:tcW w:w="358" w:type="pct"/>
            <w:tcBorders>
              <w:top w:val="single" w:color="000000" w:sz="4" w:space="0"/>
              <w:left w:val="single" w:color="000000" w:sz="4" w:space="0"/>
              <w:bottom w:val="single" w:color="000000" w:sz="4" w:space="0"/>
              <w:right w:val="single" w:color="000000" w:sz="4" w:space="0"/>
            </w:tcBorders>
            <w:vAlign w:val="center"/>
          </w:tcPr>
          <w:p w14:paraId="3D421ABF">
            <w:pPr>
              <w:jc w:val="center"/>
              <w:rPr>
                <w:rFonts w:ascii="Times New Roman" w:hAnsi="Times New Roman" w:cs="Times New Roman"/>
                <w:sz w:val="24"/>
                <w:szCs w:val="24"/>
              </w:rPr>
            </w:pPr>
            <w:r>
              <w:rPr>
                <w:rFonts w:ascii="Times New Roman" w:hAnsi="Times New Roman" w:cs="Times New Roman"/>
                <w:sz w:val="24"/>
                <w:szCs w:val="24"/>
              </w:rPr>
              <w:t>140000</w:t>
            </w:r>
          </w:p>
        </w:tc>
        <w:tc>
          <w:tcPr>
            <w:tcW w:w="313" w:type="pct"/>
            <w:tcBorders>
              <w:top w:val="single" w:color="000000" w:sz="4" w:space="0"/>
              <w:left w:val="single" w:color="000000" w:sz="4" w:space="0"/>
              <w:bottom w:val="single" w:color="000000" w:sz="4" w:space="0"/>
              <w:right w:val="single" w:color="000000" w:sz="4" w:space="0"/>
            </w:tcBorders>
            <w:vAlign w:val="center"/>
          </w:tcPr>
          <w:p w14:paraId="664D07FD">
            <w:pPr>
              <w:jc w:val="center"/>
              <w:rPr>
                <w:rFonts w:ascii="Times New Roman" w:hAnsi="Times New Roman" w:cs="Times New Roman"/>
                <w:sz w:val="24"/>
                <w:szCs w:val="24"/>
              </w:rPr>
            </w:pPr>
            <w:r>
              <w:rPr>
                <w:rFonts w:ascii="Times New Roman" w:hAnsi="Times New Roman" w:cs="Times New Roman"/>
                <w:sz w:val="24"/>
                <w:szCs w:val="24"/>
              </w:rPr>
              <w:t>4</w:t>
            </w:r>
          </w:p>
        </w:tc>
        <w:tc>
          <w:tcPr>
            <w:tcW w:w="356" w:type="pct"/>
            <w:tcBorders>
              <w:top w:val="single" w:color="000000" w:sz="4" w:space="0"/>
              <w:left w:val="single" w:color="000000" w:sz="4" w:space="0"/>
              <w:bottom w:val="single" w:color="000000" w:sz="4" w:space="0"/>
              <w:right w:val="single" w:color="000000" w:sz="4" w:space="0"/>
            </w:tcBorders>
            <w:vAlign w:val="center"/>
          </w:tcPr>
          <w:p w14:paraId="7C7EE230">
            <w:pPr>
              <w:jc w:val="center"/>
              <w:rPr>
                <w:rFonts w:ascii="Times New Roman" w:hAnsi="Times New Roman" w:cs="Times New Roman"/>
                <w:sz w:val="24"/>
                <w:szCs w:val="24"/>
              </w:rPr>
            </w:pPr>
            <w:r>
              <w:rPr>
                <w:rFonts w:ascii="Times New Roman" w:hAnsi="Times New Roman" w:cs="Times New Roman"/>
                <w:sz w:val="24"/>
                <w:szCs w:val="24"/>
              </w:rPr>
              <w:t>560000</w:t>
            </w:r>
          </w:p>
        </w:tc>
      </w:tr>
      <w:tr w14:paraId="6627ED46">
        <w:tblPrEx>
          <w:tblCellMar>
            <w:top w:w="0" w:type="dxa"/>
            <w:left w:w="108" w:type="dxa"/>
            <w:bottom w:w="0" w:type="dxa"/>
            <w:right w:w="108" w:type="dxa"/>
          </w:tblCellMar>
        </w:tblPrEx>
        <w:trPr>
          <w:trHeight w:val="90" w:hRule="atLeast"/>
          <w:jc w:val="center"/>
        </w:trPr>
        <w:tc>
          <w:tcPr>
            <w:tcW w:w="4331" w:type="pct"/>
            <w:gridSpan w:val="6"/>
            <w:tcBorders>
              <w:top w:val="single" w:color="000000" w:sz="4" w:space="0"/>
              <w:left w:val="single" w:color="000000" w:sz="4" w:space="0"/>
              <w:bottom w:val="single" w:color="000000" w:sz="4" w:space="0"/>
              <w:right w:val="single" w:color="000000" w:sz="4" w:space="0"/>
            </w:tcBorders>
            <w:vAlign w:val="center"/>
          </w:tcPr>
          <w:p w14:paraId="28795C26">
            <w:pPr>
              <w:jc w:val="center"/>
              <w:rPr>
                <w:rFonts w:ascii="Times New Roman" w:hAnsi="Times New Roman" w:cs="Times New Roman"/>
                <w:b/>
                <w:sz w:val="24"/>
                <w:szCs w:val="24"/>
              </w:rPr>
            </w:pPr>
            <w:r>
              <w:rPr>
                <w:rFonts w:ascii="Times New Roman" w:hAnsi="Times New Roman" w:cs="Times New Roman"/>
                <w:b/>
                <w:sz w:val="24"/>
                <w:szCs w:val="24"/>
              </w:rPr>
              <w:t>小计</w:t>
            </w:r>
          </w:p>
        </w:tc>
        <w:tc>
          <w:tcPr>
            <w:tcW w:w="313" w:type="pct"/>
            <w:tcBorders>
              <w:top w:val="single" w:color="000000" w:sz="4" w:space="0"/>
              <w:left w:val="single" w:color="000000" w:sz="4" w:space="0"/>
              <w:bottom w:val="single" w:color="000000" w:sz="4" w:space="0"/>
              <w:right w:val="single" w:color="000000" w:sz="4" w:space="0"/>
            </w:tcBorders>
            <w:vAlign w:val="center"/>
          </w:tcPr>
          <w:p w14:paraId="2F02E346">
            <w:pPr>
              <w:jc w:val="center"/>
              <w:rPr>
                <w:rFonts w:ascii="Times New Roman" w:hAnsi="Times New Roman" w:cs="Times New Roman"/>
                <w:sz w:val="24"/>
                <w:szCs w:val="24"/>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7C11BDB9">
            <w:pPr>
              <w:jc w:val="center"/>
              <w:rPr>
                <w:rFonts w:ascii="Times New Roman" w:hAnsi="Times New Roman" w:cs="Times New Roman"/>
                <w:b/>
                <w:sz w:val="24"/>
                <w:szCs w:val="24"/>
              </w:rPr>
            </w:pPr>
            <w:r>
              <w:rPr>
                <w:rFonts w:ascii="Times New Roman" w:hAnsi="Times New Roman" w:cs="Times New Roman"/>
                <w:b/>
                <w:sz w:val="24"/>
                <w:szCs w:val="24"/>
              </w:rPr>
              <w:t>2400000</w:t>
            </w:r>
          </w:p>
        </w:tc>
      </w:tr>
      <w:tr w14:paraId="6CCF64D7">
        <w:tblPrEx>
          <w:tblCellMar>
            <w:top w:w="0" w:type="dxa"/>
            <w:left w:w="108" w:type="dxa"/>
            <w:bottom w:w="0" w:type="dxa"/>
            <w:right w:w="108" w:type="dxa"/>
          </w:tblCellMar>
        </w:tblPrEx>
        <w:trPr>
          <w:trHeight w:val="1872"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36FE16C8">
            <w:pPr>
              <w:jc w:val="center"/>
              <w:rPr>
                <w:rFonts w:ascii="Times New Roman" w:hAnsi="Times New Roman" w:cs="Times New Roman"/>
                <w:sz w:val="24"/>
                <w:szCs w:val="24"/>
              </w:rPr>
            </w:pPr>
            <w:r>
              <w:rPr>
                <w:rFonts w:ascii="Times New Roman" w:hAnsi="Times New Roman" w:cs="Times New Roman"/>
                <w:sz w:val="24"/>
                <w:szCs w:val="24"/>
              </w:rPr>
              <w:t>7</w:t>
            </w:r>
          </w:p>
        </w:tc>
        <w:tc>
          <w:tcPr>
            <w:tcW w:w="414" w:type="pct"/>
            <w:vMerge w:val="restart"/>
            <w:tcBorders>
              <w:top w:val="single" w:color="000000" w:sz="4" w:space="0"/>
              <w:left w:val="single" w:color="000000" w:sz="4" w:space="0"/>
              <w:bottom w:val="single" w:color="000000" w:sz="4" w:space="0"/>
              <w:right w:val="single" w:color="000000" w:sz="4" w:space="0"/>
            </w:tcBorders>
            <w:vAlign w:val="center"/>
          </w:tcPr>
          <w:p w14:paraId="38EAADBE">
            <w:pPr>
              <w:jc w:val="center"/>
              <w:rPr>
                <w:rFonts w:ascii="Times New Roman" w:hAnsi="Times New Roman" w:cs="Times New Roman"/>
                <w:sz w:val="24"/>
                <w:szCs w:val="24"/>
              </w:rPr>
            </w:pPr>
            <w:r>
              <w:rPr>
                <w:rFonts w:ascii="Times New Roman" w:hAnsi="Times New Roman" w:cs="Times New Roman"/>
                <w:sz w:val="24"/>
                <w:szCs w:val="24"/>
              </w:rPr>
              <w:t>绩效工作</w:t>
            </w:r>
          </w:p>
        </w:tc>
        <w:tc>
          <w:tcPr>
            <w:tcW w:w="997" w:type="pct"/>
            <w:vMerge w:val="restart"/>
            <w:tcBorders>
              <w:top w:val="single" w:color="000000" w:sz="4" w:space="0"/>
              <w:left w:val="single" w:color="000000" w:sz="4" w:space="0"/>
              <w:bottom w:val="single" w:color="000000" w:sz="4" w:space="0"/>
              <w:right w:val="single" w:color="000000" w:sz="4" w:space="0"/>
            </w:tcBorders>
            <w:vAlign w:val="center"/>
          </w:tcPr>
          <w:p w14:paraId="3F8FE79C">
            <w:pPr>
              <w:rPr>
                <w:rFonts w:ascii="Times New Roman" w:hAnsi="Times New Roman" w:cs="Times New Roman"/>
                <w:sz w:val="24"/>
                <w:szCs w:val="24"/>
              </w:rPr>
            </w:pPr>
            <w:r>
              <w:rPr>
                <w:rFonts w:ascii="Times New Roman" w:hAnsi="Times New Roman" w:cs="Times New Roman"/>
                <w:sz w:val="24"/>
                <w:szCs w:val="24"/>
              </w:rPr>
              <w:t>“一网通办”运营服务期间配合建设单位开展绩效目标管理、绩效跟踪和绩效评价工作。建立“一网通办”运营项目整体绩效管理体系，管理体系的内容包括：对运营项目开展过程跟踪及项目验收的绩效评估；审核服务任务绩效目标定义合理性；对服务任务实施过程及验收阶段的绩效目标达成情况行分析与评价。绩效评价服务贯穿整个运营服务周期的全过程。</w:t>
            </w:r>
            <w:r>
              <w:rPr>
                <w:rFonts w:ascii="Times New Roman" w:hAnsi="Times New Roman" w:cs="Times New Roman"/>
                <w:sz w:val="24"/>
                <w:szCs w:val="24"/>
              </w:rPr>
              <w:br w:type="textWrapping"/>
            </w:r>
            <w:r>
              <w:rPr>
                <w:rFonts w:ascii="Times New Roman" w:hAnsi="Times New Roman" w:cs="Times New Roman"/>
                <w:sz w:val="24"/>
                <w:szCs w:val="24"/>
              </w:rPr>
              <w:t>1.“一网通办”运营服务项目绩效的中期评审是指在项目进度过半时对绩效目标的实现情况进行跟踪评价，并对跟踪评价结果和绩效目标的偏差进行分析，对存在的问题提出整改建议，形成中期评审报告。</w:t>
            </w:r>
            <w:r>
              <w:rPr>
                <w:rFonts w:ascii="Times New Roman" w:hAnsi="Times New Roman" w:cs="Times New Roman"/>
                <w:sz w:val="24"/>
                <w:szCs w:val="24"/>
              </w:rPr>
              <w:br w:type="textWrapping"/>
            </w:r>
            <w:r>
              <w:rPr>
                <w:rFonts w:ascii="Times New Roman" w:hAnsi="Times New Roman" w:cs="Times New Roman"/>
                <w:sz w:val="24"/>
                <w:szCs w:val="24"/>
              </w:rPr>
              <w:t>2.服务任务绩效的验收评价指在服务任务验收时针对服务任务的过程、产出和效益等进行综合评价，形成绩效评价报告。</w:t>
            </w:r>
            <w:r>
              <w:rPr>
                <w:rFonts w:ascii="Times New Roman" w:hAnsi="Times New Roman" w:cs="Times New Roman"/>
                <w:sz w:val="24"/>
                <w:szCs w:val="24"/>
              </w:rPr>
              <w:br w:type="textWrapping"/>
            </w:r>
            <w:r>
              <w:rPr>
                <w:rFonts w:ascii="Times New Roman" w:hAnsi="Times New Roman" w:cs="Times New Roman"/>
                <w:sz w:val="24"/>
                <w:szCs w:val="24"/>
              </w:rPr>
              <w:t>另外，中标人应依据运营服务项目的合同、采购文件、响应文件、服务需求及实施方案、服务任务交付物等有关资料，结合服务目录以及相关规范对运营商交付成果进行审核，明确各服务目录的有效产出。</w:t>
            </w:r>
            <w:r>
              <w:rPr>
                <w:rFonts w:ascii="Times New Roman" w:hAnsi="Times New Roman" w:cs="Times New Roman"/>
                <w:sz w:val="24"/>
                <w:szCs w:val="24"/>
              </w:rPr>
              <w:br w:type="textWrapping"/>
            </w:r>
            <w:r>
              <w:rPr>
                <w:rFonts w:ascii="Times New Roman" w:hAnsi="Times New Roman" w:cs="Times New Roman"/>
                <w:sz w:val="24"/>
                <w:szCs w:val="24"/>
              </w:rPr>
              <w:t>产出量评估作为项目关键节点的重点工作，应满足以下要求：</w:t>
            </w:r>
            <w:r>
              <w:rPr>
                <w:rFonts w:ascii="Times New Roman" w:hAnsi="Times New Roman" w:cs="Times New Roman"/>
                <w:sz w:val="24"/>
                <w:szCs w:val="24"/>
              </w:rPr>
              <w:br w:type="textWrapping"/>
            </w:r>
            <w:r>
              <w:rPr>
                <w:rFonts w:ascii="Times New Roman" w:hAnsi="Times New Roman" w:cs="Times New Roman"/>
                <w:sz w:val="24"/>
                <w:szCs w:val="24"/>
              </w:rPr>
              <w:t>1.按服务任务开展产出量评估工作，收集服务任务的相关需求、实施方案、交付物以及相关佐证资料；</w:t>
            </w:r>
            <w:r>
              <w:rPr>
                <w:rFonts w:ascii="Times New Roman" w:hAnsi="Times New Roman" w:cs="Times New Roman"/>
                <w:sz w:val="24"/>
                <w:szCs w:val="24"/>
              </w:rPr>
              <w:br w:type="textWrapping"/>
            </w:r>
            <w:r>
              <w:rPr>
                <w:rFonts w:ascii="Times New Roman" w:hAnsi="Times New Roman" w:cs="Times New Roman"/>
                <w:sz w:val="24"/>
                <w:szCs w:val="24"/>
              </w:rPr>
              <w:t>2.依据相关规定建立服务任务交付成果与服务目录各服务项的对应关系和产出量评估标准，评估确定每一个服务任务的服务项有效交付数量；</w:t>
            </w:r>
            <w:r>
              <w:rPr>
                <w:rFonts w:ascii="Times New Roman" w:hAnsi="Times New Roman" w:cs="Times New Roman"/>
                <w:sz w:val="24"/>
                <w:szCs w:val="24"/>
              </w:rPr>
              <w:br w:type="textWrapping"/>
            </w:r>
            <w:r>
              <w:rPr>
                <w:rFonts w:ascii="Times New Roman" w:hAnsi="Times New Roman" w:cs="Times New Roman"/>
                <w:sz w:val="24"/>
                <w:szCs w:val="24"/>
              </w:rPr>
              <w:t>3.对项目有效产出进行审查和核对，评估和确认相关扣减项内容，出具产出量评估报告，明确产出量评估意见。</w:t>
            </w:r>
          </w:p>
        </w:tc>
        <w:tc>
          <w:tcPr>
            <w:tcW w:w="648" w:type="pct"/>
            <w:vMerge w:val="restart"/>
            <w:tcBorders>
              <w:top w:val="single" w:color="000000" w:sz="4" w:space="0"/>
              <w:left w:val="single" w:color="000000" w:sz="4" w:space="0"/>
              <w:bottom w:val="single" w:color="000000" w:sz="4" w:space="0"/>
              <w:right w:val="single" w:color="000000" w:sz="4" w:space="0"/>
            </w:tcBorders>
            <w:vAlign w:val="center"/>
          </w:tcPr>
          <w:p w14:paraId="6304AC8D">
            <w:pPr>
              <w:jc w:val="left"/>
              <w:rPr>
                <w:rFonts w:ascii="Times New Roman" w:hAnsi="Times New Roman" w:cs="Times New Roman"/>
                <w:sz w:val="24"/>
                <w:szCs w:val="24"/>
              </w:rPr>
            </w:pPr>
            <w:r>
              <w:rPr>
                <w:rFonts w:ascii="Times New Roman" w:hAnsi="Times New Roman" w:cs="Times New Roman"/>
                <w:sz w:val="24"/>
                <w:szCs w:val="24"/>
              </w:rPr>
              <w:t>中期绩效跟踪报告1份；服务单绩效评价报告30份，预计30份评价报告；绩效评价报告1份。</w:t>
            </w:r>
          </w:p>
        </w:tc>
        <w:tc>
          <w:tcPr>
            <w:tcW w:w="1691" w:type="pct"/>
            <w:tcBorders>
              <w:top w:val="single" w:color="000000" w:sz="4" w:space="0"/>
              <w:left w:val="single" w:color="000000" w:sz="4" w:space="0"/>
              <w:bottom w:val="single" w:color="000000" w:sz="4" w:space="0"/>
              <w:right w:val="single" w:color="000000" w:sz="4" w:space="0"/>
            </w:tcBorders>
            <w:vAlign w:val="center"/>
          </w:tcPr>
          <w:p w14:paraId="171130FA">
            <w:pPr>
              <w:rPr>
                <w:rFonts w:ascii="Times New Roman" w:hAnsi="Times New Roman" w:cs="Times New Roman"/>
                <w:sz w:val="24"/>
                <w:szCs w:val="24"/>
              </w:rPr>
            </w:pPr>
            <w:r>
              <w:rPr>
                <w:rFonts w:ascii="Times New Roman" w:hAnsi="Times New Roman" w:cs="Times New Roman"/>
                <w:sz w:val="24"/>
                <w:szCs w:val="24"/>
              </w:rPr>
              <w:t>中期绩效跟踪报告（项目级阶段性绩效进展评估，除产出物以外，还应当完成以下工作：在运营项目中期对整体绩效目标的实现情况进行跟踪评价，分析偏差并提出系统性整改建议，支撑项目健康运行。）</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6FC53B5">
            <w:pPr>
              <w:rPr>
                <w:rFonts w:ascii="Times New Roman" w:hAnsi="Times New Roman" w:cs="Times New Roman"/>
                <w:sz w:val="24"/>
                <w:szCs w:val="24"/>
              </w:rPr>
            </w:pPr>
            <w:r>
              <w:rPr>
                <w:rFonts w:ascii="Times New Roman" w:hAnsi="Times New Roman" w:cs="Times New Roman"/>
                <w:sz w:val="24"/>
                <w:szCs w:val="24"/>
              </w:rPr>
              <w:t>100000</w:t>
            </w:r>
          </w:p>
        </w:tc>
        <w:tc>
          <w:tcPr>
            <w:tcW w:w="313" w:type="pct"/>
            <w:tcBorders>
              <w:top w:val="single" w:color="000000" w:sz="4" w:space="0"/>
              <w:left w:val="single" w:color="000000" w:sz="4" w:space="0"/>
              <w:bottom w:val="single" w:color="000000" w:sz="4" w:space="0"/>
              <w:right w:val="single" w:color="000000" w:sz="4" w:space="0"/>
            </w:tcBorders>
            <w:noWrap/>
            <w:vAlign w:val="center"/>
          </w:tcPr>
          <w:p w14:paraId="60F36558">
            <w:pPr>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4E224CEA">
            <w:pPr>
              <w:jc w:val="center"/>
              <w:rPr>
                <w:rFonts w:ascii="Times New Roman" w:hAnsi="Times New Roman" w:cs="Times New Roman"/>
                <w:sz w:val="24"/>
                <w:szCs w:val="24"/>
              </w:rPr>
            </w:pPr>
            <w:r>
              <w:rPr>
                <w:rFonts w:ascii="Times New Roman" w:hAnsi="Times New Roman" w:cs="Times New Roman"/>
                <w:sz w:val="24"/>
                <w:szCs w:val="24"/>
              </w:rPr>
              <w:t>100000</w:t>
            </w:r>
          </w:p>
        </w:tc>
      </w:tr>
      <w:tr w14:paraId="2ED23328">
        <w:tblPrEx>
          <w:tblCellMar>
            <w:top w:w="0" w:type="dxa"/>
            <w:left w:w="108" w:type="dxa"/>
            <w:bottom w:w="0" w:type="dxa"/>
            <w:right w:w="108" w:type="dxa"/>
          </w:tblCellMar>
        </w:tblPrEx>
        <w:trPr>
          <w:trHeight w:val="1872"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40E054C3">
            <w:pPr>
              <w:jc w:val="center"/>
              <w:rPr>
                <w:rFonts w:ascii="Times New Roman" w:hAnsi="Times New Roman" w:cs="Times New Roman"/>
                <w:sz w:val="24"/>
                <w:szCs w:val="24"/>
              </w:rPr>
            </w:pPr>
            <w:r>
              <w:rPr>
                <w:rFonts w:ascii="Times New Roman" w:hAnsi="Times New Roman" w:cs="Times New Roman"/>
                <w:sz w:val="24"/>
                <w:szCs w:val="24"/>
              </w:rPr>
              <w:t>8</w:t>
            </w:r>
          </w:p>
        </w:tc>
        <w:tc>
          <w:tcPr>
            <w:tcW w:w="414" w:type="pct"/>
            <w:vMerge w:val="continue"/>
            <w:tcBorders>
              <w:top w:val="single" w:color="000000" w:sz="4" w:space="0"/>
              <w:left w:val="single" w:color="000000" w:sz="4" w:space="0"/>
              <w:bottom w:val="single" w:color="000000" w:sz="4" w:space="0"/>
              <w:right w:val="single" w:color="000000" w:sz="4" w:space="0"/>
            </w:tcBorders>
            <w:vAlign w:val="center"/>
          </w:tcPr>
          <w:p w14:paraId="48D2274F">
            <w:pPr>
              <w:jc w:val="center"/>
              <w:rPr>
                <w:rFonts w:ascii="Times New Roman" w:hAnsi="Times New Roman" w:cs="Times New Roman"/>
                <w:sz w:val="24"/>
                <w:szCs w:val="24"/>
              </w:rPr>
            </w:pPr>
          </w:p>
        </w:tc>
        <w:tc>
          <w:tcPr>
            <w:tcW w:w="997" w:type="pct"/>
            <w:vMerge w:val="continue"/>
            <w:tcBorders>
              <w:top w:val="single" w:color="000000" w:sz="4" w:space="0"/>
              <w:left w:val="single" w:color="000000" w:sz="4" w:space="0"/>
              <w:bottom w:val="single" w:color="000000" w:sz="4" w:space="0"/>
              <w:right w:val="single" w:color="000000" w:sz="4" w:space="0"/>
            </w:tcBorders>
            <w:vAlign w:val="center"/>
          </w:tcPr>
          <w:p w14:paraId="58171290">
            <w:pPr>
              <w:rPr>
                <w:rFonts w:ascii="Times New Roman" w:hAnsi="Times New Roman" w:cs="Times New Roman"/>
                <w:sz w:val="24"/>
                <w:szCs w:val="24"/>
              </w:rPr>
            </w:pPr>
          </w:p>
        </w:tc>
        <w:tc>
          <w:tcPr>
            <w:tcW w:w="648" w:type="pct"/>
            <w:vMerge w:val="continue"/>
            <w:tcBorders>
              <w:top w:val="single" w:color="000000" w:sz="4" w:space="0"/>
              <w:left w:val="single" w:color="000000" w:sz="4" w:space="0"/>
              <w:bottom w:val="single" w:color="000000" w:sz="4" w:space="0"/>
              <w:right w:val="single" w:color="000000" w:sz="4" w:space="0"/>
            </w:tcBorders>
            <w:vAlign w:val="center"/>
          </w:tcPr>
          <w:p w14:paraId="7B918C9E">
            <w:pPr>
              <w:jc w:val="left"/>
              <w:rPr>
                <w:rFonts w:ascii="Times New Roman" w:hAnsi="Times New Roman" w:cs="Times New Roman"/>
                <w:sz w:val="24"/>
                <w:szCs w:val="24"/>
              </w:rPr>
            </w:pPr>
          </w:p>
        </w:tc>
        <w:tc>
          <w:tcPr>
            <w:tcW w:w="1691" w:type="pct"/>
            <w:tcBorders>
              <w:top w:val="single" w:color="000000" w:sz="4" w:space="0"/>
              <w:left w:val="single" w:color="000000" w:sz="4" w:space="0"/>
              <w:bottom w:val="single" w:color="000000" w:sz="4" w:space="0"/>
              <w:right w:val="single" w:color="000000" w:sz="4" w:space="0"/>
            </w:tcBorders>
            <w:vAlign w:val="center"/>
          </w:tcPr>
          <w:p w14:paraId="7B080695">
            <w:pPr>
              <w:rPr>
                <w:rFonts w:ascii="Times New Roman" w:hAnsi="Times New Roman" w:cs="Times New Roman"/>
                <w:sz w:val="24"/>
                <w:szCs w:val="24"/>
              </w:rPr>
            </w:pPr>
            <w:r>
              <w:rPr>
                <w:rFonts w:ascii="Times New Roman" w:hAnsi="Times New Roman" w:cs="Times New Roman"/>
                <w:sz w:val="24"/>
                <w:szCs w:val="24"/>
              </w:rPr>
              <w:t>服务单绩效评价报告（一份服务单验收时的综合性绩效结论，除产出物以外，还应当完成以下工作：在服务单验收时针对其实施过程、产出成果和效益进行综合评价，形成最终绩效等级。）</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272F21E">
            <w:pPr>
              <w:rPr>
                <w:rFonts w:ascii="Times New Roman" w:hAnsi="Times New Roman" w:cs="Times New Roman"/>
                <w:sz w:val="24"/>
                <w:szCs w:val="24"/>
              </w:rPr>
            </w:pPr>
            <w:r>
              <w:rPr>
                <w:rFonts w:ascii="Times New Roman" w:hAnsi="Times New Roman" w:cs="Times New Roman"/>
                <w:sz w:val="24"/>
                <w:szCs w:val="24"/>
              </w:rPr>
              <w:t>14000</w:t>
            </w:r>
          </w:p>
        </w:tc>
        <w:tc>
          <w:tcPr>
            <w:tcW w:w="313" w:type="pct"/>
            <w:tcBorders>
              <w:top w:val="single" w:color="000000" w:sz="4" w:space="0"/>
              <w:left w:val="single" w:color="000000" w:sz="4" w:space="0"/>
              <w:bottom w:val="single" w:color="000000" w:sz="4" w:space="0"/>
              <w:right w:val="single" w:color="000000" w:sz="4" w:space="0"/>
            </w:tcBorders>
            <w:noWrap/>
            <w:vAlign w:val="center"/>
          </w:tcPr>
          <w:p w14:paraId="486E16AB">
            <w:pPr>
              <w:jc w:val="center"/>
              <w:rPr>
                <w:rFonts w:ascii="Times New Roman" w:hAnsi="Times New Roman" w:cs="Times New Roman"/>
                <w:sz w:val="24"/>
                <w:szCs w:val="24"/>
              </w:rPr>
            </w:pPr>
            <w:r>
              <w:rPr>
                <w:rFonts w:ascii="Times New Roman" w:hAnsi="Times New Roman" w:cs="Times New Roman"/>
                <w:sz w:val="24"/>
                <w:szCs w:val="24"/>
              </w:rPr>
              <w:t>30</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43B10816">
            <w:pPr>
              <w:jc w:val="center"/>
              <w:rPr>
                <w:rFonts w:ascii="Times New Roman" w:hAnsi="Times New Roman" w:cs="Times New Roman"/>
                <w:sz w:val="24"/>
                <w:szCs w:val="24"/>
              </w:rPr>
            </w:pPr>
            <w:r>
              <w:rPr>
                <w:rFonts w:ascii="Times New Roman" w:hAnsi="Times New Roman" w:cs="Times New Roman"/>
                <w:sz w:val="24"/>
                <w:szCs w:val="24"/>
              </w:rPr>
              <w:t>420000</w:t>
            </w:r>
          </w:p>
        </w:tc>
      </w:tr>
      <w:tr w14:paraId="15B7258A">
        <w:tblPrEx>
          <w:tblCellMar>
            <w:top w:w="0" w:type="dxa"/>
            <w:left w:w="108" w:type="dxa"/>
            <w:bottom w:w="0" w:type="dxa"/>
            <w:right w:w="108" w:type="dxa"/>
          </w:tblCellMar>
        </w:tblPrEx>
        <w:trPr>
          <w:trHeight w:val="2496"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34797CFF">
            <w:pPr>
              <w:jc w:val="center"/>
              <w:rPr>
                <w:rFonts w:ascii="Times New Roman" w:hAnsi="Times New Roman" w:cs="Times New Roman"/>
                <w:sz w:val="24"/>
                <w:szCs w:val="24"/>
              </w:rPr>
            </w:pPr>
            <w:r>
              <w:rPr>
                <w:rFonts w:ascii="Times New Roman" w:hAnsi="Times New Roman" w:cs="Times New Roman"/>
                <w:sz w:val="24"/>
                <w:szCs w:val="24"/>
              </w:rPr>
              <w:t>9</w:t>
            </w:r>
          </w:p>
        </w:tc>
        <w:tc>
          <w:tcPr>
            <w:tcW w:w="414" w:type="pct"/>
            <w:vMerge w:val="continue"/>
            <w:tcBorders>
              <w:top w:val="single" w:color="000000" w:sz="4" w:space="0"/>
              <w:left w:val="single" w:color="000000" w:sz="4" w:space="0"/>
              <w:bottom w:val="single" w:color="000000" w:sz="4" w:space="0"/>
              <w:right w:val="single" w:color="000000" w:sz="4" w:space="0"/>
            </w:tcBorders>
            <w:vAlign w:val="center"/>
          </w:tcPr>
          <w:p w14:paraId="4BF70D72">
            <w:pPr>
              <w:jc w:val="center"/>
              <w:rPr>
                <w:rFonts w:ascii="Times New Roman" w:hAnsi="Times New Roman" w:cs="Times New Roman"/>
                <w:sz w:val="24"/>
                <w:szCs w:val="24"/>
              </w:rPr>
            </w:pPr>
          </w:p>
        </w:tc>
        <w:tc>
          <w:tcPr>
            <w:tcW w:w="997" w:type="pct"/>
            <w:vMerge w:val="continue"/>
            <w:tcBorders>
              <w:top w:val="single" w:color="000000" w:sz="4" w:space="0"/>
              <w:left w:val="single" w:color="000000" w:sz="4" w:space="0"/>
              <w:bottom w:val="single" w:color="000000" w:sz="4" w:space="0"/>
              <w:right w:val="single" w:color="000000" w:sz="4" w:space="0"/>
            </w:tcBorders>
            <w:vAlign w:val="center"/>
          </w:tcPr>
          <w:p w14:paraId="03A1BB29">
            <w:pPr>
              <w:rPr>
                <w:rFonts w:ascii="Times New Roman" w:hAnsi="Times New Roman" w:cs="Times New Roman"/>
                <w:sz w:val="24"/>
                <w:szCs w:val="24"/>
              </w:rPr>
            </w:pPr>
          </w:p>
        </w:tc>
        <w:tc>
          <w:tcPr>
            <w:tcW w:w="648" w:type="pct"/>
            <w:vMerge w:val="continue"/>
            <w:tcBorders>
              <w:top w:val="single" w:color="000000" w:sz="4" w:space="0"/>
              <w:left w:val="single" w:color="000000" w:sz="4" w:space="0"/>
              <w:bottom w:val="single" w:color="000000" w:sz="4" w:space="0"/>
              <w:right w:val="single" w:color="000000" w:sz="4" w:space="0"/>
            </w:tcBorders>
            <w:vAlign w:val="center"/>
          </w:tcPr>
          <w:p w14:paraId="4F25AD1B">
            <w:pPr>
              <w:jc w:val="left"/>
              <w:rPr>
                <w:rFonts w:ascii="Times New Roman" w:hAnsi="Times New Roman" w:cs="Times New Roman"/>
                <w:sz w:val="24"/>
                <w:szCs w:val="24"/>
              </w:rPr>
            </w:pPr>
          </w:p>
        </w:tc>
        <w:tc>
          <w:tcPr>
            <w:tcW w:w="1691" w:type="pct"/>
            <w:tcBorders>
              <w:top w:val="single" w:color="000000" w:sz="4" w:space="0"/>
              <w:left w:val="single" w:color="000000" w:sz="4" w:space="0"/>
              <w:bottom w:val="single" w:color="000000" w:sz="4" w:space="0"/>
              <w:right w:val="single" w:color="000000" w:sz="4" w:space="0"/>
            </w:tcBorders>
            <w:vAlign w:val="center"/>
          </w:tcPr>
          <w:p w14:paraId="271490AE">
            <w:pPr>
              <w:rPr>
                <w:rFonts w:ascii="Times New Roman" w:hAnsi="Times New Roman" w:cs="Times New Roman"/>
                <w:sz w:val="24"/>
                <w:szCs w:val="24"/>
              </w:rPr>
            </w:pPr>
            <w:r>
              <w:rPr>
                <w:rFonts w:ascii="Times New Roman" w:hAnsi="Times New Roman" w:cs="Times New Roman"/>
                <w:sz w:val="24"/>
                <w:szCs w:val="24"/>
              </w:rPr>
              <w:t>项目绩效评价报告（项目级周期性的全局绩效总结，除产出物以外，还应当完成以下工作：汇总分析各服务单绩效及日常/重点工作评价结果，对项目整体过程、产出和效益进行综合评价，呈现整体绩效水平、关键发现及改进方向，支撑项目最终验收与管理决策。）</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0E22794">
            <w:pPr>
              <w:rPr>
                <w:rFonts w:ascii="Times New Roman" w:hAnsi="Times New Roman" w:cs="Times New Roman"/>
                <w:sz w:val="24"/>
                <w:szCs w:val="24"/>
              </w:rPr>
            </w:pPr>
            <w:r>
              <w:rPr>
                <w:rFonts w:ascii="Times New Roman" w:hAnsi="Times New Roman" w:cs="Times New Roman"/>
                <w:sz w:val="24"/>
                <w:szCs w:val="24"/>
              </w:rPr>
              <w:t>100000</w:t>
            </w:r>
          </w:p>
        </w:tc>
        <w:tc>
          <w:tcPr>
            <w:tcW w:w="313" w:type="pct"/>
            <w:tcBorders>
              <w:top w:val="single" w:color="000000" w:sz="4" w:space="0"/>
              <w:left w:val="single" w:color="000000" w:sz="4" w:space="0"/>
              <w:bottom w:val="single" w:color="000000" w:sz="4" w:space="0"/>
              <w:right w:val="single" w:color="000000" w:sz="4" w:space="0"/>
            </w:tcBorders>
            <w:noWrap/>
            <w:vAlign w:val="center"/>
          </w:tcPr>
          <w:p w14:paraId="0E914F2A">
            <w:pPr>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7495B0EB">
            <w:pPr>
              <w:jc w:val="center"/>
              <w:rPr>
                <w:rFonts w:ascii="Times New Roman" w:hAnsi="Times New Roman" w:cs="Times New Roman"/>
                <w:sz w:val="24"/>
                <w:szCs w:val="24"/>
              </w:rPr>
            </w:pPr>
            <w:r>
              <w:rPr>
                <w:rFonts w:ascii="Times New Roman" w:hAnsi="Times New Roman" w:cs="Times New Roman"/>
                <w:sz w:val="24"/>
                <w:szCs w:val="24"/>
              </w:rPr>
              <w:t>100000</w:t>
            </w:r>
          </w:p>
        </w:tc>
      </w:tr>
      <w:tr w14:paraId="74DAA6E7">
        <w:tblPrEx>
          <w:tblCellMar>
            <w:top w:w="0" w:type="dxa"/>
            <w:left w:w="108" w:type="dxa"/>
            <w:bottom w:w="0" w:type="dxa"/>
            <w:right w:w="108" w:type="dxa"/>
          </w:tblCellMar>
        </w:tblPrEx>
        <w:trPr>
          <w:trHeight w:val="2184"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2BB830CE">
            <w:pPr>
              <w:jc w:val="center"/>
              <w:rPr>
                <w:rFonts w:ascii="Times New Roman" w:hAnsi="Times New Roman" w:cs="Times New Roman"/>
                <w:sz w:val="24"/>
                <w:szCs w:val="24"/>
              </w:rPr>
            </w:pPr>
            <w:r>
              <w:rPr>
                <w:rFonts w:ascii="Times New Roman" w:hAnsi="Times New Roman" w:cs="Times New Roman"/>
                <w:sz w:val="24"/>
                <w:szCs w:val="24"/>
              </w:rPr>
              <w:t>10</w:t>
            </w:r>
          </w:p>
        </w:tc>
        <w:tc>
          <w:tcPr>
            <w:tcW w:w="414" w:type="pct"/>
            <w:vMerge w:val="continue"/>
            <w:tcBorders>
              <w:top w:val="single" w:color="000000" w:sz="4" w:space="0"/>
              <w:left w:val="single" w:color="000000" w:sz="4" w:space="0"/>
              <w:bottom w:val="single" w:color="000000" w:sz="4" w:space="0"/>
              <w:right w:val="single" w:color="000000" w:sz="4" w:space="0"/>
            </w:tcBorders>
            <w:vAlign w:val="center"/>
          </w:tcPr>
          <w:p w14:paraId="201F4450">
            <w:pPr>
              <w:jc w:val="center"/>
              <w:rPr>
                <w:rFonts w:ascii="Times New Roman" w:hAnsi="Times New Roman" w:cs="Times New Roman"/>
                <w:sz w:val="24"/>
                <w:szCs w:val="24"/>
              </w:rPr>
            </w:pPr>
          </w:p>
        </w:tc>
        <w:tc>
          <w:tcPr>
            <w:tcW w:w="997" w:type="pct"/>
            <w:vMerge w:val="continue"/>
            <w:tcBorders>
              <w:top w:val="single" w:color="000000" w:sz="4" w:space="0"/>
              <w:left w:val="single" w:color="000000" w:sz="4" w:space="0"/>
              <w:bottom w:val="single" w:color="000000" w:sz="4" w:space="0"/>
              <w:right w:val="single" w:color="000000" w:sz="4" w:space="0"/>
            </w:tcBorders>
            <w:vAlign w:val="center"/>
          </w:tcPr>
          <w:p w14:paraId="7B92C6FD">
            <w:pPr>
              <w:rPr>
                <w:rFonts w:ascii="Times New Roman" w:hAnsi="Times New Roman" w:cs="Times New Roman"/>
                <w:sz w:val="24"/>
                <w:szCs w:val="24"/>
              </w:rPr>
            </w:pPr>
          </w:p>
        </w:tc>
        <w:tc>
          <w:tcPr>
            <w:tcW w:w="648" w:type="pct"/>
            <w:vMerge w:val="restart"/>
            <w:tcBorders>
              <w:top w:val="single" w:color="000000" w:sz="4" w:space="0"/>
              <w:left w:val="single" w:color="000000" w:sz="4" w:space="0"/>
              <w:bottom w:val="single" w:color="000000" w:sz="4" w:space="0"/>
              <w:right w:val="single" w:color="000000" w:sz="4" w:space="0"/>
            </w:tcBorders>
            <w:vAlign w:val="center"/>
          </w:tcPr>
          <w:p w14:paraId="3CF49024">
            <w:pPr>
              <w:jc w:val="left"/>
              <w:rPr>
                <w:rFonts w:ascii="Times New Roman" w:hAnsi="Times New Roman" w:cs="Times New Roman"/>
                <w:sz w:val="24"/>
                <w:szCs w:val="24"/>
              </w:rPr>
            </w:pPr>
            <w:r>
              <w:rPr>
                <w:rFonts w:ascii="Times New Roman" w:hAnsi="Times New Roman" w:cs="Times New Roman"/>
                <w:sz w:val="24"/>
                <w:szCs w:val="24"/>
              </w:rPr>
              <w:t>产出量评估标准，基于合同、招标文件、投标文件、服务需求、实施方案及交付物制定的可执行规范，明确各服务目录有效产出的定义和审核尺度，作为开展产出量评估工作的依据。合计1份；服务单产出量评估报告，按实际发放的服务单数量，预计30份；产出量评估总报告，合计1份。</w:t>
            </w:r>
          </w:p>
        </w:tc>
        <w:tc>
          <w:tcPr>
            <w:tcW w:w="1691" w:type="pct"/>
            <w:tcBorders>
              <w:top w:val="single" w:color="000000" w:sz="4" w:space="0"/>
              <w:left w:val="single" w:color="000000" w:sz="4" w:space="0"/>
              <w:bottom w:val="single" w:color="000000" w:sz="4" w:space="0"/>
              <w:right w:val="single" w:color="000000" w:sz="4" w:space="0"/>
            </w:tcBorders>
            <w:vAlign w:val="center"/>
          </w:tcPr>
          <w:p w14:paraId="7C48F499">
            <w:pPr>
              <w:rPr>
                <w:rFonts w:ascii="Times New Roman" w:hAnsi="Times New Roman" w:cs="Times New Roman"/>
                <w:sz w:val="24"/>
                <w:szCs w:val="24"/>
              </w:rPr>
            </w:pPr>
            <w:r>
              <w:rPr>
                <w:rFonts w:ascii="Times New Roman" w:hAnsi="Times New Roman" w:cs="Times New Roman"/>
                <w:sz w:val="24"/>
                <w:szCs w:val="24"/>
              </w:rPr>
              <w:t>产出量评估标准（基于合同、招标文件、投标文件、服务需求、实施方案及交付物制定的可执行规范，除产出物以外，还应当完成以下工作：明确各服务目录有效产出的定义和审核尺度，作为开展产出量评估工作的依据。）</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D722E22">
            <w:pPr>
              <w:rPr>
                <w:rFonts w:ascii="Times New Roman" w:hAnsi="Times New Roman" w:cs="Times New Roman"/>
                <w:sz w:val="24"/>
                <w:szCs w:val="24"/>
              </w:rPr>
            </w:pPr>
            <w:r>
              <w:rPr>
                <w:rFonts w:ascii="Times New Roman" w:hAnsi="Times New Roman" w:cs="Times New Roman"/>
                <w:sz w:val="24"/>
                <w:szCs w:val="24"/>
              </w:rPr>
              <w:t>100000</w:t>
            </w:r>
          </w:p>
        </w:tc>
        <w:tc>
          <w:tcPr>
            <w:tcW w:w="313" w:type="pct"/>
            <w:tcBorders>
              <w:top w:val="single" w:color="000000" w:sz="4" w:space="0"/>
              <w:left w:val="single" w:color="000000" w:sz="4" w:space="0"/>
              <w:bottom w:val="single" w:color="000000" w:sz="4" w:space="0"/>
              <w:right w:val="single" w:color="000000" w:sz="4" w:space="0"/>
            </w:tcBorders>
            <w:noWrap/>
            <w:vAlign w:val="center"/>
          </w:tcPr>
          <w:p w14:paraId="475CEC52">
            <w:pPr>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630DE149">
            <w:pPr>
              <w:jc w:val="center"/>
              <w:rPr>
                <w:rFonts w:ascii="Times New Roman" w:hAnsi="Times New Roman" w:cs="Times New Roman"/>
                <w:sz w:val="24"/>
                <w:szCs w:val="24"/>
              </w:rPr>
            </w:pPr>
            <w:r>
              <w:rPr>
                <w:rFonts w:ascii="Times New Roman" w:hAnsi="Times New Roman" w:cs="Times New Roman"/>
                <w:sz w:val="24"/>
                <w:szCs w:val="24"/>
              </w:rPr>
              <w:t>100000</w:t>
            </w:r>
          </w:p>
        </w:tc>
      </w:tr>
      <w:tr w14:paraId="5F866D82">
        <w:tblPrEx>
          <w:tblCellMar>
            <w:top w:w="0" w:type="dxa"/>
            <w:left w:w="108" w:type="dxa"/>
            <w:bottom w:w="0" w:type="dxa"/>
            <w:right w:w="108" w:type="dxa"/>
          </w:tblCellMar>
        </w:tblPrEx>
        <w:trPr>
          <w:trHeight w:val="2496"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25E5E02F">
            <w:pPr>
              <w:jc w:val="center"/>
              <w:rPr>
                <w:rFonts w:ascii="Times New Roman" w:hAnsi="Times New Roman" w:cs="Times New Roman"/>
                <w:sz w:val="24"/>
                <w:szCs w:val="24"/>
              </w:rPr>
            </w:pPr>
            <w:r>
              <w:rPr>
                <w:rFonts w:ascii="Times New Roman" w:hAnsi="Times New Roman" w:cs="Times New Roman"/>
                <w:sz w:val="24"/>
                <w:szCs w:val="24"/>
              </w:rPr>
              <w:t>11</w:t>
            </w:r>
          </w:p>
        </w:tc>
        <w:tc>
          <w:tcPr>
            <w:tcW w:w="414" w:type="pct"/>
            <w:vMerge w:val="continue"/>
            <w:tcBorders>
              <w:top w:val="single" w:color="000000" w:sz="4" w:space="0"/>
              <w:left w:val="single" w:color="000000" w:sz="4" w:space="0"/>
              <w:bottom w:val="single" w:color="000000" w:sz="4" w:space="0"/>
              <w:right w:val="single" w:color="000000" w:sz="4" w:space="0"/>
            </w:tcBorders>
            <w:vAlign w:val="center"/>
          </w:tcPr>
          <w:p w14:paraId="70F02475">
            <w:pPr>
              <w:jc w:val="center"/>
              <w:rPr>
                <w:rFonts w:ascii="Times New Roman" w:hAnsi="Times New Roman" w:cs="Times New Roman"/>
                <w:sz w:val="24"/>
                <w:szCs w:val="24"/>
              </w:rPr>
            </w:pPr>
          </w:p>
        </w:tc>
        <w:tc>
          <w:tcPr>
            <w:tcW w:w="997" w:type="pct"/>
            <w:vMerge w:val="continue"/>
            <w:tcBorders>
              <w:top w:val="single" w:color="000000" w:sz="4" w:space="0"/>
              <w:left w:val="single" w:color="000000" w:sz="4" w:space="0"/>
              <w:bottom w:val="single" w:color="000000" w:sz="4" w:space="0"/>
              <w:right w:val="single" w:color="000000" w:sz="4" w:space="0"/>
            </w:tcBorders>
            <w:vAlign w:val="center"/>
          </w:tcPr>
          <w:p w14:paraId="786B59FC">
            <w:pPr>
              <w:rPr>
                <w:rFonts w:ascii="Times New Roman" w:hAnsi="Times New Roman" w:cs="Times New Roman"/>
                <w:sz w:val="24"/>
                <w:szCs w:val="24"/>
              </w:rPr>
            </w:pPr>
          </w:p>
        </w:tc>
        <w:tc>
          <w:tcPr>
            <w:tcW w:w="648" w:type="pct"/>
            <w:vMerge w:val="continue"/>
            <w:tcBorders>
              <w:top w:val="single" w:color="000000" w:sz="4" w:space="0"/>
              <w:left w:val="single" w:color="000000" w:sz="4" w:space="0"/>
              <w:bottom w:val="single" w:color="000000" w:sz="4" w:space="0"/>
              <w:right w:val="single" w:color="000000" w:sz="4" w:space="0"/>
            </w:tcBorders>
            <w:vAlign w:val="center"/>
          </w:tcPr>
          <w:p w14:paraId="678F29F8">
            <w:pPr>
              <w:jc w:val="left"/>
              <w:rPr>
                <w:rFonts w:ascii="Times New Roman" w:hAnsi="Times New Roman" w:cs="Times New Roman"/>
                <w:sz w:val="24"/>
                <w:szCs w:val="24"/>
              </w:rPr>
            </w:pPr>
          </w:p>
        </w:tc>
        <w:tc>
          <w:tcPr>
            <w:tcW w:w="1691" w:type="pct"/>
            <w:tcBorders>
              <w:top w:val="single" w:color="000000" w:sz="4" w:space="0"/>
              <w:left w:val="single" w:color="000000" w:sz="4" w:space="0"/>
              <w:bottom w:val="single" w:color="000000" w:sz="4" w:space="0"/>
              <w:right w:val="single" w:color="000000" w:sz="4" w:space="0"/>
            </w:tcBorders>
            <w:vAlign w:val="center"/>
          </w:tcPr>
          <w:p w14:paraId="59782E31">
            <w:pPr>
              <w:rPr>
                <w:rFonts w:ascii="Times New Roman" w:hAnsi="Times New Roman" w:cs="Times New Roman"/>
                <w:sz w:val="24"/>
                <w:szCs w:val="24"/>
              </w:rPr>
            </w:pPr>
            <w:r>
              <w:rPr>
                <w:rFonts w:ascii="Times New Roman" w:hAnsi="Times New Roman" w:cs="Times New Roman"/>
                <w:sz w:val="24"/>
                <w:szCs w:val="24"/>
              </w:rPr>
              <w:t>服务单产出量评估报告（按结算周期生成的核验结果，除产出物以外，还应当完成以下工作：依据产出量评估标准和自带工具，结合服务目录及相关规范，对服务商当期的具体交付成果进行审核，明确并记录各服务目录的实际有效产出量。）</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80F3FDA">
            <w:pPr>
              <w:rPr>
                <w:rFonts w:ascii="Times New Roman" w:hAnsi="Times New Roman" w:cs="Times New Roman"/>
                <w:sz w:val="24"/>
                <w:szCs w:val="24"/>
              </w:rPr>
            </w:pPr>
            <w:r>
              <w:rPr>
                <w:rFonts w:ascii="Times New Roman" w:hAnsi="Times New Roman" w:cs="Times New Roman"/>
                <w:sz w:val="24"/>
                <w:szCs w:val="24"/>
              </w:rPr>
              <w:t>25000</w:t>
            </w:r>
          </w:p>
        </w:tc>
        <w:tc>
          <w:tcPr>
            <w:tcW w:w="313" w:type="pct"/>
            <w:tcBorders>
              <w:top w:val="single" w:color="000000" w:sz="4" w:space="0"/>
              <w:left w:val="single" w:color="000000" w:sz="4" w:space="0"/>
              <w:bottom w:val="single" w:color="000000" w:sz="4" w:space="0"/>
              <w:right w:val="single" w:color="000000" w:sz="4" w:space="0"/>
            </w:tcBorders>
            <w:noWrap/>
            <w:vAlign w:val="center"/>
          </w:tcPr>
          <w:p w14:paraId="5E7BABE5">
            <w:pPr>
              <w:jc w:val="center"/>
              <w:rPr>
                <w:rFonts w:ascii="Times New Roman" w:hAnsi="Times New Roman" w:cs="Times New Roman"/>
                <w:sz w:val="24"/>
                <w:szCs w:val="24"/>
              </w:rPr>
            </w:pPr>
            <w:r>
              <w:rPr>
                <w:rFonts w:ascii="Times New Roman" w:hAnsi="Times New Roman" w:cs="Times New Roman"/>
                <w:sz w:val="24"/>
                <w:szCs w:val="24"/>
              </w:rPr>
              <w:t>30</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1CB6C23">
            <w:pPr>
              <w:jc w:val="center"/>
              <w:rPr>
                <w:rFonts w:ascii="Times New Roman" w:hAnsi="Times New Roman" w:cs="Times New Roman"/>
                <w:sz w:val="24"/>
                <w:szCs w:val="24"/>
              </w:rPr>
            </w:pPr>
            <w:r>
              <w:rPr>
                <w:rFonts w:ascii="Times New Roman" w:hAnsi="Times New Roman" w:cs="Times New Roman"/>
                <w:sz w:val="24"/>
                <w:szCs w:val="24"/>
              </w:rPr>
              <w:t>750000</w:t>
            </w:r>
          </w:p>
        </w:tc>
      </w:tr>
      <w:tr w14:paraId="590C9418">
        <w:tblPrEx>
          <w:tblCellMar>
            <w:top w:w="0" w:type="dxa"/>
            <w:left w:w="108" w:type="dxa"/>
            <w:bottom w:w="0" w:type="dxa"/>
            <w:right w:w="108" w:type="dxa"/>
          </w:tblCellMar>
        </w:tblPrEx>
        <w:trPr>
          <w:trHeight w:val="710" w:hRule="atLeast"/>
          <w:jc w:val="center"/>
        </w:trPr>
        <w:tc>
          <w:tcPr>
            <w:tcW w:w="223" w:type="pct"/>
            <w:tcBorders>
              <w:top w:val="single" w:color="000000" w:sz="4" w:space="0"/>
              <w:left w:val="single" w:color="000000" w:sz="4" w:space="0"/>
              <w:bottom w:val="single" w:color="000000" w:sz="4" w:space="0"/>
              <w:right w:val="single" w:color="000000" w:sz="4" w:space="0"/>
            </w:tcBorders>
            <w:vAlign w:val="center"/>
          </w:tcPr>
          <w:p w14:paraId="0E3E7310">
            <w:pPr>
              <w:jc w:val="center"/>
              <w:rPr>
                <w:rFonts w:ascii="Times New Roman" w:hAnsi="Times New Roman" w:cs="Times New Roman"/>
                <w:sz w:val="24"/>
                <w:szCs w:val="24"/>
              </w:rPr>
            </w:pPr>
            <w:r>
              <w:rPr>
                <w:rFonts w:ascii="Times New Roman" w:hAnsi="Times New Roman" w:cs="Times New Roman"/>
                <w:sz w:val="24"/>
                <w:szCs w:val="24"/>
              </w:rPr>
              <w:t>12</w:t>
            </w:r>
          </w:p>
        </w:tc>
        <w:tc>
          <w:tcPr>
            <w:tcW w:w="414" w:type="pct"/>
            <w:vMerge w:val="continue"/>
            <w:tcBorders>
              <w:top w:val="single" w:color="000000" w:sz="4" w:space="0"/>
              <w:left w:val="single" w:color="000000" w:sz="4" w:space="0"/>
              <w:bottom w:val="single" w:color="000000" w:sz="4" w:space="0"/>
              <w:right w:val="single" w:color="000000" w:sz="4" w:space="0"/>
            </w:tcBorders>
            <w:vAlign w:val="center"/>
          </w:tcPr>
          <w:p w14:paraId="2551DD65">
            <w:pPr>
              <w:jc w:val="center"/>
              <w:rPr>
                <w:rFonts w:ascii="Times New Roman" w:hAnsi="Times New Roman" w:cs="Times New Roman"/>
                <w:sz w:val="24"/>
                <w:szCs w:val="24"/>
              </w:rPr>
            </w:pPr>
          </w:p>
        </w:tc>
        <w:tc>
          <w:tcPr>
            <w:tcW w:w="997" w:type="pct"/>
            <w:vMerge w:val="continue"/>
            <w:tcBorders>
              <w:top w:val="single" w:color="000000" w:sz="4" w:space="0"/>
              <w:left w:val="single" w:color="000000" w:sz="4" w:space="0"/>
              <w:bottom w:val="single" w:color="000000" w:sz="4" w:space="0"/>
              <w:right w:val="single" w:color="000000" w:sz="4" w:space="0"/>
            </w:tcBorders>
            <w:vAlign w:val="center"/>
          </w:tcPr>
          <w:p w14:paraId="1FE9EDE7">
            <w:pPr>
              <w:rPr>
                <w:rFonts w:ascii="Times New Roman" w:hAnsi="Times New Roman" w:cs="Times New Roman"/>
                <w:sz w:val="24"/>
                <w:szCs w:val="24"/>
              </w:rPr>
            </w:pPr>
          </w:p>
        </w:tc>
        <w:tc>
          <w:tcPr>
            <w:tcW w:w="648" w:type="pct"/>
            <w:vMerge w:val="continue"/>
            <w:tcBorders>
              <w:top w:val="single" w:color="000000" w:sz="4" w:space="0"/>
              <w:left w:val="single" w:color="000000" w:sz="4" w:space="0"/>
              <w:bottom w:val="single" w:color="000000" w:sz="4" w:space="0"/>
              <w:right w:val="single" w:color="000000" w:sz="4" w:space="0"/>
            </w:tcBorders>
            <w:vAlign w:val="center"/>
          </w:tcPr>
          <w:p w14:paraId="5537DFA9">
            <w:pPr>
              <w:jc w:val="left"/>
              <w:rPr>
                <w:rFonts w:ascii="Times New Roman" w:hAnsi="Times New Roman" w:cs="Times New Roman"/>
                <w:sz w:val="24"/>
                <w:szCs w:val="24"/>
              </w:rPr>
            </w:pPr>
          </w:p>
        </w:tc>
        <w:tc>
          <w:tcPr>
            <w:tcW w:w="1691" w:type="pct"/>
            <w:tcBorders>
              <w:top w:val="single" w:color="000000" w:sz="4" w:space="0"/>
              <w:left w:val="single" w:color="000000" w:sz="4" w:space="0"/>
              <w:bottom w:val="single" w:color="000000" w:sz="4" w:space="0"/>
              <w:right w:val="single" w:color="000000" w:sz="4" w:space="0"/>
            </w:tcBorders>
            <w:vAlign w:val="center"/>
          </w:tcPr>
          <w:p w14:paraId="40C3AFAE">
            <w:pPr>
              <w:rPr>
                <w:rFonts w:ascii="Times New Roman" w:hAnsi="Times New Roman" w:cs="Times New Roman"/>
                <w:sz w:val="24"/>
                <w:szCs w:val="24"/>
              </w:rPr>
            </w:pPr>
            <w:r>
              <w:rPr>
                <w:rFonts w:ascii="Times New Roman" w:hAnsi="Times New Roman" w:cs="Times New Roman"/>
                <w:sz w:val="24"/>
                <w:szCs w:val="24"/>
              </w:rPr>
              <w:t>产出量评估总报告（周期性的综合评估结论，除产出物以外，还应当完成以下工作：汇总分析各期服务单产出量评估结果，呈现整体交付成果的审核情况、有效产出达成度及趋势，为服务结算和服务管理优化提供依据。）</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FE66443">
            <w:pPr>
              <w:rPr>
                <w:rFonts w:ascii="Times New Roman" w:hAnsi="Times New Roman" w:cs="Times New Roman"/>
                <w:sz w:val="24"/>
                <w:szCs w:val="24"/>
              </w:rPr>
            </w:pPr>
            <w:r>
              <w:rPr>
                <w:rFonts w:ascii="Times New Roman" w:hAnsi="Times New Roman" w:cs="Times New Roman"/>
                <w:sz w:val="24"/>
                <w:szCs w:val="24"/>
              </w:rPr>
              <w:t>130000</w:t>
            </w:r>
          </w:p>
        </w:tc>
        <w:tc>
          <w:tcPr>
            <w:tcW w:w="313" w:type="pct"/>
            <w:tcBorders>
              <w:top w:val="single" w:color="000000" w:sz="4" w:space="0"/>
              <w:left w:val="single" w:color="000000" w:sz="4" w:space="0"/>
              <w:bottom w:val="single" w:color="000000" w:sz="4" w:space="0"/>
              <w:right w:val="single" w:color="000000" w:sz="4" w:space="0"/>
            </w:tcBorders>
            <w:noWrap/>
            <w:vAlign w:val="center"/>
          </w:tcPr>
          <w:p w14:paraId="29B773C7">
            <w:pPr>
              <w:jc w:val="center"/>
              <w:rPr>
                <w:rFonts w:ascii="Times New Roman" w:hAnsi="Times New Roman" w:cs="Times New Roman"/>
                <w:sz w:val="24"/>
                <w:szCs w:val="24"/>
              </w:rPr>
            </w:pPr>
            <w:r>
              <w:rPr>
                <w:rFonts w:ascii="Times New Roman" w:hAnsi="Times New Roman" w:cs="Times New Roman"/>
                <w:sz w:val="24"/>
                <w:szCs w:val="24"/>
              </w:rPr>
              <w:t>1</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526423FE">
            <w:pPr>
              <w:jc w:val="center"/>
              <w:rPr>
                <w:rFonts w:ascii="Times New Roman" w:hAnsi="Times New Roman" w:cs="Times New Roman"/>
                <w:sz w:val="24"/>
                <w:szCs w:val="24"/>
              </w:rPr>
            </w:pPr>
            <w:r>
              <w:rPr>
                <w:rFonts w:ascii="Times New Roman" w:hAnsi="Times New Roman" w:cs="Times New Roman"/>
                <w:sz w:val="24"/>
                <w:szCs w:val="24"/>
              </w:rPr>
              <w:t>130000</w:t>
            </w:r>
          </w:p>
        </w:tc>
      </w:tr>
      <w:tr w14:paraId="4D3FC683">
        <w:tblPrEx>
          <w:tblCellMar>
            <w:top w:w="0" w:type="dxa"/>
            <w:left w:w="108" w:type="dxa"/>
            <w:bottom w:w="0" w:type="dxa"/>
            <w:right w:w="108" w:type="dxa"/>
          </w:tblCellMar>
        </w:tblPrEx>
        <w:trPr>
          <w:trHeight w:val="90" w:hRule="atLeast"/>
          <w:jc w:val="center"/>
        </w:trPr>
        <w:tc>
          <w:tcPr>
            <w:tcW w:w="4644" w:type="pct"/>
            <w:gridSpan w:val="7"/>
            <w:tcBorders>
              <w:top w:val="single" w:color="000000" w:sz="4" w:space="0"/>
              <w:left w:val="single" w:color="000000" w:sz="4" w:space="0"/>
              <w:bottom w:val="single" w:color="000000" w:sz="4" w:space="0"/>
              <w:right w:val="single" w:color="000000" w:sz="4" w:space="0"/>
            </w:tcBorders>
            <w:vAlign w:val="center"/>
          </w:tcPr>
          <w:p w14:paraId="3FC6BDD2">
            <w:pPr>
              <w:jc w:val="center"/>
              <w:rPr>
                <w:rFonts w:ascii="Times New Roman" w:hAnsi="Times New Roman" w:cs="Times New Roman"/>
                <w:b/>
                <w:sz w:val="24"/>
                <w:szCs w:val="24"/>
              </w:rPr>
            </w:pPr>
            <w:r>
              <w:rPr>
                <w:rFonts w:ascii="Times New Roman" w:hAnsi="Times New Roman" w:cs="Times New Roman"/>
                <w:b/>
                <w:sz w:val="24"/>
                <w:szCs w:val="24"/>
              </w:rPr>
              <w:t>小计</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0291B2B4">
            <w:pPr>
              <w:jc w:val="center"/>
              <w:rPr>
                <w:rFonts w:ascii="Times New Roman" w:hAnsi="Times New Roman" w:cs="Times New Roman"/>
                <w:b/>
                <w:sz w:val="24"/>
                <w:szCs w:val="24"/>
              </w:rPr>
            </w:pPr>
            <w:r>
              <w:rPr>
                <w:rFonts w:ascii="Times New Roman" w:hAnsi="Times New Roman" w:cs="Times New Roman"/>
                <w:b/>
                <w:sz w:val="24"/>
                <w:szCs w:val="24"/>
              </w:rPr>
              <w:t>1600000</w:t>
            </w:r>
          </w:p>
        </w:tc>
      </w:tr>
      <w:tr w14:paraId="7292483C">
        <w:tblPrEx>
          <w:tblCellMar>
            <w:top w:w="0" w:type="dxa"/>
            <w:left w:w="108" w:type="dxa"/>
            <w:bottom w:w="0" w:type="dxa"/>
            <w:right w:w="108" w:type="dxa"/>
          </w:tblCellMar>
        </w:tblPrEx>
        <w:trPr>
          <w:trHeight w:val="90" w:hRule="atLeast"/>
          <w:jc w:val="center"/>
        </w:trPr>
        <w:tc>
          <w:tcPr>
            <w:tcW w:w="4644" w:type="pct"/>
            <w:gridSpan w:val="7"/>
            <w:tcBorders>
              <w:top w:val="single" w:color="000000" w:sz="4" w:space="0"/>
              <w:left w:val="single" w:color="000000" w:sz="4" w:space="0"/>
              <w:bottom w:val="single" w:color="000000" w:sz="4" w:space="0"/>
              <w:right w:val="single" w:color="000000" w:sz="4" w:space="0"/>
            </w:tcBorders>
            <w:vAlign w:val="center"/>
          </w:tcPr>
          <w:p w14:paraId="02E8A5C5">
            <w:pPr>
              <w:jc w:val="center"/>
              <w:rPr>
                <w:rFonts w:ascii="Times New Roman" w:hAnsi="Times New Roman" w:cs="Times New Roman"/>
                <w:b/>
                <w:sz w:val="24"/>
                <w:szCs w:val="24"/>
              </w:rPr>
            </w:pPr>
            <w:r>
              <w:rPr>
                <w:rFonts w:ascii="Times New Roman" w:hAnsi="Times New Roman" w:cs="Times New Roman"/>
                <w:b/>
                <w:sz w:val="24"/>
                <w:szCs w:val="24"/>
              </w:rPr>
              <w:t>合计</w:t>
            </w:r>
          </w:p>
        </w:tc>
        <w:tc>
          <w:tcPr>
            <w:tcW w:w="356" w:type="pct"/>
            <w:tcBorders>
              <w:top w:val="single" w:color="000000" w:sz="4" w:space="0"/>
              <w:left w:val="single" w:color="000000" w:sz="4" w:space="0"/>
              <w:bottom w:val="single" w:color="000000" w:sz="4" w:space="0"/>
              <w:right w:val="single" w:color="000000" w:sz="4" w:space="0"/>
            </w:tcBorders>
            <w:noWrap/>
            <w:vAlign w:val="center"/>
          </w:tcPr>
          <w:p w14:paraId="24B0AE51">
            <w:pPr>
              <w:jc w:val="center"/>
              <w:rPr>
                <w:rFonts w:ascii="Times New Roman" w:hAnsi="Times New Roman" w:cs="Times New Roman"/>
                <w:b/>
                <w:sz w:val="24"/>
                <w:szCs w:val="24"/>
              </w:rPr>
            </w:pPr>
            <w:r>
              <w:rPr>
                <w:rFonts w:ascii="Times New Roman" w:hAnsi="Times New Roman" w:cs="Times New Roman"/>
                <w:b/>
                <w:sz w:val="24"/>
                <w:szCs w:val="24"/>
              </w:rPr>
              <w:t>4000000</w:t>
            </w:r>
          </w:p>
        </w:tc>
      </w:tr>
    </w:tbl>
    <w:p w14:paraId="15E1196A">
      <w:pPr>
        <w:rPr>
          <w:rFonts w:ascii="Times New Roman" w:hAnsi="Times New Roman" w:cs="Times New Roma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2328"/>
      <w:showingPlcHdr/>
    </w:sdtPr>
    <w:sdtContent>
      <w:p w14:paraId="5CD79F50">
        <w:pPr>
          <w:pStyle w:val="6"/>
          <w:jc w:val="center"/>
        </w:pP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2355"/>
      <w:docPartObj>
        <w:docPartGallery w:val="autotext"/>
      </w:docPartObj>
    </w:sdtPr>
    <w:sdtContent>
      <w:p w14:paraId="2A643152">
        <w:pPr>
          <w:pStyle w:val="6"/>
          <w:jc w:val="center"/>
        </w:pPr>
        <w:r>
          <w:fldChar w:fldCharType="begin"/>
        </w:r>
        <w:r>
          <w:instrText xml:space="preserve"> PAGE   \* MERGEFORMAT </w:instrText>
        </w:r>
        <w:r>
          <w:fldChar w:fldCharType="separate"/>
        </w:r>
        <w:r>
          <w:rPr>
            <w:lang w:val="zh-CN"/>
          </w:rPr>
          <w:t>16</w:t>
        </w:r>
        <w:r>
          <w:rPr>
            <w:lang w:val="zh-CN"/>
          </w:rPr>
          <w:fldChar w:fldCharType="end"/>
        </w:r>
      </w:p>
    </w:sdtContent>
  </w:sdt>
  <w:p w14:paraId="4DAE1471">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57AA"/>
    <w:rsid w:val="000200AC"/>
    <w:rsid w:val="00035D7A"/>
    <w:rsid w:val="00044EA3"/>
    <w:rsid w:val="0005376E"/>
    <w:rsid w:val="00105ABE"/>
    <w:rsid w:val="00115855"/>
    <w:rsid w:val="0022476A"/>
    <w:rsid w:val="00242874"/>
    <w:rsid w:val="00287161"/>
    <w:rsid w:val="00294D7B"/>
    <w:rsid w:val="002957AA"/>
    <w:rsid w:val="002A6D49"/>
    <w:rsid w:val="002C23B6"/>
    <w:rsid w:val="002D1933"/>
    <w:rsid w:val="002E2143"/>
    <w:rsid w:val="00304805"/>
    <w:rsid w:val="00356EAA"/>
    <w:rsid w:val="00360865"/>
    <w:rsid w:val="00375573"/>
    <w:rsid w:val="003B2A8C"/>
    <w:rsid w:val="00442A29"/>
    <w:rsid w:val="00595695"/>
    <w:rsid w:val="006116E1"/>
    <w:rsid w:val="006F02DB"/>
    <w:rsid w:val="00741215"/>
    <w:rsid w:val="007526FB"/>
    <w:rsid w:val="007901EE"/>
    <w:rsid w:val="007F0A67"/>
    <w:rsid w:val="008C77DB"/>
    <w:rsid w:val="008D320C"/>
    <w:rsid w:val="0094341E"/>
    <w:rsid w:val="00970AC6"/>
    <w:rsid w:val="009D2651"/>
    <w:rsid w:val="00A00515"/>
    <w:rsid w:val="00A15D5D"/>
    <w:rsid w:val="00A37C02"/>
    <w:rsid w:val="00A74E4D"/>
    <w:rsid w:val="00A75F82"/>
    <w:rsid w:val="00B559DD"/>
    <w:rsid w:val="00B574D0"/>
    <w:rsid w:val="00BB7607"/>
    <w:rsid w:val="00BF63D6"/>
    <w:rsid w:val="00BF780F"/>
    <w:rsid w:val="00C711B6"/>
    <w:rsid w:val="00CB1359"/>
    <w:rsid w:val="00D05536"/>
    <w:rsid w:val="00D54E6F"/>
    <w:rsid w:val="00D652B6"/>
    <w:rsid w:val="00D675E1"/>
    <w:rsid w:val="00D74EBE"/>
    <w:rsid w:val="00DD02EA"/>
    <w:rsid w:val="00E941AE"/>
    <w:rsid w:val="00ED405C"/>
    <w:rsid w:val="00EF6465"/>
    <w:rsid w:val="00F468F5"/>
    <w:rsid w:val="00F7205B"/>
    <w:rsid w:val="64661CBC"/>
    <w:rsid w:val="79BD6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autoRedefine/>
    <w:qFormat/>
    <w:uiPriority w:val="9"/>
    <w:pPr>
      <w:ind w:left="643"/>
      <w:jc w:val="left"/>
      <w:outlineLvl w:val="0"/>
    </w:pPr>
    <w:rPr>
      <w:rFonts w:ascii="黑体" w:hAnsi="黑体" w:eastAsia="黑体" w:cs="仿宋_GB2312"/>
      <w:bCs/>
      <w:kern w:val="44"/>
      <w:sz w:val="32"/>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semiHidden/>
    <w:unhideWhenUsed/>
    <w:qFormat/>
    <w:uiPriority w:val="99"/>
    <w:rPr>
      <w:rFonts w:ascii="宋体" w:eastAsia="宋体"/>
      <w:sz w:val="18"/>
      <w:szCs w:val="18"/>
    </w:rPr>
  </w:style>
  <w:style w:type="paragraph" w:styleId="4">
    <w:name w:val="Body Text Indent"/>
    <w:basedOn w:val="1"/>
    <w:link w:val="14"/>
    <w:semiHidden/>
    <w:unhideWhenUsed/>
    <w:qFormat/>
    <w:uiPriority w:val="99"/>
    <w:pPr>
      <w:spacing w:after="120"/>
      <w:ind w:left="420" w:leftChars="200"/>
    </w:pPr>
  </w:style>
  <w:style w:type="paragraph" w:styleId="5">
    <w:name w:val="Balloon Text"/>
    <w:basedOn w:val="1"/>
    <w:link w:val="18"/>
    <w:semiHidden/>
    <w:unhideWhenUsed/>
    <w:qFormat/>
    <w:uiPriority w:val="99"/>
    <w:rPr>
      <w:sz w:val="18"/>
      <w:szCs w:val="18"/>
    </w:rPr>
  </w:style>
  <w:style w:type="paragraph" w:styleId="6">
    <w:name w:val="footer"/>
    <w:basedOn w:val="1"/>
    <w:link w:val="13"/>
    <w:autoRedefine/>
    <w:unhideWhenUsed/>
    <w:qFormat/>
    <w:uiPriority w:val="99"/>
    <w:pPr>
      <w:tabs>
        <w:tab w:val="center" w:pos="4153"/>
        <w:tab w:val="right" w:pos="8306"/>
      </w:tabs>
      <w:snapToGrid w:val="0"/>
      <w:jc w:val="left"/>
    </w:pPr>
    <w:rPr>
      <w:sz w:val="18"/>
      <w:szCs w:val="18"/>
    </w:rPr>
  </w:style>
  <w:style w:type="paragraph" w:styleId="7">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15"/>
    <w:autoRedefine/>
    <w:qFormat/>
    <w:uiPriority w:val="0"/>
    <w:pPr>
      <w:spacing w:line="360" w:lineRule="auto"/>
      <w:ind w:left="0" w:leftChars="0"/>
      <w:jc w:val="center"/>
    </w:pPr>
    <w:rPr>
      <w:rFonts w:ascii="Times New Roman" w:hAnsi="Times New Roman" w:eastAsia="宋体" w:cs="Times New Roman"/>
      <w:sz w:val="24"/>
      <w:szCs w:val="24"/>
      <w:lang w:val="zh-CN"/>
    </w:rPr>
  </w:style>
  <w:style w:type="table" w:styleId="10">
    <w:name w:val="Table Grid"/>
    <w:basedOn w:val="9"/>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1 Char"/>
    <w:basedOn w:val="11"/>
    <w:link w:val="2"/>
    <w:qFormat/>
    <w:uiPriority w:val="9"/>
    <w:rPr>
      <w:rFonts w:ascii="黑体" w:hAnsi="黑体" w:eastAsia="黑体" w:cs="仿宋_GB2312"/>
      <w:bCs/>
      <w:kern w:val="44"/>
      <w:sz w:val="32"/>
      <w:szCs w:val="44"/>
    </w:rPr>
  </w:style>
  <w:style w:type="character" w:customStyle="1" w:styleId="13">
    <w:name w:val="页脚 Char"/>
    <w:basedOn w:val="11"/>
    <w:link w:val="6"/>
    <w:qFormat/>
    <w:uiPriority w:val="99"/>
    <w:rPr>
      <w:sz w:val="18"/>
      <w:szCs w:val="18"/>
    </w:rPr>
  </w:style>
  <w:style w:type="character" w:customStyle="1" w:styleId="14">
    <w:name w:val="正文文本缩进 Char"/>
    <w:basedOn w:val="11"/>
    <w:link w:val="4"/>
    <w:semiHidden/>
    <w:qFormat/>
    <w:uiPriority w:val="99"/>
  </w:style>
  <w:style w:type="character" w:customStyle="1" w:styleId="15">
    <w:name w:val="正文首行缩进 2 Char"/>
    <w:basedOn w:val="14"/>
    <w:link w:val="8"/>
    <w:qFormat/>
    <w:uiPriority w:val="0"/>
    <w:rPr>
      <w:rFonts w:ascii="Times New Roman" w:hAnsi="Times New Roman" w:eastAsia="宋体" w:cs="Times New Roman"/>
      <w:sz w:val="24"/>
      <w:szCs w:val="24"/>
      <w:lang w:val="zh-CN"/>
    </w:rPr>
  </w:style>
  <w:style w:type="paragraph" w:styleId="16">
    <w:name w:val="List Paragraph"/>
    <w:basedOn w:val="1"/>
    <w:link w:val="17"/>
    <w:autoRedefine/>
    <w:qFormat/>
    <w:uiPriority w:val="34"/>
    <w:pPr>
      <w:ind w:firstLine="420" w:firstLineChars="200"/>
    </w:pPr>
  </w:style>
  <w:style w:type="character" w:customStyle="1" w:styleId="17">
    <w:name w:val="列出段落 Char"/>
    <w:link w:val="16"/>
    <w:autoRedefine/>
    <w:qFormat/>
    <w:uiPriority w:val="34"/>
  </w:style>
  <w:style w:type="character" w:customStyle="1" w:styleId="18">
    <w:name w:val="批注框文本 Char"/>
    <w:basedOn w:val="11"/>
    <w:link w:val="5"/>
    <w:semiHidden/>
    <w:qFormat/>
    <w:uiPriority w:val="99"/>
    <w:rPr>
      <w:sz w:val="18"/>
      <w:szCs w:val="18"/>
    </w:rPr>
  </w:style>
  <w:style w:type="character" w:customStyle="1" w:styleId="19">
    <w:name w:val="页眉 Char"/>
    <w:basedOn w:val="11"/>
    <w:link w:val="7"/>
    <w:semiHidden/>
    <w:qFormat/>
    <w:uiPriority w:val="99"/>
    <w:rPr>
      <w:sz w:val="18"/>
      <w:szCs w:val="18"/>
    </w:rPr>
  </w:style>
  <w:style w:type="character" w:customStyle="1" w:styleId="20">
    <w:name w:val="文档结构图 Char"/>
    <w:basedOn w:val="11"/>
    <w:link w:val="3"/>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XSoulja-7</Company>
  <Pages>20</Pages>
  <Words>7476</Words>
  <Characters>7660</Characters>
  <Lines>85</Lines>
  <Paragraphs>24</Paragraphs>
  <TotalTime>176</TotalTime>
  <ScaleCrop>false</ScaleCrop>
  <LinksUpToDate>false</LinksUpToDate>
  <CharactersWithSpaces>7684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2025-10-27T06:17:00Z</dcterms:created>
  <dc:creator>XSoulja</dc:creator>
  <cp:lastModifiedBy>晋一民</cp:lastModifiedBy>
  <dcterms:modified xsi:type="dcterms:W3CDTF">2025-11-19T03:18:38Z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eyJoZGlkIjoiNGM3MmY0OTNjM2FiYjM2YjE2NGRhZTljZmIyMTQyNWMiLCJ1c2VySWQiOiIxNjQzMTc3ODEwIn0=</vt:lpwstr>
  </property>
  <property fmtid="{D5CDD505-2E9C-101B-9397-08002B2CF9AE}" pid="3" name="KSOProductBuildVer">
    <vt:lpwstr>2052-12.1.0.20305</vt:lpwstr>
  </property>
  <property fmtid="{D5CDD505-2E9C-101B-9397-08002B2CF9AE}" pid="4" name="ICV">
    <vt:lpwstr>61E4CEB6317549B28593715A97A0A3B7_12</vt:lpwstr>
  </property>
</Properties>
</file>