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360" w:lineRule="auto"/>
        <w:ind w:firstLine="562" w:firstLineChars="200"/>
        <w:jc w:val="center"/>
        <w:textAlignment w:val="baseline"/>
        <w:rPr>
          <w:rFonts w:hint="eastAsia" w:ascii="宋体" w:hAnsi="宋体" w:eastAsia="宋体" w:cs="宋体"/>
          <w:b/>
          <w:bCs/>
          <w:sz w:val="28"/>
          <w:szCs w:val="28"/>
        </w:rPr>
      </w:pPr>
      <w:r>
        <w:rPr>
          <w:rFonts w:hint="eastAsia" w:ascii="宋体" w:hAnsi="宋体" w:eastAsia="宋体" w:cs="宋体"/>
          <w:b/>
          <w:bCs/>
          <w:sz w:val="28"/>
          <w:szCs w:val="28"/>
        </w:rPr>
        <w:t>202</w:t>
      </w:r>
      <w:r>
        <w:rPr>
          <w:rFonts w:hint="eastAsia" w:ascii="宋体" w:hAnsi="宋体" w:cs="宋体"/>
          <w:b/>
          <w:bCs/>
          <w:sz w:val="28"/>
          <w:szCs w:val="28"/>
          <w:lang w:val="en-US" w:eastAsia="zh-CN"/>
        </w:rPr>
        <w:t>6</w:t>
      </w:r>
      <w:r>
        <w:rPr>
          <w:rFonts w:hint="eastAsia" w:ascii="宋体" w:hAnsi="宋体" w:eastAsia="宋体" w:cs="宋体"/>
          <w:b/>
          <w:bCs/>
          <w:sz w:val="28"/>
          <w:szCs w:val="28"/>
        </w:rPr>
        <w:t>年泐马河出海闸运行项目</w:t>
      </w:r>
      <w:r>
        <w:rPr>
          <w:rFonts w:hint="eastAsia" w:ascii="宋体" w:hAnsi="宋体" w:eastAsia="宋体" w:cs="宋体"/>
          <w:b/>
          <w:bCs/>
          <w:sz w:val="28"/>
          <w:szCs w:val="28"/>
          <w:lang w:val="en-US" w:eastAsia="zh-CN"/>
        </w:rPr>
        <w:t>采购</w:t>
      </w:r>
      <w:r>
        <w:rPr>
          <w:rFonts w:hint="eastAsia" w:ascii="宋体" w:hAnsi="宋体" w:eastAsia="宋体" w:cs="宋体"/>
          <w:b/>
          <w:bCs/>
          <w:sz w:val="28"/>
          <w:szCs w:val="28"/>
        </w:rPr>
        <w:t>需求</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一、项目基本情况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1、项目名称：202</w:t>
      </w:r>
      <w:r>
        <w:rPr>
          <w:rFonts w:hint="eastAsia" w:ascii="宋体" w:hAnsi="宋体" w:cs="宋体"/>
          <w:sz w:val="24"/>
          <w:szCs w:val="24"/>
          <w:lang w:val="en-US" w:eastAsia="zh-CN"/>
        </w:rPr>
        <w:t>6</w:t>
      </w:r>
      <w:r>
        <w:rPr>
          <w:rFonts w:hint="eastAsia" w:ascii="宋体" w:hAnsi="宋体" w:eastAsia="宋体" w:cs="宋体"/>
          <w:sz w:val="24"/>
          <w:szCs w:val="24"/>
        </w:rPr>
        <w:t>年泐马河出海闸运行项目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2、服务范围：对泐马河出海闸派</w:t>
      </w:r>
      <w:r>
        <w:rPr>
          <w:rFonts w:hint="eastAsia" w:ascii="宋体" w:hAnsi="宋体" w:eastAsia="宋体" w:cs="宋体"/>
          <w:sz w:val="24"/>
          <w:szCs w:val="24"/>
          <w:lang w:eastAsia="zh-CN"/>
        </w:rPr>
        <w:t>人</w:t>
      </w:r>
      <w:r>
        <w:rPr>
          <w:rFonts w:hint="eastAsia" w:ascii="宋体" w:hAnsi="宋体" w:eastAsia="宋体" w:cs="宋体"/>
          <w:sz w:val="24"/>
          <w:szCs w:val="24"/>
        </w:rPr>
        <w:t>员进行运行管理，并对设施设备进行日常养护。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、项目</w:t>
      </w:r>
      <w:r>
        <w:rPr>
          <w:rFonts w:hint="eastAsia" w:ascii="宋体" w:hAnsi="宋体" w:eastAsia="宋体" w:cs="宋体"/>
          <w:b/>
          <w:bCs/>
          <w:sz w:val="24"/>
          <w:szCs w:val="24"/>
          <w:lang w:eastAsia="zh-CN"/>
        </w:rPr>
        <w:t>概况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泐马河出海闸位于临港新片区南部，泐马河入杭州湾出海口处，水闸横轴线位于现状海塘大堤以北约198</w:t>
      </w:r>
      <w:r>
        <w:rPr>
          <w:rFonts w:hint="eastAsia" w:ascii="宋体" w:hAnsi="宋体" w:cs="宋体"/>
          <w:sz w:val="24"/>
          <w:szCs w:val="24"/>
          <w:lang w:val="en-US" w:eastAsia="zh-CN"/>
        </w:rPr>
        <w:t>m</w:t>
      </w:r>
      <w:r>
        <w:rPr>
          <w:rFonts w:hint="eastAsia" w:ascii="宋体" w:hAnsi="宋体" w:eastAsia="宋体" w:cs="宋体"/>
          <w:sz w:val="24"/>
          <w:szCs w:val="24"/>
        </w:rPr>
        <w:t>。水闸口门净宽50m。工程为Ⅰ等工程，配置5孔单孔净宽10m平面直升闸门，启闭机形式为液压启闭机，配备检修闸门一套。工程主要包括水闸主体、金属结构及启闭机、电气控制系统、闸区道路绿化、管理用房及辅助设施等。工程供电为一路10kV进电，配备100kW柴油发电机作为备用电源。管理区总面积9875.97㎡，绿化面积6399.40㎡，管理房等总建筑面积约1731㎡。</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、运行养护工作的主要内容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泐马河出海闸</w:t>
      </w:r>
      <w:r>
        <w:rPr>
          <w:rFonts w:hint="eastAsia" w:ascii="宋体" w:hAnsi="宋体" w:cs="宋体"/>
          <w:sz w:val="24"/>
          <w:szCs w:val="24"/>
          <w:lang w:eastAsia="zh-CN"/>
        </w:rPr>
        <w:t>的</w:t>
      </w:r>
      <w:r>
        <w:rPr>
          <w:rFonts w:hint="eastAsia" w:ascii="宋体" w:hAnsi="宋体" w:eastAsia="宋体" w:cs="宋体"/>
          <w:sz w:val="24"/>
          <w:szCs w:val="24"/>
        </w:rPr>
        <w:t>工程运行、维修养护、档案资料、闸区管理等</w:t>
      </w:r>
      <w:r>
        <w:rPr>
          <w:rFonts w:hint="eastAsia" w:ascii="宋体" w:hAnsi="宋体" w:cs="宋体"/>
          <w:sz w:val="24"/>
          <w:szCs w:val="24"/>
          <w:lang w:eastAsia="zh-CN"/>
        </w:rPr>
        <w:t>工作内容</w:t>
      </w:r>
      <w:r>
        <w:rPr>
          <w:rFonts w:hint="eastAsia" w:ascii="宋体" w:hAnsi="宋体" w:eastAsia="宋体" w:cs="宋体"/>
          <w:sz w:val="24"/>
          <w:szCs w:val="24"/>
        </w:rPr>
        <w:t>由</w:t>
      </w:r>
      <w:r>
        <w:rPr>
          <w:rFonts w:hint="eastAsia" w:ascii="宋体" w:hAnsi="宋体" w:cs="宋体"/>
          <w:sz w:val="24"/>
          <w:szCs w:val="24"/>
          <w:lang w:eastAsia="zh-CN"/>
        </w:rPr>
        <w:t>本次成交供应商（</w:t>
      </w:r>
      <w:r>
        <w:rPr>
          <w:rFonts w:hint="eastAsia" w:ascii="宋体" w:hAnsi="宋体" w:eastAsia="宋体" w:cs="宋体"/>
          <w:sz w:val="24"/>
          <w:szCs w:val="24"/>
        </w:rPr>
        <w:t>运行养护单位</w:t>
      </w:r>
      <w:r>
        <w:rPr>
          <w:rFonts w:hint="eastAsia" w:ascii="宋体" w:hAnsi="宋体" w:cs="宋体"/>
          <w:sz w:val="24"/>
          <w:szCs w:val="24"/>
          <w:lang w:eastAsia="zh-CN"/>
        </w:rPr>
        <w:t>）</w:t>
      </w:r>
      <w:r>
        <w:rPr>
          <w:rFonts w:hint="eastAsia" w:ascii="宋体" w:hAnsi="宋体" w:eastAsia="宋体" w:cs="宋体"/>
          <w:sz w:val="24"/>
          <w:szCs w:val="24"/>
        </w:rPr>
        <w:t>负责</w:t>
      </w:r>
      <w:r>
        <w:rPr>
          <w:rFonts w:hint="eastAsia" w:ascii="宋体" w:hAnsi="宋体" w:cs="宋体"/>
          <w:sz w:val="24"/>
          <w:szCs w:val="24"/>
          <w:lang w:eastAsia="zh-CN"/>
        </w:rPr>
        <w:t>，</w:t>
      </w:r>
      <w:r>
        <w:rPr>
          <w:rFonts w:hint="eastAsia" w:ascii="宋体" w:hAnsi="宋体" w:eastAsia="宋体" w:cs="宋体"/>
          <w:sz w:val="24"/>
          <w:szCs w:val="24"/>
        </w:rPr>
        <w:t>运行养护单位负责做好工程管理和安全运行</w:t>
      </w:r>
      <w:r>
        <w:rPr>
          <w:rFonts w:hint="eastAsia" w:ascii="宋体" w:hAnsi="宋体" w:cs="宋体"/>
          <w:sz w:val="24"/>
          <w:szCs w:val="24"/>
          <w:lang w:eastAsia="zh-CN"/>
        </w:rPr>
        <w:t>。</w:t>
      </w:r>
      <w:r>
        <w:rPr>
          <w:rFonts w:hint="eastAsia" w:ascii="宋体" w:hAnsi="宋体" w:eastAsia="宋体" w:cs="宋体"/>
          <w:sz w:val="24"/>
          <w:szCs w:val="24"/>
        </w:rPr>
        <w:t>严格按照水闸设备</w:t>
      </w:r>
      <w:r>
        <w:rPr>
          <w:rFonts w:hint="eastAsia" w:ascii="宋体" w:hAnsi="宋体" w:cs="宋体"/>
          <w:sz w:val="24"/>
          <w:szCs w:val="24"/>
          <w:lang w:eastAsia="zh-CN"/>
        </w:rPr>
        <w:t>的</w:t>
      </w:r>
      <w:r>
        <w:rPr>
          <w:rFonts w:hint="eastAsia" w:ascii="宋体" w:hAnsi="宋体" w:eastAsia="宋体" w:cs="宋体"/>
          <w:sz w:val="24"/>
          <w:szCs w:val="24"/>
        </w:rPr>
        <w:t>运行操作规程执行调度指令，按照国家、行业、地方规程要求做好设施设备养护，保证设施设备处于良好运行状态</w:t>
      </w:r>
      <w:r>
        <w:rPr>
          <w:rFonts w:hint="eastAsia" w:ascii="宋体" w:hAnsi="宋体" w:cs="宋体"/>
          <w:sz w:val="24"/>
          <w:szCs w:val="24"/>
          <w:lang w:eastAsia="zh-CN"/>
        </w:rPr>
        <w:t>；</w:t>
      </w:r>
      <w:r>
        <w:rPr>
          <w:rFonts w:hint="eastAsia" w:ascii="宋体" w:hAnsi="宋体" w:eastAsia="宋体" w:cs="宋体"/>
          <w:sz w:val="24"/>
          <w:szCs w:val="24"/>
        </w:rPr>
        <w:t>做好闸区日常安防工作，确保工程运行安全。</w:t>
      </w:r>
      <w:r>
        <w:rPr>
          <w:rFonts w:hint="eastAsia" w:ascii="宋体" w:hAnsi="宋体" w:cs="宋体"/>
          <w:sz w:val="24"/>
          <w:szCs w:val="24"/>
          <w:lang w:eastAsia="zh-CN"/>
        </w:rPr>
        <w:t>采购人</w:t>
      </w:r>
      <w:r>
        <w:rPr>
          <w:rFonts w:hint="eastAsia" w:ascii="宋体" w:hAnsi="宋体" w:eastAsia="宋体" w:cs="宋体"/>
          <w:sz w:val="24"/>
          <w:szCs w:val="24"/>
        </w:rPr>
        <w:t>对</w:t>
      </w:r>
      <w:r>
        <w:rPr>
          <w:rFonts w:hint="eastAsia" w:ascii="宋体" w:hAnsi="宋体" w:eastAsia="宋体" w:cs="宋体"/>
          <w:sz w:val="24"/>
          <w:szCs w:val="24"/>
          <w:lang w:eastAsia="zh-CN"/>
        </w:rPr>
        <w:t>成交</w:t>
      </w:r>
      <w:r>
        <w:rPr>
          <w:rFonts w:hint="eastAsia" w:ascii="宋体" w:hAnsi="宋体" w:cs="宋体"/>
          <w:sz w:val="24"/>
          <w:szCs w:val="24"/>
          <w:lang w:eastAsia="zh-CN"/>
        </w:rPr>
        <w:t>供应商</w:t>
      </w:r>
      <w:r>
        <w:rPr>
          <w:rFonts w:hint="eastAsia" w:ascii="宋体" w:hAnsi="宋体" w:eastAsia="宋体" w:cs="宋体"/>
          <w:sz w:val="24"/>
          <w:szCs w:val="24"/>
        </w:rPr>
        <w:t>以合同管理的方式进行日常管理，对</w:t>
      </w:r>
      <w:r>
        <w:rPr>
          <w:rFonts w:hint="eastAsia" w:ascii="宋体" w:hAnsi="宋体" w:eastAsia="宋体" w:cs="宋体"/>
          <w:sz w:val="24"/>
          <w:szCs w:val="24"/>
          <w:lang w:eastAsia="zh-CN"/>
        </w:rPr>
        <w:t>成交</w:t>
      </w:r>
      <w:r>
        <w:rPr>
          <w:rFonts w:hint="eastAsia" w:ascii="宋体" w:hAnsi="宋体" w:cs="宋体"/>
          <w:sz w:val="24"/>
          <w:szCs w:val="24"/>
          <w:lang w:eastAsia="zh-CN"/>
        </w:rPr>
        <w:t>供应商</w:t>
      </w:r>
      <w:r>
        <w:rPr>
          <w:rFonts w:hint="eastAsia" w:ascii="宋体" w:hAnsi="宋体" w:eastAsia="宋体" w:cs="宋体"/>
          <w:sz w:val="24"/>
          <w:szCs w:val="24"/>
        </w:rPr>
        <w:t>进行全面的检查、考核、评分，并根据考核情况进行相应的奖惩；</w:t>
      </w:r>
      <w:bookmarkStart w:id="0" w:name="_GoBack"/>
      <w:bookmarkEnd w:id="0"/>
      <w:r>
        <w:rPr>
          <w:rFonts w:hint="eastAsia" w:ascii="宋体" w:hAnsi="宋体" w:eastAsia="宋体" w:cs="宋体"/>
          <w:sz w:val="24"/>
          <w:szCs w:val="24"/>
        </w:rPr>
        <w:t>审核运行养护单位编制的运行养护计划，审核确认维修方案和组织实施工程及设备大修，根据技术标准及合同对运行养护单位进行管理，力促</w:t>
      </w:r>
      <w:r>
        <w:rPr>
          <w:rFonts w:hint="eastAsia" w:ascii="宋体" w:hAnsi="宋体" w:eastAsia="宋体" w:cs="宋体"/>
          <w:sz w:val="24"/>
          <w:szCs w:val="24"/>
          <w:lang w:eastAsia="zh-CN"/>
        </w:rPr>
        <w:t>成交</w:t>
      </w:r>
      <w:r>
        <w:rPr>
          <w:rFonts w:hint="eastAsia" w:ascii="宋体" w:hAnsi="宋体" w:cs="宋体"/>
          <w:sz w:val="24"/>
          <w:szCs w:val="24"/>
          <w:lang w:eastAsia="zh-CN"/>
        </w:rPr>
        <w:t>供应商</w:t>
      </w:r>
      <w:r>
        <w:rPr>
          <w:rFonts w:hint="eastAsia" w:ascii="宋体" w:hAnsi="宋体" w:eastAsia="宋体" w:cs="宋体"/>
          <w:sz w:val="24"/>
          <w:szCs w:val="24"/>
        </w:rPr>
        <w:t>做好水闸运行和养护工作，从而确保水闸安全运行，设施设备有效完好。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（一）运行</w:t>
      </w:r>
      <w:r>
        <w:rPr>
          <w:rFonts w:hint="eastAsia" w:ascii="宋体" w:hAnsi="宋体" w:cs="宋体"/>
          <w:sz w:val="24"/>
          <w:szCs w:val="24"/>
          <w:lang w:eastAsia="zh-CN"/>
        </w:rPr>
        <w:t>养护</w:t>
      </w:r>
      <w:r>
        <w:rPr>
          <w:rFonts w:hint="eastAsia" w:ascii="宋体" w:hAnsi="宋体" w:eastAsia="宋体" w:cs="宋体"/>
          <w:sz w:val="24"/>
          <w:szCs w:val="24"/>
        </w:rPr>
        <w:t>单位基本职责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1、负责组织对工程设施及附属设施的运行与养护管理，确保工程安全完好，保障设施正常运行；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2、负责编制水闸（季度、年度）运行养护工作计划；</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3、准确及时地执行管理单位及防汛部门的调度指令；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4、根据国家有关规范，按照管理单位要求，做好电机、电气、起重设备、防雷、消防、报警等设施设备的定期安全检测；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5、配合管理单位做好工程设施的资产管理；</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6、编制工程专项维修建议书，配合管理单位做好专项工程的实施；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7、根据合同规定，提供所有为工程设施运行养护作业所必须的管理、劳务、机具及其设备与其他物品等；</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8、对现场运行和养护作业的适用性、稳定性、安全性全面负责；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9、制定并执行运行管理、操作规程、安全生产、质量保证等方面的制度，同时做好员工相应的培训教育工作；承担安全生产责任；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10、所聘人员必须具备与所从事的岗位相匹配的技术等级证书；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11、及时上报水闸工程运行养护的资料和数据，反映存在的问题并提出合理的建议和必要的措施；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12、对管理单位在检查、考核中发现的问题和合理建议应及时整改；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13、做好水闸运行养护的有关资料的归档工作，做到分类明晰、资料真实；</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14、如发生突发安全等事件，应及时通知管理单位，并根据突发事件处置预案要求进行合理处置；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15、协助管理单位做好与工程运行养护有关的其他工作。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（二）防汛职责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1、健全防汛与安全组织网络，全面落实防汛责任；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2、完善防汛预案，健全防汛组织和抢险队伍，准备防汛抢险物资，落实相应度汛措施，做好防汛防台的各项准备工作；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3、做好水闸的安全检查工作，发现安全隐患，应及时整改；</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4、做好防汛值班和值班电话接听工作，按照规定上报水闸工情、水情及运行情况等信息；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5、及时准确执行上级调度指令，按照管理单位要求做好台风暴雨来临前的水位预降等工作。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（三）调水职责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1、认真执行管理单位运行调度指令，做好内河水位的控制和调水工作；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2、调水运行前，综合养护单位应做好内外河有关情况的观察和水闸机电设备的检查，确保水闸运行安全；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3、按照管理单位要求及时做好水闸调水信息的统计和上报工作；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4、及时向管理单位反映在调水工作中发生的异常情况。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（四）日常检查及养护职责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1、观测与测量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）根据需要做好水工结构伸缩缝、裂缝、扬压力等观测；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）机电设备及避雷设施接地电阻测试；</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）按照管理单位要求，统一做好水下设施设备的观测测量；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）其它需要观测和测量的工作。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default" w:ascii="宋体" w:hAnsi="宋体" w:eastAsia="宋体" w:cs="宋体"/>
          <w:sz w:val="24"/>
          <w:szCs w:val="24"/>
          <w:lang w:val="en-US"/>
        </w:rPr>
        <w:t>2</w:t>
      </w:r>
      <w:r>
        <w:rPr>
          <w:rFonts w:hint="eastAsia" w:ascii="宋体" w:hAnsi="宋体" w:eastAsia="宋体" w:cs="宋体"/>
          <w:sz w:val="24"/>
          <w:szCs w:val="24"/>
        </w:rPr>
        <w:t>、巡视检查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日常检查：按管理单位有关管理制度要求，组织开展全面巡视检查，对主要设施设备巡视检查每周不少于两次，对频繁运行的设施设备的巡视检查应随时跟踪进行，对水工建筑物的巡视检查每周不少于一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（2）定期检查：做好汛前与汛后的定期检查，并将检查结果书面报管理单位；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特别检查：做好台风、暴雨与高潮位来临前的检查以及其它特殊工况发生情况下的检查，同时，根据上级要求做好各节假日与其他情况下的检查，并将检查结果及时上报管理单位，存在严重安全隐患时，应及时书面上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3、养护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做好水闸水工、闸门与金属设施、启闭机械、配电设备、监控系统、其它各种机电设备及附属设施的日常养护工作，保障设施设备的完好有效（具体频次要求根据《上海市水闸养护维修技术规程》及工程量清单完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（2）加强闸区环境卫生保洁工作，保持整洁、卫生、文明的工作环境。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（五）安全生产与治安管理职责</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1、根据安全生产法规与突发事件应急处置预案要求，进一步完善水闸应急抢险方案，加强预案演练；</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2、建立健全安全生产台账，切实落实各项安全生产岗位责任制，严格执行各项安全操作规程，加强安全检查和隐患整改，确保水闸安全运行，做到安全生产无事故。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3、做好闸区治安保卫工作，防止发生盗窃与各类治安案件，抓好消防安全工作，防止发生火灾事故，保护好水闸工程设施设备不受损坏。管理好水闸国有资产，防止资产损失。</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（六）防汛防台及应急措施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1、设置防汛物资及备品备件仓库，配备必须的物资及工器具。</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default" w:ascii="宋体" w:hAnsi="宋体" w:eastAsia="宋体" w:cs="宋体"/>
          <w:sz w:val="24"/>
          <w:szCs w:val="24"/>
          <w:lang w:val="en-US"/>
        </w:rPr>
        <w:t>2</w:t>
      </w:r>
      <w:r>
        <w:rPr>
          <w:rFonts w:hint="eastAsia" w:ascii="宋体" w:hAnsi="宋体" w:eastAsia="宋体" w:cs="宋体"/>
          <w:sz w:val="24"/>
          <w:szCs w:val="24"/>
        </w:rPr>
        <w:t>、配置自控、液压、电气、金结等应急队伍力量（主要负责设备故障抢修），并建立抢险单位机制。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b/>
          <w:bCs/>
          <w:sz w:val="24"/>
          <w:szCs w:val="24"/>
          <w:lang w:eastAsia="zh-CN"/>
        </w:rPr>
        <w:t>拟派</w:t>
      </w:r>
      <w:r>
        <w:rPr>
          <w:rFonts w:hint="eastAsia" w:ascii="宋体" w:hAnsi="宋体" w:eastAsia="宋体" w:cs="宋体"/>
          <w:b/>
          <w:bCs/>
          <w:sz w:val="24"/>
          <w:szCs w:val="24"/>
        </w:rPr>
        <w:t>人员要求</w:t>
      </w:r>
    </w:p>
    <w:p>
      <w:pPr>
        <w:pStyle w:val="5"/>
        <w:keepNext w:val="0"/>
        <w:keepLines w:val="0"/>
        <w:pageBreakBefore w:val="0"/>
        <w:widowControl/>
        <w:kinsoku w:val="0"/>
        <w:wordWrap/>
        <w:overflowPunct/>
        <w:topLinePunct w:val="0"/>
        <w:autoSpaceDE w:val="0"/>
        <w:autoSpaceDN w:val="0"/>
        <w:bidi w:val="0"/>
        <w:adjustRightInd w:val="0"/>
        <w:snapToGrid w:val="0"/>
        <w:spacing w:beforeLines="0" w:afterLines="0" w:line="440" w:lineRule="exact"/>
        <w:textAlignment w:val="baseline"/>
        <w:rPr>
          <w:rFonts w:hint="default" w:hAnsi="Courier New" w:eastAsia="宋体" w:cs="Times New Roman"/>
          <w:b w:val="0"/>
          <w:bCs/>
          <w:highlight w:val="none"/>
          <w:lang w:val="en-US" w:eastAsia="zh-CN"/>
        </w:rPr>
      </w:pPr>
      <w:r>
        <w:rPr>
          <w:rFonts w:hint="eastAsia" w:cs="Times New Roman"/>
          <w:b w:val="0"/>
          <w:bCs/>
          <w:highlight w:val="none"/>
          <w:lang w:val="en-US" w:eastAsia="zh-CN"/>
        </w:rPr>
        <w:t>4.1 总体要求</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cs="宋体"/>
          <w:sz w:val="24"/>
          <w:szCs w:val="24"/>
        </w:rPr>
      </w:pPr>
      <w:r>
        <w:rPr>
          <w:rFonts w:hint="eastAsia" w:ascii="宋体" w:hAnsi="宋体" w:cs="宋体"/>
          <w:sz w:val="24"/>
          <w:szCs w:val="24"/>
        </w:rPr>
        <w:t>年龄：为法定退休年龄之前的中国公民，身体健康，体貌端正，退伍军人为佳；</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hint="eastAsia" w:ascii="宋体" w:hAnsi="宋体" w:cs="宋体"/>
          <w:sz w:val="24"/>
          <w:szCs w:val="24"/>
        </w:rPr>
        <w:t>工作经验：具备一年及其以上的</w:t>
      </w:r>
      <w:r>
        <w:rPr>
          <w:rFonts w:hint="eastAsia" w:ascii="宋体" w:hAnsi="宋体" w:eastAsia="宋体" w:cs="宋体"/>
          <w:sz w:val="24"/>
          <w:szCs w:val="24"/>
          <w:lang w:eastAsia="zh-CN"/>
        </w:rPr>
        <w:t>运行</w:t>
      </w:r>
      <w:r>
        <w:rPr>
          <w:rFonts w:hint="eastAsia" w:ascii="宋体" w:hAnsi="宋体" w:cs="宋体"/>
          <w:sz w:val="24"/>
          <w:szCs w:val="24"/>
          <w:lang w:val="en-US" w:eastAsia="zh-CN"/>
        </w:rPr>
        <w:t>养护</w:t>
      </w:r>
      <w:r>
        <w:rPr>
          <w:rFonts w:hint="eastAsia" w:ascii="宋体" w:hAnsi="宋体" w:cs="宋体"/>
          <w:sz w:val="24"/>
          <w:szCs w:val="24"/>
        </w:rPr>
        <w:t>工作经验；</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left="0" w:leftChars="0" w:firstLine="480" w:firstLineChars="200"/>
        <w:textAlignment w:val="baseline"/>
        <w:rPr>
          <w:rFonts w:hint="eastAsia" w:ascii="宋体" w:hAnsi="宋体" w:cs="宋体"/>
          <w:sz w:val="24"/>
          <w:szCs w:val="24"/>
          <w:lang w:eastAsia="zh-CN"/>
        </w:rPr>
      </w:pPr>
      <w:r>
        <w:rPr>
          <w:rFonts w:hint="eastAsia" w:ascii="宋体" w:hAnsi="宋体" w:cs="宋体"/>
          <w:sz w:val="24"/>
          <w:szCs w:val="24"/>
        </w:rPr>
        <w:t>本项目的项目负责人必须是响应单位在编的、并与响应文件内容相一致的人员担任，管理能力强，有高度为业主服务的热情。若采购人认为派驻现场的项目负责人不能达到要求，则</w:t>
      </w:r>
      <w:r>
        <w:rPr>
          <w:rFonts w:hint="eastAsia" w:ascii="宋体" w:hAnsi="宋体" w:cs="宋体"/>
          <w:sz w:val="24"/>
          <w:szCs w:val="24"/>
          <w:lang w:eastAsia="zh-CN"/>
        </w:rPr>
        <w:t>成交</w:t>
      </w:r>
      <w:r>
        <w:rPr>
          <w:rFonts w:hint="eastAsia" w:ascii="宋体" w:hAnsi="宋体" w:cs="宋体"/>
          <w:sz w:val="24"/>
          <w:szCs w:val="24"/>
        </w:rPr>
        <w:t>供应商应无条件更换项目负责人，直至采购人满意为止，否则采购人有权取消</w:t>
      </w:r>
      <w:r>
        <w:rPr>
          <w:rFonts w:hint="eastAsia" w:ascii="宋体" w:hAnsi="宋体" w:cs="宋体"/>
          <w:sz w:val="24"/>
          <w:szCs w:val="24"/>
          <w:lang w:eastAsia="zh-CN"/>
        </w:rPr>
        <w:t>成交</w:t>
      </w:r>
      <w:r>
        <w:rPr>
          <w:rFonts w:hint="eastAsia" w:ascii="宋体" w:hAnsi="宋体" w:cs="宋体"/>
          <w:sz w:val="24"/>
          <w:szCs w:val="24"/>
        </w:rPr>
        <w:t>供应商的</w:t>
      </w:r>
      <w:r>
        <w:rPr>
          <w:rFonts w:hint="eastAsia" w:ascii="宋体" w:hAnsi="宋体" w:cs="宋体"/>
          <w:sz w:val="24"/>
          <w:szCs w:val="24"/>
          <w:lang w:eastAsia="zh-CN"/>
        </w:rPr>
        <w:t>成交</w:t>
      </w:r>
      <w:r>
        <w:rPr>
          <w:rFonts w:hint="eastAsia" w:ascii="宋体" w:hAnsi="宋体" w:cs="宋体"/>
          <w:sz w:val="24"/>
          <w:szCs w:val="24"/>
        </w:rPr>
        <w:t>资格或取消与其签订的项目服务合同</w:t>
      </w:r>
      <w:r>
        <w:rPr>
          <w:rFonts w:hint="eastAsia" w:ascii="宋体" w:hAnsi="宋体" w:cs="宋体"/>
          <w:sz w:val="24"/>
          <w:szCs w:val="24"/>
          <w:lang w:eastAsia="zh-CN"/>
        </w:rPr>
        <w:t>；</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left="0" w:leftChars="0" w:firstLine="480" w:firstLineChars="200"/>
        <w:textAlignment w:val="baseline"/>
        <w:rPr>
          <w:rFonts w:ascii="宋体" w:hAnsi="宋体" w:cs="宋体"/>
          <w:sz w:val="24"/>
          <w:szCs w:val="24"/>
        </w:rPr>
      </w:pPr>
      <w:r>
        <w:rPr>
          <w:rFonts w:hint="eastAsia" w:ascii="宋体" w:hAnsi="宋体" w:cs="宋体"/>
          <w:sz w:val="24"/>
          <w:szCs w:val="24"/>
        </w:rPr>
        <w:t>政治合格、品行良好、责任心强；</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left="0" w:leftChars="0" w:firstLine="480" w:firstLineChars="200"/>
        <w:textAlignment w:val="baseline"/>
        <w:rPr>
          <w:rFonts w:hint="eastAsia" w:ascii="宋体" w:hAnsi="宋体" w:cs="宋体"/>
          <w:sz w:val="24"/>
          <w:szCs w:val="24"/>
        </w:rPr>
      </w:pPr>
      <w:r>
        <w:rPr>
          <w:rFonts w:hint="eastAsia" w:ascii="宋体" w:hAnsi="宋体" w:cs="宋体"/>
          <w:sz w:val="24"/>
          <w:szCs w:val="24"/>
        </w:rPr>
        <w:t>遵守法律、法规、政策和规章制度，无违法犯罪记录,吃苦耐劳、作风严谨；</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440" w:lineRule="exact"/>
        <w:ind w:left="0" w:leftChars="0" w:firstLine="480" w:firstLineChars="200"/>
        <w:textAlignment w:val="baseline"/>
        <w:rPr>
          <w:rFonts w:hint="eastAsia" w:ascii="宋体" w:hAnsi="宋体" w:cs="宋体"/>
          <w:sz w:val="24"/>
          <w:szCs w:val="24"/>
        </w:rPr>
      </w:pPr>
      <w:r>
        <w:rPr>
          <w:rFonts w:hint="eastAsia" w:ascii="宋体" w:hAnsi="宋体" w:cs="宋体"/>
          <w:sz w:val="24"/>
          <w:szCs w:val="24"/>
        </w:rPr>
        <w:t>身体健康，无残疾、无传染性疾病。</w:t>
      </w:r>
    </w:p>
    <w:p>
      <w:pPr>
        <w:pStyle w:val="5"/>
        <w:keepNext w:val="0"/>
        <w:keepLines w:val="0"/>
        <w:pageBreakBefore w:val="0"/>
        <w:widowControl/>
        <w:kinsoku w:val="0"/>
        <w:wordWrap/>
        <w:overflowPunct/>
        <w:topLinePunct w:val="0"/>
        <w:autoSpaceDE w:val="0"/>
        <w:autoSpaceDN w:val="0"/>
        <w:bidi w:val="0"/>
        <w:adjustRightInd w:val="0"/>
        <w:snapToGrid w:val="0"/>
        <w:spacing w:beforeLines="0" w:afterLines="0" w:line="440" w:lineRule="exact"/>
        <w:textAlignment w:val="baseline"/>
        <w:rPr>
          <w:rFonts w:hint="default" w:hAnsi="Courier New" w:eastAsia="宋体" w:cs="Times New Roman"/>
          <w:b w:val="0"/>
          <w:bCs/>
          <w:highlight w:val="none"/>
          <w:lang w:val="en-US" w:eastAsia="zh-CN"/>
        </w:rPr>
      </w:pPr>
      <w:r>
        <w:rPr>
          <w:rFonts w:hint="eastAsia" w:cs="Times New Roman"/>
          <w:b w:val="0"/>
          <w:bCs/>
          <w:highlight w:val="none"/>
          <w:lang w:val="en-US" w:eastAsia="zh-CN"/>
        </w:rPr>
        <w:t>4.2 管理人员配备要求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275"/>
        <w:gridCol w:w="1440"/>
        <w:gridCol w:w="2400"/>
        <w:gridCol w:w="1095"/>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0"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序号</w:t>
            </w:r>
          </w:p>
        </w:tc>
        <w:tc>
          <w:tcPr>
            <w:tcW w:w="127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岗位类别</w:t>
            </w:r>
          </w:p>
        </w:tc>
        <w:tc>
          <w:tcPr>
            <w:tcW w:w="1440"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岗位名称</w:t>
            </w:r>
          </w:p>
        </w:tc>
        <w:tc>
          <w:tcPr>
            <w:tcW w:w="2400"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人员要求</w:t>
            </w:r>
          </w:p>
        </w:tc>
        <w:tc>
          <w:tcPr>
            <w:tcW w:w="109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最少配置数量</w:t>
            </w:r>
          </w:p>
        </w:tc>
        <w:tc>
          <w:tcPr>
            <w:tcW w:w="1692"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提供验证资料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1</w:t>
            </w:r>
          </w:p>
        </w:tc>
        <w:tc>
          <w:tcPr>
            <w:tcW w:w="1275" w:type="dxa"/>
            <w:vMerge w:val="restart"/>
            <w:noWrap w:val="0"/>
            <w:vAlign w:val="center"/>
          </w:tcPr>
          <w:p>
            <w:pPr>
              <w:widowControl w:val="0"/>
              <w:jc w:val="center"/>
              <w:rPr>
                <w:rFonts w:hint="eastAsia" w:eastAsia="宋体"/>
                <w:vertAlign w:val="baseline"/>
                <w:lang w:eastAsia="zh-CN"/>
              </w:rPr>
            </w:pPr>
            <w:r>
              <w:rPr>
                <w:rFonts w:hint="eastAsia" w:eastAsia="宋体"/>
                <w:vertAlign w:val="baseline"/>
                <w:lang w:eastAsia="zh-CN"/>
              </w:rPr>
              <w:t>管理人员</w:t>
            </w:r>
          </w:p>
        </w:tc>
        <w:tc>
          <w:tcPr>
            <w:tcW w:w="1440"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项目负责人</w:t>
            </w:r>
          </w:p>
        </w:tc>
        <w:tc>
          <w:tcPr>
            <w:tcW w:w="2400" w:type="dxa"/>
            <w:noWrap w:val="0"/>
            <w:vAlign w:val="center"/>
          </w:tcPr>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eastAsia="宋体"/>
                <w:vertAlign w:val="baseline"/>
                <w:lang w:val="en-US" w:eastAsia="zh-CN"/>
              </w:rPr>
            </w:pPr>
            <w:r>
              <w:rPr>
                <w:rFonts w:hint="eastAsia" w:ascii="宋体" w:hAnsi="宋体" w:eastAsia="宋体" w:cs="宋体"/>
                <w:sz w:val="21"/>
                <w:szCs w:val="21"/>
                <w:lang w:eastAsia="zh-CN"/>
              </w:rPr>
              <w:t>具有</w:t>
            </w:r>
            <w:r>
              <w:rPr>
                <w:rFonts w:hint="eastAsia" w:ascii="宋体" w:hAnsi="宋体" w:eastAsia="宋体" w:cs="宋体"/>
                <w:sz w:val="21"/>
                <w:szCs w:val="21"/>
                <w:lang w:val="en-US" w:eastAsia="zh-CN"/>
              </w:rPr>
              <w:t>本科学历，</w:t>
            </w:r>
            <w:r>
              <w:rPr>
                <w:rFonts w:hint="eastAsia" w:ascii="宋体" w:hAnsi="宋体" w:eastAsia="宋体" w:cs="宋体"/>
                <w:sz w:val="21"/>
                <w:szCs w:val="21"/>
              </w:rPr>
              <w:t>一级建造师</w:t>
            </w:r>
            <w:r>
              <w:rPr>
                <w:rFonts w:hint="eastAsia" w:ascii="宋体" w:hAnsi="宋体" w:cs="宋体"/>
                <w:sz w:val="21"/>
                <w:szCs w:val="21"/>
                <w:lang w:eastAsia="zh-CN"/>
              </w:rPr>
              <w:t>，</w:t>
            </w:r>
            <w:r>
              <w:rPr>
                <w:rFonts w:hint="eastAsia" w:ascii="宋体" w:hAnsi="宋体" w:eastAsia="宋体" w:cs="宋体"/>
                <w:sz w:val="21"/>
                <w:szCs w:val="21"/>
              </w:rPr>
              <w:t>水利水电专业高级工程师职称</w:t>
            </w:r>
          </w:p>
        </w:tc>
        <w:tc>
          <w:tcPr>
            <w:tcW w:w="1095"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1</w:t>
            </w:r>
          </w:p>
        </w:tc>
        <w:tc>
          <w:tcPr>
            <w:tcW w:w="1692"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2</w:t>
            </w:r>
          </w:p>
        </w:tc>
        <w:tc>
          <w:tcPr>
            <w:tcW w:w="1275" w:type="dxa"/>
            <w:vMerge w:val="continue"/>
            <w:noWrap w:val="0"/>
            <w:vAlign w:val="center"/>
          </w:tcPr>
          <w:p>
            <w:pPr>
              <w:widowControl w:val="0"/>
              <w:jc w:val="center"/>
              <w:rPr>
                <w:vertAlign w:val="baseline"/>
              </w:rPr>
            </w:pPr>
          </w:p>
        </w:tc>
        <w:tc>
          <w:tcPr>
            <w:tcW w:w="1440"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技术负责人</w:t>
            </w:r>
          </w:p>
        </w:tc>
        <w:tc>
          <w:tcPr>
            <w:tcW w:w="2400" w:type="dxa"/>
            <w:noWrap w:val="0"/>
            <w:vAlign w:val="center"/>
          </w:tcPr>
          <w:p>
            <w:pPr>
              <w:widowControl w:val="0"/>
              <w:autoSpaceDE/>
              <w:autoSpaceDN/>
              <w:spacing w:line="360" w:lineRule="auto"/>
              <w:jc w:val="left"/>
              <w:rPr>
                <w:rFonts w:hint="eastAsia" w:eastAsia="宋体"/>
                <w:vertAlign w:val="baseline"/>
                <w:lang w:eastAsia="zh-CN"/>
              </w:rPr>
            </w:pPr>
            <w:r>
              <w:rPr>
                <w:rFonts w:hint="eastAsia" w:eastAsia="宋体"/>
                <w:vertAlign w:val="baseline"/>
                <w:lang w:eastAsia="zh-CN"/>
              </w:rPr>
              <w:t>具有本科学历，二级</w:t>
            </w:r>
            <w:r>
              <w:rPr>
                <w:rFonts w:hint="eastAsia"/>
                <w:vertAlign w:val="baseline"/>
                <w:lang w:eastAsia="zh-CN"/>
              </w:rPr>
              <w:t>及以上</w:t>
            </w:r>
            <w:r>
              <w:rPr>
                <w:rFonts w:hint="eastAsia" w:eastAsia="宋体"/>
                <w:vertAlign w:val="baseline"/>
                <w:lang w:eastAsia="zh-CN"/>
              </w:rPr>
              <w:t>建造师</w:t>
            </w:r>
            <w:r>
              <w:rPr>
                <w:rFonts w:hint="eastAsia"/>
                <w:vertAlign w:val="baseline"/>
                <w:lang w:eastAsia="zh-CN"/>
              </w:rPr>
              <w:t>，</w:t>
            </w:r>
            <w:r>
              <w:rPr>
                <w:rFonts w:hint="eastAsia" w:eastAsia="宋体"/>
                <w:vertAlign w:val="baseline"/>
                <w:lang w:eastAsia="zh-CN"/>
              </w:rPr>
              <w:t>中级</w:t>
            </w:r>
            <w:r>
              <w:rPr>
                <w:rFonts w:hint="eastAsia"/>
                <w:vertAlign w:val="baseline"/>
                <w:lang w:eastAsia="zh-CN"/>
              </w:rPr>
              <w:t>及以上</w:t>
            </w:r>
            <w:r>
              <w:rPr>
                <w:rFonts w:hint="eastAsia" w:eastAsia="宋体"/>
                <w:vertAlign w:val="baseline"/>
                <w:lang w:eastAsia="zh-CN"/>
              </w:rPr>
              <w:t>工程师</w:t>
            </w:r>
            <w:r>
              <w:rPr>
                <w:rFonts w:hint="eastAsia"/>
                <w:vertAlign w:val="baseline"/>
                <w:lang w:eastAsia="zh-CN"/>
              </w:rPr>
              <w:t>职称</w:t>
            </w:r>
          </w:p>
        </w:tc>
        <w:tc>
          <w:tcPr>
            <w:tcW w:w="1095"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1</w:t>
            </w:r>
          </w:p>
        </w:tc>
        <w:tc>
          <w:tcPr>
            <w:tcW w:w="1692" w:type="dxa"/>
            <w:noWrap w:val="0"/>
            <w:vAlign w:val="center"/>
          </w:tcPr>
          <w:p>
            <w:pPr>
              <w:widowControl w:val="0"/>
              <w:jc w:val="center"/>
              <w:rPr>
                <w:vertAlign w:val="baseline"/>
              </w:rPr>
            </w:pPr>
            <w:r>
              <w:rPr>
                <w:rFonts w:hint="eastAsia" w:eastAsia="宋体"/>
                <w:vertAlign w:val="baseline"/>
                <w:lang w:eastAsia="zh-CN"/>
              </w:rPr>
              <w:t>职称证书扫描件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3</w:t>
            </w:r>
          </w:p>
        </w:tc>
        <w:tc>
          <w:tcPr>
            <w:tcW w:w="1275" w:type="dxa"/>
            <w:vMerge w:val="restart"/>
            <w:noWrap w:val="0"/>
            <w:vAlign w:val="center"/>
          </w:tcPr>
          <w:p>
            <w:pPr>
              <w:widowControl w:val="0"/>
              <w:jc w:val="center"/>
              <w:rPr>
                <w:rFonts w:hint="eastAsia" w:eastAsia="宋体"/>
                <w:vertAlign w:val="baseline"/>
                <w:lang w:eastAsia="zh-CN"/>
              </w:rPr>
            </w:pPr>
            <w:r>
              <w:rPr>
                <w:rFonts w:hint="eastAsia" w:eastAsia="宋体"/>
                <w:vertAlign w:val="baseline"/>
                <w:lang w:eastAsia="zh-CN"/>
              </w:rPr>
              <w:t>其他专业技术人员</w:t>
            </w:r>
          </w:p>
        </w:tc>
        <w:tc>
          <w:tcPr>
            <w:tcW w:w="1440" w:type="dxa"/>
            <w:noWrap w:val="0"/>
            <w:vAlign w:val="center"/>
          </w:tcPr>
          <w:p>
            <w:pPr>
              <w:widowControl w:val="0"/>
              <w:jc w:val="center"/>
              <w:rPr>
                <w:rFonts w:hint="eastAsia" w:ascii="Arial" w:hAnsi="Arial" w:eastAsia="宋体" w:cs="Arial"/>
                <w:snapToGrid w:val="0"/>
                <w:color w:val="000000"/>
                <w:kern w:val="0"/>
                <w:sz w:val="21"/>
                <w:szCs w:val="21"/>
                <w:vertAlign w:val="baseline"/>
                <w:lang w:val="en-US" w:eastAsia="zh-CN" w:bidi="ar-SA"/>
              </w:rPr>
            </w:pPr>
            <w:r>
              <w:rPr>
                <w:rFonts w:hint="eastAsia" w:eastAsia="宋体"/>
                <w:vertAlign w:val="baseline"/>
                <w:lang w:eastAsia="zh-CN"/>
              </w:rPr>
              <w:t>安全</w:t>
            </w:r>
            <w:r>
              <w:rPr>
                <w:rFonts w:hint="eastAsia" w:ascii="Arial" w:eastAsia="宋体"/>
                <w:vertAlign w:val="baseline"/>
                <w:lang w:val="en-US" w:eastAsia="zh-CN"/>
              </w:rPr>
              <w:t>员</w:t>
            </w:r>
          </w:p>
        </w:tc>
        <w:tc>
          <w:tcPr>
            <w:tcW w:w="2400" w:type="dxa"/>
            <w:noWrap w:val="0"/>
            <w:vAlign w:val="center"/>
          </w:tcPr>
          <w:p>
            <w:pPr>
              <w:widowControl w:val="0"/>
              <w:jc w:val="center"/>
              <w:rPr>
                <w:rFonts w:hint="eastAsia" w:ascii="Arial" w:hAnsi="Arial" w:eastAsia="Arial" w:cs="Arial"/>
                <w:snapToGrid w:val="0"/>
                <w:color w:val="000000"/>
                <w:kern w:val="0"/>
                <w:sz w:val="21"/>
                <w:szCs w:val="21"/>
                <w:vertAlign w:val="baseline"/>
                <w:lang w:val="en-US" w:eastAsia="zh-CN" w:bidi="ar-SA"/>
              </w:rPr>
            </w:pPr>
          </w:p>
        </w:tc>
        <w:tc>
          <w:tcPr>
            <w:tcW w:w="1095" w:type="dxa"/>
            <w:noWrap w:val="0"/>
            <w:vAlign w:val="center"/>
          </w:tcPr>
          <w:p>
            <w:pPr>
              <w:widowControl w:val="0"/>
              <w:jc w:val="center"/>
              <w:rPr>
                <w:rFonts w:hint="default" w:ascii="Arial" w:hAnsi="Arial" w:eastAsia="宋体" w:cs="Arial"/>
                <w:snapToGrid w:val="0"/>
                <w:color w:val="000000"/>
                <w:kern w:val="0"/>
                <w:sz w:val="21"/>
                <w:szCs w:val="21"/>
                <w:vertAlign w:val="baseline"/>
                <w:lang w:val="en-US" w:eastAsia="zh-CN" w:bidi="ar-SA"/>
              </w:rPr>
            </w:pPr>
            <w:r>
              <w:rPr>
                <w:rFonts w:hint="eastAsia" w:ascii="Arial" w:eastAsia="宋体"/>
                <w:vertAlign w:val="baseline"/>
                <w:lang w:val="en-US" w:eastAsia="zh-CN"/>
              </w:rPr>
              <w:t>1</w:t>
            </w:r>
          </w:p>
        </w:tc>
        <w:tc>
          <w:tcPr>
            <w:tcW w:w="1692" w:type="dxa"/>
            <w:noWrap w:val="0"/>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4</w:t>
            </w:r>
          </w:p>
        </w:tc>
        <w:tc>
          <w:tcPr>
            <w:tcW w:w="1275" w:type="dxa"/>
            <w:vMerge w:val="continue"/>
            <w:noWrap w:val="0"/>
            <w:vAlign w:val="center"/>
          </w:tcPr>
          <w:p>
            <w:pPr>
              <w:widowControl w:val="0"/>
              <w:jc w:val="center"/>
              <w:rPr>
                <w:vertAlign w:val="baseline"/>
              </w:rPr>
            </w:pPr>
          </w:p>
        </w:tc>
        <w:tc>
          <w:tcPr>
            <w:tcW w:w="1440" w:type="dxa"/>
            <w:noWrap w:val="0"/>
            <w:vAlign w:val="center"/>
          </w:tcPr>
          <w:p>
            <w:pPr>
              <w:widowControl w:val="0"/>
              <w:jc w:val="center"/>
              <w:rPr>
                <w:rFonts w:hint="default" w:ascii="Arial" w:hAnsi="Arial" w:eastAsia="宋体" w:cs="Arial"/>
                <w:snapToGrid w:val="0"/>
                <w:color w:val="000000"/>
                <w:kern w:val="0"/>
                <w:sz w:val="21"/>
                <w:szCs w:val="21"/>
                <w:vertAlign w:val="baseline"/>
                <w:lang w:val="en-US" w:eastAsia="zh-CN" w:bidi="ar-SA"/>
              </w:rPr>
            </w:pPr>
            <w:r>
              <w:rPr>
                <w:rFonts w:hint="eastAsia" w:eastAsia="宋体"/>
                <w:vertAlign w:val="baseline"/>
                <w:lang w:eastAsia="zh-CN"/>
              </w:rPr>
              <w:t>资料</w:t>
            </w:r>
            <w:r>
              <w:rPr>
                <w:rFonts w:hint="eastAsia" w:ascii="Arial" w:eastAsia="宋体"/>
                <w:vertAlign w:val="baseline"/>
                <w:lang w:val="en-US" w:eastAsia="zh-CN"/>
              </w:rPr>
              <w:t>员</w:t>
            </w:r>
          </w:p>
        </w:tc>
        <w:tc>
          <w:tcPr>
            <w:tcW w:w="2400" w:type="dxa"/>
            <w:noWrap w:val="0"/>
            <w:vAlign w:val="center"/>
          </w:tcPr>
          <w:p>
            <w:pPr>
              <w:widowControl w:val="0"/>
              <w:jc w:val="center"/>
              <w:rPr>
                <w:rFonts w:ascii="Arial" w:hAnsi="Arial" w:eastAsia="Arial" w:cs="Arial"/>
                <w:snapToGrid w:val="0"/>
                <w:color w:val="000000"/>
                <w:kern w:val="0"/>
                <w:sz w:val="21"/>
                <w:szCs w:val="21"/>
                <w:vertAlign w:val="baseline"/>
                <w:lang w:val="en-US" w:eastAsia="en-US" w:bidi="ar-SA"/>
              </w:rPr>
            </w:pPr>
          </w:p>
        </w:tc>
        <w:tc>
          <w:tcPr>
            <w:tcW w:w="1095" w:type="dxa"/>
            <w:noWrap w:val="0"/>
            <w:vAlign w:val="center"/>
          </w:tcPr>
          <w:p>
            <w:pPr>
              <w:widowControl w:val="0"/>
              <w:jc w:val="center"/>
              <w:rPr>
                <w:rFonts w:hint="default" w:ascii="Arial" w:hAnsi="Arial" w:eastAsia="宋体" w:cs="Arial"/>
                <w:snapToGrid w:val="0"/>
                <w:color w:val="000000"/>
                <w:kern w:val="0"/>
                <w:sz w:val="21"/>
                <w:szCs w:val="21"/>
                <w:vertAlign w:val="baseline"/>
                <w:lang w:val="en-US" w:eastAsia="zh-CN" w:bidi="ar-SA"/>
              </w:rPr>
            </w:pPr>
            <w:r>
              <w:rPr>
                <w:rFonts w:hint="eastAsia" w:ascii="Arial" w:eastAsia="宋体"/>
                <w:vertAlign w:val="baseline"/>
                <w:lang w:val="en-US" w:eastAsia="zh-CN"/>
              </w:rPr>
              <w:t>1</w:t>
            </w:r>
          </w:p>
        </w:tc>
        <w:tc>
          <w:tcPr>
            <w:tcW w:w="1692" w:type="dxa"/>
            <w:noWrap w:val="0"/>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noWrap w:val="0"/>
            <w:vAlign w:val="center"/>
          </w:tcPr>
          <w:p>
            <w:pPr>
              <w:widowControl w:val="0"/>
              <w:jc w:val="left"/>
              <w:rPr>
                <w:rFonts w:hint="eastAsia" w:eastAsia="宋体"/>
                <w:vertAlign w:val="baseline"/>
                <w:lang w:eastAsia="zh-CN"/>
              </w:rPr>
            </w:pPr>
            <w:r>
              <w:rPr>
                <w:rFonts w:hint="eastAsia" w:eastAsia="宋体"/>
                <w:vertAlign w:val="baseline"/>
                <w:lang w:eastAsia="zh-CN"/>
              </w:rPr>
              <w:t>备注：上述配备人员应为供应商本单位员工，提供最近一个季度任意一个月单位缴纳社会保险证明</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pPr>
        <w:pStyle w:val="5"/>
        <w:keepNext w:val="0"/>
        <w:keepLines w:val="0"/>
        <w:pageBreakBefore w:val="0"/>
        <w:widowControl/>
        <w:wordWrap/>
        <w:overflowPunct/>
        <w:topLinePunct w:val="0"/>
        <w:autoSpaceDE w:val="0"/>
        <w:autoSpaceDN w:val="0"/>
        <w:bidi w:val="0"/>
        <w:adjustRightInd w:val="0"/>
        <w:snapToGrid w:val="0"/>
        <w:spacing w:beforeLines="0" w:afterLines="0" w:line="440" w:lineRule="exact"/>
        <w:textAlignment w:val="baseline"/>
        <w:rPr>
          <w:rFonts w:hint="default" w:hAnsi="Courier New" w:eastAsia="宋体" w:cs="Times New Roman"/>
          <w:b w:val="0"/>
          <w:bCs/>
          <w:highlight w:val="none"/>
          <w:lang w:val="en-US" w:eastAsia="zh-CN"/>
        </w:rPr>
      </w:pPr>
      <w:r>
        <w:rPr>
          <w:rFonts w:hint="eastAsia" w:cs="Times New Roman"/>
          <w:b w:val="0"/>
          <w:bCs/>
          <w:highlight w:val="none"/>
          <w:lang w:val="en-US" w:eastAsia="zh-CN"/>
        </w:rPr>
        <w:t>4.3 一线作业人员配备要求</w:t>
      </w:r>
    </w:p>
    <w:p>
      <w:pPr>
        <w:keepNext w:val="0"/>
        <w:keepLines w:val="0"/>
        <w:pageBreakBefore w:val="0"/>
        <w:widowControl/>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根据本项目设施量，</w:t>
      </w:r>
      <w:r>
        <w:rPr>
          <w:rFonts w:hint="eastAsia" w:ascii="宋体" w:hAnsi="宋体" w:eastAsia="宋体" w:cs="宋体"/>
          <w:sz w:val="24"/>
          <w:szCs w:val="24"/>
          <w:lang w:eastAsia="zh-CN"/>
        </w:rPr>
        <w:t>供应商</w:t>
      </w:r>
      <w:r>
        <w:rPr>
          <w:rFonts w:hint="eastAsia" w:ascii="宋体" w:hAnsi="宋体" w:eastAsia="宋体" w:cs="宋体"/>
          <w:sz w:val="24"/>
          <w:szCs w:val="24"/>
        </w:rPr>
        <w:t>需配备一定数量的一线养护作业人员，从事闸门运行等作业；其中：一线养护作业人员需满足以下要求：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680"/>
        <w:gridCol w:w="1665"/>
        <w:gridCol w:w="2265"/>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0" w:type="dxa"/>
            <w:noWrap w:val="0"/>
            <w:vAlign w:val="center"/>
          </w:tcPr>
          <w:p>
            <w:pPr>
              <w:widowControl w:val="0"/>
              <w:jc w:val="center"/>
              <w:rPr>
                <w:rFonts w:hint="eastAsia" w:eastAsia="宋体"/>
                <w:sz w:val="21"/>
                <w:szCs w:val="21"/>
                <w:vertAlign w:val="baseline"/>
                <w:lang w:eastAsia="zh-CN"/>
              </w:rPr>
            </w:pPr>
            <w:r>
              <w:rPr>
                <w:rFonts w:hint="eastAsia" w:eastAsia="宋体"/>
                <w:sz w:val="21"/>
                <w:szCs w:val="21"/>
                <w:vertAlign w:val="baseline"/>
                <w:lang w:eastAsia="zh-CN"/>
              </w:rPr>
              <w:t>序号</w:t>
            </w:r>
          </w:p>
        </w:tc>
        <w:tc>
          <w:tcPr>
            <w:tcW w:w="1680" w:type="dxa"/>
            <w:noWrap w:val="0"/>
            <w:vAlign w:val="center"/>
          </w:tcPr>
          <w:p>
            <w:pPr>
              <w:widowControl w:val="0"/>
              <w:jc w:val="center"/>
              <w:rPr>
                <w:rFonts w:hint="eastAsia" w:eastAsia="宋体"/>
                <w:sz w:val="21"/>
                <w:szCs w:val="21"/>
                <w:vertAlign w:val="baseline"/>
                <w:lang w:eastAsia="zh-CN"/>
              </w:rPr>
            </w:pPr>
            <w:r>
              <w:rPr>
                <w:rFonts w:hint="eastAsia" w:eastAsia="宋体"/>
                <w:sz w:val="21"/>
                <w:szCs w:val="21"/>
                <w:vertAlign w:val="baseline"/>
                <w:lang w:eastAsia="zh-CN"/>
              </w:rPr>
              <w:t>岗位类别</w:t>
            </w:r>
          </w:p>
        </w:tc>
        <w:tc>
          <w:tcPr>
            <w:tcW w:w="1665" w:type="dxa"/>
            <w:noWrap w:val="0"/>
            <w:vAlign w:val="center"/>
          </w:tcPr>
          <w:p>
            <w:pPr>
              <w:widowControl w:val="0"/>
              <w:jc w:val="center"/>
              <w:rPr>
                <w:rFonts w:hint="eastAsia" w:eastAsia="宋体"/>
                <w:sz w:val="21"/>
                <w:szCs w:val="21"/>
                <w:vertAlign w:val="baseline"/>
                <w:lang w:eastAsia="zh-CN"/>
              </w:rPr>
            </w:pPr>
            <w:r>
              <w:rPr>
                <w:rFonts w:hint="eastAsia" w:eastAsia="宋体"/>
                <w:sz w:val="21"/>
                <w:szCs w:val="21"/>
                <w:vertAlign w:val="baseline"/>
                <w:lang w:eastAsia="zh-CN"/>
              </w:rPr>
              <w:t>岗位名称</w:t>
            </w:r>
          </w:p>
        </w:tc>
        <w:tc>
          <w:tcPr>
            <w:tcW w:w="2265" w:type="dxa"/>
            <w:noWrap w:val="0"/>
            <w:vAlign w:val="center"/>
          </w:tcPr>
          <w:p>
            <w:pPr>
              <w:widowControl w:val="0"/>
              <w:jc w:val="center"/>
              <w:rPr>
                <w:rFonts w:hint="eastAsia" w:eastAsia="宋体"/>
                <w:sz w:val="21"/>
                <w:szCs w:val="21"/>
                <w:vertAlign w:val="baseline"/>
                <w:lang w:eastAsia="zh-CN"/>
              </w:rPr>
            </w:pPr>
            <w:r>
              <w:rPr>
                <w:rFonts w:hint="eastAsia" w:eastAsia="宋体"/>
                <w:sz w:val="21"/>
                <w:szCs w:val="21"/>
                <w:vertAlign w:val="baseline"/>
                <w:lang w:eastAsia="zh-CN"/>
              </w:rPr>
              <w:t>最少配置数量</w:t>
            </w:r>
          </w:p>
        </w:tc>
        <w:tc>
          <w:tcPr>
            <w:tcW w:w="2292" w:type="dxa"/>
            <w:noWrap w:val="0"/>
            <w:vAlign w:val="center"/>
          </w:tcPr>
          <w:p>
            <w:pPr>
              <w:widowControl w:val="0"/>
              <w:jc w:val="center"/>
              <w:rPr>
                <w:rFonts w:hint="eastAsia" w:eastAsia="宋体"/>
                <w:sz w:val="21"/>
                <w:szCs w:val="21"/>
                <w:vertAlign w:val="baseline"/>
                <w:lang w:eastAsia="zh-CN"/>
              </w:rPr>
            </w:pPr>
            <w:r>
              <w:rPr>
                <w:rFonts w:hint="eastAsia" w:eastAsia="宋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eastAsia" w:eastAsia="宋体"/>
                <w:sz w:val="21"/>
                <w:szCs w:val="21"/>
                <w:vertAlign w:val="baseline"/>
                <w:lang w:val="en-US" w:eastAsia="zh-CN"/>
              </w:rPr>
            </w:pPr>
            <w:r>
              <w:rPr>
                <w:rFonts w:hint="eastAsia" w:ascii="Arial" w:eastAsia="宋体"/>
                <w:sz w:val="21"/>
                <w:szCs w:val="21"/>
                <w:vertAlign w:val="baseline"/>
                <w:lang w:val="en-US" w:eastAsia="zh-CN"/>
              </w:rPr>
              <w:t>1</w:t>
            </w:r>
          </w:p>
        </w:tc>
        <w:tc>
          <w:tcPr>
            <w:tcW w:w="1680" w:type="dxa"/>
            <w:vMerge w:val="restart"/>
            <w:noWrap w:val="0"/>
            <w:vAlign w:val="center"/>
          </w:tcPr>
          <w:p>
            <w:pPr>
              <w:widowControl w:val="0"/>
              <w:jc w:val="center"/>
              <w:rPr>
                <w:rFonts w:hint="eastAsia" w:eastAsia="宋体"/>
                <w:sz w:val="21"/>
                <w:szCs w:val="21"/>
                <w:vertAlign w:val="baseline"/>
                <w:lang w:eastAsia="zh-CN"/>
              </w:rPr>
            </w:pPr>
            <w:r>
              <w:rPr>
                <w:rFonts w:hint="eastAsia" w:eastAsia="宋体"/>
                <w:sz w:val="21"/>
                <w:szCs w:val="21"/>
                <w:vertAlign w:val="baseline"/>
                <w:lang w:eastAsia="zh-CN"/>
              </w:rPr>
              <w:t>一线作业人员</w:t>
            </w:r>
          </w:p>
        </w:tc>
        <w:tc>
          <w:tcPr>
            <w:tcW w:w="1665" w:type="dxa"/>
            <w:noWrap w:val="0"/>
            <w:vAlign w:val="center"/>
          </w:tcPr>
          <w:p>
            <w:pPr>
              <w:widowControl w:val="0"/>
              <w:jc w:val="center"/>
              <w:rPr>
                <w:rFonts w:hint="default" w:eastAsia="宋体"/>
                <w:sz w:val="21"/>
                <w:szCs w:val="21"/>
                <w:vertAlign w:val="baseline"/>
                <w:lang w:val="en-US" w:eastAsia="zh-CN"/>
              </w:rPr>
            </w:pPr>
            <w:r>
              <w:rPr>
                <w:rFonts w:hint="eastAsia" w:ascii="Arial" w:eastAsia="宋体"/>
                <w:sz w:val="21"/>
                <w:szCs w:val="21"/>
                <w:vertAlign w:val="baseline"/>
                <w:lang w:val="en-US" w:eastAsia="zh-CN"/>
              </w:rPr>
              <w:t>闸门运行工</w:t>
            </w:r>
          </w:p>
        </w:tc>
        <w:tc>
          <w:tcPr>
            <w:tcW w:w="2265" w:type="dxa"/>
            <w:noWrap w:val="0"/>
            <w:vAlign w:val="center"/>
          </w:tcPr>
          <w:p>
            <w:pPr>
              <w:widowControl w:val="0"/>
              <w:jc w:val="center"/>
              <w:rPr>
                <w:rFonts w:hint="default" w:eastAsia="宋体"/>
                <w:sz w:val="21"/>
                <w:szCs w:val="21"/>
                <w:vertAlign w:val="baseline"/>
                <w:lang w:val="en-US" w:eastAsia="zh-CN"/>
              </w:rPr>
            </w:pPr>
            <w:r>
              <w:rPr>
                <w:rFonts w:hint="eastAsia" w:ascii="Arial" w:eastAsia="宋体"/>
                <w:sz w:val="21"/>
                <w:szCs w:val="21"/>
                <w:lang w:val="en-US" w:eastAsia="zh-CN"/>
              </w:rPr>
              <w:t>6</w:t>
            </w:r>
          </w:p>
        </w:tc>
        <w:tc>
          <w:tcPr>
            <w:tcW w:w="2292" w:type="dxa"/>
            <w:noWrap w:val="0"/>
            <w:vAlign w:val="center"/>
          </w:tcPr>
          <w:p>
            <w:pPr>
              <w:widowControl w:val="0"/>
              <w:jc w:val="center"/>
              <w:rPr>
                <w:rFonts w:hint="eastAsia" w:eastAsia="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eastAsia" w:eastAsia="宋体"/>
                <w:sz w:val="21"/>
                <w:szCs w:val="21"/>
                <w:vertAlign w:val="baseline"/>
                <w:lang w:val="en-US" w:eastAsia="zh-CN"/>
              </w:rPr>
            </w:pPr>
            <w:r>
              <w:rPr>
                <w:rFonts w:hint="eastAsia" w:ascii="Arial" w:eastAsia="宋体"/>
                <w:sz w:val="21"/>
                <w:szCs w:val="21"/>
                <w:vertAlign w:val="baseline"/>
                <w:lang w:val="en-US" w:eastAsia="zh-CN"/>
              </w:rPr>
              <w:t>2</w:t>
            </w:r>
          </w:p>
        </w:tc>
        <w:tc>
          <w:tcPr>
            <w:tcW w:w="1680" w:type="dxa"/>
            <w:vMerge w:val="continue"/>
            <w:noWrap w:val="0"/>
            <w:vAlign w:val="center"/>
          </w:tcPr>
          <w:p>
            <w:pPr>
              <w:widowControl w:val="0"/>
              <w:jc w:val="center"/>
              <w:rPr>
                <w:sz w:val="21"/>
                <w:szCs w:val="21"/>
                <w:vertAlign w:val="baseline"/>
              </w:rPr>
            </w:pPr>
          </w:p>
        </w:tc>
        <w:tc>
          <w:tcPr>
            <w:tcW w:w="1665" w:type="dxa"/>
            <w:noWrap w:val="0"/>
            <w:vAlign w:val="center"/>
          </w:tcPr>
          <w:p>
            <w:pPr>
              <w:widowControl w:val="0"/>
              <w:jc w:val="center"/>
              <w:rPr>
                <w:rFonts w:hint="default" w:eastAsia="宋体"/>
                <w:sz w:val="21"/>
                <w:szCs w:val="21"/>
                <w:vertAlign w:val="baseline"/>
                <w:lang w:val="en-US" w:eastAsia="zh-CN"/>
              </w:rPr>
            </w:pPr>
            <w:r>
              <w:rPr>
                <w:rFonts w:hint="eastAsia" w:ascii="Arial" w:eastAsia="宋体"/>
                <w:sz w:val="21"/>
                <w:szCs w:val="21"/>
                <w:vertAlign w:val="baseline"/>
                <w:lang w:val="en-US" w:eastAsia="zh-CN"/>
              </w:rPr>
              <w:t>高压电工</w:t>
            </w:r>
          </w:p>
        </w:tc>
        <w:tc>
          <w:tcPr>
            <w:tcW w:w="2265" w:type="dxa"/>
            <w:noWrap w:val="0"/>
            <w:vAlign w:val="center"/>
          </w:tcPr>
          <w:p>
            <w:pPr>
              <w:widowControl w:val="0"/>
              <w:jc w:val="center"/>
              <w:rPr>
                <w:rFonts w:hint="default" w:eastAsia="宋体"/>
                <w:sz w:val="21"/>
                <w:szCs w:val="21"/>
                <w:vertAlign w:val="baseline"/>
                <w:lang w:val="en-US" w:eastAsia="zh-CN"/>
              </w:rPr>
            </w:pPr>
            <w:r>
              <w:rPr>
                <w:rFonts w:hint="eastAsia" w:ascii="Arial" w:eastAsia="宋体"/>
                <w:sz w:val="21"/>
                <w:szCs w:val="21"/>
                <w:vertAlign w:val="baseline"/>
                <w:lang w:val="en-US" w:eastAsia="zh-CN"/>
              </w:rPr>
              <w:t>1</w:t>
            </w:r>
          </w:p>
        </w:tc>
        <w:tc>
          <w:tcPr>
            <w:tcW w:w="2292" w:type="dxa"/>
            <w:noWrap w:val="0"/>
            <w:vAlign w:val="center"/>
          </w:tcPr>
          <w:p>
            <w:pPr>
              <w:widowControl w:val="0"/>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eastAsia" w:eastAsia="宋体"/>
                <w:sz w:val="21"/>
                <w:szCs w:val="21"/>
                <w:vertAlign w:val="baseline"/>
                <w:lang w:val="en-US" w:eastAsia="zh-CN"/>
              </w:rPr>
            </w:pPr>
            <w:r>
              <w:rPr>
                <w:rFonts w:hint="eastAsia" w:ascii="Arial" w:eastAsia="宋体"/>
                <w:sz w:val="21"/>
                <w:szCs w:val="21"/>
                <w:vertAlign w:val="baseline"/>
                <w:lang w:val="en-US" w:eastAsia="zh-CN"/>
              </w:rPr>
              <w:t>3</w:t>
            </w:r>
          </w:p>
        </w:tc>
        <w:tc>
          <w:tcPr>
            <w:tcW w:w="1680" w:type="dxa"/>
            <w:vMerge w:val="continue"/>
            <w:noWrap w:val="0"/>
            <w:vAlign w:val="center"/>
          </w:tcPr>
          <w:p>
            <w:pPr>
              <w:widowControl w:val="0"/>
              <w:jc w:val="center"/>
              <w:rPr>
                <w:rFonts w:hint="eastAsia" w:eastAsia="宋体"/>
                <w:sz w:val="21"/>
                <w:szCs w:val="21"/>
                <w:vertAlign w:val="baseline"/>
                <w:lang w:eastAsia="zh-CN"/>
              </w:rPr>
            </w:pPr>
          </w:p>
        </w:tc>
        <w:tc>
          <w:tcPr>
            <w:tcW w:w="1665" w:type="dxa"/>
            <w:noWrap w:val="0"/>
            <w:vAlign w:val="center"/>
          </w:tcPr>
          <w:p>
            <w:pPr>
              <w:widowControl w:val="0"/>
              <w:jc w:val="center"/>
              <w:rPr>
                <w:rFonts w:hint="default" w:eastAsia="宋体"/>
                <w:sz w:val="21"/>
                <w:szCs w:val="21"/>
                <w:vertAlign w:val="baseline"/>
                <w:lang w:val="en-US" w:eastAsia="zh-CN"/>
              </w:rPr>
            </w:pPr>
            <w:r>
              <w:rPr>
                <w:rFonts w:hint="eastAsia" w:ascii="Arial" w:eastAsia="宋体"/>
                <w:sz w:val="21"/>
                <w:szCs w:val="21"/>
                <w:vertAlign w:val="baseline"/>
                <w:lang w:val="en-US" w:eastAsia="zh-CN"/>
              </w:rPr>
              <w:t>低压电工</w:t>
            </w:r>
          </w:p>
        </w:tc>
        <w:tc>
          <w:tcPr>
            <w:tcW w:w="2265" w:type="dxa"/>
            <w:noWrap w:val="0"/>
            <w:vAlign w:val="center"/>
          </w:tcPr>
          <w:p>
            <w:pPr>
              <w:widowControl w:val="0"/>
              <w:jc w:val="center"/>
              <w:rPr>
                <w:rFonts w:hint="default" w:eastAsia="宋体"/>
                <w:sz w:val="21"/>
                <w:szCs w:val="21"/>
                <w:vertAlign w:val="baseline"/>
                <w:lang w:val="en-US" w:eastAsia="zh-CN"/>
              </w:rPr>
            </w:pPr>
            <w:r>
              <w:rPr>
                <w:rFonts w:hint="eastAsia" w:ascii="Arial" w:eastAsia="宋体"/>
                <w:sz w:val="21"/>
                <w:szCs w:val="21"/>
                <w:vertAlign w:val="baseline"/>
                <w:lang w:val="en-US" w:eastAsia="zh-CN"/>
              </w:rPr>
              <w:t>1</w:t>
            </w:r>
          </w:p>
        </w:tc>
        <w:tc>
          <w:tcPr>
            <w:tcW w:w="2292" w:type="dxa"/>
            <w:noWrap w:val="0"/>
            <w:vAlign w:val="center"/>
          </w:tcPr>
          <w:p>
            <w:pPr>
              <w:widowControl w:val="0"/>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5" w:type="dxa"/>
            <w:gridSpan w:val="3"/>
            <w:noWrap w:val="0"/>
            <w:vAlign w:val="center"/>
          </w:tcPr>
          <w:p>
            <w:pPr>
              <w:widowControl w:val="0"/>
              <w:jc w:val="center"/>
              <w:rPr>
                <w:rFonts w:hint="eastAsia" w:ascii="Arial" w:eastAsia="宋体"/>
                <w:sz w:val="21"/>
                <w:szCs w:val="21"/>
                <w:vertAlign w:val="baseline"/>
                <w:lang w:val="en-US" w:eastAsia="zh-CN"/>
              </w:rPr>
            </w:pPr>
            <w:r>
              <w:rPr>
                <w:rFonts w:hint="eastAsia"/>
                <w:sz w:val="21"/>
                <w:szCs w:val="21"/>
                <w:vertAlign w:val="baseline"/>
                <w:lang w:val="en-US" w:eastAsia="zh-CN"/>
              </w:rPr>
              <w:t>合计人数</w:t>
            </w:r>
          </w:p>
        </w:tc>
        <w:tc>
          <w:tcPr>
            <w:tcW w:w="2265" w:type="dxa"/>
            <w:noWrap w:val="0"/>
            <w:vAlign w:val="center"/>
          </w:tcPr>
          <w:p>
            <w:pPr>
              <w:widowControl w:val="0"/>
              <w:jc w:val="center"/>
              <w:rPr>
                <w:rFonts w:hint="default" w:ascii="Arial" w:eastAsia="宋体"/>
                <w:sz w:val="21"/>
                <w:szCs w:val="21"/>
                <w:vertAlign w:val="baseline"/>
                <w:lang w:val="en-US" w:eastAsia="zh-CN"/>
              </w:rPr>
            </w:pPr>
            <w:r>
              <w:rPr>
                <w:rFonts w:hint="eastAsia"/>
                <w:sz w:val="21"/>
                <w:szCs w:val="21"/>
                <w:vertAlign w:val="baseline"/>
                <w:lang w:val="en-US" w:eastAsia="zh-CN"/>
              </w:rPr>
              <w:t>8</w:t>
            </w:r>
          </w:p>
        </w:tc>
        <w:tc>
          <w:tcPr>
            <w:tcW w:w="2292" w:type="dxa"/>
            <w:noWrap w:val="0"/>
            <w:vAlign w:val="center"/>
          </w:tcPr>
          <w:p>
            <w:pPr>
              <w:widowControl w:val="0"/>
              <w:jc w:val="center"/>
              <w:rPr>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2" w:type="dxa"/>
            <w:gridSpan w:val="5"/>
            <w:noWrap w:val="0"/>
            <w:vAlign w:val="center"/>
          </w:tcPr>
          <w:p>
            <w:pPr>
              <w:widowControl w:val="0"/>
              <w:jc w:val="both"/>
              <w:rPr>
                <w:sz w:val="21"/>
                <w:szCs w:val="21"/>
                <w:vertAlign w:val="baseline"/>
              </w:rPr>
            </w:pPr>
            <w:r>
              <w:rPr>
                <w:rFonts w:hint="eastAsia" w:ascii="宋体" w:hAnsi="宋体" w:eastAsia="宋体" w:cs="宋体"/>
                <w:sz w:val="21"/>
                <w:szCs w:val="21"/>
                <w:lang w:val="en-US" w:eastAsia="zh-CN"/>
              </w:rPr>
              <w:t>备注:表中一线作业人员的配置数量，供应商应承诺在养护前配置到位。</w:t>
            </w:r>
          </w:p>
        </w:tc>
      </w:tr>
    </w:tbl>
    <w:p>
      <w:pPr>
        <w:keepNext w:val="0"/>
        <w:keepLines w:val="0"/>
        <w:pageBreakBefore w:val="0"/>
        <w:widowControl/>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p>
    <w:p>
      <w:pPr>
        <w:pStyle w:val="5"/>
        <w:spacing w:beforeLines="0" w:afterLines="0" w:line="440" w:lineRule="exact"/>
        <w:ind w:firstLine="482" w:firstLineChars="200"/>
        <w:rPr>
          <w:rFonts w:hint="eastAsia" w:hAnsi="Courier New" w:eastAsia="宋体" w:cs="Times New Roman"/>
          <w:b/>
          <w:highlight w:val="none"/>
          <w:lang w:val="en-US" w:eastAsia="zh-CN"/>
        </w:rPr>
      </w:pPr>
      <w:r>
        <w:rPr>
          <w:rFonts w:hint="eastAsia" w:cs="Times New Roman"/>
          <w:b/>
          <w:highlight w:val="none"/>
          <w:lang w:val="en-US" w:eastAsia="zh-CN"/>
        </w:rPr>
        <w:t>五</w:t>
      </w:r>
      <w:r>
        <w:rPr>
          <w:rFonts w:hint="eastAsia" w:hAnsi="Courier New" w:eastAsia="宋体" w:cs="Times New Roman"/>
          <w:b/>
          <w:highlight w:val="none"/>
          <w:lang w:val="en-US" w:eastAsia="zh-CN"/>
        </w:rPr>
        <w:t>、</w:t>
      </w:r>
      <w:r>
        <w:rPr>
          <w:rFonts w:hint="eastAsia" w:cs="Times New Roman"/>
          <w:b/>
          <w:highlight w:val="none"/>
          <w:lang w:val="en-US" w:eastAsia="zh-CN"/>
        </w:rPr>
        <w:t>养护设施设备要求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845"/>
        <w:gridCol w:w="675"/>
        <w:gridCol w:w="1230"/>
        <w:gridCol w:w="234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0"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序号</w:t>
            </w:r>
          </w:p>
        </w:tc>
        <w:tc>
          <w:tcPr>
            <w:tcW w:w="184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机械名称</w:t>
            </w:r>
          </w:p>
        </w:tc>
        <w:tc>
          <w:tcPr>
            <w:tcW w:w="67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单位</w:t>
            </w:r>
          </w:p>
        </w:tc>
        <w:tc>
          <w:tcPr>
            <w:tcW w:w="1230"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最低数量</w:t>
            </w:r>
          </w:p>
        </w:tc>
        <w:tc>
          <w:tcPr>
            <w:tcW w:w="2340"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配置要求</w:t>
            </w:r>
          </w:p>
        </w:tc>
        <w:tc>
          <w:tcPr>
            <w:tcW w:w="1812"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default" w:eastAsia="宋体"/>
                <w:vertAlign w:val="baseline"/>
                <w:lang w:val="en-US" w:eastAsia="zh-CN"/>
              </w:rPr>
            </w:pPr>
            <w:r>
              <w:rPr>
                <w:rFonts w:hint="eastAsia" w:ascii="Arial" w:eastAsia="宋体"/>
                <w:vertAlign w:val="baseline"/>
                <w:lang w:val="en-US" w:eastAsia="zh-CN"/>
              </w:rPr>
              <w:t>1</w:t>
            </w:r>
          </w:p>
        </w:tc>
        <w:tc>
          <w:tcPr>
            <w:tcW w:w="184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巡视车</w:t>
            </w:r>
          </w:p>
        </w:tc>
        <w:tc>
          <w:tcPr>
            <w:tcW w:w="67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辆</w:t>
            </w:r>
          </w:p>
        </w:tc>
        <w:tc>
          <w:tcPr>
            <w:tcW w:w="1230"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1</w:t>
            </w:r>
          </w:p>
        </w:tc>
        <w:tc>
          <w:tcPr>
            <w:tcW w:w="2340" w:type="dxa"/>
            <w:noWrap w:val="0"/>
            <w:vAlign w:val="center"/>
          </w:tcPr>
          <w:p>
            <w:pPr>
              <w:widowControl w:val="0"/>
              <w:jc w:val="center"/>
              <w:rPr>
                <w:rFonts w:hint="default" w:ascii="Times New Roman" w:hAnsi="Times New Roman" w:eastAsia="宋体" w:cs="Times New Roman"/>
                <w:kern w:val="2"/>
                <w:sz w:val="21"/>
                <w:szCs w:val="22"/>
                <w:vertAlign w:val="baseline"/>
                <w:lang w:val="en-US" w:eastAsia="zh-CN" w:bidi="ar-SA"/>
              </w:rPr>
            </w:pPr>
            <w:r>
              <w:rPr>
                <w:rFonts w:hint="eastAsia" w:ascii="Arial" w:eastAsia="宋体"/>
                <w:vertAlign w:val="baseline"/>
                <w:lang w:val="en-US" w:eastAsia="zh-CN"/>
              </w:rPr>
              <w:t>符合通行、环保要求</w:t>
            </w:r>
          </w:p>
        </w:tc>
        <w:tc>
          <w:tcPr>
            <w:tcW w:w="1812" w:type="dxa"/>
            <w:noWrap w:val="0"/>
            <w:vAlign w:val="center"/>
          </w:tcPr>
          <w:p>
            <w:pPr>
              <w:widowControl w:val="0"/>
              <w:jc w:val="center"/>
              <w:rPr>
                <w:rFonts w:hint="eastAsia" w:ascii="Times New Roman" w:hAnsi="Times New Roman" w:eastAsia="宋体" w:cs="Times New Roman"/>
                <w:kern w:val="2"/>
                <w:sz w:val="21"/>
                <w:szCs w:val="22"/>
                <w:vertAlign w:val="baseline"/>
                <w:lang w:val="en-US" w:eastAsia="zh-CN" w:bidi="ar-SA"/>
              </w:rPr>
            </w:pPr>
            <w:r>
              <w:rPr>
                <w:rFonts w:hint="eastAsia" w:eastAsia="宋体"/>
                <w:vertAlign w:val="baseline"/>
                <w:lang w:eastAsia="zh-CN"/>
              </w:rPr>
              <w:t>自有或租赁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default" w:eastAsia="宋体"/>
                <w:vertAlign w:val="baseline"/>
                <w:lang w:val="en-US" w:eastAsia="zh-CN"/>
              </w:rPr>
            </w:pPr>
            <w:r>
              <w:rPr>
                <w:rFonts w:hint="eastAsia" w:ascii="Arial" w:eastAsia="宋体"/>
                <w:vertAlign w:val="baseline"/>
                <w:lang w:val="en-US" w:eastAsia="zh-CN"/>
              </w:rPr>
              <w:t>2</w:t>
            </w:r>
          </w:p>
        </w:tc>
        <w:tc>
          <w:tcPr>
            <w:tcW w:w="184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水泵</w:t>
            </w:r>
          </w:p>
        </w:tc>
        <w:tc>
          <w:tcPr>
            <w:tcW w:w="67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台</w:t>
            </w:r>
          </w:p>
        </w:tc>
        <w:tc>
          <w:tcPr>
            <w:tcW w:w="1230"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1</w:t>
            </w:r>
          </w:p>
        </w:tc>
        <w:tc>
          <w:tcPr>
            <w:tcW w:w="2340" w:type="dxa"/>
            <w:noWrap w:val="0"/>
            <w:vAlign w:val="center"/>
          </w:tcPr>
          <w:p>
            <w:pPr>
              <w:widowControl w:val="0"/>
              <w:jc w:val="center"/>
              <w:rPr>
                <w:rFonts w:hint="default" w:eastAsia="宋体"/>
                <w:vertAlign w:val="baseline"/>
                <w:lang w:val="en-US" w:eastAsia="zh-CN"/>
              </w:rPr>
            </w:pPr>
          </w:p>
        </w:tc>
        <w:tc>
          <w:tcPr>
            <w:tcW w:w="1812" w:type="dxa"/>
            <w:noWrap w:val="0"/>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default" w:eastAsia="宋体"/>
                <w:vertAlign w:val="baseline"/>
                <w:lang w:val="en-US" w:eastAsia="zh-CN"/>
              </w:rPr>
            </w:pPr>
            <w:r>
              <w:rPr>
                <w:rFonts w:hint="eastAsia" w:ascii="Arial" w:eastAsia="宋体"/>
                <w:vertAlign w:val="baseline"/>
                <w:lang w:val="en-US" w:eastAsia="zh-CN"/>
              </w:rPr>
              <w:t>3</w:t>
            </w:r>
          </w:p>
        </w:tc>
        <w:tc>
          <w:tcPr>
            <w:tcW w:w="184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发电机</w:t>
            </w:r>
          </w:p>
        </w:tc>
        <w:tc>
          <w:tcPr>
            <w:tcW w:w="67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台</w:t>
            </w:r>
          </w:p>
        </w:tc>
        <w:tc>
          <w:tcPr>
            <w:tcW w:w="1230"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1</w:t>
            </w:r>
          </w:p>
        </w:tc>
        <w:tc>
          <w:tcPr>
            <w:tcW w:w="2340" w:type="dxa"/>
            <w:noWrap w:val="0"/>
            <w:vAlign w:val="center"/>
          </w:tcPr>
          <w:p>
            <w:pPr>
              <w:widowControl w:val="0"/>
              <w:jc w:val="center"/>
              <w:rPr>
                <w:rFonts w:hint="default" w:eastAsia="宋体"/>
                <w:vertAlign w:val="baseline"/>
                <w:lang w:val="en-US" w:eastAsia="zh-CN"/>
              </w:rPr>
            </w:pPr>
          </w:p>
        </w:tc>
        <w:tc>
          <w:tcPr>
            <w:tcW w:w="1812" w:type="dxa"/>
            <w:noWrap w:val="0"/>
            <w:vAlign w:val="center"/>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0" w:type="dxa"/>
            <w:noWrap w:val="0"/>
            <w:vAlign w:val="center"/>
          </w:tcPr>
          <w:p>
            <w:pPr>
              <w:widowControl w:val="0"/>
              <w:jc w:val="center"/>
              <w:rPr>
                <w:rFonts w:hint="default" w:eastAsia="宋体"/>
                <w:vertAlign w:val="baseline"/>
                <w:lang w:val="en-US" w:eastAsia="zh-CN"/>
              </w:rPr>
            </w:pPr>
            <w:r>
              <w:rPr>
                <w:rFonts w:hint="eastAsia" w:ascii="Arial" w:eastAsia="宋体"/>
                <w:vertAlign w:val="baseline"/>
                <w:lang w:val="en-US" w:eastAsia="zh-CN"/>
              </w:rPr>
              <w:t>4</w:t>
            </w:r>
          </w:p>
        </w:tc>
        <w:tc>
          <w:tcPr>
            <w:tcW w:w="184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绿化养护设备（割灌机、绿篱机）</w:t>
            </w:r>
          </w:p>
        </w:tc>
        <w:tc>
          <w:tcPr>
            <w:tcW w:w="675" w:type="dxa"/>
            <w:noWrap w:val="0"/>
            <w:vAlign w:val="center"/>
          </w:tcPr>
          <w:p>
            <w:pPr>
              <w:widowControl w:val="0"/>
              <w:jc w:val="center"/>
              <w:rPr>
                <w:rFonts w:hint="eastAsia" w:eastAsia="宋体"/>
                <w:vertAlign w:val="baseline"/>
                <w:lang w:eastAsia="zh-CN"/>
              </w:rPr>
            </w:pPr>
            <w:r>
              <w:rPr>
                <w:rFonts w:hint="eastAsia" w:eastAsia="宋体"/>
                <w:vertAlign w:val="baseline"/>
                <w:lang w:eastAsia="zh-CN"/>
              </w:rPr>
              <w:t>台</w:t>
            </w:r>
          </w:p>
        </w:tc>
        <w:tc>
          <w:tcPr>
            <w:tcW w:w="1230" w:type="dxa"/>
            <w:noWrap w:val="0"/>
            <w:vAlign w:val="center"/>
          </w:tcPr>
          <w:p>
            <w:pPr>
              <w:widowControl w:val="0"/>
              <w:jc w:val="center"/>
              <w:rPr>
                <w:rFonts w:hint="eastAsia" w:eastAsia="宋体"/>
                <w:vertAlign w:val="baseline"/>
                <w:lang w:val="en-US" w:eastAsia="zh-CN"/>
              </w:rPr>
            </w:pPr>
            <w:r>
              <w:rPr>
                <w:rFonts w:hint="eastAsia" w:ascii="Arial" w:eastAsia="宋体"/>
                <w:vertAlign w:val="baseline"/>
                <w:lang w:val="en-US" w:eastAsia="zh-CN"/>
              </w:rPr>
              <w:t>2</w:t>
            </w:r>
          </w:p>
        </w:tc>
        <w:tc>
          <w:tcPr>
            <w:tcW w:w="2340" w:type="dxa"/>
            <w:noWrap w:val="0"/>
            <w:vAlign w:val="center"/>
          </w:tcPr>
          <w:p>
            <w:pPr>
              <w:widowControl w:val="0"/>
              <w:jc w:val="center"/>
              <w:rPr>
                <w:rFonts w:hint="default" w:eastAsia="宋体"/>
                <w:vertAlign w:val="baseline"/>
                <w:lang w:val="en-US" w:eastAsia="zh-CN"/>
              </w:rPr>
            </w:pPr>
          </w:p>
        </w:tc>
        <w:tc>
          <w:tcPr>
            <w:tcW w:w="1812" w:type="dxa"/>
            <w:noWrap w:val="0"/>
            <w:vAlign w:val="center"/>
          </w:tcPr>
          <w:p>
            <w:pPr>
              <w:widowControl w:val="0"/>
              <w:jc w:val="center"/>
              <w:rPr>
                <w:vertAlign w:val="baseline"/>
              </w:rPr>
            </w:pPr>
          </w:p>
        </w:tc>
      </w:tr>
    </w:tbl>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注</w:t>
      </w:r>
      <w:r>
        <w:rPr>
          <w:rFonts w:hint="eastAsia" w:ascii="宋体" w:hAnsi="宋体" w:eastAsia="宋体" w:cs="宋体"/>
          <w:sz w:val="24"/>
          <w:szCs w:val="24"/>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上述设备中车辆的尾气排放标准必须符合国家和上海市的有关标准。严禁使用黄标车车辆。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上表中的机械，</w:t>
      </w:r>
      <w:r>
        <w:rPr>
          <w:rFonts w:hint="eastAsia" w:ascii="宋体" w:hAnsi="宋体" w:eastAsia="宋体" w:cs="宋体"/>
          <w:sz w:val="24"/>
          <w:szCs w:val="24"/>
          <w:lang w:eastAsia="zh-CN"/>
        </w:rPr>
        <w:t>供应商</w:t>
      </w:r>
      <w:r>
        <w:rPr>
          <w:rFonts w:hint="eastAsia" w:ascii="宋体" w:hAnsi="宋体" w:eastAsia="宋体" w:cs="宋体"/>
          <w:sz w:val="24"/>
          <w:szCs w:val="24"/>
        </w:rPr>
        <w:t>应提供以上自有或租赁机械提供相关证明(如</w:t>
      </w:r>
      <w:r>
        <w:rPr>
          <w:rFonts w:hint="eastAsia" w:ascii="宋体" w:hAnsi="宋体" w:eastAsia="宋体" w:cs="宋体"/>
          <w:sz w:val="24"/>
          <w:szCs w:val="24"/>
          <w:lang w:eastAsia="zh-CN"/>
        </w:rPr>
        <w:t>自有产证、</w:t>
      </w:r>
      <w:r>
        <w:rPr>
          <w:rFonts w:hint="eastAsia" w:ascii="宋体" w:hAnsi="宋体" w:eastAsia="宋体" w:cs="宋体"/>
          <w:sz w:val="24"/>
          <w:szCs w:val="24"/>
        </w:rPr>
        <w:t>购</w:t>
      </w:r>
      <w:r>
        <w:rPr>
          <w:rFonts w:hint="eastAsia" w:ascii="宋体" w:hAnsi="宋体" w:cs="宋体"/>
          <w:sz w:val="24"/>
          <w:szCs w:val="24"/>
          <w:lang w:eastAsia="zh-CN"/>
        </w:rPr>
        <w:t>置</w:t>
      </w:r>
      <w:r>
        <w:rPr>
          <w:rFonts w:hint="eastAsia" w:ascii="宋体" w:hAnsi="宋体" w:eastAsia="宋体" w:cs="宋体"/>
          <w:sz w:val="24"/>
          <w:szCs w:val="24"/>
        </w:rPr>
        <w:t>发票、租赁合同等)</w:t>
      </w:r>
      <w:r>
        <w:rPr>
          <w:rFonts w:hint="eastAsia" w:ascii="宋体" w:hAnsi="宋体" w:eastAsia="宋体" w:cs="宋体"/>
          <w:sz w:val="24"/>
          <w:szCs w:val="24"/>
          <w:lang w:eastAsia="zh-CN"/>
        </w:rPr>
        <w:t>。如尚不具备，则需承诺中标后7天内配齐上述机械。</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）优先考虑采用新能源车辆的供应商。</w:t>
      </w:r>
    </w:p>
    <w:p>
      <w:pPr>
        <w:keepNext w:val="0"/>
        <w:keepLines w:val="0"/>
        <w:pageBreakBefore w:val="0"/>
        <w:widowControl/>
        <w:kinsoku/>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、其他</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成交供应商</w:t>
      </w:r>
      <w:r>
        <w:rPr>
          <w:rFonts w:hint="eastAsia" w:ascii="宋体" w:hAnsi="宋体" w:eastAsia="宋体" w:cs="宋体"/>
          <w:sz w:val="24"/>
          <w:szCs w:val="24"/>
        </w:rPr>
        <w:t>应建立加强内部管理，完成综合养护任务，实现综合养护目标。</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2、坚持优质服务，提高保障水平，加强队伍建设，提高员工思想素质和业务技能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3、加强综合养护人员管理，建立人员奖惩方案、完善考勤等一整套规章制度及具体落实计划。</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sz w:val="24"/>
          <w:szCs w:val="24"/>
          <w:highlight w:val="none"/>
          <w:lang w:val="en-US" w:eastAsia="zh-CN"/>
        </w:rPr>
      </w:pPr>
      <w:r>
        <w:rPr>
          <w:rFonts w:hint="eastAsia" w:ascii="宋体" w:hAnsi="宋体" w:eastAsia="宋体" w:cs="宋体"/>
          <w:sz w:val="24"/>
          <w:szCs w:val="24"/>
          <w:lang w:val="en-US" w:eastAsia="zh-CN"/>
        </w:rPr>
        <w:t>4、</w:t>
      </w:r>
      <w:r>
        <w:rPr>
          <w:rFonts w:hint="eastAsia" w:ascii="宋体" w:hAnsi="宋体"/>
          <w:sz w:val="24"/>
          <w:szCs w:val="24"/>
          <w:highlight w:val="none"/>
          <w:lang w:val="en-US" w:eastAsia="zh-CN"/>
        </w:rPr>
        <w:t>供应商应具有信息化管理能力，提供信息化管理方案，利用信息化手段、数字化手段等开展运行养护、观测测量、巡视检查工作。</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sz w:val="24"/>
          <w:szCs w:val="24"/>
          <w:highlight w:val="none"/>
          <w:lang w:val="en-US" w:eastAsia="zh-CN"/>
        </w:rPr>
      </w:pPr>
      <w:r>
        <w:rPr>
          <w:rFonts w:hint="eastAsia" w:ascii="宋体" w:hAnsi="宋体"/>
          <w:sz w:val="24"/>
          <w:szCs w:val="24"/>
          <w:highlight w:val="none"/>
          <w:lang w:val="en-US" w:eastAsia="zh-CN"/>
        </w:rPr>
        <w:t>5、供应商具有类似项目管理经验优先考虑，符合安全生产和文明作业相关管理要求，养护维修作业过程中优先使用具有节能和环境标志产品认证证书的产品，优先选用新能源车辆及设备。</w:t>
      </w:r>
    </w:p>
    <w:p>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、设施设备养护工作量清单</w:t>
      </w: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4"/>
          <w:szCs w:val="24"/>
        </w:rPr>
      </w:pPr>
      <w:r>
        <w:rPr>
          <w:rFonts w:hint="eastAsia"/>
          <w:b/>
          <w:bCs/>
          <w:color w:val="auto"/>
          <w:sz w:val="24"/>
          <w:szCs w:val="24"/>
        </w:rPr>
        <w:t>★供应商不得对《</w:t>
      </w:r>
      <w:r>
        <w:rPr>
          <w:rFonts w:hint="eastAsia" w:eastAsia="宋体"/>
          <w:b/>
          <w:bCs/>
          <w:color w:val="auto"/>
          <w:sz w:val="24"/>
          <w:szCs w:val="24"/>
          <w:lang w:eastAsia="zh-CN"/>
        </w:rPr>
        <w:t>设施设备养护工作量清单</w:t>
      </w:r>
      <w:r>
        <w:rPr>
          <w:rFonts w:hint="eastAsia"/>
          <w:b/>
          <w:bCs/>
          <w:color w:val="auto"/>
          <w:sz w:val="24"/>
          <w:szCs w:val="24"/>
        </w:rPr>
        <w:t>》的</w:t>
      </w:r>
      <w:r>
        <w:rPr>
          <w:rFonts w:hint="eastAsia" w:eastAsia="宋体"/>
          <w:b/>
          <w:bCs/>
          <w:color w:val="auto"/>
          <w:sz w:val="24"/>
          <w:szCs w:val="24"/>
          <w:lang w:eastAsia="zh-CN"/>
        </w:rPr>
        <w:t>子目、工程量数量</w:t>
      </w:r>
      <w:r>
        <w:rPr>
          <w:rFonts w:hint="eastAsia"/>
          <w:b/>
          <w:bCs/>
          <w:color w:val="auto"/>
          <w:sz w:val="24"/>
          <w:szCs w:val="24"/>
        </w:rPr>
        <w:t>进行缩减，否则视为</w:t>
      </w:r>
      <w:r>
        <w:rPr>
          <w:rFonts w:hint="eastAsia" w:eastAsia="宋体"/>
          <w:b/>
          <w:bCs/>
          <w:color w:val="auto"/>
          <w:sz w:val="24"/>
          <w:szCs w:val="24"/>
          <w:lang w:eastAsia="zh-CN"/>
        </w:rPr>
        <w:t>实质性未</w:t>
      </w:r>
      <w:r>
        <w:rPr>
          <w:rFonts w:hint="eastAsia"/>
          <w:b/>
          <w:bCs/>
          <w:color w:val="auto"/>
          <w:sz w:val="24"/>
          <w:szCs w:val="24"/>
        </w:rPr>
        <w:t>响应。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sz w:val="24"/>
          <w:szCs w:val="24"/>
        </w:rPr>
      </w:pPr>
      <w:r>
        <w:rPr>
          <w:rFonts w:hint="eastAsia"/>
          <w:b/>
          <w:bCs/>
          <w:color w:val="auto"/>
          <w:sz w:val="24"/>
          <w:szCs w:val="24"/>
        </w:rPr>
        <w:t>《</w:t>
      </w:r>
      <w:r>
        <w:rPr>
          <w:rFonts w:hint="eastAsia" w:eastAsia="宋体"/>
          <w:b/>
          <w:bCs/>
          <w:color w:val="auto"/>
          <w:sz w:val="24"/>
          <w:szCs w:val="24"/>
          <w:lang w:eastAsia="zh-CN"/>
        </w:rPr>
        <w:t>设施设备养护工作量清单</w:t>
      </w:r>
      <w:r>
        <w:rPr>
          <w:rFonts w:hint="eastAsia"/>
          <w:b/>
          <w:bCs/>
          <w:color w:val="auto"/>
          <w:sz w:val="24"/>
          <w:szCs w:val="24"/>
        </w:rPr>
        <w:t>》</w:t>
      </w:r>
    </w:p>
    <w:tbl>
      <w:tblPr>
        <w:tblStyle w:val="10"/>
        <w:tblW w:w="505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9"/>
        <w:gridCol w:w="3473"/>
        <w:gridCol w:w="1398"/>
        <w:gridCol w:w="939"/>
        <w:gridCol w:w="942"/>
        <w:gridCol w:w="9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064"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工作类别</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工程量</w:t>
            </w:r>
          </w:p>
        </w:tc>
        <w:tc>
          <w:tcPr>
            <w:tcW w:w="558" w:type="pc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单价</w:t>
            </w:r>
          </w:p>
        </w:tc>
        <w:tc>
          <w:tcPr>
            <w:tcW w:w="559" w:type="pc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日常检查</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闸宽m·次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定期检查</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闸宽m·次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专项检查</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闸宽m·次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变形缝沥青麻丝修复</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156</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427" w:type="pc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平板钢闸门养护闸门面积（高×宽）50~70㎡（节制闸闸门）</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扇·次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2" w:hRule="atLeast"/>
        </w:trPr>
        <w:tc>
          <w:tcPr>
            <w:tcW w:w="427" w:type="pc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平板钢闸门养护闸门面积（高×宽）50~70㎡（检修闸门）</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扇·次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427" w:type="pc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平板钢闸门养护闸门面积（高×宽）≤10㎡（防汛闸门）</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扇·次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其他金属构件养护</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其他金属构件水尺养护</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其他金属构件阻拦设施养护浮筒</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其他金属构件阻拦设施养护钢丝绳</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m</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65</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启闭机养护卷扬式启闭能力30～50t</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电动机养护电动机功率10～30kW</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配电设备发电机养护功率100～200kW</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（100kw)</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配电设备低压配电柜养护</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配电设备控制柜养护</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配电设备控制箱养护</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配电设备电缆养护（mm2）≤16</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根·次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p>
        </w:tc>
        <w:tc>
          <w:tcPr>
            <w:tcW w:w="2064" w:type="pct"/>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配电设备电缆桥架养护</w:t>
            </w:r>
          </w:p>
        </w:tc>
        <w:tc>
          <w:tcPr>
            <w:tcW w:w="831"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10m·次</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20</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配电设备户外照明养护高杆灯</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套·次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60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21</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配电设备户内照明养护厂房</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只·次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200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22</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防雷设施养护</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套·次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2</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23</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配电设备6～10KV干式变压器养护（KVA）250～800</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1</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24</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BZ6-2-7配电设备高压配电柜养护</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1</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25</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配电设备高压配电柜养护</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台·次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6</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26</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高压电试</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套.次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1</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27</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自动化控制及信息化设备养护</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套</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1</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28</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围墙及护栏金属围栏养护</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327.6</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29</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水域保洁</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万㎡·次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0.5</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30</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陆域保洁</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万㎡·次</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0.99</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31</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排水设施窨井清捞人工清捞</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座</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15</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32</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排水设施排水（电缆）沟清淤</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m</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344</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33</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标志标牌清洗</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套</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80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lang w:val="en-US" w:eastAsia="zh-CN"/>
              </w:rPr>
              <w:t>34</w:t>
            </w:r>
          </w:p>
        </w:tc>
        <w:tc>
          <w:tcPr>
            <w:tcW w:w="2064" w:type="pct"/>
            <w:noWrap w:val="0"/>
            <w:vAlign w:val="center"/>
          </w:tcPr>
          <w:p>
            <w:pPr>
              <w:jc w:val="left"/>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标志标牌油漆</w:t>
            </w:r>
          </w:p>
        </w:tc>
        <w:tc>
          <w:tcPr>
            <w:tcW w:w="831"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w:t>
            </w:r>
          </w:p>
        </w:tc>
        <w:tc>
          <w:tcPr>
            <w:tcW w:w="558" w:type="pct"/>
            <w:noWrap w:val="0"/>
            <w:vAlign w:val="center"/>
          </w:tcPr>
          <w:p>
            <w:pPr>
              <w:jc w:val="center"/>
              <w:rPr>
                <w:rFonts w:hint="eastAsia" w:ascii="宋体" w:hAnsi="宋体" w:eastAsia="宋体" w:cs="宋体"/>
                <w:sz w:val="24"/>
                <w:szCs w:val="24"/>
                <w:highlight w:val="none"/>
                <w:lang w:val="en-US" w:eastAsia="en-US"/>
              </w:rPr>
            </w:pPr>
            <w:r>
              <w:rPr>
                <w:rFonts w:hint="eastAsia" w:ascii="宋体" w:hAnsi="宋体" w:eastAsia="宋体" w:cs="宋体"/>
                <w:sz w:val="24"/>
                <w:szCs w:val="24"/>
                <w:highlight w:val="none"/>
              </w:rPr>
              <w:t>150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27" w:type="pct"/>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c>
          <w:tcPr>
            <w:tcW w:w="2064" w:type="pct"/>
            <w:noWrap w:val="0"/>
            <w:vAlign w:val="center"/>
          </w:tcPr>
          <w:p>
            <w:pPr>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绿化养护</w:t>
            </w:r>
          </w:p>
        </w:tc>
        <w:tc>
          <w:tcPr>
            <w:tcW w:w="831" w:type="pct"/>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w:t>
            </w:r>
          </w:p>
        </w:tc>
        <w:tc>
          <w:tcPr>
            <w:tcW w:w="558"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6399.40</w:t>
            </w:r>
          </w:p>
        </w:tc>
        <w:tc>
          <w:tcPr>
            <w:tcW w:w="558" w:type="pct"/>
            <w:noWrap w:val="0"/>
            <w:vAlign w:val="center"/>
          </w:tcPr>
          <w:p>
            <w:pPr>
              <w:jc w:val="center"/>
              <w:rPr>
                <w:rFonts w:hint="eastAsia" w:ascii="宋体" w:hAnsi="宋体" w:eastAsia="宋体" w:cs="宋体"/>
                <w:sz w:val="24"/>
                <w:szCs w:val="24"/>
                <w:highlight w:val="none"/>
              </w:rPr>
            </w:pPr>
          </w:p>
        </w:tc>
        <w:tc>
          <w:tcPr>
            <w:tcW w:w="559" w:type="pct"/>
            <w:noWrap w:val="0"/>
            <w:vAlign w:val="center"/>
          </w:tcPr>
          <w:p>
            <w:pPr>
              <w:jc w:val="center"/>
              <w:rPr>
                <w:rFonts w:hint="eastAsia" w:ascii="宋体" w:hAnsi="宋体" w:eastAsia="宋体" w:cs="宋体"/>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4440" w:type="pct"/>
            <w:gridSpan w:val="5"/>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合计</w:t>
            </w:r>
          </w:p>
        </w:tc>
        <w:tc>
          <w:tcPr>
            <w:tcW w:w="559" w:type="pct"/>
            <w:noWrap w:val="0"/>
            <w:vAlign w:val="center"/>
          </w:tcPr>
          <w:p>
            <w:pPr>
              <w:jc w:val="center"/>
              <w:rPr>
                <w:rFonts w:hint="eastAsia" w:ascii="宋体" w:hAnsi="宋体" w:eastAsia="宋体" w:cs="宋体"/>
                <w:sz w:val="24"/>
                <w:szCs w:val="24"/>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hint="eastAsia" w:ascii="宋体" w:hAnsi="宋体"/>
          <w:b/>
          <w:bCs/>
          <w:sz w:val="24"/>
          <w:szCs w:val="24"/>
          <w:highlight w:val="none"/>
          <w:lang w:eastAsia="zh-CN"/>
        </w:rPr>
      </w:pPr>
      <w:r>
        <w:rPr>
          <w:rFonts w:hint="eastAsia" w:ascii="宋体" w:hAnsi="宋体"/>
          <w:b/>
          <w:bCs/>
          <w:sz w:val="24"/>
          <w:szCs w:val="24"/>
          <w:highlight w:val="none"/>
          <w:lang w:val="en-US" w:eastAsia="zh-CN"/>
        </w:rPr>
        <w:t>九</w:t>
      </w:r>
      <w:r>
        <w:rPr>
          <w:rFonts w:hint="eastAsia" w:ascii="宋体" w:hAnsi="宋体"/>
          <w:b/>
          <w:bCs/>
          <w:sz w:val="24"/>
          <w:szCs w:val="24"/>
          <w:highlight w:val="none"/>
          <w:lang w:eastAsia="zh-CN"/>
        </w:rPr>
        <w:t>、考核管理办法</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1、考核依据</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运行养护服务合同、采购文件所委托的运行养护管理服务范围、服务内容、服务要求（标准）和响应文件。</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2、考核等级</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（1）考核分90分（含90分）以上为优秀。</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（2）考核分89分～80分为合格。</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（3）考核分80分以下为不合格。</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3、考核实施</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采购人组织成立考核小组作为运行养护服务质量考核的评价机构，考核小组查看现场和各类台帐记录，对照考核评分细则（详见下表）逐项打分。</w:t>
      </w:r>
    </w:p>
    <w:p>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sz w:val="24"/>
          <w:szCs w:val="24"/>
          <w:highlight w:val="none"/>
          <w:lang w:eastAsia="zh-CN"/>
        </w:rPr>
      </w:pPr>
      <w:r>
        <w:rPr>
          <w:rFonts w:hint="eastAsia" w:ascii="宋体" w:hAnsi="宋体"/>
          <w:sz w:val="24"/>
          <w:szCs w:val="24"/>
          <w:highlight w:val="none"/>
          <w:lang w:eastAsia="zh-CN"/>
        </w:rPr>
        <w:t>采购人定期听取成交供应商运行养护服务工作情况，提出提高运行养护服务质量的建议和方法。</w:t>
      </w:r>
    </w:p>
    <w:p>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p>
      <w:pPr>
        <w:ind w:left="0" w:leftChars="0" w:firstLine="0" w:firstLineChars="0"/>
        <w:sectPr>
          <w:pgSz w:w="11906" w:h="16838"/>
          <w:pgMar w:top="1440" w:right="1800" w:bottom="1440" w:left="1800" w:header="851" w:footer="992" w:gutter="0"/>
          <w:cols w:space="425" w:num="1"/>
          <w:docGrid w:type="lines" w:linePitch="312" w:charSpace="0"/>
        </w:sectPr>
      </w:pPr>
    </w:p>
    <w:p>
      <w:pPr>
        <w:ind w:firstLine="482" w:firstLineChars="20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浦东新区行业水闸考核评分表</w:t>
      </w:r>
    </w:p>
    <w:p>
      <w:pPr>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水闸名称：</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考核单位：</w:t>
      </w:r>
      <w:r>
        <w:rPr>
          <w:rFonts w:hint="eastAsia" w:ascii="仿宋_GB2312" w:hAnsi="仿宋_GB2312" w:eastAsia="仿宋_GB2312" w:cs="仿宋_GB2312"/>
          <w:sz w:val="24"/>
          <w:szCs w:val="24"/>
          <w:u w:val="single"/>
        </w:rPr>
        <w:t xml:space="preserve"> </w:t>
      </w:r>
      <w:r>
        <w:rPr>
          <w:rFonts w:ascii="仿宋_GB2312" w:hAnsi="仿宋_GB2312" w:eastAsia="仿宋_GB2312" w:cs="仿宋_GB2312"/>
          <w:sz w:val="24"/>
          <w:szCs w:val="24"/>
          <w:u w:val="single"/>
        </w:rPr>
        <w:t xml:space="preserve">                                     </w:t>
      </w:r>
    </w:p>
    <w:p>
      <w:pPr>
        <w:ind w:firstLine="480" w:firstLineChars="200"/>
        <w:rPr>
          <w:rFonts w:hint="default" w:ascii="仿宋_GB2312" w:hAnsi="仿宋_GB2312" w:eastAsia="仿宋_GB2312" w:cs="仿宋_GB2312"/>
          <w:u w:val="single"/>
          <w:lang w:val="en-US" w:eastAsia="zh-CN"/>
        </w:rPr>
      </w:pPr>
      <w:r>
        <w:rPr>
          <w:rFonts w:hint="eastAsia" w:ascii="仿宋_GB2312" w:hAnsi="仿宋_GB2312" w:eastAsia="仿宋_GB2312" w:cs="仿宋_GB2312"/>
          <w:sz w:val="24"/>
          <w:szCs w:val="24"/>
        </w:rPr>
        <w:t>考核日期：</w:t>
      </w:r>
      <w:r>
        <w:rPr>
          <w:rFonts w:hint="eastAsia" w:ascii="仿宋_GB2312" w:hAnsi="仿宋_GB2312" w:eastAsia="仿宋_GB2312" w:cs="仿宋_GB2312"/>
          <w:u w:val="single"/>
        </w:rPr>
        <w:t xml:space="preserve">   </w:t>
      </w:r>
      <w:r>
        <w:rPr>
          <w:rFonts w:ascii="仿宋_GB2312" w:hAnsi="仿宋_GB2312" w:eastAsia="仿宋_GB2312" w:cs="仿宋_GB2312"/>
          <w:u w:val="single"/>
        </w:rPr>
        <w:t xml:space="preserve">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被考核单位：</w:t>
      </w:r>
      <w:r>
        <w:rPr>
          <w:rFonts w:hint="eastAsia" w:ascii="仿宋_GB2312" w:hAnsi="仿宋_GB2312" w:eastAsia="仿宋_GB2312" w:cs="仿宋_GB2312"/>
          <w:u w:val="single"/>
          <w:lang w:val="en-US" w:eastAsia="zh-CN"/>
        </w:rPr>
        <w:t xml:space="preserve">                                         </w:t>
      </w:r>
    </w:p>
    <w:tbl>
      <w:tblPr>
        <w:tblStyle w:val="6"/>
        <w:tblW w:w="14475" w:type="dxa"/>
        <w:tblInd w:w="-272" w:type="dxa"/>
        <w:tblLayout w:type="fixed"/>
        <w:tblCellMar>
          <w:top w:w="0" w:type="dxa"/>
          <w:left w:w="108" w:type="dxa"/>
          <w:bottom w:w="0" w:type="dxa"/>
          <w:right w:w="108" w:type="dxa"/>
        </w:tblCellMar>
      </w:tblPr>
      <w:tblGrid>
        <w:gridCol w:w="640"/>
        <w:gridCol w:w="770"/>
        <w:gridCol w:w="630"/>
        <w:gridCol w:w="1605"/>
        <w:gridCol w:w="4260"/>
        <w:gridCol w:w="4898"/>
        <w:gridCol w:w="862"/>
        <w:gridCol w:w="810"/>
      </w:tblGrid>
      <w:tr>
        <w:tblPrEx>
          <w:tblCellMar>
            <w:top w:w="0" w:type="dxa"/>
            <w:left w:w="108" w:type="dxa"/>
            <w:bottom w:w="0" w:type="dxa"/>
            <w:right w:w="108" w:type="dxa"/>
          </w:tblCellMar>
        </w:tblPrEx>
        <w:trPr>
          <w:trHeight w:val="340" w:hRule="atLeast"/>
        </w:trPr>
        <w:tc>
          <w:tcPr>
            <w:tcW w:w="64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序号</w:t>
            </w:r>
          </w:p>
        </w:tc>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考核</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项目</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分值</w:t>
            </w: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检查单元</w:t>
            </w:r>
          </w:p>
        </w:tc>
        <w:tc>
          <w:tcPr>
            <w:tcW w:w="42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问题描述（对应水利部60条）</w:t>
            </w:r>
          </w:p>
        </w:tc>
        <w:tc>
          <w:tcPr>
            <w:tcW w:w="48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扣分标准</w:t>
            </w:r>
          </w:p>
        </w:tc>
        <w:tc>
          <w:tcPr>
            <w:tcW w:w="86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扣分值</w:t>
            </w:r>
          </w:p>
        </w:tc>
        <w:tc>
          <w:tcPr>
            <w:tcW w:w="81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312" w:hRule="atLeast"/>
        </w:trPr>
        <w:tc>
          <w:tcPr>
            <w:tcW w:w="64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p>
        </w:tc>
        <w:tc>
          <w:tcPr>
            <w:tcW w:w="426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szCs w:val="20"/>
              </w:rPr>
            </w:pPr>
          </w:p>
        </w:tc>
        <w:tc>
          <w:tcPr>
            <w:tcW w:w="48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0"/>
                <w:szCs w:val="20"/>
              </w:rPr>
            </w:pPr>
          </w:p>
        </w:tc>
        <w:tc>
          <w:tcPr>
            <w:tcW w:w="86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p>
        </w:tc>
        <w:tc>
          <w:tcPr>
            <w:tcW w:w="81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一、</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责任</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体系</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管护主体</w:t>
            </w:r>
            <w:r>
              <w:rPr>
                <w:rStyle w:val="11"/>
                <w:rFonts w:hint="default"/>
                <w:lang w:bidi="ar"/>
              </w:rPr>
              <w:t>∆</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无管护主体或管护主体不明确</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无管护主体扣5分，管护主体责任不明确扣3分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管护人员</w:t>
            </w:r>
            <w:r>
              <w:rPr>
                <w:rStyle w:val="11"/>
                <w:rFonts w:hint="default"/>
                <w:lang w:bidi="ar"/>
              </w:rPr>
              <w:t>∆</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未配备管护人员</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未配备管护人员扣5分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未经过岗位培训</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未经过岗位培训扣5分，无培训记录扣2分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管理责任人</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未落实防汛行政责任人</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未落实防汛行政责任人扣5分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防汛行政责任人履职情况不到位</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防汛行政责任人履职情况不到位扣3分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经费落实</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人员基本支出经费未足额到位</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人员基本支出经费未足额到位扣5分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工程维修养护经费不足</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工程维修养护经费不足扣5分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二、</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安全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管理</w:t>
            </w: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二、</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安全</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管理</w:t>
            </w: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p>
            <w:pPr>
              <w:widowControl/>
              <w:textAlignment w:val="center"/>
              <w:rPr>
                <w:rFonts w:ascii="仿宋" w:hAnsi="仿宋" w:eastAsia="仿宋" w:cs="仿宋"/>
                <w:color w:val="000000"/>
                <w:kern w:val="0"/>
                <w:sz w:val="20"/>
                <w:szCs w:val="20"/>
                <w:lang w:bidi="ar"/>
              </w:rPr>
            </w:pP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w:t>
            </w: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w:t>
            </w:r>
          </w:p>
          <w:p>
            <w:pPr>
              <w:widowControl/>
              <w:jc w:val="center"/>
              <w:textAlignment w:val="center"/>
              <w:rPr>
                <w:rFonts w:ascii="仿宋" w:hAnsi="仿宋" w:eastAsia="仿宋" w:cs="仿宋"/>
                <w:color w:val="000000"/>
                <w:kern w:val="0"/>
                <w:sz w:val="20"/>
                <w:szCs w:val="20"/>
                <w:lang w:bidi="ar"/>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备案登记</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未上报水闸基本数据信息</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未及时办理扣5分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未及时更新水闸基本数据信息</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未及时变更信息扣2分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管理制度</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未编制水闸技术管理实施细则</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大中型水闸扣5分，小型水闸不扣分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未制定并落实水闸运行管理制度</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无水闸运行管理制度扣5分，制度落实不到位扣3分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关键岗位管理制度、操作规程及技术图表未明示</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大中型水闸扣5分，小型水闸扣2分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控制运用</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未编制控制运用计划</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大中型水闸扣5分，小型水闸扣3分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93"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控制运用计划未按规定申请批复或备案</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大中型水闸扣3分，小型水闸扣2分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56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未按照上级主管部门的调度指令和批准的控制运用计划进行控制运用</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每次扣5分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38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未建立闸门操作运行值班制度并有效执行</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未建立扣5分，执行不到位扣3分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380" w:hRule="atLeast"/>
        </w:trPr>
        <w:tc>
          <w:tcPr>
            <w:tcW w:w="640" w:type="dxa"/>
            <w:vMerge w:val="restart"/>
            <w:tcBorders>
              <w:top w:val="single" w:color="000000" w:sz="4" w:space="0"/>
              <w:left w:val="single" w:color="000000" w:sz="4" w:space="0"/>
              <w:right w:val="single" w:color="000000" w:sz="4" w:space="0"/>
            </w:tcBorders>
            <w:noWrap/>
            <w:vAlign w:val="center"/>
          </w:tcPr>
          <w:p>
            <w:pPr>
              <w:jc w:val="center"/>
              <w:rPr>
                <w:rFonts w:ascii="仿宋" w:hAnsi="仿宋" w:eastAsia="仿宋" w:cs="仿宋"/>
                <w:color w:val="000000"/>
                <w:sz w:val="20"/>
                <w:szCs w:val="20"/>
              </w:rPr>
            </w:pPr>
            <w:r>
              <w:rPr>
                <w:rFonts w:hint="eastAsia" w:ascii="仿宋" w:hAnsi="仿宋" w:eastAsia="仿宋" w:cs="仿宋"/>
                <w:color w:val="000000"/>
                <w:sz w:val="20"/>
                <w:szCs w:val="20"/>
              </w:rPr>
              <w:t>17</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闸门运用未填写工作日志并做好记录，</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每次扣3分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380" w:hRule="atLeast"/>
        </w:trPr>
        <w:tc>
          <w:tcPr>
            <w:tcW w:w="640"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运行数据每月汇总上报</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未上报每次扣5分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应急管理</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未编制突发事件应急预案</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无预案扣5分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已编制突发事件应急预案但未申请批复或报备</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未报备扣3分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未编制度汛方案或安全度汛工作落实不到位</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无方案扣5分，落实不到位扣3分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未建立并落实汛期24小时值班制度并做好值班记录</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未建立扣5分，无记录3分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未储备或未落实必要的防汛抢险物资</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未储备扣5分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52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安全鉴定</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未按规定开展安全鉴定</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沿江沿海水闸扣10分，内河大中型水闸扣5分，内河小型水闸不扣分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38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闸门和启闭机未按规定进行安全检测</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未按规定进行安全检测扣10分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38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25</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安全鉴定或认定意见建议提出的重大隐患未及时整改</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未及时整改扣10分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26</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三、四类闸管理</w:t>
            </w:r>
            <w:r>
              <w:rPr>
                <w:rStyle w:val="11"/>
                <w:rFonts w:hint="default"/>
                <w:lang w:bidi="ar"/>
              </w:rPr>
              <w:t>∆</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未制定保闸安全应急措施并限制运用</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未制定并限制运用扣10分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27</w:t>
            </w:r>
          </w:p>
        </w:tc>
        <w:tc>
          <w:tcPr>
            <w:tcW w:w="77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未实施除险加固或降等报废</w:t>
            </w:r>
          </w:p>
        </w:tc>
        <w:tc>
          <w:tcPr>
            <w:tcW w:w="4898"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未实施除险加固或降等报废扣10分</w:t>
            </w:r>
          </w:p>
        </w:tc>
        <w:tc>
          <w:tcPr>
            <w:tcW w:w="862" w:type="dxa"/>
            <w:tcBorders>
              <w:top w:val="single" w:color="000000" w:sz="4" w:space="0"/>
              <w:left w:val="single" w:color="000000" w:sz="4" w:space="0"/>
              <w:bottom w:val="single" w:color="auto"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auto" w:sz="4" w:space="0"/>
              <w:right w:val="single" w:color="000000" w:sz="4" w:space="0"/>
            </w:tcBorders>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360"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28</w:t>
            </w:r>
          </w:p>
        </w:tc>
        <w:tc>
          <w:tcPr>
            <w:tcW w:w="7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三、</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日常</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管理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与维护</w:t>
            </w: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w:t>
            </w: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w:t>
            </w: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tc>
        <w:tc>
          <w:tcPr>
            <w:tcW w:w="160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巡查/巡检</w:t>
            </w:r>
          </w:p>
        </w:tc>
        <w:tc>
          <w:tcPr>
            <w:tcW w:w="4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未按规定开展水闸检查(日常、定期、专项)工作</w:t>
            </w:r>
          </w:p>
        </w:tc>
        <w:tc>
          <w:tcPr>
            <w:tcW w:w="48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无日常检查扣2分，无定期检查扣3分，无专项检查扣5分</w:t>
            </w:r>
          </w:p>
        </w:tc>
        <w:tc>
          <w:tcPr>
            <w:tcW w:w="8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29</w:t>
            </w:r>
          </w:p>
        </w:tc>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color w:val="000000"/>
                <w:sz w:val="20"/>
                <w:szCs w:val="20"/>
              </w:rPr>
            </w:pPr>
          </w:p>
        </w:tc>
        <w:tc>
          <w:tcPr>
            <w:tcW w:w="4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无检查记录(报告)或检查记录(报告)不规范</w:t>
            </w:r>
          </w:p>
        </w:tc>
        <w:tc>
          <w:tcPr>
            <w:tcW w:w="48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无检查记录扣3分，或检查记录不规范扣2分</w:t>
            </w:r>
          </w:p>
        </w:tc>
        <w:tc>
          <w:tcPr>
            <w:tcW w:w="8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40" w:hRule="atLeast"/>
        </w:trPr>
        <w:tc>
          <w:tcPr>
            <w:tcW w:w="64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w:t>
            </w:r>
          </w:p>
        </w:tc>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color w:val="000000"/>
                <w:sz w:val="20"/>
                <w:szCs w:val="20"/>
              </w:rPr>
            </w:pPr>
          </w:p>
        </w:tc>
        <w:tc>
          <w:tcPr>
            <w:tcW w:w="4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检查未及时发现工程缺陷，或发现后未采取有效措施处理</w:t>
            </w:r>
          </w:p>
        </w:tc>
        <w:tc>
          <w:tcPr>
            <w:tcW w:w="48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检查未及时发现工程缺陷扣5分，发现后未采取有效措施处理扣5分，影响运行安全扣10分</w:t>
            </w:r>
          </w:p>
        </w:tc>
        <w:tc>
          <w:tcPr>
            <w:tcW w:w="86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31</w:t>
            </w:r>
          </w:p>
        </w:tc>
        <w:tc>
          <w:tcPr>
            <w:tcW w:w="770" w:type="dxa"/>
            <w:vMerge w:val="continue"/>
            <w:tcBorders>
              <w:top w:val="single" w:color="auto" w:sz="4" w:space="0"/>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auto" w:sz="4" w:space="0"/>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维修养护</w:t>
            </w:r>
          </w:p>
        </w:tc>
        <w:tc>
          <w:tcPr>
            <w:tcW w:w="4260"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未进行日常维修养护</w:t>
            </w:r>
          </w:p>
        </w:tc>
        <w:tc>
          <w:tcPr>
            <w:tcW w:w="4898"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未进行日常维修养护扣5分，影响运行安全扣10分</w:t>
            </w:r>
          </w:p>
        </w:tc>
        <w:tc>
          <w:tcPr>
            <w:tcW w:w="862" w:type="dxa"/>
            <w:tcBorders>
              <w:top w:val="single" w:color="auto"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auto"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4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32</w:t>
            </w:r>
          </w:p>
        </w:tc>
        <w:tc>
          <w:tcPr>
            <w:tcW w:w="77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维修养护不到位，工程实体存在问题未及时处理</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维修养护不到位扣3分，工程实体存在问题未及时处理扣5分，影响运行安全扣10分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33</w:t>
            </w:r>
          </w:p>
        </w:tc>
        <w:tc>
          <w:tcPr>
            <w:tcW w:w="77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安全监测及监控设备、设施维护（如果有）</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未对工程进行安全监测、采集监测数据</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未对工程进行安全监测、采集监测数据扣5分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34</w:t>
            </w:r>
          </w:p>
        </w:tc>
        <w:tc>
          <w:tcPr>
            <w:tcW w:w="77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未规范或未及时整理分析监测资料</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未规范或未及时整理分析监测资料扣3分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35</w:t>
            </w:r>
          </w:p>
        </w:tc>
        <w:tc>
          <w:tcPr>
            <w:tcW w:w="77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安全监测设备、设施维护不到位</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安全监测设备、设施维护不到位扣3分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36</w:t>
            </w:r>
          </w:p>
        </w:tc>
        <w:tc>
          <w:tcPr>
            <w:tcW w:w="77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管理范围和保护范围情况</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未划定管理范围和保护范围</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未划定管理范围和保护范围扣5分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37</w:t>
            </w:r>
          </w:p>
        </w:tc>
        <w:tc>
          <w:tcPr>
            <w:tcW w:w="77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工程管理和保护范围内有违章建筑</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工程管理和保护范围内有违章建筑扣5分，影响运行安全扣10分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62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38</w:t>
            </w:r>
          </w:p>
        </w:tc>
        <w:tc>
          <w:tcPr>
            <w:tcW w:w="77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left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工程管理和保护范围内存在危害工程安全的活动</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工程管理和保护范围内存在危害工程安全的活动扣5分，影响运行安全扣10分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320"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39</w:t>
            </w:r>
          </w:p>
        </w:tc>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四、</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工程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实体</w:t>
            </w: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四、</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工程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 xml:space="preserve">实体                                                                      </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w:t>
            </w: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20</w:t>
            </w: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p>
            <w:pPr>
              <w:widowControl/>
              <w:jc w:val="center"/>
              <w:textAlignment w:val="center"/>
              <w:rPr>
                <w:rFonts w:ascii="仿宋" w:hAnsi="仿宋" w:eastAsia="仿宋" w:cs="仿宋"/>
                <w:color w:val="000000"/>
                <w:kern w:val="0"/>
                <w:sz w:val="20"/>
                <w:szCs w:val="20"/>
                <w:lang w:bidi="ar"/>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闸室</w:t>
            </w:r>
            <w:r>
              <w:rPr>
                <w:rStyle w:val="12"/>
                <w:rFonts w:hint="default"/>
                <w:lang w:bidi="ar"/>
              </w:rPr>
              <w:t>∆</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闸室结构（闸墩、底板、边墙等）或结构缝变形量大，边墙有明显倾斜</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每处扣2分，影响运行安全扣5分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防渗排水结构出现破坏、异常</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每处扣2分，影响运行安全扣5分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消能防冲设施破损</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每处扣2分，影响运行安全扣5分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42</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闸室两岸连接建筑物破损</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每处扣2分，影响运行安全扣5分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43</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地基不均匀沉降明显</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每处扣2分，影响运行安全扣5分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44</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闸室上、下游连接段</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连接段存在破损</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45</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连接段河床存在冲刷和淤积</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46</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管理范围内的上下游河道和堤防及其它建筑物</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上下游河道存在淤积或冲刷</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47</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两岸堤防存在破损</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48</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其它建筑物存在缺陷影响水闸正常运行</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49</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闸门</w:t>
            </w:r>
            <w:r>
              <w:rPr>
                <w:rStyle w:val="12"/>
                <w:rFonts w:hint="default"/>
                <w:lang w:bidi="ar"/>
              </w:rPr>
              <w:t>∆</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闸门、门槽等存在变形、卡阻</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每处扣2分，不能启闭扣5分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闸门、门槽存在锈蚀、损伤</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每处扣2分，影响运行安全扣5分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51</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闸门密封件破损、漏水</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每处扣2分，影响运行安全扣5分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0"/>
                <w:szCs w:val="20"/>
                <w:lang w:eastAsia="zh-CN"/>
              </w:rPr>
            </w:pPr>
            <w:r>
              <w:rPr>
                <w:rFonts w:hint="eastAsia" w:ascii="宋体" w:hAnsi="宋体" w:cs="宋体"/>
                <w:color w:val="000000"/>
                <w:sz w:val="20"/>
                <w:szCs w:val="20"/>
                <w:lang w:val="en-US" w:eastAsia="zh-CN"/>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52</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闸门其它部件存在缺陷</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每处扣2分，影响运行安全扣5分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53</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启闭设备</w:t>
            </w:r>
            <w:r>
              <w:rPr>
                <w:rStyle w:val="12"/>
                <w:rFonts w:hint="default"/>
                <w:lang w:bidi="ar"/>
              </w:rPr>
              <w:t>∆</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启闭设备不能满足正常启闭要求</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启闭设备不能满足正常启闭要求扣5分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54</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启闭设备存在锈蚀、漏油等</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启闭设备存在锈蚀、漏油等扣2分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55</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启闭设备无保护装置及措施</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启闭设备无保护装置及措施扣2分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56</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配电设施</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配电设施存在故障或隐患</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配电设施存在故障或隐患扣5分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57</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备用电源不能正常运行</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备用电源不能正常运行扣5分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58</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无防雷接地</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无防雷接地扣5分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59</w:t>
            </w: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安全管理设施</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无消防设施或不完善</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无消防设施或不完善扣5分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88" w:hRule="atLeast"/>
        </w:trPr>
        <w:tc>
          <w:tcPr>
            <w:tcW w:w="6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w:t>
            </w:r>
          </w:p>
        </w:tc>
        <w:tc>
          <w:tcPr>
            <w:tcW w:w="77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 w:hAnsi="仿宋" w:eastAsia="仿宋" w:cs="仿宋"/>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未设置必要的安全防护及安全管理设施</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未设置必要的安全防护及安全管理设施扣5分</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13" w:hRule="atLeast"/>
        </w:trPr>
        <w:tc>
          <w:tcPr>
            <w:tcW w:w="640"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61</w:t>
            </w:r>
          </w:p>
        </w:tc>
        <w:tc>
          <w:tcPr>
            <w:tcW w:w="770" w:type="dxa"/>
            <w:vMerge w:val="restart"/>
            <w:tcBorders>
              <w:top w:val="single" w:color="auto" w:sz="4" w:space="0"/>
              <w:left w:val="single" w:color="auto" w:sz="4" w:space="0"/>
              <w:bottom w:val="single" w:color="auto" w:sz="4" w:space="0"/>
              <w:right w:val="single" w:color="000000" w:sz="4" w:space="0"/>
            </w:tcBorders>
            <w:noWrap w:val="0"/>
            <w:vAlign w:val="center"/>
          </w:tcPr>
          <w:p>
            <w:pPr>
              <w:jc w:val="center"/>
              <w:rPr>
                <w:rFonts w:ascii="仿宋" w:hAnsi="仿宋" w:eastAsia="仿宋" w:cs="仿宋"/>
                <w:color w:val="000000"/>
                <w:sz w:val="20"/>
                <w:szCs w:val="20"/>
              </w:rPr>
            </w:pPr>
            <w:r>
              <w:rPr>
                <w:rFonts w:hint="eastAsia" w:ascii="仿宋" w:hAnsi="仿宋" w:eastAsia="仿宋" w:cs="仿宋"/>
                <w:color w:val="000000"/>
                <w:sz w:val="20"/>
                <w:szCs w:val="20"/>
              </w:rPr>
              <w:t>五、其他</w:t>
            </w:r>
          </w:p>
        </w:tc>
        <w:tc>
          <w:tcPr>
            <w:tcW w:w="630" w:type="dxa"/>
            <w:vMerge w:val="restart"/>
            <w:tcBorders>
              <w:top w:val="single" w:color="auto" w:sz="4" w:space="0"/>
              <w:left w:val="single" w:color="000000" w:sz="4" w:space="0"/>
              <w:bottom w:val="single" w:color="auto" w:sz="4" w:space="0"/>
              <w:right w:val="single" w:color="auto" w:sz="4" w:space="0"/>
            </w:tcBorders>
            <w:noWrap w:val="0"/>
            <w:vAlign w:val="center"/>
          </w:tcPr>
          <w:p>
            <w:pPr>
              <w:jc w:val="center"/>
              <w:rPr>
                <w:rFonts w:ascii="仿宋" w:hAnsi="仿宋" w:eastAsia="仿宋" w:cs="仿宋"/>
                <w:color w:val="000000"/>
                <w:sz w:val="20"/>
                <w:szCs w:val="20"/>
              </w:rPr>
            </w:pPr>
            <w:r>
              <w:rPr>
                <w:rFonts w:hint="eastAsia" w:ascii="仿宋" w:hAnsi="仿宋" w:eastAsia="仿宋" w:cs="仿宋"/>
                <w:color w:val="000000"/>
                <w:sz w:val="20"/>
                <w:szCs w:val="20"/>
              </w:rPr>
              <w:t>20</w:t>
            </w:r>
          </w:p>
        </w:tc>
        <w:tc>
          <w:tcPr>
            <w:tcW w:w="1605" w:type="dxa"/>
            <w:vMerge w:val="restart"/>
            <w:tcBorders>
              <w:top w:val="single" w:color="000000" w:sz="4" w:space="0"/>
              <w:left w:val="single" w:color="auto" w:sz="4" w:space="0"/>
              <w:right w:val="single" w:color="000000" w:sz="4" w:space="0"/>
            </w:tcBorders>
            <w:noWrap w:val="0"/>
            <w:vAlign w:val="center"/>
          </w:tcPr>
          <w:p>
            <w:pPr>
              <w:jc w:val="center"/>
              <w:rPr>
                <w:rFonts w:ascii="仿宋" w:hAnsi="仿宋" w:eastAsia="仿宋" w:cs="仿宋"/>
                <w:color w:val="000000"/>
                <w:sz w:val="20"/>
                <w:szCs w:val="20"/>
              </w:rPr>
            </w:pPr>
            <w:r>
              <w:rPr>
                <w:rFonts w:hint="eastAsia" w:ascii="仿宋" w:hAnsi="仿宋" w:eastAsia="仿宋" w:cs="仿宋"/>
                <w:color w:val="000000"/>
                <w:sz w:val="20"/>
                <w:szCs w:val="20"/>
              </w:rPr>
              <w:t>相关资料上交</w:t>
            </w: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基础信息</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不按时上交每次扣5分，不上交每次加倍扣</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17" w:hRule="atLeast"/>
        </w:trPr>
        <w:tc>
          <w:tcPr>
            <w:tcW w:w="640"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62</w:t>
            </w:r>
          </w:p>
        </w:tc>
        <w:tc>
          <w:tcPr>
            <w:tcW w:w="77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ascii="仿宋" w:hAnsi="仿宋" w:eastAsia="仿宋" w:cs="仿宋"/>
                <w:color w:val="000000"/>
                <w:sz w:val="20"/>
                <w:szCs w:val="20"/>
              </w:rPr>
            </w:pPr>
          </w:p>
        </w:tc>
        <w:tc>
          <w:tcPr>
            <w:tcW w:w="1605" w:type="dxa"/>
            <w:vMerge w:val="continue"/>
            <w:tcBorders>
              <w:left w:val="single" w:color="auto"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整改资料</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不按时上交每次扣5分，不上交每次加倍扣</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455" w:hRule="atLeast"/>
        </w:trPr>
        <w:tc>
          <w:tcPr>
            <w:tcW w:w="640"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63</w:t>
            </w:r>
          </w:p>
        </w:tc>
        <w:tc>
          <w:tcPr>
            <w:tcW w:w="770" w:type="dxa"/>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ascii="仿宋" w:hAnsi="仿宋" w:eastAsia="仿宋" w:cs="仿宋"/>
                <w:color w:val="000000"/>
                <w:sz w:val="20"/>
                <w:szCs w:val="20"/>
              </w:rPr>
            </w:pPr>
          </w:p>
        </w:tc>
        <w:tc>
          <w:tcPr>
            <w:tcW w:w="630" w:type="dxa"/>
            <w:vMerge w:val="continue"/>
            <w:tcBorders>
              <w:top w:val="single" w:color="auto" w:sz="4" w:space="0"/>
              <w:left w:val="single" w:color="000000" w:sz="4" w:space="0"/>
              <w:bottom w:val="single" w:color="auto" w:sz="4" w:space="0"/>
              <w:right w:val="single" w:color="auto" w:sz="4" w:space="0"/>
            </w:tcBorders>
            <w:noWrap w:val="0"/>
            <w:vAlign w:val="center"/>
          </w:tcPr>
          <w:p>
            <w:pPr>
              <w:jc w:val="center"/>
              <w:rPr>
                <w:rFonts w:ascii="仿宋" w:hAnsi="仿宋" w:eastAsia="仿宋" w:cs="仿宋"/>
                <w:color w:val="000000"/>
                <w:sz w:val="20"/>
                <w:szCs w:val="20"/>
              </w:rPr>
            </w:pPr>
          </w:p>
        </w:tc>
        <w:tc>
          <w:tcPr>
            <w:tcW w:w="1605" w:type="dxa"/>
            <w:vMerge w:val="continue"/>
            <w:tcBorders>
              <w:left w:val="single" w:color="auto" w:sz="4" w:space="0"/>
              <w:bottom w:val="single" w:color="000000" w:sz="4" w:space="0"/>
              <w:right w:val="single" w:color="000000" w:sz="4" w:space="0"/>
            </w:tcBorders>
            <w:noWrap w:val="0"/>
            <w:vAlign w:val="center"/>
          </w:tcPr>
          <w:p>
            <w:pPr>
              <w:jc w:val="center"/>
              <w:rPr>
                <w:rFonts w:ascii="仿宋" w:hAnsi="仿宋" w:eastAsia="仿宋" w:cs="仿宋"/>
                <w:color w:val="000000"/>
                <w:sz w:val="20"/>
                <w:szCs w:val="20"/>
              </w:rPr>
            </w:pPr>
          </w:p>
        </w:tc>
        <w:tc>
          <w:tcPr>
            <w:tcW w:w="42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各部门要求上报的各类资料</w:t>
            </w:r>
          </w:p>
        </w:tc>
        <w:tc>
          <w:tcPr>
            <w:tcW w:w="489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不按时上交每次扣5分，不上交每次加倍扣</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szCs w:val="20"/>
              </w:rPr>
            </w:pPr>
            <w:r>
              <w:rPr>
                <w:rFonts w:hint="eastAsia" w:ascii="宋体" w:hAnsi="宋体" w:cs="宋体"/>
                <w:color w:val="000000"/>
                <w:sz w:val="20"/>
                <w:szCs w:val="20"/>
              </w:rPr>
              <w:t>0</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after="0" w:line="240" w:lineRule="auto"/>
        <w:jc w:val="left"/>
        <w:textAlignment w:val="baseline"/>
        <w:rPr>
          <w:rFonts w:ascii="仿宋_GB2312" w:hAnsi="仿宋_GB2312" w:eastAsia="仿宋_GB2312" w:cs="仿宋_GB2312"/>
          <w:sz w:val="20"/>
          <w:szCs w:val="20"/>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jc w:val="left"/>
        <w:textAlignment w:val="baseline"/>
        <w:rPr>
          <w:rFonts w:ascii="仿宋_GB2312" w:hAnsi="仿宋_GB2312" w:eastAsia="仿宋_GB2312" w:cs="仿宋_GB2312"/>
          <w:sz w:val="21"/>
          <w:szCs w:val="21"/>
        </w:rPr>
      </w:pPr>
      <w:r>
        <w:rPr>
          <w:rFonts w:hint="eastAsia" w:ascii="仿宋_GB2312" w:hAnsi="仿宋_GB2312" w:eastAsia="仿宋_GB2312" w:cs="仿宋_GB2312"/>
          <w:sz w:val="21"/>
          <w:szCs w:val="21"/>
        </w:rPr>
        <w:t>注：考核得分满分为100分，100分减去考核扣分为实际考核得分（各单元合计扣分不超过该项目的总分值）</w:t>
      </w:r>
    </w:p>
    <w:p>
      <w:pPr>
        <w:jc w:val="center"/>
        <w:rPr>
          <w:rFonts w:ascii="仿宋_GB2312" w:hAnsi="仿宋_GB2312" w:eastAsia="仿宋_GB2312" w:cs="仿宋_GB2312"/>
          <w:sz w:val="36"/>
          <w:szCs w:val="36"/>
        </w:rPr>
      </w:pPr>
      <w:r>
        <w:rPr>
          <w:rFonts w:hint="eastAsia" w:ascii="仿宋_GB2312" w:hAnsi="仿宋_GB2312" w:eastAsia="仿宋_GB2312" w:cs="仿宋_GB2312"/>
        </w:rPr>
        <w:t xml:space="preserve">                                                              </w:t>
      </w:r>
      <w:r>
        <w:rPr>
          <w:rFonts w:hint="eastAsia" w:ascii="仿宋_GB2312" w:hAnsi="仿宋_GB2312" w:eastAsia="仿宋_GB2312" w:cs="仿宋_GB2312"/>
          <w:sz w:val="36"/>
          <w:szCs w:val="36"/>
        </w:rPr>
        <w:t xml:space="preserve"> </w:t>
      </w:r>
    </w:p>
    <w:p>
      <w:pPr>
        <w:jc w:val="cente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考核总得分：</w:t>
      </w:r>
      <w:r>
        <w:rPr>
          <w:rFonts w:hint="eastAsia" w:ascii="仿宋_GB2312" w:hAnsi="仿宋_GB2312" w:eastAsia="仿宋_GB2312" w:cs="仿宋_GB2312"/>
          <w:sz w:val="36"/>
          <w:szCs w:val="36"/>
          <w:u w:val="single"/>
        </w:rPr>
        <w:t xml:space="preserve"> </w:t>
      </w:r>
      <w:r>
        <w:rPr>
          <w:rFonts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rPr>
        <w:t xml:space="preserve">                       </w:t>
      </w:r>
    </w:p>
    <w:p>
      <w:pPr>
        <w:jc w:val="center"/>
        <w:rPr>
          <w:rFonts w:ascii="仿宋_GB2312" w:hAnsi="仿宋_GB2312" w:eastAsia="仿宋_GB2312" w:cs="仿宋_GB2312"/>
          <w:sz w:val="36"/>
          <w:szCs w:val="36"/>
          <w:u w:val="single"/>
        </w:rPr>
      </w:pPr>
      <w:r>
        <w:rPr>
          <w:rFonts w:hint="eastAsia" w:ascii="仿宋_GB2312" w:hAnsi="仿宋_GB2312" w:eastAsia="仿宋_GB2312" w:cs="仿宋_GB2312"/>
          <w:sz w:val="36"/>
          <w:szCs w:val="36"/>
        </w:rPr>
        <w:t xml:space="preserve">         考核人签字：</w:t>
      </w:r>
      <w:r>
        <w:rPr>
          <w:rFonts w:hint="eastAsia" w:ascii="仿宋_GB2312" w:hAnsi="仿宋_GB2312" w:eastAsia="仿宋_GB2312" w:cs="仿宋_GB2312"/>
          <w:sz w:val="36"/>
          <w:szCs w:val="36"/>
          <w:u w:val="single"/>
        </w:rPr>
        <w:t xml:space="preserve">                          </w:t>
      </w:r>
    </w:p>
    <w:p>
      <w:pPr>
        <w:ind w:left="0" w:leftChars="0"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文泉驿正黑">
    <w:panose1 w:val="02000603000000000000"/>
    <w:charset w:val="86"/>
    <w:family w:val="auto"/>
    <w:pitch w:val="default"/>
    <w:sig w:usb0="900002BF" w:usb1="2BDF7DFB" w:usb2="00000036" w:usb3="00000000" w:csb0="603E000D" w:csb1="D2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8F070"/>
    <w:multiLevelType w:val="singleLevel"/>
    <w:tmpl w:val="9B48F07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86C6B"/>
    <w:rsid w:val="05CE67C9"/>
    <w:rsid w:val="188C627C"/>
    <w:rsid w:val="1AFC4D9D"/>
    <w:rsid w:val="36D30F50"/>
    <w:rsid w:val="3ECA3ABF"/>
    <w:rsid w:val="40265D2B"/>
    <w:rsid w:val="40535039"/>
    <w:rsid w:val="50985F5F"/>
    <w:rsid w:val="50D51D5C"/>
    <w:rsid w:val="55F86C6B"/>
    <w:rsid w:val="5AE7995D"/>
    <w:rsid w:val="67150151"/>
    <w:rsid w:val="6D0F7B79"/>
    <w:rsid w:val="6FBBC306"/>
    <w:rsid w:val="75EDCF32"/>
    <w:rsid w:val="ABFFFF63"/>
    <w:rsid w:val="F9BF6DA6"/>
    <w:rsid w:val="FE789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100" w:beforeLines="100" w:after="100" w:afterLines="100" w:line="240" w:lineRule="auto"/>
      <w:outlineLvl w:val="0"/>
    </w:pPr>
    <w:rPr>
      <w:rFonts w:ascii="Arial" w:hAnsi="Arial" w:cs="Arial"/>
      <w:b/>
      <w:snapToGrid w:val="0"/>
      <w:color w:val="000000"/>
      <w:kern w:val="44"/>
      <w:sz w:val="30"/>
      <w:szCs w:val="21"/>
      <w:lang w:eastAsia="en-US"/>
    </w:rPr>
  </w:style>
  <w:style w:type="paragraph" w:styleId="3">
    <w:name w:val="heading 2"/>
    <w:basedOn w:val="1"/>
    <w:next w:val="1"/>
    <w:link w:val="9"/>
    <w:semiHidden/>
    <w:unhideWhenUsed/>
    <w:qFormat/>
    <w:uiPriority w:val="0"/>
    <w:pPr>
      <w:keepNext/>
      <w:keepLines/>
      <w:spacing w:before="100" w:beforeLines="100"/>
      <w:outlineLvl w:val="1"/>
    </w:pPr>
    <w:rPr>
      <w:rFonts w:ascii="Times New Roman" w:hAnsi="Times New Roman"/>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qFormat/>
    <w:uiPriority w:val="99"/>
    <w:pPr>
      <w:kinsoku w:val="0"/>
      <w:autoSpaceDE w:val="0"/>
      <w:autoSpaceDN w:val="0"/>
      <w:adjustRightInd w:val="0"/>
      <w:snapToGrid w:val="0"/>
      <w:spacing w:before="50" w:beforeLines="50" w:after="50" w:afterLines="50" w:line="400" w:lineRule="exact"/>
      <w:jc w:val="left"/>
      <w:textAlignment w:val="baseline"/>
    </w:pPr>
    <w:rPr>
      <w:rFonts w:ascii="宋体" w:hAnsi="宋体" w:eastAsia="宋体" w:cs="Arial"/>
      <w:snapToGrid w:val="0"/>
      <w:color w:val="000000"/>
      <w:kern w:val="0"/>
      <w:sz w:val="24"/>
      <w:szCs w:val="24"/>
      <w:lang w:val="en-US" w:eastAsia="en-US"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Char"/>
    <w:link w:val="3"/>
    <w:qFormat/>
    <w:uiPriority w:val="9"/>
    <w:rPr>
      <w:rFonts w:ascii="Times New Roman" w:hAnsi="Times New Roman" w:eastAsia="仿宋"/>
      <w:b/>
      <w:sz w:val="28"/>
    </w:rPr>
  </w:style>
  <w:style w:type="table" w:customStyle="1" w:styleId="10">
    <w:name w:val="Table Normal"/>
    <w:unhideWhenUsed/>
    <w:qFormat/>
    <w:uiPriority w:val="0"/>
    <w:tblPr>
      <w:tblCellMar>
        <w:top w:w="0" w:type="dxa"/>
        <w:left w:w="0" w:type="dxa"/>
        <w:bottom w:w="0" w:type="dxa"/>
        <w:right w:w="0" w:type="dxa"/>
      </w:tblCellMar>
    </w:tblPr>
  </w:style>
  <w:style w:type="character" w:customStyle="1" w:styleId="11">
    <w:name w:val="font51"/>
    <w:qFormat/>
    <w:uiPriority w:val="0"/>
    <w:rPr>
      <w:rFonts w:hint="eastAsia" w:ascii="宋体" w:hAnsi="宋体" w:eastAsia="宋体" w:cs="宋体"/>
      <w:color w:val="000000"/>
      <w:sz w:val="20"/>
      <w:szCs w:val="20"/>
      <w:u w:val="none"/>
    </w:rPr>
  </w:style>
  <w:style w:type="character" w:customStyle="1" w:styleId="12">
    <w:name w:val="font2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2026-02-06T07:49:00Z</dcterms:created>
  <dc:creator>18370</dc:creator>
  <cp:lastModifiedBy>高际航</cp:lastModifiedBy>
  <dcterms:modified xsi:type="dcterms:W3CDTF">2026-03-19T08:46:50Z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0B5E75DAD0BE8B036347BB69FEE6D426_43</vt:lpwstr>
  </property>
  <property fmtid="{D5CDD505-2E9C-101B-9397-08002B2CF9AE}" pid="4" name="KSOTemplateDocerSaveRecord">
    <vt:lpwstr>eyJoZGlkIjoiNmQ0MjYyMWM2OWFjMjBlNmI5MzIwMDc0NjE0NTQyYTYiLCJ1c2VySWQiOiIzOTAyNTM2ODUifQ==</vt:lpwstr>
  </property>
</Properties>
</file>