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70BBFD">
      <w:pPr>
        <w:ind w:firstLine="0" w:firstLineChars="0"/>
        <w:jc w:val="center"/>
        <w:rPr>
          <w:rFonts w:ascii="黑体" w:hAnsi="黑体" w:eastAsia="黑体"/>
          <w:color w:val="auto"/>
          <w:sz w:val="48"/>
          <w:szCs w:val="48"/>
        </w:rPr>
      </w:pPr>
    </w:p>
    <w:p w14:paraId="74E8083E">
      <w:pPr>
        <w:ind w:firstLine="0" w:firstLineChars="0"/>
        <w:jc w:val="center"/>
        <w:rPr>
          <w:rFonts w:ascii="黑体" w:hAnsi="黑体" w:eastAsia="黑体"/>
          <w:color w:val="auto"/>
          <w:sz w:val="48"/>
          <w:szCs w:val="48"/>
        </w:rPr>
      </w:pPr>
    </w:p>
    <w:p w14:paraId="14B94087">
      <w:pPr>
        <w:pStyle w:val="2"/>
        <w:numPr>
          <w:ilvl w:val="0"/>
          <w:numId w:val="0"/>
        </w:numPr>
        <w:ind w:left="425"/>
        <w:jc w:val="center"/>
        <w:rPr>
          <w:color w:val="auto"/>
        </w:rPr>
      </w:pPr>
      <w:r>
        <w:rPr>
          <w:rFonts w:hint="eastAsia"/>
          <w:color w:val="auto"/>
        </w:rPr>
        <w:t>上海市交通建设工程安全质量监管应用子系统2026年(升级改造)项目采购需求</w:t>
      </w:r>
    </w:p>
    <w:p w14:paraId="5B8DF1AF">
      <w:pPr>
        <w:ind w:firstLine="0" w:firstLineChars="0"/>
        <w:jc w:val="center"/>
        <w:rPr>
          <w:rFonts w:ascii="黑体" w:hAnsi="黑体" w:eastAsia="黑体"/>
          <w:color w:val="auto"/>
          <w:sz w:val="52"/>
          <w:szCs w:val="52"/>
        </w:rPr>
      </w:pPr>
    </w:p>
    <w:p w14:paraId="5EC83112">
      <w:pPr>
        <w:ind w:firstLine="0" w:firstLineChars="0"/>
        <w:jc w:val="center"/>
        <w:rPr>
          <w:rFonts w:ascii="黑体" w:hAnsi="黑体" w:eastAsia="黑体"/>
          <w:color w:val="auto"/>
          <w:sz w:val="72"/>
          <w:szCs w:val="72"/>
        </w:rPr>
      </w:pPr>
    </w:p>
    <w:p w14:paraId="12E54F20">
      <w:pPr>
        <w:ind w:firstLine="0" w:firstLineChars="0"/>
        <w:jc w:val="center"/>
        <w:rPr>
          <w:rFonts w:ascii="黑体" w:hAnsi="黑体" w:eastAsia="黑体"/>
          <w:color w:val="auto"/>
          <w:sz w:val="48"/>
          <w:szCs w:val="48"/>
        </w:rPr>
      </w:pPr>
    </w:p>
    <w:p w14:paraId="6C8AD136">
      <w:pPr>
        <w:ind w:firstLine="0" w:firstLineChars="0"/>
        <w:jc w:val="center"/>
        <w:rPr>
          <w:rFonts w:ascii="黑体" w:hAnsi="黑体" w:eastAsia="黑体"/>
          <w:color w:val="auto"/>
          <w:sz w:val="52"/>
          <w:szCs w:val="52"/>
        </w:rPr>
      </w:pPr>
    </w:p>
    <w:p w14:paraId="31F5C681">
      <w:pPr>
        <w:ind w:firstLine="1040"/>
        <w:rPr>
          <w:rFonts w:ascii="黑体" w:hAnsi="黑体" w:eastAsia="黑体"/>
          <w:color w:val="auto"/>
          <w:sz w:val="52"/>
          <w:szCs w:val="52"/>
        </w:rPr>
      </w:pPr>
    </w:p>
    <w:p w14:paraId="7AEC7299">
      <w:pPr>
        <w:rPr>
          <w:color w:val="auto"/>
        </w:rPr>
      </w:pPr>
    </w:p>
    <w:p w14:paraId="27458CA1">
      <w:pPr>
        <w:rPr>
          <w:color w:val="auto"/>
        </w:rPr>
      </w:pPr>
    </w:p>
    <w:p w14:paraId="4A88ECE1">
      <w:pPr>
        <w:rPr>
          <w:color w:val="auto"/>
        </w:rPr>
      </w:pPr>
    </w:p>
    <w:p w14:paraId="7AA36130">
      <w:pPr>
        <w:rPr>
          <w:color w:val="auto"/>
        </w:rPr>
      </w:pPr>
    </w:p>
    <w:p w14:paraId="72A757EC">
      <w:pPr>
        <w:rPr>
          <w:color w:val="auto"/>
        </w:rPr>
      </w:pPr>
    </w:p>
    <w:p w14:paraId="49F1F5DE">
      <w:pPr>
        <w:ind w:firstLine="1040"/>
        <w:rPr>
          <w:rFonts w:ascii="黑体" w:hAnsi="黑体" w:eastAsia="黑体"/>
          <w:color w:val="auto"/>
          <w:sz w:val="52"/>
          <w:szCs w:val="52"/>
        </w:rPr>
      </w:pPr>
    </w:p>
    <w:p w14:paraId="17BD63CE">
      <w:pPr>
        <w:jc w:val="center"/>
        <w:rPr>
          <w:color w:val="auto"/>
        </w:rP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p>
    <w:p w14:paraId="3ABE5A26">
      <w:pPr>
        <w:pStyle w:val="2"/>
        <w:numPr>
          <w:ilvl w:val="0"/>
          <w:numId w:val="1"/>
        </w:numPr>
        <w:rPr>
          <w:color w:val="auto"/>
        </w:rPr>
      </w:pPr>
      <w:bookmarkStart w:id="0" w:name="_Toc63785461"/>
      <w:r>
        <w:rPr>
          <w:rFonts w:hint="eastAsia"/>
          <w:color w:val="auto"/>
        </w:rPr>
        <w:t>项目概况</w:t>
      </w:r>
      <w:bookmarkEnd w:id="0"/>
    </w:p>
    <w:p w14:paraId="65AB9853">
      <w:pPr>
        <w:pStyle w:val="3"/>
        <w:numPr>
          <w:ilvl w:val="1"/>
          <w:numId w:val="1"/>
        </w:numPr>
        <w:bidi w:val="0"/>
        <w:rPr>
          <w:rFonts w:hint="eastAsia"/>
          <w:color w:val="auto"/>
        </w:rPr>
      </w:pPr>
      <w:r>
        <w:rPr>
          <w:rFonts w:hint="eastAsia"/>
          <w:color w:val="auto"/>
        </w:rPr>
        <w:t>项目背景</w:t>
      </w:r>
    </w:p>
    <w:p w14:paraId="14D2B2C6">
      <w:pPr>
        <w:spacing w:line="360" w:lineRule="auto"/>
        <w:ind w:firstLine="560" w:firstLineChars="200"/>
        <w:jc w:val="left"/>
        <w:rPr>
          <w:rFonts w:ascii="仿宋" w:hAnsi="仿宋" w:eastAsia="仿宋" w:cs="Arial"/>
          <w:bCs/>
          <w:color w:val="auto"/>
          <w:sz w:val="28"/>
          <w:szCs w:val="28"/>
        </w:rPr>
      </w:pPr>
      <w:r>
        <w:rPr>
          <w:rFonts w:ascii="仿宋" w:hAnsi="仿宋" w:eastAsia="仿宋" w:cs="Arial"/>
          <w:bCs/>
          <w:color w:val="auto"/>
          <w:sz w:val="28"/>
          <w:szCs w:val="28"/>
        </w:rPr>
        <w:t>在上级部门的统一领导下，按照市委、市政府和市交通委推进城市和交通行业数字化转型战略部署的发展规划及要求，上海市交通建设工程安全质量监督站不断地加强和提高数字化建设的水平。在2024年的整体建设中，综合运用视频感知、物联感知和数据分析等技术手段，建设了市交通建设工程安全质量监管应用子系统，按照“观、管、防”一体化管理理念，建立大中小处置闭环，</w:t>
      </w:r>
      <w:r>
        <w:rPr>
          <w:rFonts w:hint="eastAsia" w:ascii="仿宋" w:hAnsi="仿宋" w:eastAsia="仿宋" w:cs="Arial"/>
          <w:bCs/>
          <w:color w:val="auto"/>
          <w:sz w:val="28"/>
          <w:szCs w:val="28"/>
        </w:rPr>
        <w:t>绘制工地事件画像</w:t>
      </w:r>
      <w:r>
        <w:rPr>
          <w:rFonts w:ascii="仿宋" w:hAnsi="仿宋" w:eastAsia="仿宋" w:cs="Arial"/>
          <w:bCs/>
          <w:color w:val="auto"/>
          <w:sz w:val="28"/>
          <w:szCs w:val="28"/>
        </w:rPr>
        <w:t>，实现“政府智慧监管、业主智慧建设、现场智慧工地”三级联动、多维度多层级的“综合监管”管理体系，梳理形成工地管理与监管要素体系，并在实际工作中发挥了重要作用，取得了显著成效。</w:t>
      </w:r>
    </w:p>
    <w:p w14:paraId="12978021">
      <w:pPr>
        <w:spacing w:line="360" w:lineRule="auto"/>
        <w:ind w:firstLine="560" w:firstLineChars="200"/>
        <w:jc w:val="left"/>
        <w:rPr>
          <w:rFonts w:ascii="仿宋" w:hAnsi="仿宋" w:eastAsia="仿宋" w:cs="Arial"/>
          <w:bCs/>
          <w:color w:val="auto"/>
          <w:sz w:val="28"/>
          <w:szCs w:val="28"/>
        </w:rPr>
      </w:pPr>
      <w:r>
        <w:rPr>
          <w:rFonts w:ascii="仿宋" w:hAnsi="仿宋" w:eastAsia="仿宋" w:cs="Arial"/>
          <w:bCs/>
          <w:color w:val="auto"/>
          <w:sz w:val="28"/>
          <w:szCs w:val="28"/>
        </w:rPr>
        <w:t>为了更好的将信息化工作推向新的高度，根据《上海交通数字化转型实施意见（2024-2026年）》，拟计划启动上海市交通建设工程安全质量监管应用子系统2.0建设，升级现有大数据分析和</w:t>
      </w:r>
      <w:r>
        <w:rPr>
          <w:rFonts w:hint="eastAsia" w:ascii="仿宋" w:hAnsi="仿宋" w:eastAsia="仿宋" w:cs="Arial"/>
          <w:bCs/>
          <w:color w:val="auto"/>
          <w:sz w:val="28"/>
          <w:szCs w:val="28"/>
        </w:rPr>
        <w:t>视频识别技术</w:t>
      </w:r>
      <w:r>
        <w:rPr>
          <w:rFonts w:ascii="仿宋" w:hAnsi="仿宋" w:eastAsia="仿宋" w:cs="Arial"/>
          <w:bCs/>
          <w:color w:val="auto"/>
          <w:sz w:val="28"/>
          <w:szCs w:val="28"/>
        </w:rPr>
        <w:t>，实现对交通建设工程的实时动态监控与预警，提升安全监控的智能化水平；细化管理理念和技术手段，加强对工程质量的全生命周期管理；建立统一的信息共享平台，打破信息孤岛，促进各建设单位、部门条线数据资源的整合与共享，让信息流动更加高效、透明。从而全面实现交通建设工程的安全监控智能化、质量管理精细化和信息共享即时化。</w:t>
      </w:r>
    </w:p>
    <w:p w14:paraId="6F26E5B1">
      <w:pPr>
        <w:spacing w:line="560" w:lineRule="exact"/>
        <w:rPr>
          <w:rFonts w:hint="eastAsia"/>
          <w:color w:val="auto"/>
        </w:rPr>
      </w:pPr>
    </w:p>
    <w:p w14:paraId="1A8491FD">
      <w:pPr>
        <w:pStyle w:val="3"/>
        <w:numPr>
          <w:ilvl w:val="1"/>
          <w:numId w:val="1"/>
        </w:numPr>
        <w:bidi w:val="0"/>
        <w:rPr>
          <w:rFonts w:hint="eastAsia"/>
          <w:color w:val="auto"/>
        </w:rPr>
      </w:pPr>
      <w:r>
        <w:rPr>
          <w:rFonts w:hint="eastAsia" w:ascii="宋体" w:hAnsi="宋体" w:eastAsia="宋体"/>
          <w:color w:val="auto"/>
          <w:lang w:val="en-US" w:eastAsia="zh-CN"/>
        </w:rPr>
        <w:t>项目</w:t>
      </w:r>
      <w:r>
        <w:rPr>
          <w:rFonts w:hint="eastAsia"/>
          <w:color w:val="auto"/>
        </w:rPr>
        <w:t>现状</w:t>
      </w:r>
    </w:p>
    <w:p w14:paraId="654F3D80">
      <w:pPr>
        <w:spacing w:line="360" w:lineRule="auto"/>
        <w:ind w:firstLine="560"/>
        <w:jc w:val="left"/>
        <w:rPr>
          <w:rFonts w:hint="eastAsia" w:ascii="仿宋" w:hAnsi="仿宋" w:eastAsia="仿宋" w:cs="Arial"/>
          <w:bCs/>
          <w:color w:val="auto"/>
          <w:sz w:val="28"/>
          <w:szCs w:val="28"/>
          <w:lang w:eastAsia="zh-CN"/>
        </w:rPr>
      </w:pPr>
      <w:r>
        <w:rPr>
          <w:rFonts w:hint="eastAsia" w:ascii="仿宋" w:hAnsi="仿宋" w:eastAsia="仿宋" w:cs="Arial"/>
          <w:bCs/>
          <w:color w:val="auto"/>
          <w:sz w:val="28"/>
          <w:szCs w:val="28"/>
        </w:rPr>
        <w:t>当前，我市已建成的交通建设工程安全质量监管</w:t>
      </w:r>
      <w:r>
        <w:rPr>
          <w:rFonts w:hint="eastAsia" w:ascii="仿宋" w:hAnsi="仿宋" w:eastAsia="仿宋" w:cs="Arial"/>
          <w:bCs/>
          <w:color w:val="auto"/>
          <w:sz w:val="28"/>
          <w:szCs w:val="28"/>
          <w:lang w:eastAsia="zh-CN"/>
        </w:rPr>
        <w:t>子</w:t>
      </w:r>
      <w:r>
        <w:rPr>
          <w:rFonts w:hint="eastAsia" w:ascii="仿宋" w:hAnsi="仿宋" w:eastAsia="仿宋" w:cs="Arial"/>
          <w:bCs/>
          <w:color w:val="auto"/>
          <w:sz w:val="28"/>
          <w:szCs w:val="28"/>
        </w:rPr>
        <w:t>系统初步实现了对工地的视频监控和部分风险事件的线上闭环管理，为安全监管提供了数字化支撑。然而，随着业务深入和技术发展，系统在数据分析深度、智能预警精度、业务流程效率和跨平台协同等方面亟待加强。为此，我们计划启动系统的升级改造。本次升级的核心目标是：打造一个“更智能、更精准、更协同”的智慧监管体系。</w:t>
      </w:r>
      <w:r>
        <w:rPr>
          <w:rFonts w:hint="eastAsia" w:ascii="仿宋" w:hAnsi="仿宋" w:eastAsia="仿宋" w:cs="Arial"/>
          <w:bCs/>
          <w:color w:val="auto"/>
          <w:sz w:val="28"/>
          <w:szCs w:val="28"/>
          <w:lang w:eastAsia="zh-CN"/>
        </w:rPr>
        <w:t>主要包括升级数据管理、应用和APP两个模块，新增</w:t>
      </w:r>
      <w:r>
        <w:rPr>
          <w:rFonts w:hint="eastAsia" w:ascii="仿宋" w:hAnsi="仿宋" w:eastAsia="仿宋" w:cs="Arial"/>
          <w:bCs/>
          <w:color w:val="auto"/>
          <w:sz w:val="28"/>
          <w:szCs w:val="28"/>
          <w:lang w:val="en-US" w:eastAsia="zh-CN"/>
        </w:rPr>
        <w:t>数字监管态势洞察管理、感知资源管理两个模块。</w:t>
      </w:r>
    </w:p>
    <w:p w14:paraId="6BC35CAD">
      <w:pPr>
        <w:ind w:firstLine="560"/>
        <w:jc w:val="left"/>
        <w:rPr>
          <w:rFonts w:hint="eastAsia" w:ascii="仿宋" w:hAnsi="仿宋" w:eastAsia="仿宋" w:cs="Arial"/>
          <w:bCs/>
          <w:color w:val="auto"/>
          <w:sz w:val="28"/>
          <w:szCs w:val="28"/>
          <w:highlight w:val="none"/>
        </w:rPr>
      </w:pPr>
      <w:r>
        <w:rPr>
          <w:rFonts w:hint="eastAsia" w:ascii="仿宋" w:hAnsi="仿宋" w:eastAsia="仿宋" w:cs="Arial"/>
          <w:bCs/>
          <w:color w:val="auto"/>
          <w:sz w:val="28"/>
          <w:szCs w:val="28"/>
          <w:highlight w:val="none"/>
        </w:rPr>
        <w:t>是否按</w:t>
      </w:r>
      <w:r>
        <w:rPr>
          <w:rFonts w:hint="eastAsia" w:ascii="仿宋" w:hAnsi="仿宋" w:eastAsia="仿宋" w:cs="Arial"/>
          <w:bCs/>
          <w:color w:val="auto"/>
          <w:sz w:val="28"/>
          <w:szCs w:val="28"/>
          <w:highlight w:val="none"/>
          <w:lang w:val="en-US" w:eastAsia="zh-CN"/>
        </w:rPr>
        <w:t>xc</w:t>
      </w:r>
      <w:bookmarkStart w:id="38" w:name="_GoBack"/>
      <w:bookmarkEnd w:id="38"/>
      <w:r>
        <w:rPr>
          <w:rFonts w:hint="eastAsia" w:ascii="仿宋" w:hAnsi="仿宋" w:eastAsia="仿宋" w:cs="Arial"/>
          <w:bCs/>
          <w:color w:val="auto"/>
          <w:sz w:val="28"/>
          <w:szCs w:val="28"/>
          <w:highlight w:val="none"/>
        </w:rPr>
        <w:t>要求建设：是</w:t>
      </w:r>
    </w:p>
    <w:p w14:paraId="77266CCB">
      <w:pPr>
        <w:pStyle w:val="2"/>
        <w:numPr>
          <w:ilvl w:val="0"/>
          <w:numId w:val="1"/>
        </w:numPr>
        <w:rPr>
          <w:color w:val="auto"/>
        </w:rPr>
      </w:pPr>
      <w:bookmarkStart w:id="1" w:name="_Toc47536272"/>
      <w:bookmarkEnd w:id="1"/>
      <w:bookmarkStart w:id="2" w:name="_Toc47537134"/>
      <w:bookmarkEnd w:id="2"/>
      <w:bookmarkStart w:id="3" w:name="_Toc47536644"/>
      <w:bookmarkEnd w:id="3"/>
      <w:bookmarkStart w:id="4" w:name="_Toc47531634"/>
      <w:bookmarkEnd w:id="4"/>
      <w:bookmarkStart w:id="5" w:name="_Toc47533256"/>
      <w:bookmarkEnd w:id="5"/>
      <w:bookmarkStart w:id="6" w:name="_Toc47539070"/>
      <w:bookmarkEnd w:id="6"/>
      <w:bookmarkStart w:id="7" w:name="_Toc47532891"/>
      <w:bookmarkEnd w:id="7"/>
      <w:bookmarkStart w:id="8" w:name="_Toc47532255"/>
      <w:bookmarkEnd w:id="8"/>
      <w:bookmarkStart w:id="9" w:name="_Toc48223882"/>
      <w:bookmarkStart w:id="10" w:name="_Toc63785463"/>
      <w:r>
        <w:rPr>
          <w:rFonts w:hint="eastAsia"/>
          <w:color w:val="auto"/>
        </w:rPr>
        <w:t>建设目标</w:t>
      </w:r>
      <w:bookmarkEnd w:id="9"/>
      <w:bookmarkEnd w:id="10"/>
    </w:p>
    <w:p w14:paraId="19FEA8CD">
      <w:pPr>
        <w:spacing w:line="360" w:lineRule="auto"/>
        <w:ind w:firstLine="560" w:firstLineChars="200"/>
        <w:jc w:val="left"/>
        <w:rPr>
          <w:rFonts w:ascii="仿宋" w:hAnsi="仿宋" w:eastAsia="仿宋" w:cs="Arial"/>
          <w:color w:val="auto"/>
          <w:sz w:val="28"/>
          <w:szCs w:val="28"/>
        </w:rPr>
      </w:pPr>
      <w:r>
        <w:rPr>
          <w:rFonts w:hint="eastAsia" w:ascii="仿宋" w:hAnsi="仿宋" w:eastAsia="仿宋" w:cs="Arial"/>
          <w:color w:val="auto"/>
          <w:sz w:val="28"/>
          <w:szCs w:val="28"/>
        </w:rPr>
        <w:t>本项目聚焦交通条线施工工地的质量与安全监管，旨在通过数字化手段打造一体化监管体系，提升监管效能，服务行业高质量发展，打造可复制、可推广的智慧工地监管应用。</w:t>
      </w:r>
    </w:p>
    <w:p w14:paraId="3AF258D3">
      <w:pPr>
        <w:spacing w:line="360" w:lineRule="auto"/>
        <w:ind w:firstLine="560" w:firstLineChars="200"/>
        <w:jc w:val="left"/>
        <w:rPr>
          <w:rFonts w:hint="eastAsia" w:ascii="仿宋" w:hAnsi="仿宋" w:eastAsia="仿宋" w:cs="Arial"/>
          <w:color w:val="auto"/>
          <w:sz w:val="28"/>
          <w:szCs w:val="28"/>
        </w:rPr>
      </w:pPr>
      <w:r>
        <w:rPr>
          <w:rFonts w:hint="eastAsia" w:ascii="仿宋" w:hAnsi="仿宋" w:eastAsia="仿宋" w:cs="Arial"/>
          <w:color w:val="auto"/>
          <w:sz w:val="28"/>
          <w:szCs w:val="28"/>
        </w:rPr>
        <w:t>具体目标：</w:t>
      </w:r>
    </w:p>
    <w:p w14:paraId="79CCB3E0">
      <w:pPr>
        <w:spacing w:line="360" w:lineRule="auto"/>
        <w:ind w:firstLine="560" w:firstLineChars="200"/>
        <w:jc w:val="left"/>
        <w:rPr>
          <w:rFonts w:hint="eastAsia" w:ascii="仿宋" w:hAnsi="仿宋" w:eastAsia="仿宋" w:cs="Arial"/>
          <w:color w:val="auto"/>
          <w:sz w:val="28"/>
          <w:szCs w:val="28"/>
        </w:rPr>
      </w:pPr>
      <w:r>
        <w:rPr>
          <w:rFonts w:hint="eastAsia" w:ascii="仿宋" w:hAnsi="仿宋" w:eastAsia="仿宋" w:cs="Arial"/>
          <w:color w:val="auto"/>
          <w:sz w:val="28"/>
          <w:szCs w:val="28"/>
          <w:lang w:val="en-US" w:eastAsia="zh-CN"/>
        </w:rPr>
        <w:t>1.</w:t>
      </w:r>
      <w:r>
        <w:rPr>
          <w:rFonts w:hint="eastAsia" w:ascii="仿宋" w:hAnsi="仿宋" w:eastAsia="仿宋" w:cs="Arial"/>
          <w:color w:val="auto"/>
          <w:sz w:val="28"/>
          <w:szCs w:val="28"/>
        </w:rPr>
        <w:t>构建一体化数字监管体系：通过升级综合数字监管大屏和建设统一数据管理平台，实现数据驱动、智能引领和业务贯通。依托高质量数据资产底座，建设主题数据管理、专题数据管理与图像分析平台，支撑监管态势的实时可视化呈现与智能预警。</w:t>
      </w:r>
    </w:p>
    <w:p w14:paraId="2B0EE141">
      <w:pPr>
        <w:spacing w:line="360" w:lineRule="auto"/>
        <w:ind w:firstLine="560" w:firstLineChars="200"/>
        <w:jc w:val="left"/>
        <w:rPr>
          <w:rFonts w:hint="eastAsia" w:ascii="仿宋" w:hAnsi="仿宋" w:eastAsia="仿宋" w:cs="Arial"/>
          <w:color w:val="auto"/>
          <w:sz w:val="28"/>
          <w:szCs w:val="28"/>
        </w:rPr>
      </w:pPr>
      <w:r>
        <w:rPr>
          <w:rFonts w:hint="eastAsia" w:ascii="仿宋" w:hAnsi="仿宋" w:eastAsia="仿宋" w:cs="Arial"/>
          <w:color w:val="auto"/>
          <w:sz w:val="28"/>
          <w:szCs w:val="28"/>
          <w:lang w:val="en-US" w:eastAsia="zh-CN"/>
        </w:rPr>
        <w:t>2.</w:t>
      </w:r>
      <w:r>
        <w:rPr>
          <w:rFonts w:hint="eastAsia" w:ascii="仿宋" w:hAnsi="仿宋" w:eastAsia="仿宋" w:cs="Arial"/>
          <w:color w:val="auto"/>
          <w:sz w:val="28"/>
          <w:szCs w:val="28"/>
        </w:rPr>
        <w:t>强化监管流程标准化与闭环管理：以业务需求为牵引，优化监管流程，确保监管工作的规范性和有效性。</w:t>
      </w:r>
    </w:p>
    <w:p w14:paraId="5A954F41">
      <w:pPr>
        <w:spacing w:line="360" w:lineRule="auto"/>
        <w:ind w:firstLine="560" w:firstLineChars="200"/>
        <w:jc w:val="left"/>
        <w:rPr>
          <w:rFonts w:hint="eastAsia"/>
          <w:b/>
          <w:color w:val="auto"/>
        </w:rPr>
      </w:pPr>
      <w:r>
        <w:rPr>
          <w:rFonts w:hint="eastAsia" w:ascii="仿宋" w:hAnsi="仿宋" w:eastAsia="仿宋" w:cs="Arial"/>
          <w:color w:val="auto"/>
          <w:sz w:val="28"/>
          <w:szCs w:val="28"/>
          <w:lang w:val="en-US" w:eastAsia="zh-CN"/>
        </w:rPr>
        <w:t>3.</w:t>
      </w:r>
      <w:r>
        <w:rPr>
          <w:rFonts w:hint="eastAsia" w:ascii="仿宋" w:hAnsi="仿宋" w:eastAsia="仿宋" w:cs="Arial"/>
          <w:color w:val="auto"/>
          <w:sz w:val="28"/>
          <w:szCs w:val="28"/>
        </w:rPr>
        <w:t>提升动态感知与精准识别能力：接入多源数据并集成智能算法，实现对人员、设备、事件等要素的动态感知与精准识别。</w:t>
      </w:r>
    </w:p>
    <w:p w14:paraId="63032525">
      <w:pPr>
        <w:pStyle w:val="2"/>
        <w:numPr>
          <w:ilvl w:val="0"/>
          <w:numId w:val="1"/>
        </w:numPr>
        <w:rPr>
          <w:color w:val="auto"/>
        </w:rPr>
      </w:pPr>
      <w:bookmarkStart w:id="11" w:name="_Toc47537166"/>
      <w:bookmarkEnd w:id="11"/>
      <w:bookmarkStart w:id="12" w:name="_Toc47536304"/>
      <w:bookmarkEnd w:id="12"/>
      <w:bookmarkStart w:id="13" w:name="_Toc47536676"/>
      <w:bookmarkEnd w:id="13"/>
      <w:bookmarkStart w:id="14" w:name="_Toc47539102"/>
      <w:bookmarkEnd w:id="14"/>
      <w:bookmarkStart w:id="15" w:name="_Toc47532923"/>
      <w:bookmarkEnd w:id="15"/>
      <w:bookmarkStart w:id="16" w:name="_Toc47533288"/>
      <w:bookmarkEnd w:id="16"/>
      <w:r>
        <w:rPr>
          <w:rFonts w:hint="eastAsia"/>
          <w:color w:val="auto"/>
        </w:rPr>
        <w:t>项目建设内容</w:t>
      </w:r>
    </w:p>
    <w:p w14:paraId="3E2FF51D">
      <w:pPr>
        <w:pStyle w:val="3"/>
        <w:numPr>
          <w:ilvl w:val="1"/>
          <w:numId w:val="1"/>
        </w:numPr>
        <w:bidi w:val="0"/>
        <w:rPr>
          <w:rFonts w:hint="eastAsia"/>
          <w:color w:val="auto"/>
          <w:lang w:val="en-US" w:eastAsia="zh-CN"/>
        </w:rPr>
      </w:pPr>
      <w:r>
        <w:rPr>
          <w:rFonts w:hint="eastAsia"/>
          <w:color w:val="auto"/>
          <w:lang w:val="en-US" w:eastAsia="zh-CN"/>
        </w:rPr>
        <w:t>技术路线</w:t>
      </w:r>
    </w:p>
    <w:p w14:paraId="4D73CC21">
      <w:pPr>
        <w:rPr>
          <w:rFonts w:hint="eastAsia" w:ascii="仿宋" w:hAnsi="仿宋" w:eastAsia="仿宋" w:cs="Arial"/>
          <w:bCs/>
          <w:color w:val="auto"/>
          <w:sz w:val="28"/>
          <w:szCs w:val="28"/>
        </w:rPr>
      </w:pPr>
      <w:r>
        <w:rPr>
          <w:rFonts w:hint="eastAsia" w:ascii="仿宋" w:hAnsi="仿宋" w:eastAsia="仿宋" w:cs="Arial"/>
          <w:bCs/>
          <w:color w:val="auto"/>
          <w:sz w:val="28"/>
          <w:szCs w:val="28"/>
        </w:rPr>
        <w:t>系统建设前期充分调研了上海市交通建设工程安全质量监督站单位组织架构、用户组成结构、各科室业务需求和使用场景，基于上述内容，对系统架构和功能进行充分讨论设计。系统根据用户需求建立不同角色，以满足实际业务使用需求。</w:t>
      </w:r>
    </w:p>
    <w:p w14:paraId="60204F0F">
      <w:pPr>
        <w:spacing w:line="360" w:lineRule="auto"/>
        <w:ind w:firstLine="560" w:firstLineChars="200"/>
        <w:jc w:val="left"/>
        <w:rPr>
          <w:rFonts w:ascii="仿宋" w:hAnsi="仿宋" w:eastAsia="仿宋" w:cs="Arial"/>
          <w:bCs/>
          <w:color w:val="auto"/>
          <w:sz w:val="28"/>
          <w:szCs w:val="28"/>
        </w:rPr>
      </w:pPr>
      <w:r>
        <w:rPr>
          <w:rFonts w:hint="eastAsia" w:ascii="仿宋" w:hAnsi="仿宋" w:eastAsia="仿宋" w:cs="Arial"/>
          <w:bCs/>
          <w:color w:val="auto"/>
          <w:sz w:val="28"/>
          <w:szCs w:val="28"/>
        </w:rPr>
        <w:t>系统软件部分采用前后端分离技术，前端应用使用Vue+ElementUI框架，后端服务使用Spring boot+Mybatis框架，采用前后端分离模式，提高开发效率和增加灵活性，实现应用快速开发部署。</w:t>
      </w:r>
    </w:p>
    <w:p w14:paraId="5B9EC06E">
      <w:pPr>
        <w:spacing w:line="360" w:lineRule="auto"/>
        <w:ind w:firstLine="560" w:firstLineChars="200"/>
        <w:jc w:val="left"/>
        <w:rPr>
          <w:rFonts w:ascii="仿宋" w:hAnsi="仿宋" w:eastAsia="仿宋" w:cs="Arial"/>
          <w:bCs/>
          <w:color w:val="auto"/>
          <w:sz w:val="28"/>
          <w:szCs w:val="28"/>
        </w:rPr>
      </w:pPr>
      <w:r>
        <w:rPr>
          <w:rFonts w:hint="eastAsia" w:ascii="仿宋" w:hAnsi="仿宋" w:eastAsia="仿宋" w:cs="Arial"/>
          <w:bCs/>
          <w:color w:val="auto"/>
          <w:sz w:val="28"/>
          <w:szCs w:val="28"/>
        </w:rPr>
        <w:t>系统移动端从Android原生升级到uni-app技术平台。uni-app是一个使用Vue.js开发所有前端应用的框架，开发者编写一套代码，可发布到iOS、Android、Web（响应式）、以及各种小程序、快应用等多个平台，提高项目代码兼容性、可移植性和开发效率。</w:t>
      </w:r>
    </w:p>
    <w:p w14:paraId="29867CDB">
      <w:pPr>
        <w:spacing w:line="360" w:lineRule="auto"/>
        <w:ind w:firstLine="560" w:firstLineChars="200"/>
        <w:jc w:val="left"/>
        <w:rPr>
          <w:rFonts w:ascii="仿宋" w:hAnsi="仿宋" w:eastAsia="仿宋" w:cs="Arial"/>
          <w:bCs/>
          <w:color w:val="auto"/>
          <w:sz w:val="28"/>
          <w:szCs w:val="28"/>
        </w:rPr>
      </w:pPr>
      <w:r>
        <w:rPr>
          <w:rFonts w:hint="eastAsia" w:ascii="仿宋" w:hAnsi="仿宋" w:eastAsia="仿宋" w:cs="Arial"/>
          <w:bCs/>
          <w:color w:val="auto"/>
          <w:sz w:val="28"/>
          <w:szCs w:val="28"/>
        </w:rPr>
        <w:t>定时任务调度使用powerJob进行统一调度和管理，提高配置灵活性和管理运维效率。</w:t>
      </w:r>
    </w:p>
    <w:p w14:paraId="4776EF95">
      <w:pPr>
        <w:spacing w:line="360" w:lineRule="auto"/>
        <w:ind w:firstLine="560" w:firstLineChars="200"/>
        <w:jc w:val="left"/>
        <w:rPr>
          <w:rFonts w:hint="eastAsia" w:ascii="仿宋" w:hAnsi="仿宋" w:eastAsia="仿宋" w:cs="Arial"/>
          <w:bCs/>
          <w:color w:val="auto"/>
          <w:sz w:val="28"/>
          <w:szCs w:val="28"/>
        </w:rPr>
      </w:pPr>
      <w:bookmarkStart w:id="17" w:name="OLE_LINK1"/>
      <w:r>
        <w:rPr>
          <w:rFonts w:hint="eastAsia" w:ascii="仿宋" w:hAnsi="仿宋" w:eastAsia="仿宋" w:cs="Arial"/>
          <w:bCs/>
          <w:color w:val="auto"/>
          <w:sz w:val="28"/>
          <w:szCs w:val="28"/>
          <w:lang w:val="en-US" w:eastAsia="zh-CN"/>
        </w:rPr>
        <w:t>系统使用O</w:t>
      </w:r>
      <w:r>
        <w:rPr>
          <w:rFonts w:hint="eastAsia" w:ascii="仿宋" w:hAnsi="仿宋" w:eastAsia="仿宋" w:cs="Arial"/>
          <w:bCs/>
          <w:color w:val="auto"/>
          <w:sz w:val="28"/>
          <w:szCs w:val="28"/>
        </w:rPr>
        <w:t>penGauss</w:t>
      </w:r>
      <w:r>
        <w:rPr>
          <w:rFonts w:hint="eastAsia" w:ascii="仿宋" w:hAnsi="仿宋" w:eastAsia="仿宋" w:cs="Arial"/>
          <w:bCs/>
          <w:color w:val="auto"/>
          <w:sz w:val="28"/>
          <w:szCs w:val="28"/>
          <w:lang w:val="en-US" w:eastAsia="zh-CN"/>
        </w:rPr>
        <w:t>数据库进行部署，须</w:t>
      </w:r>
      <w:r>
        <w:rPr>
          <w:rFonts w:hint="eastAsia" w:ascii="仿宋" w:hAnsi="仿宋" w:eastAsia="仿宋" w:cs="Arial"/>
          <w:bCs/>
          <w:color w:val="auto"/>
          <w:sz w:val="28"/>
          <w:szCs w:val="28"/>
        </w:rPr>
        <w:t>具备高性能并发处理与高可用能力。</w:t>
      </w:r>
      <w:r>
        <w:rPr>
          <w:rFonts w:hint="eastAsia" w:ascii="仿宋" w:hAnsi="仿宋" w:eastAsia="仿宋" w:cs="Arial"/>
          <w:bCs/>
          <w:color w:val="auto"/>
          <w:sz w:val="28"/>
          <w:szCs w:val="28"/>
          <w:lang w:val="en-US" w:eastAsia="zh-CN"/>
        </w:rPr>
        <w:t>同时</w:t>
      </w:r>
      <w:r>
        <w:rPr>
          <w:rFonts w:hint="eastAsia" w:ascii="仿宋" w:hAnsi="仿宋" w:eastAsia="仿宋" w:cs="Arial"/>
          <w:bCs/>
          <w:color w:val="auto"/>
          <w:sz w:val="28"/>
          <w:szCs w:val="28"/>
        </w:rPr>
        <w:t>适配国产芯片与操作系统，契合信创工程要求</w:t>
      </w:r>
      <w:r>
        <w:rPr>
          <w:rFonts w:hint="eastAsia" w:ascii="仿宋" w:hAnsi="仿宋" w:eastAsia="仿宋" w:cs="Arial"/>
          <w:bCs/>
          <w:color w:val="auto"/>
          <w:sz w:val="28"/>
          <w:szCs w:val="28"/>
          <w:lang w:eastAsia="zh-CN"/>
        </w:rPr>
        <w:t>，</w:t>
      </w:r>
      <w:r>
        <w:rPr>
          <w:rFonts w:hint="eastAsia" w:ascii="仿宋" w:hAnsi="仿宋" w:eastAsia="仿宋" w:cs="Arial"/>
          <w:bCs/>
          <w:color w:val="auto"/>
          <w:sz w:val="28"/>
          <w:szCs w:val="28"/>
        </w:rPr>
        <w:t>满足等保二级合规。</w:t>
      </w:r>
      <w:bookmarkEnd w:id="17"/>
    </w:p>
    <w:p w14:paraId="0357D164">
      <w:pPr>
        <w:spacing w:line="360" w:lineRule="auto"/>
        <w:ind w:firstLine="560" w:firstLineChars="200"/>
        <w:jc w:val="left"/>
        <w:rPr>
          <w:rFonts w:ascii="仿宋" w:hAnsi="仿宋" w:eastAsia="仿宋" w:cs="Arial"/>
          <w:bCs/>
          <w:color w:val="auto"/>
          <w:sz w:val="28"/>
          <w:szCs w:val="28"/>
        </w:rPr>
      </w:pPr>
      <w:r>
        <w:rPr>
          <w:rFonts w:hint="eastAsia" w:ascii="仿宋" w:hAnsi="仿宋" w:eastAsia="仿宋" w:cs="Arial"/>
          <w:bCs/>
          <w:color w:val="auto"/>
          <w:sz w:val="28"/>
          <w:szCs w:val="28"/>
        </w:rPr>
        <w:t>系统采用缓存数据库对系统数据进行缓存管理，提高系统并发性能和查询效率，减少数据库压力。</w:t>
      </w:r>
    </w:p>
    <w:p w14:paraId="28A52626">
      <w:pPr>
        <w:rPr>
          <w:rFonts w:hint="eastAsia" w:ascii="仿宋" w:hAnsi="仿宋" w:eastAsia="仿宋" w:cs="Arial"/>
          <w:bCs/>
          <w:color w:val="auto"/>
          <w:sz w:val="28"/>
          <w:szCs w:val="28"/>
        </w:rPr>
      </w:pPr>
      <w:bookmarkStart w:id="18" w:name="OLE_LINK3"/>
      <w:r>
        <w:rPr>
          <w:rFonts w:hint="eastAsia" w:ascii="仿宋" w:hAnsi="仿宋" w:eastAsia="仿宋" w:cs="Arial"/>
          <w:bCs/>
          <w:color w:val="auto"/>
          <w:sz w:val="28"/>
          <w:szCs w:val="28"/>
          <w:lang w:val="en-US" w:eastAsia="zh-CN"/>
        </w:rPr>
        <w:t>系统须部署搜索和分析引擎，满足</w:t>
      </w:r>
      <w:r>
        <w:rPr>
          <w:rFonts w:hint="eastAsia" w:ascii="仿宋" w:hAnsi="仿宋" w:eastAsia="仿宋" w:cs="Arial"/>
          <w:bCs/>
          <w:color w:val="auto"/>
          <w:sz w:val="28"/>
          <w:szCs w:val="28"/>
        </w:rPr>
        <w:t>分布式全文检索与多维数据分析，兼容结构化与非结构化数据，</w:t>
      </w:r>
      <w:r>
        <w:rPr>
          <w:rFonts w:hint="eastAsia" w:ascii="仿宋" w:hAnsi="仿宋" w:eastAsia="仿宋" w:cs="Arial"/>
          <w:bCs/>
          <w:color w:val="auto"/>
          <w:sz w:val="28"/>
          <w:szCs w:val="28"/>
          <w:lang w:val="en-US" w:eastAsia="zh-CN"/>
        </w:rPr>
        <w:t>如字符串、关键字、数字、日期和对象等类型，</w:t>
      </w:r>
      <w:r>
        <w:rPr>
          <w:rFonts w:hint="eastAsia" w:ascii="仿宋" w:hAnsi="仿宋" w:eastAsia="仿宋" w:cs="Arial"/>
          <w:bCs/>
          <w:color w:val="auto"/>
          <w:sz w:val="28"/>
          <w:szCs w:val="28"/>
        </w:rPr>
        <w:t>覆盖业务统计及日志分析场景，提升系统查询性能</w:t>
      </w:r>
      <w:r>
        <w:rPr>
          <w:rFonts w:hint="eastAsia" w:ascii="仿宋" w:hAnsi="仿宋" w:eastAsia="仿宋" w:cs="Arial"/>
          <w:bCs/>
          <w:color w:val="auto"/>
          <w:sz w:val="28"/>
          <w:szCs w:val="28"/>
          <w:lang w:val="en-US" w:eastAsia="zh-CN"/>
        </w:rPr>
        <w:t>和速度</w:t>
      </w:r>
      <w:r>
        <w:rPr>
          <w:rFonts w:hint="eastAsia" w:ascii="仿宋" w:hAnsi="仿宋" w:eastAsia="仿宋" w:cs="Arial"/>
          <w:bCs/>
          <w:color w:val="auto"/>
          <w:sz w:val="28"/>
          <w:szCs w:val="28"/>
        </w:rPr>
        <w:t>。</w:t>
      </w:r>
      <w:bookmarkEnd w:id="18"/>
      <w:bookmarkStart w:id="19" w:name="OLE_LINK2"/>
    </w:p>
    <w:p w14:paraId="282F4908">
      <w:pPr>
        <w:rPr>
          <w:rFonts w:hint="eastAsia" w:ascii="仿宋" w:hAnsi="仿宋" w:eastAsia="仿宋" w:cs="Arial"/>
          <w:bCs/>
          <w:color w:val="auto"/>
          <w:sz w:val="28"/>
          <w:szCs w:val="28"/>
          <w:lang w:val="en-US" w:eastAsia="zh-CN"/>
        </w:rPr>
      </w:pPr>
      <w:r>
        <w:rPr>
          <w:rFonts w:hint="eastAsia" w:ascii="仿宋" w:hAnsi="仿宋" w:eastAsia="仿宋" w:cs="Arial"/>
          <w:bCs/>
          <w:color w:val="auto"/>
          <w:sz w:val="28"/>
          <w:szCs w:val="28"/>
          <w:lang w:val="en-US" w:eastAsia="zh-CN"/>
        </w:rPr>
        <w:t>系统须</w:t>
      </w:r>
      <w:r>
        <w:rPr>
          <w:rFonts w:hint="eastAsia" w:ascii="仿宋" w:hAnsi="仿宋" w:eastAsia="仿宋" w:cs="Arial"/>
          <w:bCs/>
          <w:color w:val="auto"/>
          <w:sz w:val="28"/>
          <w:szCs w:val="28"/>
        </w:rPr>
        <w:t>具备基础地理空间数据展示与交互能力，支持点位分布可视化及要素属性查看，可满足常规空间信息浏览与业务数据落图需求。</w:t>
      </w:r>
      <w:bookmarkEnd w:id="19"/>
    </w:p>
    <w:p w14:paraId="71414B0B">
      <w:pPr>
        <w:pStyle w:val="3"/>
        <w:numPr>
          <w:ilvl w:val="1"/>
          <w:numId w:val="1"/>
        </w:numPr>
        <w:bidi w:val="0"/>
        <w:rPr>
          <w:rFonts w:hint="eastAsia"/>
          <w:color w:val="auto"/>
          <w:lang w:val="en-US" w:eastAsia="zh-CN"/>
        </w:rPr>
      </w:pPr>
      <w:r>
        <w:rPr>
          <w:rFonts w:hint="eastAsia"/>
          <w:color w:val="auto"/>
          <w:lang w:val="en-US" w:eastAsia="zh-CN"/>
        </w:rPr>
        <w:t>架构模式</w:t>
      </w:r>
    </w:p>
    <w:p w14:paraId="02111136">
      <w:pPr>
        <w:spacing w:line="360" w:lineRule="auto"/>
        <w:ind w:firstLine="560" w:firstLineChars="200"/>
        <w:jc w:val="left"/>
        <w:rPr>
          <w:rFonts w:ascii="仿宋" w:hAnsi="仿宋" w:eastAsia="仿宋" w:cs="Arial"/>
          <w:bCs/>
          <w:color w:val="auto"/>
          <w:sz w:val="28"/>
          <w:szCs w:val="28"/>
        </w:rPr>
      </w:pPr>
      <w:r>
        <w:rPr>
          <w:rFonts w:hint="eastAsia" w:ascii="仿宋" w:hAnsi="仿宋" w:eastAsia="仿宋" w:cs="Arial"/>
          <w:bCs/>
          <w:color w:val="auto"/>
          <w:sz w:val="28"/>
          <w:szCs w:val="28"/>
        </w:rPr>
        <w:t>系统采用B/S架构，实现用户无需安装客户端软件，通过浏览器就可以登录系统，降低了用户使用系统复杂度。</w:t>
      </w:r>
    </w:p>
    <w:p w14:paraId="2A282476">
      <w:pPr>
        <w:pStyle w:val="4"/>
        <w:numPr>
          <w:ilvl w:val="2"/>
          <w:numId w:val="1"/>
        </w:numPr>
        <w:bidi w:val="0"/>
        <w:rPr>
          <w:color w:val="auto"/>
        </w:rPr>
      </w:pPr>
      <w:r>
        <w:rPr>
          <w:rFonts w:hint="eastAsia"/>
          <w:color w:val="auto"/>
        </w:rPr>
        <w:t>总体架构</w:t>
      </w:r>
    </w:p>
    <w:p w14:paraId="0B78F3EF">
      <w:pPr>
        <w:spacing w:before="120" w:after="120" w:line="288" w:lineRule="auto"/>
        <w:jc w:val="center"/>
        <w:rPr>
          <w:color w:val="auto"/>
        </w:rPr>
      </w:pPr>
      <w:r>
        <w:rPr>
          <w:color w:val="auto"/>
        </w:rPr>
        <w:drawing>
          <wp:inline distT="0" distB="0" distL="114300" distR="114300">
            <wp:extent cx="4653280" cy="2705100"/>
            <wp:effectExtent l="0" t="0" r="20320" b="1270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13"/>
                    <a:stretch>
                      <a:fillRect/>
                    </a:stretch>
                  </pic:blipFill>
                  <pic:spPr>
                    <a:xfrm>
                      <a:off x="0" y="0"/>
                      <a:ext cx="4653280" cy="2705100"/>
                    </a:xfrm>
                    <a:prstGeom prst="rect">
                      <a:avLst/>
                    </a:prstGeom>
                    <a:noFill/>
                    <a:ln>
                      <a:noFill/>
                    </a:ln>
                  </pic:spPr>
                </pic:pic>
              </a:graphicData>
            </a:graphic>
          </wp:inline>
        </w:drawing>
      </w:r>
    </w:p>
    <w:p w14:paraId="3A9EE3AD">
      <w:pPr>
        <w:spacing w:line="360" w:lineRule="auto"/>
        <w:ind w:firstLine="560" w:firstLineChars="200"/>
        <w:jc w:val="left"/>
        <w:rPr>
          <w:rFonts w:ascii="仿宋" w:hAnsi="仿宋" w:eastAsia="仿宋" w:cs="Arial"/>
          <w:bCs/>
          <w:color w:val="auto"/>
          <w:sz w:val="28"/>
          <w:szCs w:val="28"/>
        </w:rPr>
      </w:pPr>
      <w:r>
        <w:rPr>
          <w:rFonts w:hint="eastAsia" w:ascii="仿宋" w:hAnsi="仿宋" w:eastAsia="仿宋" w:cs="Arial"/>
          <w:bCs/>
          <w:color w:val="auto"/>
          <w:sz w:val="28"/>
          <w:szCs w:val="28"/>
        </w:rPr>
        <w:t>架构整体分为五层：</w:t>
      </w:r>
    </w:p>
    <w:p w14:paraId="5DA2EEEB">
      <w:pPr>
        <w:pStyle w:val="54"/>
        <w:numPr>
          <w:ilvl w:val="0"/>
          <w:numId w:val="3"/>
        </w:numPr>
        <w:spacing w:line="360" w:lineRule="auto"/>
        <w:ind w:firstLineChars="0"/>
        <w:jc w:val="left"/>
        <w:rPr>
          <w:rFonts w:ascii="仿宋" w:hAnsi="仿宋" w:eastAsia="仿宋" w:cs="Arial"/>
          <w:bCs/>
          <w:color w:val="auto"/>
          <w:sz w:val="28"/>
          <w:szCs w:val="28"/>
        </w:rPr>
      </w:pPr>
      <w:r>
        <w:rPr>
          <w:rFonts w:hint="eastAsia" w:ascii="仿宋" w:hAnsi="仿宋" w:eastAsia="仿宋" w:cs="Arial"/>
          <w:bCs/>
          <w:color w:val="auto"/>
          <w:sz w:val="28"/>
          <w:szCs w:val="28"/>
        </w:rPr>
        <w:t>用户终端层：多场景监管入口</w:t>
      </w:r>
    </w:p>
    <w:p w14:paraId="63F39C23">
      <w:pPr>
        <w:spacing w:line="360" w:lineRule="auto"/>
        <w:ind w:firstLine="560" w:firstLineChars="200"/>
        <w:jc w:val="left"/>
        <w:rPr>
          <w:rFonts w:ascii="仿宋" w:hAnsi="仿宋" w:eastAsia="仿宋" w:cs="Arial"/>
          <w:bCs/>
          <w:color w:val="auto"/>
          <w:sz w:val="28"/>
          <w:szCs w:val="28"/>
        </w:rPr>
      </w:pPr>
      <w:r>
        <w:rPr>
          <w:rFonts w:hint="eastAsia" w:ascii="仿宋" w:hAnsi="仿宋" w:eastAsia="仿宋" w:cs="Arial"/>
          <w:bCs/>
          <w:color w:val="auto"/>
          <w:sz w:val="28"/>
          <w:szCs w:val="28"/>
        </w:rPr>
        <w:t>大屏端：用于指挥中心展示全域监管态势、重大风险预警、重点工地布控。</w:t>
      </w:r>
    </w:p>
    <w:p w14:paraId="26F1887F">
      <w:pPr>
        <w:spacing w:line="360" w:lineRule="auto"/>
        <w:ind w:firstLine="560" w:firstLineChars="200"/>
        <w:jc w:val="left"/>
        <w:rPr>
          <w:rFonts w:ascii="仿宋" w:hAnsi="仿宋" w:eastAsia="仿宋" w:cs="Arial"/>
          <w:bCs/>
          <w:color w:val="auto"/>
          <w:sz w:val="28"/>
          <w:szCs w:val="28"/>
        </w:rPr>
      </w:pPr>
      <w:r>
        <w:rPr>
          <w:rFonts w:hint="eastAsia" w:ascii="仿宋" w:hAnsi="仿宋" w:eastAsia="仿宋" w:cs="Arial"/>
          <w:bCs/>
          <w:color w:val="auto"/>
          <w:sz w:val="28"/>
          <w:szCs w:val="28"/>
        </w:rPr>
        <w:t>PC端 ：面向风险分析、工单审核等。</w:t>
      </w:r>
    </w:p>
    <w:p w14:paraId="06BC3BBF">
      <w:pPr>
        <w:spacing w:line="360" w:lineRule="auto"/>
        <w:ind w:firstLine="560" w:firstLineChars="200"/>
        <w:jc w:val="left"/>
        <w:rPr>
          <w:rFonts w:ascii="仿宋" w:hAnsi="仿宋" w:eastAsia="仿宋" w:cs="Arial"/>
          <w:bCs/>
          <w:color w:val="auto"/>
          <w:sz w:val="28"/>
          <w:szCs w:val="28"/>
        </w:rPr>
      </w:pPr>
      <w:r>
        <w:rPr>
          <w:rFonts w:hint="eastAsia" w:ascii="仿宋" w:hAnsi="仿宋" w:eastAsia="仿宋" w:cs="Arial"/>
          <w:bCs/>
          <w:color w:val="auto"/>
          <w:sz w:val="28"/>
          <w:szCs w:val="28"/>
        </w:rPr>
        <w:t>移动端：支持监管人员远程查看处置事件、远程查看视频广场等。</w:t>
      </w:r>
    </w:p>
    <w:p w14:paraId="3735B6EF">
      <w:pPr>
        <w:pStyle w:val="54"/>
        <w:numPr>
          <w:ilvl w:val="0"/>
          <w:numId w:val="3"/>
        </w:numPr>
        <w:spacing w:line="360" w:lineRule="auto"/>
        <w:ind w:firstLineChars="0"/>
        <w:jc w:val="left"/>
        <w:rPr>
          <w:rFonts w:ascii="仿宋" w:hAnsi="仿宋" w:eastAsia="仿宋" w:cs="Arial"/>
          <w:bCs/>
          <w:color w:val="auto"/>
          <w:sz w:val="28"/>
          <w:szCs w:val="28"/>
        </w:rPr>
      </w:pPr>
      <w:r>
        <w:rPr>
          <w:rFonts w:hint="eastAsia" w:ascii="仿宋" w:hAnsi="仿宋" w:eastAsia="仿宋" w:cs="Arial"/>
          <w:bCs/>
          <w:color w:val="auto"/>
          <w:sz w:val="28"/>
          <w:szCs w:val="28"/>
        </w:rPr>
        <w:t>业务应用层：核心监管功能系统</w:t>
      </w:r>
    </w:p>
    <w:p w14:paraId="00CD0D15">
      <w:pPr>
        <w:spacing w:line="360" w:lineRule="auto"/>
        <w:ind w:firstLine="560" w:firstLineChars="200"/>
        <w:jc w:val="left"/>
        <w:rPr>
          <w:rFonts w:ascii="仿宋" w:hAnsi="仿宋" w:eastAsia="仿宋" w:cs="Arial"/>
          <w:bCs/>
          <w:color w:val="auto"/>
          <w:sz w:val="28"/>
          <w:szCs w:val="28"/>
        </w:rPr>
      </w:pPr>
      <w:r>
        <w:rPr>
          <w:rFonts w:hint="eastAsia" w:ascii="仿宋" w:hAnsi="仿宋" w:eastAsia="仿宋" w:cs="Arial"/>
          <w:bCs/>
          <w:color w:val="auto"/>
          <w:sz w:val="28"/>
          <w:szCs w:val="28"/>
        </w:rPr>
        <w:t>围绕安全质量监管主责主业，建设以下应用模块：</w:t>
      </w:r>
    </w:p>
    <w:p w14:paraId="355F2ACD">
      <w:pPr>
        <w:spacing w:line="360" w:lineRule="auto"/>
        <w:ind w:firstLine="560" w:firstLineChars="200"/>
        <w:jc w:val="left"/>
        <w:rPr>
          <w:rFonts w:ascii="仿宋" w:hAnsi="仿宋" w:eastAsia="仿宋" w:cs="Arial"/>
          <w:bCs/>
          <w:color w:val="auto"/>
          <w:sz w:val="28"/>
          <w:szCs w:val="28"/>
        </w:rPr>
      </w:pPr>
      <w:r>
        <w:rPr>
          <w:rFonts w:hint="eastAsia" w:ascii="仿宋" w:hAnsi="仿宋" w:eastAsia="仿宋" w:cs="Arial"/>
          <w:bCs/>
          <w:color w:val="auto"/>
          <w:sz w:val="28"/>
          <w:szCs w:val="28"/>
        </w:rPr>
        <w:t>项目风险画像系统：对在建项目进行风险打分与红黄牌预警。</w:t>
      </w:r>
    </w:p>
    <w:p w14:paraId="30711F64">
      <w:pPr>
        <w:spacing w:line="360" w:lineRule="auto"/>
        <w:ind w:firstLine="560" w:firstLineChars="200"/>
        <w:jc w:val="left"/>
        <w:rPr>
          <w:rFonts w:ascii="仿宋" w:hAnsi="仿宋" w:eastAsia="仿宋" w:cs="Arial"/>
          <w:bCs/>
          <w:color w:val="auto"/>
          <w:sz w:val="28"/>
          <w:szCs w:val="28"/>
        </w:rPr>
      </w:pPr>
      <w:r>
        <w:rPr>
          <w:rFonts w:hint="eastAsia" w:ascii="仿宋" w:hAnsi="仿宋" w:eastAsia="仿宋" w:cs="Arial"/>
          <w:bCs/>
          <w:color w:val="auto"/>
          <w:sz w:val="28"/>
          <w:szCs w:val="28"/>
        </w:rPr>
        <w:t>视频接入与分析平台：实时查看重点区域视频、AI辅助识别违规行为。</w:t>
      </w:r>
    </w:p>
    <w:p w14:paraId="148AF54C">
      <w:pPr>
        <w:spacing w:line="360" w:lineRule="auto"/>
        <w:ind w:firstLine="560" w:firstLineChars="200"/>
        <w:jc w:val="left"/>
        <w:rPr>
          <w:rFonts w:ascii="仿宋" w:hAnsi="仿宋" w:eastAsia="仿宋" w:cs="Arial"/>
          <w:bCs/>
          <w:color w:val="auto"/>
          <w:sz w:val="28"/>
          <w:szCs w:val="28"/>
        </w:rPr>
      </w:pPr>
      <w:r>
        <w:rPr>
          <w:rFonts w:hint="eastAsia" w:ascii="仿宋" w:hAnsi="仿宋" w:eastAsia="仿宋" w:cs="Arial"/>
          <w:bCs/>
          <w:color w:val="auto"/>
          <w:sz w:val="28"/>
          <w:szCs w:val="28"/>
        </w:rPr>
        <w:t>人员行为管理模块：人员动态信息接入、关键岗位监控、高风险作业识别。</w:t>
      </w:r>
    </w:p>
    <w:p w14:paraId="3DE76775">
      <w:pPr>
        <w:pStyle w:val="54"/>
        <w:numPr>
          <w:ilvl w:val="0"/>
          <w:numId w:val="3"/>
        </w:numPr>
        <w:spacing w:line="360" w:lineRule="auto"/>
        <w:ind w:firstLineChars="0"/>
        <w:jc w:val="left"/>
        <w:rPr>
          <w:rFonts w:ascii="仿宋" w:hAnsi="仿宋" w:eastAsia="仿宋" w:cs="Arial"/>
          <w:bCs/>
          <w:color w:val="auto"/>
          <w:sz w:val="28"/>
          <w:szCs w:val="28"/>
        </w:rPr>
      </w:pPr>
      <w:r>
        <w:rPr>
          <w:rFonts w:hint="eastAsia" w:ascii="仿宋" w:hAnsi="仿宋" w:eastAsia="仿宋" w:cs="Arial"/>
          <w:bCs/>
          <w:color w:val="auto"/>
          <w:sz w:val="28"/>
          <w:szCs w:val="28"/>
        </w:rPr>
        <w:t>平台支撑层：数据治理与集成中台</w:t>
      </w:r>
    </w:p>
    <w:p w14:paraId="60D37129">
      <w:pPr>
        <w:spacing w:line="360" w:lineRule="auto"/>
        <w:ind w:firstLine="560" w:firstLineChars="200"/>
        <w:jc w:val="left"/>
        <w:rPr>
          <w:rFonts w:ascii="仿宋" w:hAnsi="仿宋" w:eastAsia="仿宋" w:cs="Arial"/>
          <w:bCs/>
          <w:color w:val="auto"/>
          <w:sz w:val="28"/>
          <w:szCs w:val="28"/>
        </w:rPr>
      </w:pPr>
      <w:r>
        <w:rPr>
          <w:rFonts w:hint="eastAsia" w:ascii="仿宋" w:hAnsi="仿宋" w:eastAsia="仿宋" w:cs="Arial"/>
          <w:bCs/>
          <w:color w:val="auto"/>
          <w:sz w:val="28"/>
          <w:szCs w:val="28"/>
        </w:rPr>
        <w:t>数据汇聚平台：对接施工单位、总包、第三方平台、传感器等数据源。</w:t>
      </w:r>
    </w:p>
    <w:p w14:paraId="4D89AC80">
      <w:pPr>
        <w:spacing w:line="360" w:lineRule="auto"/>
        <w:ind w:firstLine="560" w:firstLineChars="200"/>
        <w:jc w:val="left"/>
        <w:rPr>
          <w:rFonts w:ascii="仿宋" w:hAnsi="仿宋" w:eastAsia="仿宋" w:cs="Arial"/>
          <w:bCs/>
          <w:color w:val="auto"/>
          <w:sz w:val="28"/>
          <w:szCs w:val="28"/>
        </w:rPr>
      </w:pPr>
      <w:r>
        <w:rPr>
          <w:rFonts w:hint="eastAsia" w:ascii="仿宋" w:hAnsi="仿宋" w:eastAsia="仿宋" w:cs="Arial"/>
          <w:bCs/>
          <w:color w:val="auto"/>
          <w:sz w:val="28"/>
          <w:szCs w:val="28"/>
        </w:rPr>
        <w:t>共享交换平台：与各参建单位平台打通数据接口。</w:t>
      </w:r>
    </w:p>
    <w:p w14:paraId="43DD517E">
      <w:pPr>
        <w:spacing w:line="360" w:lineRule="auto"/>
        <w:ind w:firstLine="560" w:firstLineChars="200"/>
        <w:jc w:val="left"/>
        <w:rPr>
          <w:rFonts w:ascii="仿宋" w:hAnsi="仿宋" w:eastAsia="仿宋" w:cs="Arial"/>
          <w:bCs/>
          <w:color w:val="auto"/>
          <w:sz w:val="28"/>
          <w:szCs w:val="28"/>
        </w:rPr>
      </w:pPr>
      <w:r>
        <w:rPr>
          <w:rFonts w:hint="eastAsia" w:ascii="仿宋" w:hAnsi="仿宋" w:eastAsia="仿宋" w:cs="Arial"/>
          <w:bCs/>
          <w:color w:val="auto"/>
          <w:sz w:val="28"/>
          <w:szCs w:val="28"/>
        </w:rPr>
        <w:t>视频管理平台：统一接入多源视频流，实现集中管理。</w:t>
      </w:r>
    </w:p>
    <w:p w14:paraId="34180AF7">
      <w:pPr>
        <w:pStyle w:val="54"/>
        <w:numPr>
          <w:ilvl w:val="0"/>
          <w:numId w:val="3"/>
        </w:numPr>
        <w:spacing w:line="360" w:lineRule="auto"/>
        <w:ind w:firstLineChars="0"/>
        <w:jc w:val="left"/>
        <w:rPr>
          <w:rFonts w:ascii="仿宋" w:hAnsi="仿宋" w:eastAsia="仿宋" w:cs="Arial"/>
          <w:bCs/>
          <w:color w:val="auto"/>
          <w:sz w:val="28"/>
          <w:szCs w:val="28"/>
        </w:rPr>
      </w:pPr>
      <w:r>
        <w:rPr>
          <w:rFonts w:hint="eastAsia" w:ascii="仿宋" w:hAnsi="仿宋" w:eastAsia="仿宋" w:cs="Arial"/>
          <w:bCs/>
          <w:color w:val="auto"/>
          <w:sz w:val="28"/>
          <w:szCs w:val="28"/>
        </w:rPr>
        <w:t>能力引擎层：智能监管与辅助决策</w:t>
      </w:r>
    </w:p>
    <w:p w14:paraId="18F44AE5">
      <w:pPr>
        <w:spacing w:line="360" w:lineRule="auto"/>
        <w:ind w:firstLine="560" w:firstLineChars="200"/>
        <w:jc w:val="left"/>
        <w:rPr>
          <w:rFonts w:ascii="仿宋" w:hAnsi="仿宋" w:eastAsia="仿宋" w:cs="Arial"/>
          <w:bCs/>
          <w:color w:val="auto"/>
          <w:sz w:val="28"/>
          <w:szCs w:val="28"/>
        </w:rPr>
      </w:pPr>
      <w:r>
        <w:rPr>
          <w:rFonts w:hint="eastAsia" w:ascii="仿宋" w:hAnsi="仿宋" w:eastAsia="仿宋" w:cs="Arial"/>
          <w:bCs/>
          <w:color w:val="auto"/>
          <w:sz w:val="28"/>
          <w:szCs w:val="28"/>
        </w:rPr>
        <w:t>AI识别能力：自动识别未戴安全帽、未系安全带、人员聚集等。</w:t>
      </w:r>
    </w:p>
    <w:p w14:paraId="41A1742B">
      <w:pPr>
        <w:spacing w:line="360" w:lineRule="auto"/>
        <w:ind w:firstLine="560" w:firstLineChars="200"/>
        <w:jc w:val="left"/>
        <w:rPr>
          <w:rFonts w:ascii="仿宋" w:hAnsi="仿宋" w:eastAsia="仿宋" w:cs="Arial"/>
          <w:bCs/>
          <w:color w:val="auto"/>
          <w:sz w:val="28"/>
          <w:szCs w:val="28"/>
        </w:rPr>
      </w:pPr>
      <w:r>
        <w:rPr>
          <w:rFonts w:hint="eastAsia" w:ascii="仿宋" w:hAnsi="仿宋" w:eastAsia="仿宋" w:cs="Arial"/>
          <w:bCs/>
          <w:color w:val="auto"/>
          <w:sz w:val="28"/>
          <w:szCs w:val="28"/>
        </w:rPr>
        <w:t>风险评分模型：按项目施工阶段与历史行为形成风险等级。</w:t>
      </w:r>
    </w:p>
    <w:p w14:paraId="71E37CAD">
      <w:pPr>
        <w:spacing w:line="360" w:lineRule="auto"/>
        <w:ind w:firstLine="560" w:firstLineChars="200"/>
        <w:jc w:val="left"/>
        <w:rPr>
          <w:rFonts w:ascii="仿宋" w:hAnsi="仿宋" w:eastAsia="仿宋" w:cs="Arial"/>
          <w:bCs/>
          <w:color w:val="auto"/>
          <w:sz w:val="28"/>
          <w:szCs w:val="28"/>
        </w:rPr>
      </w:pPr>
      <w:r>
        <w:rPr>
          <w:rFonts w:hint="eastAsia" w:ascii="仿宋" w:hAnsi="仿宋" w:eastAsia="仿宋" w:cs="Arial"/>
          <w:bCs/>
          <w:color w:val="auto"/>
          <w:sz w:val="28"/>
          <w:szCs w:val="28"/>
        </w:rPr>
        <w:t>违规行为预判模型（待扩展）：通过施工进度、人员轨迹预测潜在违规行为。</w:t>
      </w:r>
    </w:p>
    <w:p w14:paraId="288A177E">
      <w:pPr>
        <w:spacing w:line="360" w:lineRule="auto"/>
        <w:ind w:firstLine="560" w:firstLineChars="200"/>
        <w:jc w:val="left"/>
        <w:rPr>
          <w:rFonts w:ascii="仿宋" w:hAnsi="仿宋" w:eastAsia="仿宋" w:cs="Arial"/>
          <w:bCs/>
          <w:color w:val="auto"/>
          <w:sz w:val="28"/>
          <w:szCs w:val="28"/>
        </w:rPr>
      </w:pPr>
      <w:r>
        <w:rPr>
          <w:rFonts w:hint="eastAsia" w:ascii="仿宋" w:hAnsi="仿宋" w:eastAsia="仿宋" w:cs="Arial"/>
          <w:bCs/>
          <w:color w:val="auto"/>
          <w:sz w:val="28"/>
          <w:szCs w:val="28"/>
        </w:rPr>
        <w:t>知识图谱与案例库：积累事故案例、处置流程、处罚依据。</w:t>
      </w:r>
    </w:p>
    <w:p w14:paraId="24D6EBC1">
      <w:pPr>
        <w:pStyle w:val="54"/>
        <w:numPr>
          <w:ilvl w:val="0"/>
          <w:numId w:val="3"/>
        </w:numPr>
        <w:spacing w:line="360" w:lineRule="auto"/>
        <w:ind w:firstLineChars="0"/>
        <w:jc w:val="left"/>
        <w:rPr>
          <w:rFonts w:ascii="仿宋" w:hAnsi="仿宋" w:eastAsia="仿宋" w:cs="Arial"/>
          <w:bCs/>
          <w:color w:val="auto"/>
          <w:sz w:val="28"/>
          <w:szCs w:val="28"/>
        </w:rPr>
      </w:pPr>
      <w:r>
        <w:rPr>
          <w:rFonts w:hint="eastAsia" w:ascii="仿宋" w:hAnsi="仿宋" w:eastAsia="仿宋" w:cs="Arial"/>
          <w:bCs/>
          <w:color w:val="auto"/>
          <w:sz w:val="28"/>
          <w:szCs w:val="28"/>
        </w:rPr>
        <w:t>资源支撑层：技术与安全底座保障</w:t>
      </w:r>
    </w:p>
    <w:p w14:paraId="52A2AF65">
      <w:pPr>
        <w:spacing w:line="360" w:lineRule="auto"/>
        <w:ind w:firstLine="560" w:firstLineChars="200"/>
        <w:jc w:val="left"/>
        <w:rPr>
          <w:rFonts w:ascii="仿宋" w:hAnsi="仿宋" w:eastAsia="仿宋" w:cs="Arial"/>
          <w:bCs/>
          <w:color w:val="auto"/>
          <w:sz w:val="28"/>
          <w:szCs w:val="28"/>
        </w:rPr>
      </w:pPr>
      <w:r>
        <w:rPr>
          <w:rFonts w:hint="eastAsia" w:ascii="仿宋" w:hAnsi="仿宋" w:eastAsia="仿宋" w:cs="Arial"/>
          <w:bCs/>
          <w:color w:val="auto"/>
          <w:sz w:val="28"/>
          <w:szCs w:val="28"/>
        </w:rPr>
        <w:t>计算资源：支持AI视频分析与实时预警推送。</w:t>
      </w:r>
    </w:p>
    <w:p w14:paraId="7ABD51EA">
      <w:pPr>
        <w:spacing w:line="360" w:lineRule="auto"/>
        <w:ind w:firstLine="560" w:firstLineChars="200"/>
        <w:jc w:val="left"/>
        <w:rPr>
          <w:rFonts w:ascii="仿宋" w:hAnsi="仿宋" w:eastAsia="仿宋" w:cs="Arial"/>
          <w:bCs/>
          <w:color w:val="auto"/>
          <w:sz w:val="28"/>
          <w:szCs w:val="28"/>
        </w:rPr>
      </w:pPr>
      <w:r>
        <w:rPr>
          <w:rFonts w:hint="eastAsia" w:ascii="仿宋" w:hAnsi="仿宋" w:eastAsia="仿宋" w:cs="Arial"/>
          <w:bCs/>
          <w:color w:val="auto"/>
          <w:sz w:val="28"/>
          <w:szCs w:val="28"/>
        </w:rPr>
        <w:t>存储资源：视频归档、监管数据长期留存。</w:t>
      </w:r>
    </w:p>
    <w:p w14:paraId="0B8ECA3E">
      <w:pPr>
        <w:spacing w:line="360" w:lineRule="auto"/>
        <w:ind w:firstLine="560" w:firstLineChars="200"/>
        <w:jc w:val="left"/>
        <w:rPr>
          <w:rFonts w:ascii="仿宋" w:hAnsi="仿宋" w:eastAsia="仿宋" w:cs="Arial"/>
          <w:bCs/>
          <w:color w:val="auto"/>
          <w:sz w:val="28"/>
          <w:szCs w:val="28"/>
        </w:rPr>
      </w:pPr>
      <w:r>
        <w:rPr>
          <w:rFonts w:hint="eastAsia" w:ascii="仿宋" w:hAnsi="仿宋" w:eastAsia="仿宋" w:cs="Arial"/>
          <w:bCs/>
          <w:color w:val="auto"/>
          <w:sz w:val="28"/>
          <w:szCs w:val="28"/>
        </w:rPr>
        <w:t>网络资源：保障多端接入与数据同步传输。</w:t>
      </w:r>
    </w:p>
    <w:p w14:paraId="38A336CD">
      <w:pPr>
        <w:spacing w:line="360" w:lineRule="auto"/>
        <w:ind w:firstLine="560" w:firstLineChars="200"/>
        <w:jc w:val="left"/>
        <w:rPr>
          <w:rFonts w:hint="eastAsia"/>
          <w:color w:val="auto"/>
          <w:lang w:val="en-US" w:eastAsia="zh-CN"/>
        </w:rPr>
      </w:pPr>
      <w:r>
        <w:rPr>
          <w:rFonts w:hint="eastAsia" w:ascii="仿宋" w:hAnsi="仿宋" w:eastAsia="仿宋" w:cs="Arial"/>
          <w:bCs/>
          <w:color w:val="auto"/>
          <w:sz w:val="28"/>
          <w:szCs w:val="28"/>
        </w:rPr>
        <w:t>安全资源：加强平台访问控制、日志审计、数据加密、账号权限管理。</w:t>
      </w:r>
    </w:p>
    <w:p w14:paraId="12CE74F1">
      <w:pPr>
        <w:pStyle w:val="3"/>
        <w:numPr>
          <w:ilvl w:val="1"/>
          <w:numId w:val="1"/>
        </w:numPr>
        <w:bidi w:val="0"/>
        <w:rPr>
          <w:rFonts w:hint="default"/>
          <w:color w:val="auto"/>
          <w:lang w:val="en-US" w:eastAsia="zh-CN"/>
        </w:rPr>
      </w:pPr>
      <w:r>
        <w:rPr>
          <w:rFonts w:hint="eastAsia"/>
          <w:color w:val="auto"/>
          <w:lang w:val="en-US" w:eastAsia="zh-CN"/>
        </w:rPr>
        <w:t>部署环境</w:t>
      </w:r>
    </w:p>
    <w:p w14:paraId="13436E71">
      <w:pPr>
        <w:spacing w:line="360" w:lineRule="auto"/>
        <w:ind w:firstLine="560" w:firstLineChars="200"/>
        <w:jc w:val="left"/>
        <w:rPr>
          <w:rFonts w:ascii="仿宋" w:hAnsi="仿宋" w:eastAsia="仿宋" w:cs="Arial"/>
          <w:bCs/>
          <w:color w:val="auto"/>
          <w:sz w:val="28"/>
          <w:szCs w:val="28"/>
        </w:rPr>
      </w:pPr>
      <w:r>
        <w:rPr>
          <w:rFonts w:hint="eastAsia" w:ascii="仿宋" w:hAnsi="仿宋" w:eastAsia="仿宋" w:cs="Arial"/>
          <w:bCs/>
          <w:color w:val="auto"/>
          <w:sz w:val="28"/>
          <w:szCs w:val="28"/>
        </w:rPr>
        <w:t>系统依托上海市大数据中心电子政务云平台，使用云平台提供的XC服务器、相关网络设施和服务，完成系统搭建和部署。使用的服务和软件及用途包括：使用中间件进行服务部署，使用安全防病毒软件进行服务器系统防护，使用数据库进行数据存储，使用内存数据库服务进行缓存管理，使用安全认证网关和数字证书，对应用系统进行身份认证，使用签名验签服务进行数据防篡改验证等。</w:t>
      </w:r>
    </w:p>
    <w:p w14:paraId="2F3FAFB6">
      <w:pPr>
        <w:pBdr>
          <w:bottom w:val="none" w:color="auto" w:sz="0" w:space="0"/>
        </w:pBdr>
        <w:spacing w:line="360" w:lineRule="auto"/>
        <w:ind w:firstLine="560" w:firstLineChars="200"/>
        <w:jc w:val="left"/>
        <w:rPr>
          <w:rFonts w:hint="eastAsia" w:ascii="仿宋" w:hAnsi="仿宋" w:eastAsia="仿宋" w:cs="Arial"/>
          <w:bCs/>
          <w:color w:val="auto"/>
          <w:sz w:val="28"/>
          <w:szCs w:val="28"/>
        </w:rPr>
      </w:pPr>
      <w:r>
        <w:rPr>
          <w:rFonts w:hint="eastAsia" w:ascii="仿宋" w:hAnsi="仿宋" w:eastAsia="仿宋" w:cs="Arial"/>
          <w:bCs/>
          <w:color w:val="auto"/>
          <w:sz w:val="28"/>
          <w:szCs w:val="28"/>
        </w:rPr>
        <w:t>系统中用到的密码服务器、应用服务器、数据库服务器、中间件服务器、GIS服务器、附件服务器、备份服务器等资源均采用负载或者集群部署，最大程度保证系统的安全高效和高可用。</w:t>
      </w:r>
    </w:p>
    <w:p w14:paraId="1004BD44">
      <w:pPr>
        <w:pBdr>
          <w:bottom w:val="none" w:color="auto" w:sz="0" w:space="0"/>
        </w:pBdr>
        <w:spacing w:line="360" w:lineRule="auto"/>
        <w:ind w:firstLine="560" w:firstLineChars="200"/>
        <w:jc w:val="left"/>
        <w:rPr>
          <w:color w:val="auto"/>
        </w:rPr>
      </w:pPr>
      <w:r>
        <w:rPr>
          <w:rFonts w:hint="eastAsia" w:ascii="仿宋" w:hAnsi="仿宋" w:eastAsia="仿宋" w:cs="Arial"/>
          <w:bCs/>
          <w:color w:val="auto"/>
          <w:sz w:val="28"/>
          <w:szCs w:val="28"/>
        </w:rPr>
        <w:t>为适应未来物联网设备规模的持续扩展，当物联网设备增加导致网络带宽和服务器配置不匹配时，政务云资源会进行相应的动态调整，以保障业务的连续性和系统的稳定性。</w:t>
      </w:r>
    </w:p>
    <w:p w14:paraId="67CECE24">
      <w:pPr>
        <w:numPr>
          <w:ilvl w:val="0"/>
          <w:numId w:val="4"/>
        </w:numPr>
        <w:snapToGrid/>
        <w:spacing w:line="240" w:lineRule="auto"/>
        <w:ind w:firstLine="0" w:firstLineChars="0"/>
        <w:rPr>
          <w:rFonts w:hint="eastAsia"/>
          <w:b/>
          <w:bCs/>
          <w:color w:val="auto"/>
          <w:lang w:val="en-US" w:eastAsia="zh-CN"/>
        </w:rPr>
      </w:pPr>
      <w:r>
        <w:rPr>
          <w:rFonts w:hint="eastAsia"/>
          <w:b/>
          <w:bCs/>
          <w:color w:val="auto"/>
          <w:lang w:val="en-US" w:eastAsia="zh-CN"/>
        </w:rPr>
        <w:t>软件开发清单：</w:t>
      </w:r>
    </w:p>
    <w:tbl>
      <w:tblPr>
        <w:tblStyle w:val="35"/>
        <w:tblW w:w="0" w:type="auto"/>
        <w:tblInd w:w="8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53"/>
        <w:gridCol w:w="1545"/>
        <w:gridCol w:w="1778"/>
        <w:gridCol w:w="4563"/>
      </w:tblGrid>
      <w:tr w14:paraId="2FF23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53" w:type="dxa"/>
            <w:tcBorders>
              <w:top w:val="single" w:color="000000" w:sz="4" w:space="0"/>
              <w:left w:val="single" w:color="000000" w:sz="4" w:space="0"/>
              <w:bottom w:val="single" w:color="000000" w:sz="4" w:space="0"/>
              <w:right w:val="single" w:color="000000" w:sz="4" w:space="0"/>
            </w:tcBorders>
            <w:shd w:val="clear" w:color="auto" w:fill="F3F8FC"/>
            <w:vAlign w:val="center"/>
          </w:tcPr>
          <w:p w14:paraId="72B1ACE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序号</w:t>
            </w:r>
          </w:p>
        </w:tc>
        <w:tc>
          <w:tcPr>
            <w:tcW w:w="1545" w:type="dxa"/>
            <w:tcBorders>
              <w:top w:val="single" w:color="000000" w:sz="4" w:space="0"/>
              <w:left w:val="single" w:color="000000" w:sz="4" w:space="0"/>
              <w:bottom w:val="single" w:color="000000" w:sz="4" w:space="0"/>
              <w:right w:val="single" w:color="000000" w:sz="4" w:space="0"/>
            </w:tcBorders>
            <w:shd w:val="clear" w:color="auto" w:fill="F3F8FC"/>
            <w:vAlign w:val="center"/>
          </w:tcPr>
          <w:p w14:paraId="68588C8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应用系统名称</w:t>
            </w:r>
          </w:p>
        </w:tc>
        <w:tc>
          <w:tcPr>
            <w:tcW w:w="1778" w:type="dxa"/>
            <w:tcBorders>
              <w:top w:val="single" w:color="000000" w:sz="4" w:space="0"/>
              <w:left w:val="single" w:color="000000" w:sz="4" w:space="0"/>
              <w:bottom w:val="single" w:color="000000" w:sz="4" w:space="0"/>
              <w:right w:val="single" w:color="000000" w:sz="4" w:space="0"/>
            </w:tcBorders>
            <w:shd w:val="clear" w:color="auto" w:fill="F3F8FC"/>
            <w:vAlign w:val="center"/>
          </w:tcPr>
          <w:p w14:paraId="37FC793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模块名称</w:t>
            </w:r>
          </w:p>
        </w:tc>
        <w:tc>
          <w:tcPr>
            <w:tcW w:w="4563" w:type="dxa"/>
            <w:tcBorders>
              <w:top w:val="single" w:color="000000" w:sz="4" w:space="0"/>
              <w:left w:val="single" w:color="000000" w:sz="4" w:space="0"/>
              <w:bottom w:val="single" w:color="000000" w:sz="4" w:space="0"/>
              <w:right w:val="single" w:color="000000" w:sz="4" w:space="0"/>
            </w:tcBorders>
            <w:shd w:val="clear" w:color="auto" w:fill="F3F8FC"/>
            <w:vAlign w:val="top"/>
          </w:tcPr>
          <w:p w14:paraId="10E55C9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模块描述</w:t>
            </w:r>
          </w:p>
        </w:tc>
      </w:tr>
      <w:tr w14:paraId="09F56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EC38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1</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1C25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18DB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态势洞察-各类专业及各参建单位与事件关联分析</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0C31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聚焦于对工地安全管理数据的深度剖析，将围绕项目专业类型、参建单位、工地、事件这四个关键维度，深入探究其与事件数量之间的内在关联。具体而言，会全面分析不同专业类型工地的事件发生率情况，精准定位各类工地中高发的事件类型，并基于分析结果，敏锐识别出监管工作中存在的薄弱区域，从而为后续强化工地安全监管、优化管理策略提供有力的数据支撑与决策依据 。</w:t>
            </w:r>
          </w:p>
        </w:tc>
      </w:tr>
      <w:tr w14:paraId="0F3D9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CC8B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2</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F0C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0CCA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态势洞察-各类专业项目经理履职效能评估分析</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9CFC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聚焦于项目经理履职效能评估与监管强化。通过收集项目经理在岗情况以及对应的事件处置时长等数据，构建“在岗率 - 处置效率”四象限图，以直观呈现不同项目经理在这两个关键维度上的表现分布。在四象限图中，清晰划分出“高在岗高效率”“高在岗低效率”“低在岗高效率”“低在岗</w:t>
            </w:r>
            <w:r>
              <w:rPr>
                <w:rFonts w:hint="eastAsia" w:cs="宋体"/>
                <w:i w:val="0"/>
                <w:iCs w:val="0"/>
                <w:color w:val="auto"/>
                <w:kern w:val="0"/>
                <w:sz w:val="20"/>
                <w:szCs w:val="20"/>
                <w:u w:val="none"/>
                <w:lang w:val="en-US" w:eastAsia="zh-CN" w:bidi="ar"/>
              </w:rPr>
              <w:t>低效率</w:t>
            </w:r>
            <w:r>
              <w:rPr>
                <w:rFonts w:hint="eastAsia" w:ascii="宋体" w:hAnsi="宋体" w:eastAsia="宋体" w:cs="宋体"/>
                <w:i w:val="0"/>
                <w:iCs w:val="0"/>
                <w:color w:val="auto"/>
                <w:kern w:val="0"/>
                <w:sz w:val="20"/>
                <w:szCs w:val="20"/>
                <w:u w:val="none"/>
                <w:lang w:val="en-US" w:eastAsia="zh-CN" w:bidi="ar"/>
              </w:rPr>
              <w:t>”四个区域。针对处于“低在岗</w:t>
            </w:r>
            <w:r>
              <w:rPr>
                <w:rFonts w:hint="eastAsia" w:cs="宋体"/>
                <w:i w:val="0"/>
                <w:iCs w:val="0"/>
                <w:color w:val="auto"/>
                <w:kern w:val="0"/>
                <w:sz w:val="20"/>
                <w:szCs w:val="20"/>
                <w:u w:val="none"/>
                <w:lang w:val="en-US" w:eastAsia="zh-CN" w:bidi="ar"/>
              </w:rPr>
              <w:t>低效率</w:t>
            </w:r>
            <w:r>
              <w:rPr>
                <w:rFonts w:hint="eastAsia" w:ascii="宋体" w:hAnsi="宋体" w:eastAsia="宋体" w:cs="宋体"/>
                <w:i w:val="0"/>
                <w:iCs w:val="0"/>
                <w:color w:val="auto"/>
                <w:kern w:val="0"/>
                <w:sz w:val="20"/>
                <w:szCs w:val="20"/>
                <w:u w:val="none"/>
                <w:lang w:val="en-US" w:eastAsia="zh-CN" w:bidi="ar"/>
              </w:rPr>
              <w:t>”这一负面区域的项目经理，将严格按照既定流程启动问责机制，深入调查其履职不力原因，并采取相应惩处与督促改进措施，以此强化对项目经理队伍的管理，保障项目推进的顺畅与高效。</w:t>
            </w:r>
          </w:p>
        </w:tc>
      </w:tr>
      <w:tr w14:paraId="21D3F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128D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3</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491C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58D9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态势洞察-事件申诉及处置关联分析</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B627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过构建数据监测与分析模型，深度挖掘监理与施工单位间的异常交互模式。重点针对“同一监理多次接受施工单位申诉”这一异常行为特征进行智能识别，系统自动统计各监理人员接收不同施工单位申诉的频次、关联项目分布等数据，结合历史记录与行业基准进行动态比对。</w:t>
            </w:r>
          </w:p>
        </w:tc>
      </w:tr>
      <w:tr w14:paraId="2B900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734B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4</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C361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641D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态势洞察-工地排名与事件数据关联分析</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5EE0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针对长期排名末位的工地展开系统性、全方位的深度剖析。通过整合多维度数据资源，运用科学的分析方法与模型，精准提炼这些工地在安全管理、施工质量、进度管控、人员管理、设备运维等各个层面的共性缺陷。从现场作业流程的规范执行度，到人员专业素养与责任意识；从施工设备的维护保养状况，到管理制度的落地实施效果，不放过任何一个可能影响排名的关键环节。基于所识别出的共性缺陷，进行深度归因与影响评估，进而为这些末位工地量身定制具有针对性、可操作性的专项提升计划，明确改进目标、实施步骤、责任主体及时间节点，助力其突破发展瓶颈，实现管理水平的跨越式提升与综合排名的显著进步。</w:t>
            </w:r>
          </w:p>
        </w:tc>
      </w:tr>
      <w:tr w14:paraId="0B222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F490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5</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FD06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B5AD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态势洞察-交通工程监管画像工厂-多维融合画像构建</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0A0E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功能聚焦于构建面向交通工程监管场景的多维数据画像体系。通过打通工地、单位、人员、设备、事件等多个维度的监管数据，基于数据融合与规则建模，系统将自动为各类监管对象生成统一且具辨识度的数据画像。画像内容包括基本信息、行为特征、风险历史、履职表现等多个标签模块，可广泛应用于态势分析、风险评估等场景。通过这一画像构建能力，平台能够实现“以像识人、以像定策”，提升精准监管与个性化决策能力，为构建数据驱动型监管体系提供基础支撑。</w:t>
            </w:r>
          </w:p>
        </w:tc>
      </w:tr>
      <w:tr w14:paraId="780FB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8AEF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6</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53FB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4351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态势洞察-态势洞察数据报告-模版报告基础数据统计</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6D98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提供定期总结分析报告的数据部分的支撑，基于报告时间频度的选择和具体数据时段的确定，对报告模版中设置的可更新数据部分进行的自动计算和填充。后续业务人员可以结合数据部分图表进行业务分析内容的补充和完善，并扩充其他内容，形成最终报告。模版报告将根据具体业务情况，形成准确、有针对性的预置报告模板，支持按照月、季、年三个不同周期的报告频度，同时报告支持导出、打印等功能。</w:t>
            </w:r>
          </w:p>
        </w:tc>
      </w:tr>
      <w:tr w14:paraId="152EE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C0A9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7</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FBD7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272F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态势洞察-监管平台综合运维态势报告-设备监控与趋势分析</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DFB0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面向平台日常运维与监管感知保障场景，本功能聚焦对平台各类终端设备运行状态的实时监控与趋势分析，全面提升系统可用性与运维效率。系统通过设备健康监测模块，采集摄像头、边缘盒子、传感器等硬件设备的在线状态、异常日志、通信质量等指标，自动生成设备运行态势图表，并支持多时段趋势对比分析，识别设备老化、频繁离线、局部故障高发等情况。结合故障分类统计与区域聚类分析结果，平台可为技术团队提供精准的维护计划建议，实现从被动运维向主动保障的转变。</w:t>
            </w:r>
          </w:p>
        </w:tc>
      </w:tr>
      <w:tr w14:paraId="0FCA5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D0EE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8</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A46F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19C2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态势洞察-数据报告生成-多维自定义报表</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D068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为支持各监管单位根据实际业务需要灵活获取、分析和展示平台数据，</w:t>
            </w:r>
            <w:r>
              <w:rPr>
                <w:rFonts w:hint="eastAsia" w:cs="宋体"/>
                <w:i w:val="0"/>
                <w:iCs w:val="0"/>
                <w:color w:val="auto"/>
                <w:kern w:val="0"/>
                <w:sz w:val="20"/>
                <w:szCs w:val="20"/>
                <w:u w:val="none"/>
                <w:lang w:val="en-US" w:eastAsia="zh-CN" w:bidi="ar"/>
              </w:rPr>
              <w:t>根据平台已有的数据类型，按照用户需求形成多个维度的预设报表模板，用户可按需选择报表，为</w:t>
            </w:r>
            <w:r>
              <w:rPr>
                <w:rFonts w:hint="eastAsia" w:ascii="宋体" w:hAnsi="宋体" w:eastAsia="宋体" w:cs="宋体"/>
                <w:i w:val="0"/>
                <w:iCs w:val="0"/>
                <w:color w:val="auto"/>
                <w:kern w:val="0"/>
                <w:sz w:val="20"/>
                <w:szCs w:val="20"/>
                <w:u w:val="none"/>
                <w:lang w:val="en-US" w:eastAsia="zh-CN" w:bidi="ar"/>
              </w:rPr>
              <w:t>各级监管部门提供高效的数据支持工具。</w:t>
            </w:r>
          </w:p>
        </w:tc>
      </w:tr>
      <w:tr w14:paraId="3F0E7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4F4D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9</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F99D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2997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数据管理-违规事件图片数据管理-图片数据资源管理</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A175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图片数据资源管理页面，管理所有新建的图片数据资源，即可以通过数据资源管理页面，完成数据集创建、数据标注等操作。</w:t>
            </w:r>
          </w:p>
        </w:tc>
      </w:tr>
      <w:tr w14:paraId="24917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C231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10</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1479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05FC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数据管理-违规事件图片数据管理-多标签数据标注</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3D81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违规事件图片数据管理模块旨在支撑智慧工地大屏的多维度事件展示和监管分析，基于工地视频监控系统及图像识别算法自动提取的违规行为图片，结合人工和智能手段开展多标签数据标注，提升图片事件的可识别性、可查询性和业务关联性。</w:t>
            </w:r>
          </w:p>
        </w:tc>
      </w:tr>
      <w:tr w14:paraId="4EF68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E045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11</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479D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F21C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数据管理-违规事件图片数据管理-特征向量库管理</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9BC6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全量的数据进行分门别类管理，可以根据实际场景进行命名，如人体库、事件库、车辆库、场景库等，通过卡片形式进行管理，方便了解当前每个向量库的实际情况，包含库名称、库数据总量以及每天更新的数据情况</w:t>
            </w:r>
            <w:r>
              <w:rPr>
                <w:rFonts w:hint="eastAsia" w:cs="宋体"/>
                <w:i w:val="0"/>
                <w:iCs w:val="0"/>
                <w:color w:val="auto"/>
                <w:kern w:val="0"/>
                <w:sz w:val="20"/>
                <w:szCs w:val="20"/>
                <w:u w:val="none"/>
                <w:lang w:val="en-US" w:eastAsia="zh-CN" w:bidi="ar"/>
              </w:rPr>
              <w:t>。</w:t>
            </w:r>
          </w:p>
        </w:tc>
      </w:tr>
      <w:tr w14:paraId="08846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CA11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12</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5EFD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1758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数据管理-要素监管专题数据管理-风险事件专题数据管理</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489E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聚焦现场高频、重大违规事件，按事件类型、责任单位、区域等维度构建数据索引，辅助风险聚焦与原因分析</w:t>
            </w:r>
            <w:r>
              <w:rPr>
                <w:rFonts w:hint="eastAsia" w:cs="宋体"/>
                <w:i w:val="0"/>
                <w:iCs w:val="0"/>
                <w:color w:val="auto"/>
                <w:kern w:val="0"/>
                <w:sz w:val="20"/>
                <w:szCs w:val="20"/>
                <w:u w:val="none"/>
                <w:lang w:val="en-US" w:eastAsia="zh-CN" w:bidi="ar"/>
              </w:rPr>
              <w:t>。</w:t>
            </w:r>
          </w:p>
        </w:tc>
      </w:tr>
      <w:tr w14:paraId="58E3A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F115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13</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53BC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A6C6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数据管理-要素监管主题数据管理-人员主题数据管理</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997C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聚焦施工现场人员全周期管理，整合实名制信息、考勤记录、培训记录、行为轨迹、违规记录等数据，实现对重点岗位、关键工种人员的精准画像与动态监管。</w:t>
            </w:r>
          </w:p>
        </w:tc>
      </w:tr>
      <w:tr w14:paraId="284A9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2076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14</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7383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BFA9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数据管理-要素监管主题数据管理-项目主题数据管理</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1C68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以工程项目为主线，汇聚项目立项信息、施工进度、风险事件、监管记录、单位参与情况、信用评价等核心数据，形成对项目执行全流程的系统性视图，支持项目运行态势分析与预警研判。</w:t>
            </w:r>
          </w:p>
        </w:tc>
      </w:tr>
      <w:tr w14:paraId="2F51C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14F3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15</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8C7D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BD0E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数据管理-要素监管主题数据管理-设备主题数据管理</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4C52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聚焦现场设备管理，整合设备备案信息、运行状态、视频接入、违规触发记录、运维日志等数据，实现对高频设备（如塔吊、升降机、摄像头等）运行状况的全面掌控和异常预警。</w:t>
            </w:r>
          </w:p>
        </w:tc>
      </w:tr>
      <w:tr w14:paraId="143FE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1EE8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16</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B4CA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3977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数据管理-监管业务数据质量校验-监管业务数据标准化</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63E8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构建统一的监管业务数据标准体系，规范数据字段命名、数据格式、编码规则、数据类型、单位标准等。</w:t>
            </w:r>
          </w:p>
        </w:tc>
      </w:tr>
      <w:tr w14:paraId="1D279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AA1B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17</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C5BB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0287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数据管理-监管业务数据质量校验-全链路接口数据校验</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28B4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针对对接系统传输的数据进行全链路实时校验，防止错误数据流入核心平台。</w:t>
            </w:r>
          </w:p>
        </w:tc>
      </w:tr>
      <w:tr w14:paraId="636C0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AD74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18</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6E98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BC25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数据管理-监管业务数据质量校验-智能路由与数据分发</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9F7C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构建基于规则和元数据标签的智能路由与数据分发系统，实现数据的自动归类、处理和分发，提高数据流转效率与准确率。</w:t>
            </w:r>
          </w:p>
        </w:tc>
      </w:tr>
      <w:tr w14:paraId="11B9C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8FB0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19</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A2B8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F043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数据管理-第三方数据对接-对接上海城投智慧工地平台</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1EE7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对接城投集团所属的智慧工地系统，实现对公路、水运、市政建设项目参建人员、设备、施工状态的统一监管。重点满足城投平台对人员管理、设备码监管等数据接口的集成。</w:t>
            </w:r>
          </w:p>
        </w:tc>
      </w:tr>
      <w:tr w14:paraId="755B7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C8C1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20</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699C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F1DC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数据管理-第三方数据对接-对接上海申铁投资智慧工地平台</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07CB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对接申铁投资集团建设项目监管平台，实现与铁路建设项目参建单位的人员、考勤、工程状态等信息互通，提高铁路系统项目的监管协同能力。</w:t>
            </w:r>
          </w:p>
        </w:tc>
      </w:tr>
      <w:tr w14:paraId="50D9E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8E04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21</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4BE3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94BA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数据管理-第三方数据对接-对接上海申通建设智慧工地平台</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CB99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服务于城市轨道交通建设需求，完成与轨交建设平台的标准化数据对接，主要聚焦设备识别、人员在岗情况和关键工程变更过程。</w:t>
            </w:r>
          </w:p>
        </w:tc>
      </w:tr>
      <w:tr w14:paraId="0C730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5F54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22</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BFE9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6BA3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数据管理-第三方数据对接-对接上海浦东城管执法局无人机平台</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89CD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与上海浦东城管执法局无人机平台的数据对接，通过对接获取辖区内相关工地的无人机视频录像数据。系统可按需调取无人机飞行记录中拍摄的工地高空视频影像，支持历史回看。该功能有助于弥补固定摄像头覆盖盲区，提升空地一体的立体化监管能力。</w:t>
            </w:r>
          </w:p>
        </w:tc>
      </w:tr>
      <w:tr w14:paraId="1E435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7785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23</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185C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D48D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数据管理-第三方数据对接-对接大数据中心随申办系统平台</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F84F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本模块实现与上海市大数据中心“随申办”系统平台的深度对接，基于“一物一码”服务，为工地访客管理系统提供高效的码管理功能，保障访客身份识别的安全性与便捷性。</w:t>
            </w:r>
          </w:p>
        </w:tc>
      </w:tr>
      <w:tr w14:paraId="408A7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25FC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24</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E6EF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F111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数据管理-第三方数据对接-对接上海市交通指挥中心数据融合平台</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6AB8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响应交通委监管要求，将项目建设全周期数据（人员、设备、事件等）上传至融合平台，为行业级监管和分析提供实时支撑。</w:t>
            </w:r>
          </w:p>
        </w:tc>
      </w:tr>
      <w:tr w14:paraId="63D2D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AEF7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25</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5EF5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87D9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数据管理-用户权限开发-用户角色权限联动授权</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99C6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旨在建立统一、自动化的账号授权机制，实现从项目接入到人员上线的全流程联动配置，提升平台用户管理的智能化与规范化水平。</w:t>
            </w:r>
          </w:p>
        </w:tc>
      </w:tr>
      <w:tr w14:paraId="60E4A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CE37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26</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9DF4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8236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感知资源管理-工地要素配置管理-工地要素配置</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9944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是数字工地建设中实现“场景-设备-要素”三层联动配置的核心支撑功能。通过对不同工地场景的技术要素进行精细覆盖管理与配置，提升视频资源与业务需求的匹配度，为监管数据的完整性与事件识别精度提供保障。</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实现对每个工地“技术场景—应覆盖要素—设备配置”的可视化、结构化管理，便于监管人员掌握覆盖率、缺失要素及需新增的设备数量。</w:t>
            </w:r>
          </w:p>
        </w:tc>
      </w:tr>
      <w:tr w14:paraId="2695D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1184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27</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4D47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7CF2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感知资源管理-工地要素配置管理-场景与要素关联配置</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9E14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实现“技术场景—应覆盖要素”的静态定义与关联，为“覆盖管理”模块提供配置基础和对照标准。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核心功能：</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场景要素定义：为每个技术场景预设应覆盖的监管要素（如围挡场景包含“围挡缺失、周界入侵”等）；</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标签绑定管理：将设备摄像头标签与场景监管要素进行一一绑定，用于计算设备是否满足监管要求；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设备与场景联动校验：系统可根据摄像头标签反向推导其已覆盖要素，并在“覆盖管理”中实时反馈场景覆盖状态</w:t>
            </w:r>
            <w:r>
              <w:rPr>
                <w:rFonts w:hint="eastAsia" w:cs="宋体"/>
                <w:i w:val="0"/>
                <w:iCs w:val="0"/>
                <w:color w:val="auto"/>
                <w:kern w:val="0"/>
                <w:sz w:val="20"/>
                <w:szCs w:val="20"/>
                <w:u w:val="none"/>
                <w:lang w:val="en-US" w:eastAsia="zh-CN" w:bidi="ar"/>
              </w:rPr>
              <w:t>。</w:t>
            </w:r>
          </w:p>
        </w:tc>
      </w:tr>
      <w:tr w14:paraId="30385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7D41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28</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4DD6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B2A8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感知资源管理-工地空间范围标绘管理</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A736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系统提供地图标绘功能，该功能通过地图标绘的方式，将工地的实际布局、设备分布等一一呈现。标绘完成情况作为后续设备接入、施工状态上图的前置条件，确保数据定位准确、监管图层完整。</w:t>
            </w:r>
          </w:p>
        </w:tc>
      </w:tr>
      <w:tr w14:paraId="15917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901A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29</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F328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D57D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感知资源管理-要素监管任务配置管理-要素监管任务配置管理</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89D3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cs="宋体"/>
                <w:i w:val="0"/>
                <w:iCs w:val="0"/>
                <w:color w:val="auto"/>
                <w:kern w:val="0"/>
                <w:sz w:val="20"/>
                <w:szCs w:val="20"/>
                <w:u w:val="none"/>
                <w:lang w:val="en-US" w:eastAsia="zh-CN" w:bidi="ar"/>
              </w:rPr>
              <w:t>支持</w:t>
            </w:r>
            <w:r>
              <w:rPr>
                <w:rFonts w:hint="eastAsia" w:ascii="宋体" w:hAnsi="宋体" w:eastAsia="宋体" w:cs="宋体"/>
                <w:i w:val="0"/>
                <w:iCs w:val="0"/>
                <w:color w:val="auto"/>
                <w:kern w:val="0"/>
                <w:sz w:val="20"/>
                <w:szCs w:val="20"/>
                <w:u w:val="none"/>
                <w:lang w:val="en-US" w:eastAsia="zh-CN" w:bidi="ar"/>
              </w:rPr>
              <w:t>用户按需创建事件识别与分析的算法任务，满足多场景、多类型的智能监管需求。平台提供算法任务的统一视图管理界面，以表格形式展示所有已部署的算法任务，支持信息一览与操作快速入口</w:t>
            </w:r>
            <w:r>
              <w:rPr>
                <w:rFonts w:hint="eastAsia" w:cs="宋体"/>
                <w:i w:val="0"/>
                <w:iCs w:val="0"/>
                <w:color w:val="auto"/>
                <w:kern w:val="0"/>
                <w:sz w:val="20"/>
                <w:szCs w:val="20"/>
                <w:u w:val="none"/>
                <w:lang w:val="en-US" w:eastAsia="zh-CN" w:bidi="ar"/>
              </w:rPr>
              <w:t>。</w:t>
            </w:r>
          </w:p>
        </w:tc>
      </w:tr>
      <w:tr w14:paraId="37FD8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68C7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30</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EE6C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3A99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感知资源管理-要素监管算法资源管理-驾乘人员未戴安全帽</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33FD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算法识别到人员在车辆周边徘徊，且未佩戴安全帽，算法触发预警。</w:t>
            </w:r>
          </w:p>
        </w:tc>
      </w:tr>
      <w:tr w14:paraId="7A5A9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E55F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31</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577B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F523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感知资源管理-要素监管算法资源管理-人员携带大型物资出入工地识别</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BF30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在人员非法进出的基础算法上，新增识别小推车、人员携带大型材料、人员携带大型设备出入大门场景，当识别到以上种情况时，不触发人员非法进出的告警。</w:t>
            </w:r>
          </w:p>
        </w:tc>
      </w:tr>
      <w:tr w14:paraId="36DA4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959B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32</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DEFD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0A61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感知资源管理-要素监管算法资源管理-救生衣未穿戴</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8976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识别到施工人员在水域附近作业，未穿戴救生衣时，产生算法预警。</w:t>
            </w:r>
          </w:p>
        </w:tc>
      </w:tr>
      <w:tr w14:paraId="582DB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36F2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33</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A713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38AB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感知资源管理-要素监管算法资源管理-驾驶电瓶车进入作业区</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7FF7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检测工地中出现人员驾驶电瓶车时，产生算法预警。</w:t>
            </w:r>
          </w:p>
        </w:tc>
      </w:tr>
      <w:tr w14:paraId="17608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195D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34</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6927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8417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感知资源管理-要素监管算法资源管理-工程车辆识别</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A38B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系统需能够识别出进入施工区域的各类工程车辆（如渣土车、混凝土搅拌车、挖掘机、装载车、起重运输车辆等）</w:t>
            </w:r>
            <w:r>
              <w:rPr>
                <w:rFonts w:hint="eastAsia" w:cs="宋体"/>
                <w:i w:val="0"/>
                <w:iCs w:val="0"/>
                <w:color w:val="auto"/>
                <w:kern w:val="0"/>
                <w:sz w:val="20"/>
                <w:szCs w:val="20"/>
                <w:u w:val="none"/>
                <w:lang w:val="en-US" w:eastAsia="zh-CN" w:bidi="ar"/>
              </w:rPr>
              <w:t>。</w:t>
            </w:r>
          </w:p>
        </w:tc>
      </w:tr>
      <w:tr w14:paraId="07E05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81E4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35</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BA19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AC02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感知资源管理-要素监管算法资源管理-临边防护精准识别</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44F7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对临边防护缺失场景增加作业车辆判断，实现精准告警（整个屏幕车辆）。</w:t>
            </w:r>
          </w:p>
        </w:tc>
      </w:tr>
      <w:tr w14:paraId="288C4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E32A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36</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3335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C43B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感知资源管理-要素监管算法资源管理-烟火检测</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9758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识别到场地内出现烟火情况，触发预警。</w:t>
            </w:r>
          </w:p>
        </w:tc>
      </w:tr>
      <w:tr w14:paraId="1D004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9FD4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37</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5E6B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D148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感知资源管理-要素监管算法资源管理-积水检测</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F9E5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识别到场地内出现积水情况，触发预警。</w:t>
            </w:r>
          </w:p>
        </w:tc>
      </w:tr>
      <w:tr w14:paraId="2B56C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070C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38</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FA3D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B6EB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感知资源管理-要素监管算法资源管理-盾构管片及预制构件堆叠过高识别</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1E61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当识别到盾构作业场景，超过4片管片堆叠时，触发算法告警。</w:t>
            </w:r>
          </w:p>
        </w:tc>
      </w:tr>
      <w:tr w14:paraId="6D5DA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49EB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39</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BCC0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69FB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感知资源管理-要素监管算法资源管理-脚手架上物件悬挑识别</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3B58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工地范围内，当脚手架上物件发生悬挑时，触发算法告警。</w:t>
            </w:r>
          </w:p>
        </w:tc>
      </w:tr>
      <w:tr w14:paraId="64967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44FB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40</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AEE3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CF8A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感知资源管理-要素监管算法资源管理-特殊车辆识别</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2069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能准确区分警车、消防车、救护车三类特殊车辆，识别到特殊车辆时触发预警</w:t>
            </w:r>
            <w:r>
              <w:rPr>
                <w:rFonts w:hint="eastAsia" w:cs="宋体"/>
                <w:i w:val="0"/>
                <w:iCs w:val="0"/>
                <w:color w:val="auto"/>
                <w:kern w:val="0"/>
                <w:sz w:val="20"/>
                <w:szCs w:val="20"/>
                <w:u w:val="none"/>
                <w:lang w:val="en-US" w:eastAsia="zh-CN" w:bidi="ar"/>
              </w:rPr>
              <w:t>。</w:t>
            </w:r>
          </w:p>
        </w:tc>
      </w:tr>
      <w:tr w14:paraId="7BE11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AE5B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41</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0AB5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43E3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感知资源管理-要素监管算法资源管理-摄像头画面质量异常</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6DF0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连续一周施工时间内，每天画面识别人员少于10人次，触发预警；摄像头画面质量异常超过1小时，触发预警。</w:t>
            </w:r>
          </w:p>
        </w:tc>
      </w:tr>
      <w:tr w14:paraId="31ACB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0E15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42</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DEC3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4E5A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感知资源管理-要素监管摄像头资源管理-要素监管摄像头资源管理</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A54E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支持新增各类视频设备时配置其基本属性，确保设备在接入平台时即具备完整信息。可同步绑定视频算法模型或纳入事件识别联动设置。</w:t>
            </w:r>
          </w:p>
        </w:tc>
      </w:tr>
      <w:tr w14:paraId="20167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89D4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43</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08FD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32DC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应用和APP-工地交互式监管-工地数字化方案管理</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C40C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通过建立项目数字化接入的全流程管理机制，打通项目信息、现场设施、进度节点与数据归集环节，实现监管数据的可视化、结构化与闭环管理</w:t>
            </w:r>
            <w:r>
              <w:rPr>
                <w:rFonts w:hint="eastAsia" w:cs="宋体"/>
                <w:i w:val="0"/>
                <w:iCs w:val="0"/>
                <w:color w:val="auto"/>
                <w:kern w:val="0"/>
                <w:sz w:val="20"/>
                <w:szCs w:val="20"/>
                <w:u w:val="none"/>
                <w:lang w:val="en-US" w:eastAsia="zh-CN" w:bidi="ar"/>
              </w:rPr>
              <w:t>。</w:t>
            </w:r>
          </w:p>
        </w:tc>
      </w:tr>
      <w:tr w14:paraId="550FA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CBD5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44</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C64F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217D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应用和APP-工地交互式监管-数字化工地开户管理</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61BC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对新建项目实施开户备案、流程配置、责任单位绑定与基础信息录入。支持多维度登记（项目单位、项目类型、施工周期等）并生成唯一数字化监管编码，确保所有项目接入平台具备统一标准和可监管入口</w:t>
            </w:r>
            <w:r>
              <w:rPr>
                <w:rFonts w:hint="eastAsia" w:cs="宋体"/>
                <w:i w:val="0"/>
                <w:iCs w:val="0"/>
                <w:color w:val="auto"/>
                <w:kern w:val="0"/>
                <w:sz w:val="20"/>
                <w:szCs w:val="20"/>
                <w:u w:val="none"/>
                <w:lang w:val="en-US" w:eastAsia="zh-CN" w:bidi="ar"/>
              </w:rPr>
              <w:t>。</w:t>
            </w:r>
          </w:p>
        </w:tc>
      </w:tr>
      <w:tr w14:paraId="7460D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DD69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45</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62E0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16F3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应用和APP-工地交互式监管-工地标绘进度管理</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C9A8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主要用于对各接入工地是否已完成标绘进行状态标注与进度确认。支持建设单位或监管方按照平台要求，填报工地标绘完成情况，并在后台进行统一登记、分类统计和进度跟踪。</w:t>
            </w:r>
          </w:p>
        </w:tc>
      </w:tr>
      <w:tr w14:paraId="33AFA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BFEC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46</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418F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F10C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应用和APP-工地交互式监管-终端设备动态管理</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D569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实现对闸机、视频、扬尘监测现场终端设备的接入</w:t>
            </w:r>
            <w:r>
              <w:rPr>
                <w:rFonts w:hint="eastAsia"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状态、部署位置、运行情况的统一管理。支持设备在线监测、运行异常告警、动态统计分析，打破“设备接了但不管”“图像看不到”“数据没用上”的痛点，强化数字监管覆盖面。</w:t>
            </w:r>
          </w:p>
        </w:tc>
      </w:tr>
      <w:tr w14:paraId="31149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6945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47</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CDD8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4E28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应用和APP-工地交互式监管-人员动态管理</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FFCD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基于工地人员列表化统计与展示功能。通过统一数据归集和分类呈现，协助监管方快速掌握各工地人员基本情况，支撑风险排查与现场管理。</w:t>
            </w:r>
          </w:p>
        </w:tc>
      </w:tr>
      <w:tr w14:paraId="0105E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6ABC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48</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27AE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AA1D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应用和APP-工地履职精准化监管-工程管理人员请销假监管</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D0FB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聚焦项目经理、项目总监理工程师等关键岗位人员，建设请销假流程电子化系统，规范申请、审批与销假流程。系统可与人员在岗状态联动，自动识别缺岗、违规上岗等风险行为，实现动态监管与实时预警，提升关键人员履职监管效能。</w:t>
            </w:r>
          </w:p>
        </w:tc>
      </w:tr>
      <w:tr w14:paraId="25AAB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7131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49</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2022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5C89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应用和APP-工地履职精准化监管-异常履职开单管理</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CA62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支持对每月考勤情况进行统一开单申报，明确进场人数、关键岗位在岗情况、班组分布等内容。平台可对开单数据与实际打卡记录进行比对核查，识别“虚报”、“少报”、“在场未打卡”等异常情况，提升考勤数据真实性。</w:t>
            </w:r>
          </w:p>
        </w:tc>
      </w:tr>
      <w:tr w14:paraId="46A0A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AF7A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50</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C070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92A1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应用和APP-工地履职精准化监管-消息点名管理</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3F34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建设消息驱动的现场点名机制，可通过短信、APP推送等方式，按关键岗位或特定班组发起临时点名。人员需在规定时限内完成定位打卡或身份确认，系统自动记录响应情况并生成考勤快照，用于突发事件响应、履职监督或应急值守抽查。</w:t>
            </w:r>
          </w:p>
        </w:tc>
      </w:tr>
      <w:tr w14:paraId="01ADE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C085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51</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60E0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B791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应用和APP-工地履职精准化监管-关键岗位人员在岗情况专项监管</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368E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一旦发现出勤不足、异常缺勤或长期未出勤等情形，平台将自动生成专项监管记录，明确标识出不达标的人员或单位，并推送至相关管理责任方进行预警提示与整改督办。</w:t>
            </w:r>
          </w:p>
        </w:tc>
      </w:tr>
      <w:tr w14:paraId="3A480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9B3D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52</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2566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EC87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应用和APP-业务协同电子化管理-工地建设状态申报管理</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4039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工地建设状态申报管理模块，统一工地建设状态申报标准，实现施工各阶段信息的电子化填报、自动化流转与动态跟踪，为监管部门提供及时、准确、结构化的现场建设信息支撑。</w:t>
            </w:r>
          </w:p>
        </w:tc>
      </w:tr>
      <w:tr w14:paraId="19C3B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42D3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53</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1A51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0AD5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应用和APP-业务协同电子化管理-人员动态登记管理</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F68F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实现施工现场人员信息的统一登记、标签化管理与动态监测，并结合人员权限、岗位职责等要素进行精细化管控，为安全生产管理与应急处置提供可靠支撑。</w:t>
            </w:r>
          </w:p>
        </w:tc>
      </w:tr>
      <w:tr w14:paraId="7DBFE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0AE9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54</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D95A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316A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应用和APP-业务协同电子化管理-交通工程大型设备监管-设备备案与台账管理</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52EB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当前各建设集团普遍建立了独立的设备管理平台，但由于数据规范不统一、管理标准存在差异，导致设备信息分散、重复、难以比对，影响监管效率与覆盖面。本功能模块聚焦设备全生命周期管理，通过平台对接与数据整合，全面提升交通工程大型设备的监管水平。</w:t>
            </w:r>
          </w:p>
        </w:tc>
      </w:tr>
      <w:tr w14:paraId="6CA9D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30A4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55</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A800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9629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应用和APP-业务协同电子化管理-访客预约管理-访客预约自动关联管理</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310B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根据随申办平台提供的实名制基本信息，自动补充人员脱敏信息，减少人工录入工作量，也确保数据真实有效。</w:t>
            </w:r>
          </w:p>
        </w:tc>
      </w:tr>
      <w:tr w14:paraId="7D814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A7AD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56</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8EDD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DD2C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应用和APP-业务协同电子化管理-访客预约管理-访客信息与审批管理</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7BF1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访客根据情况，手动录入进入工地人数和单位信息，填写后提交。</w:t>
            </w:r>
          </w:p>
        </w:tc>
      </w:tr>
      <w:tr w14:paraId="47924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B67E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57</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1FB4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C589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应用和APP-监管APP（IOS+安卓）-施工现场动态申报管理</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8478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支持施工单位通过APP端实时申报工地生命周期状态等动态信息，监管人员可在移动端进行在线审核、退回与批注处理，提升审批效率，减少线下沟通成本，强化动态施工监管闭环管理。</w:t>
            </w:r>
          </w:p>
        </w:tc>
      </w:tr>
      <w:tr w14:paraId="3321D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7E81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58</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E551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F12E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应用和APP-监管APP（IOS+安卓）-业务支撑管理</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8C18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集成国家及地方建设规范、监管指南及平台操作标准等文档资源，提供在线查询、收藏等功能，便于监管人员在现场快速查阅相关规范依据，提升执法与巡查的专业性与准确性。</w:t>
            </w:r>
          </w:p>
        </w:tc>
      </w:tr>
      <w:tr w14:paraId="4F2E9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D673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59</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48EF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上海市交通建设工程安全质量监管应用子系统</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D0E6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kern w:val="0"/>
                <w:sz w:val="20"/>
                <w:szCs w:val="20"/>
                <w:u w:val="none"/>
                <w:lang w:bidi="ar"/>
              </w:rPr>
            </w:pPr>
            <w:r>
              <w:rPr>
                <w:rFonts w:hint="eastAsia" w:ascii="宋体" w:hAnsi="宋体" w:eastAsia="宋体" w:cs="宋体"/>
                <w:i w:val="0"/>
                <w:iCs w:val="0"/>
                <w:color w:val="auto"/>
                <w:kern w:val="0"/>
                <w:sz w:val="20"/>
                <w:szCs w:val="20"/>
                <w:u w:val="none"/>
                <w:lang w:val="en-US" w:eastAsia="zh-CN" w:bidi="ar"/>
              </w:rPr>
              <w:t>应用和APP-监管APP（IOS+安卓）-移动端视频广场</w:t>
            </w:r>
          </w:p>
        </w:tc>
        <w:tc>
          <w:tcPr>
            <w:tcW w:w="4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0B69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集成接入工地前端监控画面，提供分类筛选、热点聚焦、重点工地快速访问等功能。支持移动端快速调看重点部位、关键时段的实时与历史视频，便于远程巡查与事件回溯分析，提高视频监管灵活性。</w:t>
            </w:r>
          </w:p>
        </w:tc>
      </w:tr>
    </w:tbl>
    <w:p w14:paraId="48A03404">
      <w:pPr>
        <w:numPr>
          <w:ilvl w:val="-1"/>
          <w:numId w:val="0"/>
        </w:numPr>
        <w:snapToGrid/>
        <w:spacing w:line="240" w:lineRule="auto"/>
        <w:ind w:firstLine="0" w:firstLineChars="0"/>
        <w:rPr>
          <w:rFonts w:hint="eastAsia"/>
          <w:color w:val="auto"/>
          <w:lang w:val="en-US" w:eastAsia="zh-CN"/>
        </w:rPr>
      </w:pPr>
    </w:p>
    <w:p w14:paraId="1726DF29">
      <w:pPr>
        <w:numPr>
          <w:ilvl w:val="-1"/>
          <w:numId w:val="0"/>
        </w:numPr>
        <w:ind w:firstLine="0" w:firstLineChars="0"/>
        <w:rPr>
          <w:rFonts w:hint="eastAsia"/>
          <w:b/>
          <w:color w:val="auto"/>
        </w:rPr>
      </w:pPr>
      <w:r>
        <w:rPr>
          <w:rFonts w:hint="eastAsia"/>
          <w:b/>
          <w:color w:val="auto"/>
          <w:lang w:val="en-US" w:eastAsia="zh-CN"/>
        </w:rPr>
        <w:t>2、</w:t>
      </w:r>
      <w:r>
        <w:rPr>
          <w:rFonts w:hint="eastAsia"/>
          <w:b/>
          <w:color w:val="auto"/>
        </w:rPr>
        <w:t>硬件购置清单：</w:t>
      </w:r>
    </w:p>
    <w:p w14:paraId="7FEBDDBD">
      <w:pPr>
        <w:numPr>
          <w:ilvl w:val="0"/>
          <w:numId w:val="0"/>
        </w:numPr>
        <w:bidi w:val="0"/>
        <w:ind w:firstLine="420" w:firstLineChars="0"/>
        <w:rPr>
          <w:rFonts w:hint="eastAsia"/>
          <w:color w:val="auto"/>
        </w:rPr>
      </w:pPr>
      <w:r>
        <w:rPr>
          <w:rFonts w:hint="eastAsia"/>
          <w:color w:val="auto"/>
          <w:lang w:val="en-US" w:eastAsia="zh-CN"/>
        </w:rPr>
        <w:t>无新增硬件。</w:t>
      </w:r>
    </w:p>
    <w:p w14:paraId="27F95842">
      <w:pPr>
        <w:numPr>
          <w:ilvl w:val="-1"/>
          <w:numId w:val="0"/>
        </w:numPr>
        <w:ind w:firstLine="0" w:firstLineChars="0"/>
        <w:rPr>
          <w:rFonts w:hint="eastAsia"/>
          <w:b/>
          <w:color w:val="auto"/>
        </w:rPr>
      </w:pPr>
      <w:r>
        <w:rPr>
          <w:rFonts w:hint="eastAsia"/>
          <w:b/>
          <w:color w:val="auto"/>
          <w:lang w:val="en-US" w:eastAsia="zh-CN"/>
        </w:rPr>
        <w:t>3、</w:t>
      </w:r>
      <w:r>
        <w:rPr>
          <w:rFonts w:hint="eastAsia"/>
          <w:b/>
          <w:color w:val="auto"/>
        </w:rPr>
        <w:t>产品软件购置清单：</w:t>
      </w:r>
    </w:p>
    <w:p w14:paraId="727883F3">
      <w:pPr>
        <w:bidi w:val="0"/>
        <w:ind w:left="0"/>
        <w:rPr>
          <w:rFonts w:hint="default" w:eastAsia="宋体"/>
          <w:b/>
          <w:color w:val="auto"/>
          <w:lang w:val="en-US" w:eastAsia="zh-CN"/>
        </w:rPr>
      </w:pPr>
      <w:r>
        <w:rPr>
          <w:rFonts w:hint="eastAsia"/>
          <w:color w:val="auto"/>
          <w:lang w:val="en-US" w:eastAsia="zh-CN"/>
        </w:rPr>
        <w:t>无新增产品软件。</w:t>
      </w:r>
    </w:p>
    <w:p w14:paraId="7D811C53">
      <w:pPr>
        <w:numPr>
          <w:ilvl w:val="0"/>
          <w:numId w:val="0"/>
        </w:numPr>
        <w:ind w:firstLine="0" w:firstLineChars="0"/>
        <w:rPr>
          <w:b/>
          <w:color w:val="auto"/>
        </w:rPr>
      </w:pPr>
      <w:r>
        <w:rPr>
          <w:rFonts w:hint="eastAsia"/>
          <w:b/>
          <w:color w:val="auto"/>
          <w:lang w:val="en-US" w:eastAsia="zh-CN"/>
        </w:rPr>
        <w:t>4、</w:t>
      </w:r>
      <w:r>
        <w:rPr>
          <w:rFonts w:hint="eastAsia"/>
          <w:b/>
          <w:color w:val="auto"/>
        </w:rPr>
        <w:t>安全产品购置清单：</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31"/>
        <w:gridCol w:w="2156"/>
        <w:gridCol w:w="1910"/>
        <w:gridCol w:w="2255"/>
        <w:gridCol w:w="732"/>
        <w:gridCol w:w="740"/>
      </w:tblGrid>
      <w:tr w14:paraId="2F183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731" w:type="dxa"/>
            <w:shd w:val="clear" w:color="auto" w:fill="auto"/>
            <w:noWrap/>
            <w:tcMar>
              <w:top w:w="15" w:type="dxa"/>
              <w:left w:w="15" w:type="dxa"/>
              <w:right w:w="15" w:type="dxa"/>
            </w:tcMar>
            <w:vAlign w:val="center"/>
          </w:tcPr>
          <w:p w14:paraId="58A8B0CE">
            <w:pPr>
              <w:keepNext w:val="0"/>
              <w:keepLines w:val="0"/>
              <w:pageBreakBefore w:val="0"/>
              <w:widowControl/>
              <w:kinsoku/>
              <w:wordWrap/>
              <w:overflowPunct/>
              <w:topLinePunct w:val="0"/>
              <w:autoSpaceDE/>
              <w:autoSpaceDN/>
              <w:bidi w:val="0"/>
              <w:adjustRightInd/>
              <w:snapToGrid/>
              <w:spacing w:line="240" w:lineRule="auto"/>
              <w:ind w:left="440" w:hanging="440" w:hangingChars="200"/>
              <w:jc w:val="center"/>
              <w:textAlignment w:val="center"/>
              <w:rPr>
                <w:rFonts w:cs="宋体"/>
                <w:b/>
                <w:bCs/>
                <w:color w:val="auto"/>
                <w:sz w:val="22"/>
                <w:szCs w:val="22"/>
              </w:rPr>
            </w:pPr>
            <w:r>
              <w:rPr>
                <w:rFonts w:hint="eastAsia" w:cs="宋体"/>
                <w:b/>
                <w:bCs/>
                <w:color w:val="auto"/>
                <w:kern w:val="0"/>
                <w:sz w:val="22"/>
                <w:szCs w:val="22"/>
              </w:rPr>
              <w:t>序号</w:t>
            </w:r>
          </w:p>
        </w:tc>
        <w:tc>
          <w:tcPr>
            <w:tcW w:w="2156" w:type="dxa"/>
            <w:shd w:val="clear" w:color="auto" w:fill="auto"/>
            <w:noWrap/>
            <w:tcMar>
              <w:top w:w="15" w:type="dxa"/>
              <w:left w:w="15" w:type="dxa"/>
              <w:right w:w="15" w:type="dxa"/>
            </w:tcMar>
            <w:vAlign w:val="center"/>
          </w:tcPr>
          <w:p w14:paraId="3C4BB5A4">
            <w:pPr>
              <w:keepNext w:val="0"/>
              <w:keepLines w:val="0"/>
              <w:pageBreakBefore w:val="0"/>
              <w:widowControl/>
              <w:kinsoku/>
              <w:wordWrap/>
              <w:overflowPunct/>
              <w:topLinePunct w:val="0"/>
              <w:autoSpaceDE/>
              <w:autoSpaceDN/>
              <w:bidi w:val="0"/>
              <w:adjustRightInd/>
              <w:snapToGrid/>
              <w:spacing w:line="240" w:lineRule="auto"/>
              <w:ind w:left="440" w:hanging="440" w:hangingChars="200"/>
              <w:jc w:val="center"/>
              <w:textAlignment w:val="center"/>
              <w:rPr>
                <w:rFonts w:cs="宋体"/>
                <w:b/>
                <w:bCs/>
                <w:color w:val="auto"/>
                <w:sz w:val="22"/>
                <w:szCs w:val="22"/>
              </w:rPr>
            </w:pPr>
            <w:r>
              <w:rPr>
                <w:rFonts w:hint="eastAsia" w:cs="宋体"/>
                <w:b/>
                <w:bCs/>
                <w:color w:val="auto"/>
                <w:kern w:val="0"/>
                <w:sz w:val="22"/>
                <w:szCs w:val="22"/>
              </w:rPr>
              <w:t>名称</w:t>
            </w:r>
          </w:p>
        </w:tc>
        <w:tc>
          <w:tcPr>
            <w:tcW w:w="1910" w:type="dxa"/>
            <w:shd w:val="clear" w:color="auto" w:fill="auto"/>
            <w:noWrap/>
            <w:tcMar>
              <w:top w:w="15" w:type="dxa"/>
              <w:left w:w="15" w:type="dxa"/>
              <w:right w:w="15" w:type="dxa"/>
            </w:tcMar>
            <w:vAlign w:val="center"/>
          </w:tcPr>
          <w:p w14:paraId="1EF7EAFC">
            <w:pPr>
              <w:keepNext w:val="0"/>
              <w:keepLines w:val="0"/>
              <w:pageBreakBefore w:val="0"/>
              <w:widowControl/>
              <w:kinsoku/>
              <w:wordWrap/>
              <w:overflowPunct/>
              <w:topLinePunct w:val="0"/>
              <w:autoSpaceDE/>
              <w:autoSpaceDN/>
              <w:bidi w:val="0"/>
              <w:adjustRightInd/>
              <w:snapToGrid/>
              <w:spacing w:line="240" w:lineRule="auto"/>
              <w:ind w:left="440" w:hanging="440" w:hangingChars="200"/>
              <w:jc w:val="center"/>
              <w:textAlignment w:val="center"/>
              <w:rPr>
                <w:rFonts w:cs="宋体"/>
                <w:b/>
                <w:bCs/>
                <w:color w:val="auto"/>
                <w:sz w:val="22"/>
                <w:szCs w:val="22"/>
              </w:rPr>
            </w:pPr>
            <w:r>
              <w:rPr>
                <w:rFonts w:hint="eastAsia" w:cs="宋体"/>
                <w:b/>
                <w:bCs/>
                <w:color w:val="auto"/>
                <w:kern w:val="0"/>
                <w:sz w:val="22"/>
                <w:szCs w:val="22"/>
              </w:rPr>
              <w:t>类别</w:t>
            </w:r>
          </w:p>
        </w:tc>
        <w:tc>
          <w:tcPr>
            <w:tcW w:w="2255" w:type="dxa"/>
            <w:shd w:val="clear" w:color="auto" w:fill="auto"/>
            <w:noWrap/>
            <w:tcMar>
              <w:top w:w="15" w:type="dxa"/>
              <w:left w:w="15" w:type="dxa"/>
              <w:right w:w="15" w:type="dxa"/>
            </w:tcMar>
            <w:vAlign w:val="center"/>
          </w:tcPr>
          <w:p w14:paraId="57A46C78">
            <w:pPr>
              <w:keepNext w:val="0"/>
              <w:keepLines w:val="0"/>
              <w:pageBreakBefore w:val="0"/>
              <w:widowControl/>
              <w:kinsoku/>
              <w:wordWrap/>
              <w:overflowPunct/>
              <w:topLinePunct w:val="0"/>
              <w:autoSpaceDE/>
              <w:autoSpaceDN/>
              <w:bidi w:val="0"/>
              <w:adjustRightInd/>
              <w:snapToGrid/>
              <w:spacing w:line="240" w:lineRule="auto"/>
              <w:ind w:left="440" w:hanging="440" w:hangingChars="200"/>
              <w:jc w:val="center"/>
              <w:textAlignment w:val="center"/>
              <w:rPr>
                <w:rFonts w:cs="宋体"/>
                <w:b/>
                <w:bCs/>
                <w:color w:val="auto"/>
                <w:sz w:val="22"/>
                <w:szCs w:val="22"/>
              </w:rPr>
            </w:pPr>
            <w:r>
              <w:rPr>
                <w:rFonts w:hint="eastAsia" w:cs="宋体"/>
                <w:b/>
                <w:bCs/>
                <w:color w:val="auto"/>
                <w:kern w:val="0"/>
                <w:sz w:val="22"/>
                <w:szCs w:val="22"/>
              </w:rPr>
              <w:t>功能说明/配置要求</w:t>
            </w:r>
          </w:p>
        </w:tc>
        <w:tc>
          <w:tcPr>
            <w:tcW w:w="732" w:type="dxa"/>
            <w:shd w:val="clear" w:color="auto" w:fill="auto"/>
            <w:noWrap/>
            <w:tcMar>
              <w:top w:w="15" w:type="dxa"/>
              <w:left w:w="15" w:type="dxa"/>
              <w:right w:w="15" w:type="dxa"/>
            </w:tcMar>
            <w:vAlign w:val="center"/>
          </w:tcPr>
          <w:p w14:paraId="0B0561A0">
            <w:pPr>
              <w:keepNext w:val="0"/>
              <w:keepLines w:val="0"/>
              <w:pageBreakBefore w:val="0"/>
              <w:widowControl/>
              <w:kinsoku/>
              <w:wordWrap/>
              <w:overflowPunct/>
              <w:topLinePunct w:val="0"/>
              <w:autoSpaceDE/>
              <w:autoSpaceDN/>
              <w:bidi w:val="0"/>
              <w:adjustRightInd/>
              <w:snapToGrid/>
              <w:spacing w:line="240" w:lineRule="auto"/>
              <w:ind w:left="440" w:hanging="440" w:hangingChars="200"/>
              <w:jc w:val="center"/>
              <w:textAlignment w:val="center"/>
              <w:rPr>
                <w:rFonts w:cs="宋体"/>
                <w:b/>
                <w:bCs/>
                <w:color w:val="auto"/>
                <w:sz w:val="22"/>
                <w:szCs w:val="22"/>
              </w:rPr>
            </w:pPr>
            <w:r>
              <w:rPr>
                <w:rFonts w:hint="eastAsia" w:cs="宋体"/>
                <w:b/>
                <w:bCs/>
                <w:color w:val="auto"/>
                <w:kern w:val="0"/>
                <w:sz w:val="22"/>
                <w:szCs w:val="22"/>
              </w:rPr>
              <w:t>数量</w:t>
            </w:r>
          </w:p>
        </w:tc>
        <w:tc>
          <w:tcPr>
            <w:tcW w:w="740" w:type="dxa"/>
            <w:vAlign w:val="center"/>
          </w:tcPr>
          <w:p w14:paraId="45A45AC4">
            <w:pPr>
              <w:keepNext w:val="0"/>
              <w:keepLines w:val="0"/>
              <w:pageBreakBefore w:val="0"/>
              <w:widowControl/>
              <w:kinsoku/>
              <w:wordWrap/>
              <w:overflowPunct/>
              <w:topLinePunct w:val="0"/>
              <w:autoSpaceDE/>
              <w:autoSpaceDN/>
              <w:bidi w:val="0"/>
              <w:adjustRightInd/>
              <w:snapToGrid/>
              <w:spacing w:line="240" w:lineRule="auto"/>
              <w:ind w:left="440" w:hanging="440" w:hangingChars="200"/>
              <w:jc w:val="center"/>
              <w:textAlignment w:val="center"/>
              <w:rPr>
                <w:rFonts w:cs="宋体"/>
                <w:b/>
                <w:bCs/>
                <w:color w:val="auto"/>
                <w:kern w:val="0"/>
                <w:sz w:val="22"/>
                <w:szCs w:val="22"/>
              </w:rPr>
            </w:pPr>
            <w:r>
              <w:rPr>
                <w:rFonts w:hint="eastAsia" w:cs="宋体"/>
                <w:b/>
                <w:bCs/>
                <w:color w:val="auto"/>
                <w:kern w:val="0"/>
                <w:sz w:val="22"/>
                <w:szCs w:val="22"/>
              </w:rPr>
              <w:t>单位</w:t>
            </w:r>
          </w:p>
        </w:tc>
      </w:tr>
      <w:tr w14:paraId="170DC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5" w:hRule="atLeast"/>
          <w:jc w:val="center"/>
        </w:trPr>
        <w:tc>
          <w:tcPr>
            <w:tcW w:w="731" w:type="dxa"/>
            <w:shd w:val="clear" w:color="auto" w:fill="auto"/>
            <w:tcMar>
              <w:top w:w="15" w:type="dxa"/>
              <w:left w:w="15" w:type="dxa"/>
              <w:right w:w="15" w:type="dxa"/>
            </w:tcMar>
            <w:vAlign w:val="center"/>
          </w:tcPr>
          <w:p w14:paraId="126D5585">
            <w:pPr>
              <w:keepNext w:val="0"/>
              <w:keepLines w:val="0"/>
              <w:pageBreakBefore w:val="0"/>
              <w:widowControl/>
              <w:kinsoku/>
              <w:wordWrap/>
              <w:overflowPunct/>
              <w:topLinePunct w:val="0"/>
              <w:autoSpaceDE/>
              <w:autoSpaceDN/>
              <w:bidi w:val="0"/>
              <w:adjustRightInd/>
              <w:snapToGrid/>
              <w:spacing w:line="240" w:lineRule="auto"/>
              <w:ind w:left="440" w:hanging="440" w:hangingChars="200"/>
              <w:jc w:val="center"/>
              <w:textAlignment w:val="center"/>
              <w:rPr>
                <w:rFonts w:hint="eastAsia" w:eastAsia="宋体" w:cs="宋体"/>
                <w:color w:val="auto"/>
                <w:sz w:val="22"/>
                <w:szCs w:val="22"/>
                <w:lang w:val="en-US" w:eastAsia="zh-CN"/>
              </w:rPr>
            </w:pPr>
            <w:r>
              <w:rPr>
                <w:rFonts w:hint="eastAsia" w:cs="宋体"/>
                <w:color w:val="auto"/>
                <w:sz w:val="22"/>
                <w:szCs w:val="22"/>
                <w:lang w:val="en-US" w:eastAsia="zh-CN"/>
              </w:rPr>
              <w:t>1</w:t>
            </w:r>
          </w:p>
        </w:tc>
        <w:tc>
          <w:tcPr>
            <w:tcW w:w="2156" w:type="dxa"/>
            <w:shd w:val="clear" w:color="auto" w:fill="auto"/>
            <w:tcMar>
              <w:top w:w="15" w:type="dxa"/>
              <w:left w:w="15" w:type="dxa"/>
              <w:right w:w="15" w:type="dxa"/>
            </w:tcMar>
            <w:vAlign w:val="center"/>
          </w:tcPr>
          <w:p w14:paraId="7C9585D5">
            <w:pPr>
              <w:keepNext w:val="0"/>
              <w:keepLines w:val="0"/>
              <w:pageBreakBefore w:val="0"/>
              <w:kinsoku/>
              <w:wordWrap/>
              <w:overflowPunct/>
              <w:topLinePunct w:val="0"/>
              <w:autoSpaceDE/>
              <w:autoSpaceDN/>
              <w:bidi w:val="0"/>
              <w:adjustRightInd/>
              <w:snapToGrid/>
              <w:ind w:left="440" w:hanging="480" w:hangingChars="200"/>
              <w:jc w:val="center"/>
              <w:rPr>
                <w:rFonts w:hint="eastAsia" w:ascii="宋体" w:hAnsi="宋体" w:eastAsia="宋体" w:cs="Times New Roman"/>
                <w:color w:val="auto"/>
                <w:kern w:val="2"/>
                <w:sz w:val="24"/>
                <w:szCs w:val="24"/>
                <w:lang w:val="en-US" w:eastAsia="zh-CN" w:bidi="ar-SA"/>
              </w:rPr>
            </w:pPr>
            <w:r>
              <w:rPr>
                <w:color w:val="auto"/>
              </w:rPr>
              <w:t>安全认证网关</w:t>
            </w:r>
            <w:r>
              <w:rPr>
                <w:rFonts w:hint="eastAsia"/>
                <w:color w:val="auto"/>
                <w:lang w:val="en-US" w:eastAsia="zh-CN"/>
              </w:rPr>
              <w:t>服</w:t>
            </w:r>
            <w:r>
              <w:rPr>
                <w:color w:val="auto"/>
              </w:rPr>
              <w:t>务</w:t>
            </w:r>
          </w:p>
        </w:tc>
        <w:tc>
          <w:tcPr>
            <w:tcW w:w="1910" w:type="dxa"/>
            <w:shd w:val="clear" w:color="auto" w:fill="auto"/>
            <w:tcMar>
              <w:top w:w="15" w:type="dxa"/>
              <w:left w:w="15" w:type="dxa"/>
              <w:right w:w="15" w:type="dxa"/>
            </w:tcMar>
            <w:vAlign w:val="center"/>
          </w:tcPr>
          <w:p w14:paraId="6FB0E484">
            <w:pPr>
              <w:keepNext w:val="0"/>
              <w:keepLines w:val="0"/>
              <w:pageBreakBefore w:val="0"/>
              <w:kinsoku/>
              <w:wordWrap/>
              <w:overflowPunct/>
              <w:topLinePunct w:val="0"/>
              <w:autoSpaceDE/>
              <w:autoSpaceDN/>
              <w:bidi w:val="0"/>
              <w:adjustRightInd/>
              <w:snapToGrid/>
              <w:ind w:left="440" w:hanging="480" w:hangingChars="200"/>
              <w:jc w:val="center"/>
              <w:rPr>
                <w:rFonts w:hint="eastAsia" w:eastAsia="宋体"/>
                <w:color w:val="auto"/>
                <w:lang w:val="en-US" w:eastAsia="zh-CN"/>
              </w:rPr>
            </w:pPr>
            <w:r>
              <w:rPr>
                <w:rFonts w:hint="eastAsia"/>
                <w:color w:val="auto"/>
                <w:lang w:val="en-US" w:eastAsia="zh-CN"/>
              </w:rPr>
              <w:t>政务服务服务</w:t>
            </w:r>
          </w:p>
        </w:tc>
        <w:tc>
          <w:tcPr>
            <w:tcW w:w="2255" w:type="dxa"/>
            <w:shd w:val="clear" w:color="auto" w:fill="auto"/>
            <w:tcMar>
              <w:top w:w="15" w:type="dxa"/>
              <w:left w:w="15" w:type="dxa"/>
              <w:right w:w="15" w:type="dxa"/>
            </w:tcMar>
            <w:vAlign w:val="center"/>
          </w:tcPr>
          <w:p w14:paraId="12D6E7D7">
            <w:pPr>
              <w:keepNext w:val="0"/>
              <w:keepLines w:val="0"/>
              <w:pageBreakBefore w:val="0"/>
              <w:kinsoku/>
              <w:wordWrap/>
              <w:overflowPunct/>
              <w:topLinePunct w:val="0"/>
              <w:autoSpaceDE/>
              <w:autoSpaceDN/>
              <w:bidi w:val="0"/>
              <w:adjustRightInd/>
              <w:snapToGrid/>
              <w:spacing w:line="240" w:lineRule="auto"/>
              <w:ind w:left="440" w:hanging="440" w:hangingChars="200"/>
              <w:jc w:val="center"/>
              <w:rPr>
                <w:rFonts w:hint="eastAsia" w:eastAsia="宋体" w:cs="宋体"/>
                <w:color w:val="auto"/>
                <w:sz w:val="22"/>
                <w:szCs w:val="22"/>
                <w:lang w:val="en-US" w:eastAsia="zh-CN"/>
              </w:rPr>
            </w:pPr>
            <w:r>
              <w:rPr>
                <w:rFonts w:hint="eastAsia" w:cs="宋体"/>
                <w:color w:val="auto"/>
                <w:sz w:val="22"/>
                <w:szCs w:val="22"/>
                <w:lang w:val="en-US" w:eastAsia="zh-CN"/>
              </w:rPr>
              <w:t>利旧</w:t>
            </w:r>
          </w:p>
        </w:tc>
        <w:tc>
          <w:tcPr>
            <w:tcW w:w="732" w:type="dxa"/>
            <w:shd w:val="clear" w:color="auto" w:fill="auto"/>
            <w:tcMar>
              <w:top w:w="15" w:type="dxa"/>
              <w:left w:w="15" w:type="dxa"/>
              <w:right w:w="15" w:type="dxa"/>
            </w:tcMar>
            <w:vAlign w:val="center"/>
          </w:tcPr>
          <w:p w14:paraId="3391EC5C">
            <w:pPr>
              <w:keepNext w:val="0"/>
              <w:keepLines w:val="0"/>
              <w:pageBreakBefore w:val="0"/>
              <w:widowControl/>
              <w:kinsoku/>
              <w:wordWrap/>
              <w:overflowPunct/>
              <w:topLinePunct w:val="0"/>
              <w:autoSpaceDE/>
              <w:autoSpaceDN/>
              <w:bidi w:val="0"/>
              <w:adjustRightInd/>
              <w:snapToGrid/>
              <w:spacing w:line="240" w:lineRule="auto"/>
              <w:ind w:left="440" w:hanging="440" w:hangingChars="200"/>
              <w:jc w:val="center"/>
              <w:textAlignment w:val="center"/>
              <w:rPr>
                <w:rFonts w:hint="eastAsia" w:eastAsia="宋体" w:cs="宋体"/>
                <w:color w:val="auto"/>
                <w:sz w:val="22"/>
                <w:szCs w:val="22"/>
                <w:lang w:val="en-US" w:eastAsia="zh-CN"/>
              </w:rPr>
            </w:pPr>
            <w:r>
              <w:rPr>
                <w:rFonts w:hint="eastAsia" w:cs="宋体"/>
                <w:color w:val="auto"/>
                <w:sz w:val="22"/>
                <w:szCs w:val="22"/>
                <w:lang w:val="en-US" w:eastAsia="zh-CN"/>
              </w:rPr>
              <w:t>1</w:t>
            </w:r>
          </w:p>
        </w:tc>
        <w:tc>
          <w:tcPr>
            <w:tcW w:w="740" w:type="dxa"/>
            <w:vAlign w:val="center"/>
          </w:tcPr>
          <w:p w14:paraId="33914809">
            <w:pPr>
              <w:keepNext w:val="0"/>
              <w:keepLines w:val="0"/>
              <w:pageBreakBefore w:val="0"/>
              <w:widowControl/>
              <w:kinsoku/>
              <w:wordWrap/>
              <w:overflowPunct/>
              <w:topLinePunct w:val="0"/>
              <w:autoSpaceDE/>
              <w:autoSpaceDN/>
              <w:bidi w:val="0"/>
              <w:adjustRightInd/>
              <w:snapToGrid/>
              <w:spacing w:line="240" w:lineRule="auto"/>
              <w:ind w:left="440" w:hanging="440" w:hangingChars="200"/>
              <w:jc w:val="center"/>
              <w:textAlignment w:val="center"/>
              <w:rPr>
                <w:rFonts w:hint="eastAsia" w:eastAsia="宋体" w:cs="宋体"/>
                <w:color w:val="auto"/>
                <w:kern w:val="0"/>
                <w:sz w:val="22"/>
                <w:szCs w:val="22"/>
                <w:lang w:val="en-US" w:eastAsia="zh-CN"/>
              </w:rPr>
            </w:pPr>
            <w:r>
              <w:rPr>
                <w:rFonts w:hint="eastAsia" w:cs="宋体"/>
                <w:color w:val="auto"/>
                <w:kern w:val="0"/>
                <w:sz w:val="22"/>
                <w:szCs w:val="22"/>
                <w:lang w:val="en-US" w:eastAsia="zh-CN"/>
              </w:rPr>
              <w:t>套</w:t>
            </w:r>
          </w:p>
        </w:tc>
      </w:tr>
      <w:tr w14:paraId="26D8B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5" w:hRule="atLeast"/>
          <w:jc w:val="center"/>
        </w:trPr>
        <w:tc>
          <w:tcPr>
            <w:tcW w:w="731" w:type="dxa"/>
            <w:vAlign w:val="center"/>
          </w:tcPr>
          <w:p w14:paraId="4D7AB2F1">
            <w:pPr>
              <w:keepNext w:val="0"/>
              <w:keepLines w:val="0"/>
              <w:pageBreakBefore w:val="0"/>
              <w:widowControl/>
              <w:kinsoku/>
              <w:wordWrap/>
              <w:overflowPunct/>
              <w:topLinePunct w:val="0"/>
              <w:autoSpaceDE/>
              <w:autoSpaceDN/>
              <w:bidi w:val="0"/>
              <w:adjustRightInd/>
              <w:snapToGrid/>
              <w:spacing w:line="240" w:lineRule="auto"/>
              <w:ind w:left="440" w:hanging="440" w:hangingChars="200"/>
              <w:jc w:val="center"/>
              <w:textAlignment w:val="center"/>
              <w:rPr>
                <w:rFonts w:hint="eastAsia" w:eastAsia="宋体" w:cs="宋体"/>
                <w:color w:val="auto"/>
                <w:sz w:val="22"/>
                <w:szCs w:val="22"/>
                <w:lang w:val="en-US" w:eastAsia="zh-CN"/>
              </w:rPr>
            </w:pPr>
            <w:r>
              <w:rPr>
                <w:rFonts w:hint="eastAsia" w:cs="宋体"/>
                <w:color w:val="auto"/>
                <w:sz w:val="22"/>
                <w:szCs w:val="22"/>
                <w:lang w:val="en-US" w:eastAsia="zh-CN"/>
              </w:rPr>
              <w:t>2</w:t>
            </w:r>
          </w:p>
        </w:tc>
        <w:tc>
          <w:tcPr>
            <w:tcW w:w="2156" w:type="dxa"/>
            <w:shd w:val="clear" w:color="auto" w:fill="auto"/>
            <w:vAlign w:val="center"/>
          </w:tcPr>
          <w:p w14:paraId="1413B7E6">
            <w:pPr>
              <w:keepNext w:val="0"/>
              <w:keepLines w:val="0"/>
              <w:pageBreakBefore w:val="0"/>
              <w:kinsoku/>
              <w:wordWrap/>
              <w:overflowPunct/>
              <w:topLinePunct w:val="0"/>
              <w:autoSpaceDE/>
              <w:autoSpaceDN/>
              <w:bidi w:val="0"/>
              <w:adjustRightInd/>
              <w:snapToGrid/>
              <w:ind w:left="440" w:hanging="480" w:hangingChars="200"/>
              <w:jc w:val="center"/>
              <w:rPr>
                <w:rFonts w:hint="eastAsia" w:ascii="宋体" w:hAnsi="宋体" w:eastAsia="宋体" w:cs="Times New Roman"/>
                <w:color w:val="auto"/>
                <w:kern w:val="2"/>
                <w:sz w:val="24"/>
                <w:szCs w:val="24"/>
                <w:lang w:val="en-US" w:eastAsia="zh-CN" w:bidi="ar-SA"/>
              </w:rPr>
            </w:pPr>
            <w:r>
              <w:rPr>
                <w:color w:val="auto"/>
              </w:rPr>
              <w:t>签名验签服务</w:t>
            </w:r>
          </w:p>
        </w:tc>
        <w:tc>
          <w:tcPr>
            <w:tcW w:w="1910" w:type="dxa"/>
            <w:vAlign w:val="center"/>
          </w:tcPr>
          <w:p w14:paraId="16E3F490">
            <w:pPr>
              <w:keepNext w:val="0"/>
              <w:keepLines w:val="0"/>
              <w:pageBreakBefore w:val="0"/>
              <w:kinsoku/>
              <w:wordWrap/>
              <w:overflowPunct/>
              <w:topLinePunct w:val="0"/>
              <w:autoSpaceDE/>
              <w:autoSpaceDN/>
              <w:bidi w:val="0"/>
              <w:adjustRightInd/>
              <w:snapToGrid/>
              <w:ind w:left="440" w:hanging="480" w:hangingChars="200"/>
              <w:jc w:val="center"/>
              <w:rPr>
                <w:color w:val="auto"/>
              </w:rPr>
            </w:pPr>
            <w:r>
              <w:rPr>
                <w:rFonts w:hint="eastAsia"/>
                <w:color w:val="auto"/>
                <w:lang w:val="en-US" w:eastAsia="zh-CN"/>
              </w:rPr>
              <w:t>政务服务服务</w:t>
            </w:r>
          </w:p>
        </w:tc>
        <w:tc>
          <w:tcPr>
            <w:tcW w:w="2255" w:type="dxa"/>
            <w:vAlign w:val="center"/>
          </w:tcPr>
          <w:p w14:paraId="1418C7B1">
            <w:pPr>
              <w:keepNext w:val="0"/>
              <w:keepLines w:val="0"/>
              <w:pageBreakBefore w:val="0"/>
              <w:kinsoku/>
              <w:wordWrap/>
              <w:overflowPunct/>
              <w:topLinePunct w:val="0"/>
              <w:autoSpaceDE/>
              <w:autoSpaceDN/>
              <w:bidi w:val="0"/>
              <w:adjustRightInd/>
              <w:snapToGrid/>
              <w:spacing w:line="240" w:lineRule="auto"/>
              <w:ind w:left="440" w:hanging="440" w:hangingChars="200"/>
              <w:jc w:val="center"/>
              <w:rPr>
                <w:rFonts w:cs="宋体"/>
                <w:color w:val="auto"/>
                <w:sz w:val="22"/>
                <w:szCs w:val="22"/>
              </w:rPr>
            </w:pPr>
            <w:r>
              <w:rPr>
                <w:rFonts w:hint="eastAsia" w:cs="宋体"/>
                <w:color w:val="auto"/>
                <w:sz w:val="22"/>
                <w:szCs w:val="22"/>
                <w:lang w:val="en-US" w:eastAsia="zh-CN"/>
              </w:rPr>
              <w:t>利旧</w:t>
            </w:r>
          </w:p>
        </w:tc>
        <w:tc>
          <w:tcPr>
            <w:tcW w:w="732" w:type="dxa"/>
            <w:vAlign w:val="center"/>
          </w:tcPr>
          <w:p w14:paraId="5E267EA5">
            <w:pPr>
              <w:keepNext w:val="0"/>
              <w:keepLines w:val="0"/>
              <w:pageBreakBefore w:val="0"/>
              <w:widowControl/>
              <w:kinsoku/>
              <w:wordWrap/>
              <w:overflowPunct/>
              <w:topLinePunct w:val="0"/>
              <w:autoSpaceDE/>
              <w:autoSpaceDN/>
              <w:bidi w:val="0"/>
              <w:adjustRightInd/>
              <w:snapToGrid/>
              <w:spacing w:line="240" w:lineRule="auto"/>
              <w:ind w:left="440" w:hanging="440" w:hangingChars="200"/>
              <w:jc w:val="center"/>
              <w:textAlignment w:val="center"/>
              <w:rPr>
                <w:rFonts w:hint="eastAsia" w:eastAsia="宋体" w:cs="宋体"/>
                <w:color w:val="auto"/>
                <w:sz w:val="22"/>
                <w:szCs w:val="22"/>
                <w:lang w:val="en-US" w:eastAsia="zh-CN"/>
              </w:rPr>
            </w:pPr>
            <w:r>
              <w:rPr>
                <w:rFonts w:hint="eastAsia" w:cs="宋体"/>
                <w:color w:val="auto"/>
                <w:sz w:val="22"/>
                <w:szCs w:val="22"/>
                <w:lang w:val="en-US" w:eastAsia="zh-CN"/>
              </w:rPr>
              <w:t>1</w:t>
            </w:r>
          </w:p>
        </w:tc>
        <w:tc>
          <w:tcPr>
            <w:tcW w:w="740" w:type="dxa"/>
            <w:vAlign w:val="center"/>
          </w:tcPr>
          <w:p w14:paraId="1171BDEE">
            <w:pPr>
              <w:keepNext w:val="0"/>
              <w:keepLines w:val="0"/>
              <w:pageBreakBefore w:val="0"/>
              <w:widowControl/>
              <w:kinsoku/>
              <w:wordWrap/>
              <w:overflowPunct/>
              <w:topLinePunct w:val="0"/>
              <w:autoSpaceDE/>
              <w:autoSpaceDN/>
              <w:bidi w:val="0"/>
              <w:adjustRightInd/>
              <w:snapToGrid/>
              <w:spacing w:line="240" w:lineRule="auto"/>
              <w:ind w:left="440" w:hanging="440" w:hangingChars="200"/>
              <w:jc w:val="center"/>
              <w:textAlignment w:val="center"/>
              <w:rPr>
                <w:rFonts w:cs="宋体"/>
                <w:color w:val="auto"/>
                <w:kern w:val="0"/>
                <w:sz w:val="22"/>
                <w:szCs w:val="22"/>
              </w:rPr>
            </w:pPr>
            <w:r>
              <w:rPr>
                <w:rFonts w:hint="eastAsia" w:cs="宋体"/>
                <w:color w:val="auto"/>
                <w:kern w:val="0"/>
                <w:sz w:val="22"/>
                <w:szCs w:val="22"/>
                <w:lang w:val="en-US" w:eastAsia="zh-CN"/>
              </w:rPr>
              <w:t>套</w:t>
            </w:r>
          </w:p>
        </w:tc>
      </w:tr>
      <w:tr w14:paraId="713F5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5" w:hRule="atLeast"/>
          <w:jc w:val="center"/>
        </w:trPr>
        <w:tc>
          <w:tcPr>
            <w:tcW w:w="731" w:type="dxa"/>
            <w:vAlign w:val="center"/>
          </w:tcPr>
          <w:p w14:paraId="6CF4FF11">
            <w:pPr>
              <w:keepNext w:val="0"/>
              <w:keepLines w:val="0"/>
              <w:pageBreakBefore w:val="0"/>
              <w:widowControl/>
              <w:kinsoku/>
              <w:wordWrap/>
              <w:overflowPunct/>
              <w:topLinePunct w:val="0"/>
              <w:autoSpaceDE/>
              <w:autoSpaceDN/>
              <w:bidi w:val="0"/>
              <w:adjustRightInd/>
              <w:snapToGrid/>
              <w:spacing w:line="240" w:lineRule="auto"/>
              <w:ind w:left="440" w:hanging="440" w:hangingChars="200"/>
              <w:jc w:val="center"/>
              <w:textAlignment w:val="center"/>
              <w:rPr>
                <w:rFonts w:hint="eastAsia" w:eastAsia="宋体" w:cs="宋体"/>
                <w:color w:val="auto"/>
                <w:sz w:val="22"/>
                <w:szCs w:val="22"/>
                <w:lang w:val="en-US" w:eastAsia="zh-CN"/>
              </w:rPr>
            </w:pPr>
            <w:r>
              <w:rPr>
                <w:rFonts w:hint="eastAsia" w:cs="宋体"/>
                <w:color w:val="auto"/>
                <w:sz w:val="22"/>
                <w:szCs w:val="22"/>
                <w:lang w:val="en-US" w:eastAsia="zh-CN"/>
              </w:rPr>
              <w:t>3</w:t>
            </w:r>
          </w:p>
        </w:tc>
        <w:tc>
          <w:tcPr>
            <w:tcW w:w="2156" w:type="dxa"/>
            <w:shd w:val="clear" w:color="auto" w:fill="auto"/>
            <w:vAlign w:val="center"/>
          </w:tcPr>
          <w:p w14:paraId="2A75C9DC">
            <w:pPr>
              <w:keepNext w:val="0"/>
              <w:keepLines w:val="0"/>
              <w:pageBreakBefore w:val="0"/>
              <w:kinsoku/>
              <w:wordWrap/>
              <w:overflowPunct/>
              <w:topLinePunct w:val="0"/>
              <w:autoSpaceDE/>
              <w:autoSpaceDN/>
              <w:bidi w:val="0"/>
              <w:adjustRightInd/>
              <w:snapToGrid/>
              <w:ind w:left="440" w:hanging="480" w:hangingChars="200"/>
              <w:jc w:val="center"/>
              <w:rPr>
                <w:rFonts w:hint="eastAsia" w:ascii="宋体" w:hAnsi="宋体" w:eastAsia="宋体" w:cs="Times New Roman"/>
                <w:color w:val="auto"/>
                <w:kern w:val="2"/>
                <w:sz w:val="24"/>
                <w:szCs w:val="24"/>
                <w:lang w:val="en-US" w:eastAsia="zh-CN" w:bidi="ar-SA"/>
              </w:rPr>
            </w:pPr>
            <w:r>
              <w:rPr>
                <w:color w:val="auto"/>
              </w:rPr>
              <w:t>数据库加密服务</w:t>
            </w:r>
          </w:p>
        </w:tc>
        <w:tc>
          <w:tcPr>
            <w:tcW w:w="1910" w:type="dxa"/>
            <w:vAlign w:val="center"/>
          </w:tcPr>
          <w:p w14:paraId="36F9A9EF">
            <w:pPr>
              <w:keepNext w:val="0"/>
              <w:keepLines w:val="0"/>
              <w:pageBreakBefore w:val="0"/>
              <w:kinsoku/>
              <w:wordWrap/>
              <w:overflowPunct/>
              <w:topLinePunct w:val="0"/>
              <w:autoSpaceDE/>
              <w:autoSpaceDN/>
              <w:bidi w:val="0"/>
              <w:adjustRightInd/>
              <w:snapToGrid/>
              <w:ind w:left="440" w:hanging="480" w:hangingChars="200"/>
              <w:jc w:val="center"/>
              <w:rPr>
                <w:color w:val="auto"/>
              </w:rPr>
            </w:pPr>
            <w:r>
              <w:rPr>
                <w:rFonts w:hint="eastAsia"/>
                <w:color w:val="auto"/>
                <w:lang w:val="en-US" w:eastAsia="zh-CN"/>
              </w:rPr>
              <w:t>政务服务服务</w:t>
            </w:r>
          </w:p>
        </w:tc>
        <w:tc>
          <w:tcPr>
            <w:tcW w:w="2255" w:type="dxa"/>
            <w:vAlign w:val="center"/>
          </w:tcPr>
          <w:p w14:paraId="6AAA30E0">
            <w:pPr>
              <w:keepNext w:val="0"/>
              <w:keepLines w:val="0"/>
              <w:pageBreakBefore w:val="0"/>
              <w:kinsoku/>
              <w:wordWrap/>
              <w:overflowPunct/>
              <w:topLinePunct w:val="0"/>
              <w:autoSpaceDE/>
              <w:autoSpaceDN/>
              <w:bidi w:val="0"/>
              <w:adjustRightInd/>
              <w:snapToGrid/>
              <w:spacing w:line="240" w:lineRule="auto"/>
              <w:ind w:left="440" w:hanging="440" w:hangingChars="200"/>
              <w:jc w:val="center"/>
              <w:rPr>
                <w:rFonts w:cs="宋体"/>
                <w:color w:val="auto"/>
                <w:sz w:val="22"/>
                <w:szCs w:val="22"/>
              </w:rPr>
            </w:pPr>
            <w:r>
              <w:rPr>
                <w:rFonts w:hint="eastAsia" w:cs="宋体"/>
                <w:color w:val="auto"/>
                <w:sz w:val="22"/>
                <w:szCs w:val="22"/>
                <w:lang w:val="en-US" w:eastAsia="zh-CN"/>
              </w:rPr>
              <w:t>利旧</w:t>
            </w:r>
          </w:p>
        </w:tc>
        <w:tc>
          <w:tcPr>
            <w:tcW w:w="732" w:type="dxa"/>
            <w:vAlign w:val="center"/>
          </w:tcPr>
          <w:p w14:paraId="36D81D84">
            <w:pPr>
              <w:keepNext w:val="0"/>
              <w:keepLines w:val="0"/>
              <w:pageBreakBefore w:val="0"/>
              <w:widowControl/>
              <w:kinsoku/>
              <w:wordWrap/>
              <w:overflowPunct/>
              <w:topLinePunct w:val="0"/>
              <w:autoSpaceDE/>
              <w:autoSpaceDN/>
              <w:bidi w:val="0"/>
              <w:adjustRightInd/>
              <w:snapToGrid/>
              <w:spacing w:line="240" w:lineRule="auto"/>
              <w:ind w:left="440" w:hanging="440" w:hangingChars="200"/>
              <w:jc w:val="center"/>
              <w:textAlignment w:val="center"/>
              <w:rPr>
                <w:rFonts w:hint="eastAsia" w:eastAsia="宋体" w:cs="宋体"/>
                <w:color w:val="auto"/>
                <w:sz w:val="22"/>
                <w:szCs w:val="22"/>
                <w:lang w:val="en-US" w:eastAsia="zh-CN"/>
              </w:rPr>
            </w:pPr>
            <w:r>
              <w:rPr>
                <w:rFonts w:hint="eastAsia" w:cs="宋体"/>
                <w:color w:val="auto"/>
                <w:sz w:val="22"/>
                <w:szCs w:val="22"/>
                <w:lang w:val="en-US" w:eastAsia="zh-CN"/>
              </w:rPr>
              <w:t>1</w:t>
            </w:r>
          </w:p>
        </w:tc>
        <w:tc>
          <w:tcPr>
            <w:tcW w:w="740" w:type="dxa"/>
            <w:vAlign w:val="center"/>
          </w:tcPr>
          <w:p w14:paraId="47CFD137">
            <w:pPr>
              <w:keepNext w:val="0"/>
              <w:keepLines w:val="0"/>
              <w:pageBreakBefore w:val="0"/>
              <w:widowControl/>
              <w:kinsoku/>
              <w:wordWrap/>
              <w:overflowPunct/>
              <w:topLinePunct w:val="0"/>
              <w:autoSpaceDE/>
              <w:autoSpaceDN/>
              <w:bidi w:val="0"/>
              <w:adjustRightInd/>
              <w:snapToGrid/>
              <w:spacing w:line="240" w:lineRule="auto"/>
              <w:ind w:left="440" w:hanging="440" w:hangingChars="200"/>
              <w:jc w:val="center"/>
              <w:textAlignment w:val="center"/>
              <w:rPr>
                <w:rFonts w:cs="宋体"/>
                <w:color w:val="auto"/>
                <w:kern w:val="0"/>
                <w:sz w:val="22"/>
                <w:szCs w:val="22"/>
              </w:rPr>
            </w:pPr>
            <w:r>
              <w:rPr>
                <w:rFonts w:hint="eastAsia" w:cs="宋体"/>
                <w:color w:val="auto"/>
                <w:kern w:val="0"/>
                <w:sz w:val="22"/>
                <w:szCs w:val="22"/>
                <w:lang w:val="en-US" w:eastAsia="zh-CN"/>
              </w:rPr>
              <w:t>套</w:t>
            </w:r>
          </w:p>
        </w:tc>
      </w:tr>
    </w:tbl>
    <w:p w14:paraId="7FA9C875">
      <w:pPr>
        <w:snapToGrid/>
        <w:spacing w:line="240" w:lineRule="auto"/>
        <w:rPr>
          <w:color w:val="auto"/>
        </w:rPr>
      </w:pPr>
    </w:p>
    <w:p w14:paraId="32699D65">
      <w:pPr>
        <w:snapToGrid/>
        <w:spacing w:line="240" w:lineRule="auto"/>
        <w:rPr>
          <w:color w:val="auto"/>
        </w:rPr>
      </w:pPr>
    </w:p>
    <w:p w14:paraId="7ED56328">
      <w:pPr>
        <w:pStyle w:val="3"/>
        <w:numPr>
          <w:ilvl w:val="-1"/>
          <w:numId w:val="0"/>
        </w:numPr>
        <w:pBdr>
          <w:bottom w:val="none" w:color="auto" w:sz="0" w:space="0"/>
        </w:pBdr>
        <w:ind w:left="-327" w:firstLine="0"/>
        <w:rPr>
          <w:color w:val="auto"/>
          <w:highlight w:val="none"/>
          <w:shd w:val="clear" w:color="auto" w:fill="FFFF00"/>
        </w:rPr>
      </w:pPr>
      <w:r>
        <w:rPr>
          <w:rFonts w:hint="eastAsia"/>
          <w:color w:val="auto"/>
          <w:sz w:val="32"/>
          <w:highlight w:val="none"/>
          <w:u w:val="none"/>
          <w:shd w:val="clear" w:color="auto" w:fill="auto"/>
          <w:lang w:val="en-US" w:eastAsia="zh-CN"/>
        </w:rPr>
        <w:t>3.4</w:t>
      </w:r>
      <w:r>
        <w:rPr>
          <w:rFonts w:hint="eastAsia"/>
          <w:b/>
          <w:bCs/>
          <w:color w:val="auto"/>
          <w:sz w:val="32"/>
          <w:szCs w:val="32"/>
          <w:u w:val="none"/>
          <w:shd w:val="clear"/>
          <w:lang w:val="en-US" w:eastAsia="zh-CN"/>
        </w:rPr>
        <w:t>、</w:t>
      </w:r>
      <w:r>
        <w:rPr>
          <w:rFonts w:hint="eastAsia"/>
          <w:color w:val="auto"/>
          <w:sz w:val="32"/>
          <w:u w:val="none"/>
          <w:shd w:val="clear" w:color="auto" w:fill="auto"/>
        </w:rPr>
        <w:t>第三方对接</w:t>
      </w:r>
      <w:r>
        <w:rPr>
          <w:rFonts w:hint="eastAsia"/>
          <w:color w:val="auto"/>
          <w:sz w:val="32"/>
          <w:highlight w:val="none"/>
          <w:u w:val="none"/>
          <w:shd w:val="clear" w:color="auto" w:fill="auto"/>
          <w:lang w:eastAsia="zh-CN"/>
        </w:rPr>
        <w:t>策略</w:t>
      </w:r>
    </w:p>
    <w:p w14:paraId="0AA510F7">
      <w:pPr>
        <w:snapToGrid/>
        <w:spacing w:line="240" w:lineRule="auto"/>
        <w:rPr>
          <w:rFonts w:hint="eastAsia" w:ascii="宋体" w:hAnsi="宋体" w:eastAsia="宋体" w:cs="Times New Roman"/>
          <w:i w:val="0"/>
          <w:strike w:val="0"/>
          <w:color w:val="auto"/>
          <w:spacing w:val="0"/>
          <w:sz w:val="24"/>
          <w:u w:val="none"/>
          <w:shd w:val="clear" w:color="auto" w:fill="auto"/>
        </w:rPr>
      </w:pPr>
      <w:r>
        <w:rPr>
          <w:rFonts w:hint="eastAsia" w:ascii="宋体" w:hAnsi="宋体" w:eastAsia="宋体" w:cs="Times New Roman"/>
          <w:i w:val="0"/>
          <w:strike w:val="0"/>
          <w:color w:val="auto"/>
          <w:spacing w:val="0"/>
          <w:sz w:val="24"/>
          <w:u w:val="none"/>
          <w:shd w:val="clear" w:color="auto" w:fill="auto"/>
        </w:rPr>
        <w:t xml:space="preserve">3.4.1. </w:t>
      </w:r>
      <w:r>
        <w:rPr>
          <w:rFonts w:hint="eastAsia" w:ascii="宋体" w:hAnsi="宋体" w:eastAsia="宋体" w:cs="Times New Roman"/>
          <w:b w:val="0"/>
          <w:i w:val="0"/>
          <w:strike w:val="0"/>
          <w:color w:val="auto"/>
          <w:spacing w:val="0"/>
          <w:sz w:val="24"/>
          <w:u w:val="none"/>
          <w:shd w:val="clear" w:color="auto" w:fill="auto"/>
        </w:rPr>
        <w:t>应用注册管理</w:t>
      </w:r>
      <w:r>
        <w:rPr>
          <w:rFonts w:hint="eastAsia" w:ascii="宋体" w:hAnsi="宋体" w:eastAsia="宋体" w:cs="Times New Roman"/>
          <w:i w:val="0"/>
          <w:strike w:val="0"/>
          <w:color w:val="auto"/>
          <w:spacing w:val="0"/>
          <w:sz w:val="24"/>
          <w:u w:val="none"/>
          <w:shd w:val="clear" w:color="auto" w:fill="auto"/>
        </w:rPr>
        <w:t>：第三方单位（如其他智慧工地平台、政府监管平台、企业自建系统等）在系统中注册成为“应用”，提交基本信息并由平台管理员审核通过。</w:t>
      </w:r>
    </w:p>
    <w:p w14:paraId="6C99B270">
      <w:pPr>
        <w:pBdr>
          <w:bottom w:val="none" w:color="auto" w:sz="0" w:space="0"/>
        </w:pBdr>
        <w:snapToGrid/>
        <w:spacing w:line="240" w:lineRule="auto"/>
        <w:rPr>
          <w:rFonts w:hint="eastAsia"/>
          <w:color w:val="auto"/>
          <w:shd w:val="clear" w:color="auto" w:fill="auto"/>
        </w:rPr>
      </w:pPr>
      <w:r>
        <w:rPr>
          <w:rFonts w:hint="eastAsia" w:ascii="宋体" w:hAnsi="宋体" w:eastAsia="宋体" w:cs="Times New Roman"/>
          <w:i w:val="0"/>
          <w:strike w:val="0"/>
          <w:color w:val="auto"/>
          <w:spacing w:val="0"/>
          <w:sz w:val="24"/>
          <w:u w:val="none"/>
          <w:shd w:val="clear" w:color="auto" w:fill="auto"/>
        </w:rPr>
        <w:t xml:space="preserve">3.4.2. </w:t>
      </w:r>
      <w:r>
        <w:rPr>
          <w:rFonts w:hint="eastAsia" w:ascii="宋体" w:hAnsi="宋体" w:eastAsia="宋体" w:cs="Times New Roman"/>
          <w:b w:val="0"/>
          <w:i w:val="0"/>
          <w:strike w:val="0"/>
          <w:color w:val="auto"/>
          <w:spacing w:val="0"/>
          <w:sz w:val="24"/>
          <w:u w:val="none"/>
          <w:shd w:val="clear" w:color="auto" w:fill="auto"/>
        </w:rPr>
        <w:t>密钥生成与鉴权</w:t>
      </w:r>
      <w:r>
        <w:rPr>
          <w:rFonts w:hint="eastAsia" w:ascii="宋体" w:hAnsi="宋体" w:eastAsia="宋体" w:cs="Times New Roman"/>
          <w:i w:val="0"/>
          <w:strike w:val="0"/>
          <w:color w:val="auto"/>
          <w:spacing w:val="0"/>
          <w:sz w:val="24"/>
          <w:u w:val="none"/>
          <w:shd w:val="clear" w:color="auto" w:fill="auto"/>
        </w:rPr>
        <w:t>：为每个注册成功的第三方应用生成唯一的身份凭证，用于后续接口调用的身份认证和数据加密。</w:t>
      </w:r>
    </w:p>
    <w:p w14:paraId="201A9D65">
      <w:pPr>
        <w:snapToGrid/>
        <w:spacing w:line="240" w:lineRule="auto"/>
        <w:rPr>
          <w:rFonts w:hint="eastAsia"/>
          <w:color w:val="auto"/>
          <w:shd w:val="clear" w:color="auto" w:fill="auto"/>
        </w:rPr>
      </w:pPr>
      <w:r>
        <w:rPr>
          <w:rFonts w:hint="eastAsia" w:ascii="宋体" w:hAnsi="宋体" w:eastAsia="宋体" w:cs="Times New Roman"/>
          <w:i w:val="0"/>
          <w:strike w:val="0"/>
          <w:color w:val="auto"/>
          <w:spacing w:val="0"/>
          <w:sz w:val="24"/>
          <w:u w:val="none"/>
          <w:shd w:val="clear" w:color="auto" w:fill="auto"/>
        </w:rPr>
        <w:t xml:space="preserve">3.4.3. </w:t>
      </w:r>
      <w:r>
        <w:rPr>
          <w:rFonts w:hint="eastAsia" w:ascii="宋体" w:hAnsi="宋体" w:eastAsia="宋体" w:cs="Times New Roman"/>
          <w:b w:val="0"/>
          <w:i w:val="0"/>
          <w:strike w:val="0"/>
          <w:color w:val="auto"/>
          <w:spacing w:val="0"/>
          <w:sz w:val="24"/>
          <w:u w:val="none"/>
          <w:shd w:val="clear" w:color="auto" w:fill="auto"/>
        </w:rPr>
        <w:t>接口目录与权限控制</w:t>
      </w:r>
      <w:r>
        <w:rPr>
          <w:rFonts w:hint="eastAsia" w:ascii="宋体" w:hAnsi="宋体" w:eastAsia="宋体" w:cs="Times New Roman"/>
          <w:i w:val="0"/>
          <w:strike w:val="0"/>
          <w:color w:val="auto"/>
          <w:spacing w:val="0"/>
          <w:sz w:val="24"/>
          <w:u w:val="none"/>
          <w:shd w:val="clear" w:color="auto" w:fill="auto"/>
        </w:rPr>
        <w:t>：平台梳理并开放可对外提供的接口（如数据查询、事件推送、文件获取等）及可接收的接口（如数据上报、预警推送、视频接入请求等），并对每个第三方应用按需分配接口访问权限。</w:t>
      </w:r>
    </w:p>
    <w:p w14:paraId="0FAB7BFD">
      <w:pPr>
        <w:snapToGrid/>
        <w:spacing w:line="240" w:lineRule="auto"/>
        <w:rPr>
          <w:rFonts w:hint="eastAsia" w:ascii="宋体" w:hAnsi="宋体" w:eastAsia="宋体" w:cs="Times New Roman"/>
          <w:i w:val="0"/>
          <w:strike w:val="0"/>
          <w:color w:val="auto"/>
          <w:spacing w:val="0"/>
          <w:sz w:val="24"/>
          <w:u w:val="none"/>
          <w:shd w:val="clear" w:color="auto" w:fill="auto"/>
        </w:rPr>
      </w:pPr>
      <w:r>
        <w:rPr>
          <w:rFonts w:hint="eastAsia" w:ascii="宋体" w:hAnsi="宋体" w:eastAsia="宋体" w:cs="Times New Roman"/>
          <w:i w:val="0"/>
          <w:strike w:val="0"/>
          <w:color w:val="auto"/>
          <w:spacing w:val="0"/>
          <w:sz w:val="24"/>
          <w:u w:val="none"/>
          <w:shd w:val="clear" w:color="auto" w:fill="auto"/>
        </w:rPr>
        <w:t xml:space="preserve">3.4.4. </w:t>
      </w:r>
      <w:r>
        <w:rPr>
          <w:rFonts w:hint="eastAsia" w:ascii="宋体" w:hAnsi="宋体" w:eastAsia="宋体" w:cs="Times New Roman"/>
          <w:b w:val="0"/>
          <w:i w:val="0"/>
          <w:strike w:val="0"/>
          <w:color w:val="auto"/>
          <w:spacing w:val="0"/>
          <w:sz w:val="24"/>
          <w:u w:val="none"/>
          <w:shd w:val="clear" w:color="auto" w:fill="auto"/>
        </w:rPr>
        <w:t>上行数据推送和下行数据调用</w:t>
      </w:r>
      <w:r>
        <w:rPr>
          <w:rFonts w:hint="eastAsia" w:ascii="宋体" w:hAnsi="宋体" w:eastAsia="宋体" w:cs="Times New Roman"/>
          <w:i w:val="0"/>
          <w:strike w:val="0"/>
          <w:color w:val="auto"/>
          <w:spacing w:val="0"/>
          <w:sz w:val="24"/>
          <w:u w:val="none"/>
          <w:shd w:val="clear" w:color="auto" w:fill="auto"/>
        </w:rPr>
        <w:t>：平台提供标准化的上行和下行接口，以实现数据推送和第三方接口调用</w:t>
      </w:r>
    </w:p>
    <w:p w14:paraId="67ABDE51">
      <w:pPr>
        <w:pBdr>
          <w:bottom w:val="none" w:color="auto" w:sz="0" w:space="0"/>
        </w:pBdr>
        <w:snapToGrid/>
        <w:spacing w:line="240" w:lineRule="auto"/>
        <w:rPr>
          <w:rFonts w:hint="eastAsia" w:ascii="宋体" w:hAnsi="宋体" w:eastAsia="宋体" w:cs="Times New Roman"/>
          <w:i w:val="0"/>
          <w:strike w:val="0"/>
          <w:color w:val="auto"/>
          <w:spacing w:val="0"/>
          <w:sz w:val="24"/>
          <w:u w:val="none"/>
          <w:shd w:val="clear" w:color="auto" w:fill="auto"/>
        </w:rPr>
      </w:pPr>
      <w:r>
        <w:rPr>
          <w:rFonts w:hint="eastAsia" w:ascii="宋体" w:hAnsi="宋体" w:eastAsia="宋体" w:cs="Times New Roman"/>
          <w:i w:val="0"/>
          <w:strike w:val="0"/>
          <w:color w:val="auto"/>
          <w:spacing w:val="0"/>
          <w:sz w:val="24"/>
          <w:u w:val="none"/>
          <w:shd w:val="clear" w:color="auto" w:fill="auto"/>
        </w:rPr>
        <w:t xml:space="preserve">3.4.6. </w:t>
      </w:r>
      <w:r>
        <w:rPr>
          <w:rFonts w:hint="eastAsia" w:ascii="宋体" w:hAnsi="宋体" w:eastAsia="宋体" w:cs="Times New Roman"/>
          <w:b w:val="0"/>
          <w:i w:val="0"/>
          <w:strike w:val="0"/>
          <w:color w:val="auto"/>
          <w:spacing w:val="0"/>
          <w:sz w:val="24"/>
          <w:u w:val="none"/>
          <w:shd w:val="clear" w:color="auto" w:fill="auto"/>
        </w:rPr>
        <w:t>日志与审计</w:t>
      </w:r>
      <w:r>
        <w:rPr>
          <w:rFonts w:hint="eastAsia" w:ascii="宋体" w:hAnsi="宋体" w:eastAsia="宋体" w:cs="Times New Roman"/>
          <w:i w:val="0"/>
          <w:strike w:val="0"/>
          <w:color w:val="auto"/>
          <w:spacing w:val="0"/>
          <w:sz w:val="24"/>
          <w:u w:val="none"/>
          <w:shd w:val="clear" w:color="auto" w:fill="auto"/>
        </w:rPr>
        <w:t>：对所有第三方接口的调用行为、数据流向、频率、异常情况进行记录，支持安全审计与问题追溯。</w:t>
      </w:r>
    </w:p>
    <w:p w14:paraId="1CBFE402">
      <w:pPr>
        <w:numPr>
          <w:ilvl w:val="0"/>
          <w:numId w:val="0"/>
        </w:numPr>
        <w:rPr>
          <w:rFonts w:hint="eastAsia"/>
          <w:b/>
          <w:color w:val="auto"/>
        </w:rPr>
      </w:pPr>
    </w:p>
    <w:p w14:paraId="1F172009">
      <w:pPr>
        <w:rPr>
          <w:color w:val="auto"/>
        </w:rPr>
      </w:pPr>
    </w:p>
    <w:p w14:paraId="53B056BF">
      <w:pPr>
        <w:pStyle w:val="2"/>
        <w:rPr>
          <w:color w:val="auto"/>
        </w:rPr>
      </w:pPr>
      <w:bookmarkStart w:id="20" w:name="_Toc63785502"/>
      <w:r>
        <w:rPr>
          <w:rFonts w:hint="eastAsia"/>
          <w:color w:val="auto"/>
        </w:rPr>
        <w:t>电子政务云资源需求</w:t>
      </w:r>
      <w:bookmarkEnd w:id="20"/>
      <w:r>
        <w:rPr>
          <w:rFonts w:hint="eastAsia"/>
          <w:color w:val="auto"/>
        </w:rPr>
        <w:t>（仅针对上云项目）</w:t>
      </w:r>
    </w:p>
    <w:p w14:paraId="48660C1A">
      <w:pPr>
        <w:rPr>
          <w:rFonts w:hint="eastAsia" w:eastAsia="宋体"/>
          <w:color w:val="auto"/>
          <w:lang w:eastAsia="zh-CN"/>
        </w:rPr>
      </w:pPr>
      <w:r>
        <w:rPr>
          <w:rFonts w:hint="eastAsia"/>
          <w:color w:val="auto"/>
        </w:rPr>
        <w:t>根据项目前期资源现状，本次建设根据估算</w:t>
      </w:r>
      <w:r>
        <w:rPr>
          <w:rFonts w:hint="eastAsia"/>
          <w:color w:val="auto"/>
          <w:lang w:eastAsia="zh-CN"/>
        </w:rPr>
        <w:t>未向</w:t>
      </w:r>
      <w:r>
        <w:rPr>
          <w:rFonts w:hint="eastAsia"/>
          <w:color w:val="auto"/>
        </w:rPr>
        <w:t>电子政务云申请</w:t>
      </w:r>
      <w:r>
        <w:rPr>
          <w:rFonts w:hint="eastAsia"/>
          <w:color w:val="auto"/>
          <w:lang w:eastAsia="zh-CN"/>
        </w:rPr>
        <w:t>资源。</w:t>
      </w:r>
    </w:p>
    <w:p w14:paraId="7C69C1B7">
      <w:pPr>
        <w:rPr>
          <w:color w:val="auto"/>
        </w:rPr>
      </w:pPr>
    </w:p>
    <w:p w14:paraId="3E7C7391">
      <w:pPr>
        <w:pStyle w:val="2"/>
        <w:numPr>
          <w:ilvl w:val="0"/>
          <w:numId w:val="1"/>
        </w:numPr>
        <w:rPr>
          <w:color w:val="auto"/>
        </w:rPr>
      </w:pPr>
      <w:bookmarkStart w:id="21" w:name="_Toc63785503"/>
      <w:r>
        <w:rPr>
          <w:rFonts w:hint="eastAsia"/>
          <w:color w:val="auto"/>
        </w:rPr>
        <w:t>其他工作要求</w:t>
      </w:r>
      <w:bookmarkEnd w:id="21"/>
    </w:p>
    <w:p w14:paraId="4F357AD0">
      <w:pPr>
        <w:keepNext/>
        <w:keepLines/>
        <w:numPr>
          <w:ilvl w:val="1"/>
          <w:numId w:val="5"/>
        </w:numPr>
        <w:tabs>
          <w:tab w:val="left" w:pos="360"/>
        </w:tabs>
        <w:spacing w:before="120" w:line="240" w:lineRule="auto"/>
        <w:ind w:left="0" w:firstLine="0" w:firstLineChars="0"/>
        <w:outlineLvl w:val="1"/>
        <w:rPr>
          <w:rFonts w:ascii="仿宋" w:hAnsi="仿宋" w:eastAsia="仿宋"/>
          <w:b/>
          <w:vanish/>
          <w:color w:val="auto"/>
          <w:sz w:val="28"/>
          <w:szCs w:val="20"/>
        </w:rPr>
      </w:pPr>
      <w:bookmarkStart w:id="22" w:name="_Toc63151871"/>
      <w:bookmarkEnd w:id="22"/>
      <w:bookmarkStart w:id="23" w:name="_Toc63785439"/>
      <w:bookmarkEnd w:id="23"/>
      <w:bookmarkStart w:id="24" w:name="_Toc61968111"/>
      <w:bookmarkEnd w:id="24"/>
      <w:bookmarkStart w:id="25" w:name="_Toc62219358"/>
      <w:bookmarkEnd w:id="25"/>
      <w:bookmarkStart w:id="26" w:name="_Toc63785504"/>
      <w:bookmarkEnd w:id="26"/>
      <w:bookmarkStart w:id="27" w:name="_Toc63585480"/>
      <w:bookmarkEnd w:id="27"/>
      <w:bookmarkStart w:id="28" w:name="_Toc63762370"/>
      <w:bookmarkEnd w:id="28"/>
      <w:bookmarkStart w:id="29" w:name="_Toc62209488"/>
      <w:bookmarkEnd w:id="29"/>
    </w:p>
    <w:p w14:paraId="6D757C76">
      <w:pPr>
        <w:pStyle w:val="3"/>
        <w:numPr>
          <w:ilvl w:val="1"/>
          <w:numId w:val="1"/>
        </w:numPr>
        <w:rPr>
          <w:color w:val="auto"/>
        </w:rPr>
      </w:pPr>
      <w:bookmarkStart w:id="30" w:name="_Toc63785505"/>
      <w:r>
        <w:rPr>
          <w:rFonts w:hint="eastAsia"/>
          <w:color w:val="auto"/>
        </w:rPr>
        <w:t>售后服务要求</w:t>
      </w:r>
      <w:bookmarkEnd w:id="30"/>
    </w:p>
    <w:p w14:paraId="2FE6E74A">
      <w:pPr>
        <w:pStyle w:val="128"/>
        <w:snapToGrid w:val="0"/>
        <w:spacing w:line="360" w:lineRule="auto"/>
        <w:ind w:firstLine="480"/>
        <w:rPr>
          <w:rFonts w:ascii="宋体" w:hAnsi="宋体"/>
          <w:color w:val="auto"/>
          <w:sz w:val="24"/>
          <w:szCs w:val="24"/>
        </w:rPr>
      </w:pPr>
      <w:r>
        <w:rPr>
          <w:rFonts w:hint="eastAsia" w:ascii="宋体" w:hAnsi="宋体"/>
          <w:color w:val="auto"/>
          <w:sz w:val="24"/>
          <w:szCs w:val="24"/>
        </w:rPr>
        <w:t>本项目从系统验收通过之日起</w:t>
      </w:r>
      <w:r>
        <w:rPr>
          <w:rFonts w:hint="eastAsia" w:ascii="宋体" w:hAnsi="宋体"/>
          <w:color w:val="auto"/>
          <w:sz w:val="24"/>
          <w:szCs w:val="24"/>
          <w:lang w:eastAsia="zh-CN"/>
        </w:rPr>
        <w:t>至</w:t>
      </w:r>
      <w:r>
        <w:rPr>
          <w:rFonts w:hint="eastAsia" w:ascii="宋体" w:hAnsi="宋体"/>
          <w:color w:val="auto"/>
          <w:sz w:val="24"/>
          <w:szCs w:val="24"/>
          <w:lang w:val="en-US" w:eastAsia="zh-CN"/>
        </w:rPr>
        <w:t>2027年12月31日</w:t>
      </w:r>
      <w:r>
        <w:rPr>
          <w:rFonts w:hint="eastAsia" w:ascii="宋体" w:hAnsi="宋体"/>
          <w:color w:val="auto"/>
          <w:sz w:val="24"/>
          <w:szCs w:val="24"/>
        </w:rPr>
        <w:t>提供</w:t>
      </w:r>
      <w:r>
        <w:rPr>
          <w:rFonts w:ascii="宋体" w:hAnsi="宋体"/>
          <w:color w:val="auto"/>
          <w:sz w:val="24"/>
          <w:szCs w:val="24"/>
        </w:rPr>
        <w:t>7*8</w:t>
      </w:r>
      <w:r>
        <w:rPr>
          <w:rFonts w:hint="eastAsia" w:ascii="宋体" w:hAnsi="宋体"/>
          <w:color w:val="auto"/>
          <w:sz w:val="24"/>
          <w:szCs w:val="24"/>
          <w:lang w:eastAsia="zh-CN"/>
        </w:rPr>
        <w:t>（</w:t>
      </w:r>
      <w:r>
        <w:rPr>
          <w:rFonts w:hint="eastAsia" w:ascii="宋体" w:hAnsi="宋体"/>
          <w:color w:val="auto"/>
          <w:sz w:val="24"/>
          <w:szCs w:val="24"/>
          <w:lang w:val="en-US" w:eastAsia="zh-CN"/>
        </w:rPr>
        <w:t>9:00-17:00</w:t>
      </w:r>
      <w:r>
        <w:rPr>
          <w:rFonts w:hint="eastAsia" w:ascii="宋体" w:hAnsi="宋体"/>
          <w:color w:val="auto"/>
          <w:sz w:val="24"/>
          <w:szCs w:val="24"/>
          <w:lang w:eastAsia="zh-CN"/>
        </w:rPr>
        <w:t>）</w:t>
      </w:r>
      <w:r>
        <w:rPr>
          <w:rFonts w:ascii="宋体" w:hAnsi="宋体"/>
          <w:color w:val="auto"/>
          <w:sz w:val="24"/>
          <w:szCs w:val="24"/>
        </w:rPr>
        <w:t>小时免费技术支持</w:t>
      </w:r>
      <w:r>
        <w:rPr>
          <w:rFonts w:hint="eastAsia" w:ascii="宋体" w:hAnsi="宋体"/>
          <w:color w:val="auto"/>
          <w:sz w:val="24"/>
          <w:szCs w:val="24"/>
        </w:rPr>
        <w:t>和售后服务。</w:t>
      </w:r>
    </w:p>
    <w:p w14:paraId="2D6A52CC">
      <w:pPr>
        <w:pStyle w:val="128"/>
        <w:snapToGrid w:val="0"/>
        <w:spacing w:line="360" w:lineRule="auto"/>
        <w:ind w:firstLine="480"/>
        <w:rPr>
          <w:rFonts w:hint="eastAsia" w:ascii="宋体" w:hAnsi="宋体"/>
          <w:color w:val="auto"/>
          <w:sz w:val="24"/>
          <w:szCs w:val="24"/>
        </w:rPr>
      </w:pPr>
      <w:r>
        <w:rPr>
          <w:rFonts w:hint="eastAsia" w:ascii="宋体" w:hAnsi="宋体"/>
          <w:color w:val="auto"/>
          <w:sz w:val="24"/>
          <w:szCs w:val="24"/>
        </w:rPr>
        <w:t>在质量保证期内，本项目涉及的运行维护工作范围如下：供应商将按照售后服务的承诺提供保修和运行维护服务，如果厂商对信息系统中软、硬件设备等产品中的部分保修期超过上述期限的，则按照厂商的规定进行免费保修。</w:t>
      </w:r>
    </w:p>
    <w:p w14:paraId="7494891B">
      <w:pPr>
        <w:pStyle w:val="128"/>
        <w:snapToGrid w:val="0"/>
        <w:spacing w:line="360" w:lineRule="auto"/>
        <w:ind w:firstLine="480"/>
        <w:rPr>
          <w:rFonts w:hint="eastAsia" w:ascii="宋体" w:hAnsi="宋体" w:eastAsia="宋体"/>
          <w:color w:val="auto"/>
          <w:sz w:val="24"/>
          <w:szCs w:val="24"/>
          <w:lang w:eastAsia="zh-CN"/>
        </w:rPr>
      </w:pPr>
      <w:r>
        <w:rPr>
          <w:rFonts w:hint="eastAsia" w:ascii="宋体" w:hAnsi="宋体"/>
          <w:color w:val="auto"/>
          <w:sz w:val="24"/>
          <w:szCs w:val="24"/>
        </w:rPr>
        <w:t>在质量保证期内，供应商负责信息系统的运行维护工作，确保信息系统安全、稳定、可靠地运行。</w:t>
      </w:r>
    </w:p>
    <w:p w14:paraId="60C37861">
      <w:pPr>
        <w:pStyle w:val="3"/>
        <w:numPr>
          <w:ilvl w:val="1"/>
          <w:numId w:val="1"/>
        </w:numPr>
        <w:rPr>
          <w:color w:val="auto"/>
        </w:rPr>
      </w:pPr>
      <w:bookmarkStart w:id="31" w:name="_Toc63785506"/>
      <w:r>
        <w:rPr>
          <w:rFonts w:hint="eastAsia"/>
          <w:color w:val="auto"/>
        </w:rPr>
        <w:t>应急响应要求</w:t>
      </w:r>
      <w:bookmarkEnd w:id="31"/>
    </w:p>
    <w:p w14:paraId="5DD8E8DC">
      <w:pPr>
        <w:pStyle w:val="128"/>
        <w:snapToGrid w:val="0"/>
        <w:spacing w:line="360" w:lineRule="auto"/>
        <w:ind w:firstLine="480"/>
        <w:rPr>
          <w:rFonts w:ascii="宋体" w:hAnsi="宋体"/>
          <w:color w:val="auto"/>
          <w:sz w:val="24"/>
          <w:szCs w:val="24"/>
        </w:rPr>
      </w:pPr>
      <w:r>
        <w:rPr>
          <w:rFonts w:hint="eastAsia" w:ascii="宋体" w:hAnsi="宋体"/>
          <w:color w:val="auto"/>
          <w:sz w:val="24"/>
          <w:szCs w:val="24"/>
        </w:rPr>
        <w:t>根据故障的重要性和紧迫性，本项目的系统故障分为以下四个级别：</w:t>
      </w:r>
    </w:p>
    <w:p w14:paraId="4D5DAD87">
      <w:pPr>
        <w:pStyle w:val="128"/>
        <w:numPr>
          <w:ilvl w:val="0"/>
          <w:numId w:val="6"/>
        </w:numPr>
        <w:snapToGrid w:val="0"/>
        <w:spacing w:line="360" w:lineRule="auto"/>
        <w:ind w:firstLine="480"/>
        <w:rPr>
          <w:rFonts w:ascii="宋体" w:hAnsi="宋体"/>
          <w:color w:val="auto"/>
          <w:sz w:val="24"/>
          <w:szCs w:val="24"/>
        </w:rPr>
      </w:pPr>
      <w:r>
        <w:rPr>
          <w:rFonts w:hint="eastAsia" w:ascii="宋体" w:hAnsi="宋体"/>
          <w:color w:val="auto"/>
          <w:sz w:val="24"/>
          <w:szCs w:val="24"/>
        </w:rPr>
        <w:t>一级故障（紧急）：一级故障是指对业务运行产生致命影响的故障，如果不及时处理，可能导致业务中断，对中心或机构造成重大损失。一旦发生一级故障，需要立即启动应急预案，并调动相关人员全力解决问题。</w:t>
      </w:r>
    </w:p>
    <w:p w14:paraId="2653CDFD">
      <w:pPr>
        <w:pStyle w:val="128"/>
        <w:numPr>
          <w:ilvl w:val="0"/>
          <w:numId w:val="6"/>
        </w:numPr>
        <w:snapToGrid w:val="0"/>
        <w:spacing w:line="360" w:lineRule="auto"/>
        <w:ind w:firstLine="480"/>
        <w:rPr>
          <w:rFonts w:ascii="宋体" w:hAnsi="宋体"/>
          <w:color w:val="auto"/>
          <w:sz w:val="24"/>
          <w:szCs w:val="24"/>
        </w:rPr>
      </w:pPr>
      <w:r>
        <w:rPr>
          <w:rFonts w:hint="eastAsia" w:ascii="宋体" w:hAnsi="宋体"/>
          <w:color w:val="auto"/>
          <w:sz w:val="24"/>
          <w:szCs w:val="24"/>
        </w:rPr>
        <w:t>二级故障（重要)：二级故障是指对业务运行产生重要影响的故障，如果不及时处理，可能导致业务延误，对中心或机构造成一定的损失。在发生二级故障时，需要业务部门和供应商的紧密配合，及时修复故障。</w:t>
      </w:r>
    </w:p>
    <w:p w14:paraId="55BC0AD5">
      <w:pPr>
        <w:pStyle w:val="128"/>
        <w:numPr>
          <w:ilvl w:val="0"/>
          <w:numId w:val="6"/>
        </w:numPr>
        <w:snapToGrid w:val="0"/>
        <w:spacing w:line="360" w:lineRule="auto"/>
        <w:ind w:firstLine="480"/>
        <w:rPr>
          <w:rFonts w:ascii="宋体" w:hAnsi="宋体"/>
          <w:color w:val="auto"/>
          <w:sz w:val="24"/>
          <w:szCs w:val="24"/>
        </w:rPr>
      </w:pPr>
      <w:r>
        <w:rPr>
          <w:rFonts w:hint="eastAsia" w:ascii="宋体" w:hAnsi="宋体"/>
          <w:color w:val="auto"/>
          <w:sz w:val="24"/>
          <w:szCs w:val="24"/>
        </w:rPr>
        <w:t>三级故障（一般）：三级故障是指对业务运行产生一般影响的故障，如果不及时处理，可能会降低业务效率，对中心或机构造成一定程度的损失。三级故障的处理一般由供应商统一安排，优先级较低，但也需要及时处理。</w:t>
      </w:r>
    </w:p>
    <w:p w14:paraId="328A1676">
      <w:pPr>
        <w:pStyle w:val="128"/>
        <w:numPr>
          <w:ilvl w:val="0"/>
          <w:numId w:val="6"/>
        </w:numPr>
        <w:snapToGrid w:val="0"/>
        <w:spacing w:line="360" w:lineRule="auto"/>
        <w:ind w:firstLine="480"/>
        <w:rPr>
          <w:rFonts w:ascii="宋体" w:hAnsi="宋体"/>
          <w:color w:val="auto"/>
          <w:sz w:val="24"/>
          <w:szCs w:val="24"/>
        </w:rPr>
      </w:pPr>
      <w:r>
        <w:rPr>
          <w:rFonts w:hint="eastAsia" w:ascii="宋体" w:hAnsi="宋体"/>
          <w:color w:val="auto"/>
          <w:sz w:val="24"/>
          <w:szCs w:val="24"/>
        </w:rPr>
        <w:t>四级故障（次要）：四级故障是指对业务运行几乎没有实质影响的故障，一般不会对中心或机构造成重大损失。四级故障的处理一般由供应商位统一安排时间进行维修，但可以在合适的时机进行处理。</w:t>
      </w:r>
    </w:p>
    <w:p w14:paraId="33250EED">
      <w:pPr>
        <w:pStyle w:val="128"/>
        <w:snapToGrid w:val="0"/>
        <w:spacing w:line="360" w:lineRule="auto"/>
        <w:ind w:firstLine="480"/>
        <w:rPr>
          <w:rFonts w:ascii="宋体" w:hAnsi="宋体"/>
          <w:color w:val="auto"/>
          <w:sz w:val="24"/>
          <w:szCs w:val="24"/>
        </w:rPr>
      </w:pPr>
      <w:r>
        <w:rPr>
          <w:rFonts w:hint="eastAsia" w:ascii="宋体" w:hAnsi="宋体"/>
          <w:color w:val="auto"/>
          <w:sz w:val="24"/>
          <w:szCs w:val="24"/>
        </w:rPr>
        <w:t>供应商对系统故障应能够实时响应，若系统发生故障，接到通知后</w:t>
      </w:r>
      <w:r>
        <w:rPr>
          <w:rFonts w:ascii="宋体" w:hAnsi="宋体"/>
          <w:color w:val="auto"/>
          <w:sz w:val="24"/>
          <w:szCs w:val="24"/>
        </w:rPr>
        <w:t>30分钟之内响应，专业工程师2小时内到达现场</w:t>
      </w:r>
      <w:r>
        <w:rPr>
          <w:rFonts w:hint="eastAsia" w:ascii="宋体" w:hAnsi="宋体"/>
          <w:color w:val="auto"/>
          <w:sz w:val="24"/>
          <w:szCs w:val="24"/>
        </w:rPr>
        <w:t>。特殊故障与客户沟通协商后，按照协商的方式制定解决方案并进行处理。</w:t>
      </w:r>
    </w:p>
    <w:p w14:paraId="7E6695AF">
      <w:pPr>
        <w:pStyle w:val="128"/>
        <w:snapToGrid w:val="0"/>
        <w:spacing w:line="360" w:lineRule="auto"/>
        <w:ind w:firstLine="480"/>
        <w:rPr>
          <w:rFonts w:ascii="宋体" w:hAnsi="宋体"/>
          <w:color w:val="auto"/>
          <w:sz w:val="24"/>
          <w:szCs w:val="24"/>
        </w:rPr>
      </w:pPr>
      <w:r>
        <w:rPr>
          <w:rFonts w:hint="eastAsia" w:ascii="宋体" w:hAnsi="宋体"/>
          <w:color w:val="auto"/>
          <w:sz w:val="24"/>
          <w:szCs w:val="24"/>
        </w:rPr>
        <w:t>具体故障级别及对应的应急响应要求如下：</w:t>
      </w:r>
    </w:p>
    <w:p w14:paraId="4E931EA2">
      <w:pPr>
        <w:pStyle w:val="128"/>
        <w:snapToGrid w:val="0"/>
        <w:spacing w:line="360" w:lineRule="auto"/>
        <w:ind w:firstLine="480"/>
        <w:rPr>
          <w:rFonts w:ascii="宋体" w:hAnsi="宋体"/>
          <w:color w:val="auto"/>
          <w:sz w:val="24"/>
          <w:szCs w:val="24"/>
        </w:rPr>
      </w:pPr>
      <w:r>
        <w:rPr>
          <w:rFonts w:hint="eastAsia" w:ascii="宋体" w:hAnsi="宋体"/>
          <w:color w:val="auto"/>
          <w:sz w:val="24"/>
          <w:szCs w:val="24"/>
        </w:rPr>
        <w:t>一级故障：在</w:t>
      </w:r>
      <w:r>
        <w:rPr>
          <w:rFonts w:ascii="宋体" w:hAnsi="宋体"/>
          <w:color w:val="auto"/>
          <w:sz w:val="24"/>
          <w:szCs w:val="24"/>
        </w:rPr>
        <w:t>1小时内确诊，总故障解决时间不超过4小时。</w:t>
      </w:r>
    </w:p>
    <w:p w14:paraId="0D4C5C8E">
      <w:pPr>
        <w:pStyle w:val="128"/>
        <w:snapToGrid w:val="0"/>
        <w:spacing w:line="360" w:lineRule="auto"/>
        <w:ind w:firstLine="480"/>
        <w:rPr>
          <w:rFonts w:ascii="宋体" w:hAnsi="宋体"/>
          <w:color w:val="auto"/>
          <w:sz w:val="24"/>
          <w:szCs w:val="24"/>
        </w:rPr>
      </w:pPr>
      <w:r>
        <w:rPr>
          <w:rFonts w:hint="eastAsia" w:ascii="宋体" w:hAnsi="宋体"/>
          <w:color w:val="auto"/>
          <w:sz w:val="24"/>
          <w:szCs w:val="24"/>
        </w:rPr>
        <w:t>二级故障：在</w:t>
      </w:r>
      <w:r>
        <w:rPr>
          <w:rFonts w:ascii="宋体" w:hAnsi="宋体"/>
          <w:color w:val="auto"/>
          <w:sz w:val="24"/>
          <w:szCs w:val="24"/>
        </w:rPr>
        <w:t>2小时内确诊，总故障解决时间不超过8小时</w:t>
      </w:r>
      <w:r>
        <w:rPr>
          <w:rFonts w:hint="eastAsia" w:ascii="宋体" w:hAnsi="宋体"/>
          <w:color w:val="auto"/>
          <w:sz w:val="24"/>
          <w:szCs w:val="24"/>
        </w:rPr>
        <w:t>。</w:t>
      </w:r>
    </w:p>
    <w:p w14:paraId="1D22E492">
      <w:pPr>
        <w:spacing w:line="600" w:lineRule="exact"/>
        <w:ind w:firstLine="480" w:firstLineChars="200"/>
        <w:rPr>
          <w:rFonts w:hint="eastAsia" w:ascii="宋体" w:hAnsi="宋体" w:eastAsia="宋体" w:cs="Times New Roman"/>
          <w:color w:val="auto"/>
          <w:kern w:val="2"/>
          <w:sz w:val="24"/>
          <w:szCs w:val="24"/>
          <w:highlight w:val="yellow"/>
          <w:lang w:val="en-US" w:eastAsia="zh-CN" w:bidi="ar-SA"/>
        </w:rPr>
      </w:pPr>
      <w:r>
        <w:rPr>
          <w:rFonts w:hint="eastAsia" w:ascii="宋体" w:hAnsi="宋体"/>
          <w:color w:val="auto"/>
          <w:sz w:val="24"/>
          <w:szCs w:val="24"/>
        </w:rPr>
        <w:t>三、四级故障：在</w:t>
      </w:r>
      <w:r>
        <w:rPr>
          <w:rFonts w:ascii="宋体" w:hAnsi="宋体"/>
          <w:color w:val="auto"/>
          <w:sz w:val="24"/>
          <w:szCs w:val="24"/>
        </w:rPr>
        <w:t>4小时内确诊，总故障解决时间不超过16小时</w:t>
      </w:r>
      <w:r>
        <w:rPr>
          <w:rFonts w:hint="eastAsia"/>
          <w:color w:val="auto"/>
          <w:sz w:val="24"/>
          <w:szCs w:val="24"/>
          <w:lang w:eastAsia="zh-CN"/>
        </w:rPr>
        <w:t>。</w:t>
      </w:r>
    </w:p>
    <w:p w14:paraId="7F667F9D">
      <w:pPr>
        <w:pStyle w:val="3"/>
        <w:numPr>
          <w:ilvl w:val="1"/>
          <w:numId w:val="1"/>
        </w:numPr>
        <w:rPr>
          <w:rFonts w:hint="eastAsia"/>
          <w:color w:val="auto"/>
          <w:lang w:val="en-US" w:eastAsia="zh-CN"/>
        </w:rPr>
      </w:pPr>
      <w:r>
        <w:rPr>
          <w:rFonts w:hint="eastAsia"/>
          <w:color w:val="auto"/>
          <w:lang w:val="en-US" w:eastAsia="zh-CN"/>
        </w:rPr>
        <w:t>网络与数据安全</w:t>
      </w:r>
    </w:p>
    <w:p w14:paraId="4182D0C7">
      <w:pPr>
        <w:rPr>
          <w:rFonts w:hint="eastAsia"/>
          <w:color w:val="auto"/>
          <w:highlight w:val="none"/>
          <w:lang w:val="en-US"/>
        </w:rPr>
      </w:pPr>
      <w:r>
        <w:rPr>
          <w:rFonts w:hint="eastAsia"/>
          <w:color w:val="auto"/>
          <w:highlight w:val="none"/>
        </w:rPr>
        <w:t>(1)</w:t>
      </w:r>
      <w:r>
        <w:rPr>
          <w:rFonts w:hint="eastAsia"/>
          <w:color w:val="auto"/>
          <w:highlight w:val="none"/>
          <w:lang w:eastAsia="zh-CN"/>
        </w:rPr>
        <w:t>供应商</w:t>
      </w:r>
      <w:r>
        <w:rPr>
          <w:rFonts w:hint="eastAsia"/>
          <w:color w:val="auto"/>
          <w:highlight w:val="none"/>
        </w:rPr>
        <w:t>应在项目深化设计阶段，应开展安全需求调研和数据分类分级工作，制定网络和数据安全设计方案，制定总体安全技术架构，明确边界防护、访问控制、权限管理、系统安全配置、身份鉴别、入侵防范等系统安全防护措施，制定差异化的数据安全防护手段，确保数据全生命周期安全。</w:t>
      </w:r>
    </w:p>
    <w:p w14:paraId="1AA2290C">
      <w:pPr>
        <w:rPr>
          <w:rFonts w:hint="eastAsia"/>
          <w:color w:val="auto"/>
          <w:highlight w:val="none"/>
          <w:lang w:val="en-US"/>
        </w:rPr>
      </w:pPr>
      <w:r>
        <w:rPr>
          <w:rFonts w:hint="eastAsia"/>
          <w:color w:val="auto"/>
          <w:highlight w:val="none"/>
        </w:rPr>
        <w:t>(</w:t>
      </w:r>
      <w:r>
        <w:rPr>
          <w:rFonts w:hint="eastAsia"/>
          <w:color w:val="auto"/>
          <w:highlight w:val="none"/>
          <w:lang w:val="en-US" w:eastAsia="zh-CN"/>
        </w:rPr>
        <w:t>2</w:t>
      </w:r>
      <w:r>
        <w:rPr>
          <w:rFonts w:hint="eastAsia"/>
          <w:color w:val="auto"/>
          <w:highlight w:val="none"/>
        </w:rPr>
        <w:t>)</w:t>
      </w:r>
      <w:r>
        <w:rPr>
          <w:rFonts w:hint="eastAsia"/>
          <w:color w:val="auto"/>
          <w:highlight w:val="none"/>
          <w:lang w:eastAsia="zh-CN"/>
        </w:rPr>
        <w:t>供应商</w:t>
      </w:r>
      <w:r>
        <w:rPr>
          <w:rFonts w:hint="eastAsia"/>
          <w:color w:val="auto"/>
          <w:highlight w:val="none"/>
        </w:rPr>
        <w:t>应配合</w:t>
      </w:r>
      <w:r>
        <w:rPr>
          <w:rFonts w:hint="eastAsia"/>
          <w:color w:val="auto"/>
          <w:highlight w:val="none"/>
          <w:lang w:eastAsia="zh-CN"/>
        </w:rPr>
        <w:t>采购人</w:t>
      </w:r>
      <w:r>
        <w:rPr>
          <w:rFonts w:hint="eastAsia"/>
          <w:color w:val="auto"/>
          <w:highlight w:val="none"/>
        </w:rPr>
        <w:t>开展相关安全制度和规范的制定，并根据项目实际，制定项目实施过程安全管理方案。</w:t>
      </w:r>
    </w:p>
    <w:p w14:paraId="335708D6">
      <w:pPr>
        <w:rPr>
          <w:rFonts w:hint="eastAsia"/>
          <w:color w:val="auto"/>
          <w:highlight w:val="none"/>
          <w:lang w:val="en-US"/>
        </w:rPr>
      </w:pPr>
      <w:r>
        <w:rPr>
          <w:rFonts w:hint="eastAsia"/>
          <w:color w:val="auto"/>
          <w:highlight w:val="none"/>
        </w:rPr>
        <w:t>(</w:t>
      </w:r>
      <w:r>
        <w:rPr>
          <w:rFonts w:hint="eastAsia"/>
          <w:color w:val="auto"/>
          <w:highlight w:val="none"/>
          <w:lang w:val="en-US" w:eastAsia="zh-CN"/>
        </w:rPr>
        <w:t>3</w:t>
      </w:r>
      <w:r>
        <w:rPr>
          <w:rFonts w:hint="eastAsia"/>
          <w:color w:val="auto"/>
          <w:highlight w:val="none"/>
        </w:rPr>
        <w:t>)</w:t>
      </w:r>
      <w:r>
        <w:rPr>
          <w:rFonts w:hint="eastAsia"/>
          <w:color w:val="auto"/>
          <w:highlight w:val="none"/>
          <w:lang w:eastAsia="zh-CN"/>
        </w:rPr>
        <w:t>供应商</w:t>
      </w:r>
      <w:r>
        <w:rPr>
          <w:rFonts w:hint="eastAsia"/>
          <w:color w:val="auto"/>
          <w:highlight w:val="none"/>
        </w:rPr>
        <w:t>应确保所提供的软件产品和定制开发内容所涉及的供应链满足</w:t>
      </w:r>
      <w:r>
        <w:rPr>
          <w:rFonts w:hint="eastAsia"/>
          <w:color w:val="auto"/>
          <w:highlight w:val="none"/>
          <w:lang w:eastAsia="zh-CN"/>
        </w:rPr>
        <w:t>采购人</w:t>
      </w:r>
      <w:r>
        <w:rPr>
          <w:rFonts w:hint="eastAsia"/>
          <w:color w:val="auto"/>
          <w:highlight w:val="none"/>
        </w:rPr>
        <w:t>的管理要求，落实供应链安全控制措施，</w:t>
      </w:r>
      <w:r>
        <w:rPr>
          <w:rFonts w:hint="eastAsia"/>
          <w:color w:val="auto"/>
          <w:highlight w:val="none"/>
          <w:lang w:val="en-US" w:eastAsia="zh-CN"/>
        </w:rPr>
        <w:t>采购人应提供具备相应资质与能力的专业网络安全团队，负责对本项目开展代码安全检测、代码质量评估、系统漏洞扫描、第三方组件安全评估等工作</w:t>
      </w:r>
      <w:r>
        <w:rPr>
          <w:rFonts w:hint="eastAsia"/>
          <w:color w:val="auto"/>
          <w:highlight w:val="none"/>
        </w:rPr>
        <w:t>包括代码安全检测和质量评估、漏洞扫描、第三方组件评估等工作</w:t>
      </w:r>
      <w:r>
        <w:rPr>
          <w:rFonts w:hint="eastAsia"/>
          <w:color w:val="auto"/>
          <w:highlight w:val="none"/>
          <w:lang w:val="en-US" w:eastAsia="zh-CN"/>
        </w:rPr>
        <w:t>）</w:t>
      </w:r>
      <w:r>
        <w:rPr>
          <w:rFonts w:hint="eastAsia"/>
          <w:color w:val="auto"/>
          <w:highlight w:val="none"/>
        </w:rPr>
        <w:t>，</w:t>
      </w:r>
      <w:r>
        <w:rPr>
          <w:rFonts w:hint="eastAsia"/>
          <w:color w:val="auto"/>
          <w:highlight w:val="none"/>
          <w:lang w:eastAsia="zh-CN"/>
        </w:rPr>
        <w:t>供应商</w:t>
      </w:r>
      <w:r>
        <w:rPr>
          <w:rFonts w:hint="eastAsia"/>
          <w:color w:val="auto"/>
          <w:highlight w:val="none"/>
          <w:lang w:val="en-US" w:eastAsia="zh-CN"/>
        </w:rPr>
        <w:t>应配合其提供必要的安全整改支持，</w:t>
      </w:r>
      <w:r>
        <w:rPr>
          <w:rFonts w:hint="eastAsia"/>
          <w:color w:val="auto"/>
          <w:highlight w:val="none"/>
        </w:rPr>
        <w:t>并于系统上线前，完成信息化资产的梳理。</w:t>
      </w:r>
    </w:p>
    <w:p w14:paraId="3DB12F51">
      <w:pPr>
        <w:rPr>
          <w:rFonts w:hint="eastAsia"/>
          <w:color w:val="auto"/>
          <w:highlight w:val="none"/>
          <w:lang w:val="en-US"/>
        </w:rPr>
      </w:pPr>
      <w:r>
        <w:rPr>
          <w:rFonts w:hint="eastAsia"/>
          <w:color w:val="auto"/>
          <w:highlight w:val="none"/>
        </w:rPr>
        <w:t>(</w:t>
      </w:r>
      <w:r>
        <w:rPr>
          <w:rFonts w:hint="eastAsia"/>
          <w:color w:val="auto"/>
          <w:highlight w:val="none"/>
          <w:lang w:val="en-US" w:eastAsia="zh-CN"/>
        </w:rPr>
        <w:t>4</w:t>
      </w:r>
      <w:r>
        <w:rPr>
          <w:rFonts w:hint="eastAsia"/>
          <w:color w:val="auto"/>
          <w:highlight w:val="none"/>
        </w:rPr>
        <w:t>)</w:t>
      </w:r>
      <w:r>
        <w:rPr>
          <w:rFonts w:hint="eastAsia"/>
          <w:color w:val="auto"/>
          <w:highlight w:val="none"/>
          <w:lang w:eastAsia="zh-CN"/>
        </w:rPr>
        <w:t>供应商</w:t>
      </w:r>
      <w:r>
        <w:rPr>
          <w:rFonts w:hint="eastAsia"/>
          <w:color w:val="auto"/>
          <w:highlight w:val="none"/>
        </w:rPr>
        <w:t>应在项目实施过程中，推动安全开发控制工作的实施，按照安全设计方案和</w:t>
      </w:r>
      <w:r>
        <w:rPr>
          <w:rFonts w:hint="eastAsia"/>
          <w:color w:val="auto"/>
          <w:highlight w:val="none"/>
          <w:lang w:eastAsia="zh-CN"/>
        </w:rPr>
        <w:t>采购人</w:t>
      </w:r>
      <w:r>
        <w:rPr>
          <w:rFonts w:hint="eastAsia"/>
          <w:color w:val="auto"/>
          <w:highlight w:val="none"/>
        </w:rPr>
        <w:t>安全开发要求，落实安全开发规范，确保代码质量和安全性。</w:t>
      </w:r>
      <w:r>
        <w:rPr>
          <w:rFonts w:hint="eastAsia"/>
          <w:color w:val="auto"/>
          <w:highlight w:val="none"/>
          <w:lang w:eastAsia="zh-CN"/>
        </w:rPr>
        <w:t>供应商</w:t>
      </w:r>
      <w:r>
        <w:rPr>
          <w:rFonts w:hint="eastAsia"/>
          <w:color w:val="auto"/>
          <w:highlight w:val="none"/>
        </w:rPr>
        <w:t>应确保系统开发及生产环境安全，落实安全管理策略及安全配置。</w:t>
      </w:r>
    </w:p>
    <w:p w14:paraId="77EA24C2">
      <w:pPr>
        <w:rPr>
          <w:rFonts w:hint="eastAsia"/>
          <w:color w:val="auto"/>
          <w:highlight w:val="none"/>
          <w:lang w:val="en-US"/>
        </w:rPr>
      </w:pPr>
      <w:r>
        <w:rPr>
          <w:rFonts w:hint="eastAsia"/>
          <w:color w:val="auto"/>
          <w:highlight w:val="none"/>
        </w:rPr>
        <w:t>(</w:t>
      </w:r>
      <w:r>
        <w:rPr>
          <w:rFonts w:hint="eastAsia"/>
          <w:color w:val="auto"/>
          <w:highlight w:val="none"/>
          <w:lang w:val="en-US" w:eastAsia="zh-CN"/>
        </w:rPr>
        <w:t>5</w:t>
      </w:r>
      <w:r>
        <w:rPr>
          <w:rFonts w:hint="eastAsia"/>
          <w:color w:val="auto"/>
          <w:highlight w:val="none"/>
        </w:rPr>
        <w:t>)</w:t>
      </w:r>
      <w:r>
        <w:rPr>
          <w:rFonts w:hint="eastAsia"/>
          <w:color w:val="auto"/>
          <w:highlight w:val="none"/>
          <w:lang w:eastAsia="zh-CN"/>
        </w:rPr>
        <w:t>供应商</w:t>
      </w:r>
      <w:r>
        <w:rPr>
          <w:rFonts w:hint="eastAsia"/>
          <w:color w:val="auto"/>
          <w:highlight w:val="none"/>
        </w:rPr>
        <w:t>应在项目实施过程中，按照数据差异化安全防护策略，根据系统需要采取数据加密、数据访问控制、日志记录、流转监测等防护能力及相关管理流程，切实保障数据安全。</w:t>
      </w:r>
    </w:p>
    <w:p w14:paraId="4D822DD2">
      <w:pPr>
        <w:rPr>
          <w:rFonts w:hint="eastAsia"/>
          <w:color w:val="auto"/>
          <w:highlight w:val="none"/>
        </w:rPr>
      </w:pPr>
      <w:r>
        <w:rPr>
          <w:rFonts w:hint="eastAsia"/>
          <w:color w:val="auto"/>
          <w:highlight w:val="none"/>
        </w:rPr>
        <w:t>(</w:t>
      </w:r>
      <w:r>
        <w:rPr>
          <w:rFonts w:hint="eastAsia"/>
          <w:color w:val="auto"/>
          <w:highlight w:val="none"/>
          <w:lang w:val="en-US" w:eastAsia="zh-CN"/>
        </w:rPr>
        <w:t>6</w:t>
      </w:r>
      <w:r>
        <w:rPr>
          <w:rFonts w:hint="eastAsia"/>
          <w:color w:val="auto"/>
          <w:highlight w:val="none"/>
        </w:rPr>
        <w:t>)</w:t>
      </w:r>
      <w:r>
        <w:rPr>
          <w:rFonts w:hint="eastAsia"/>
          <w:color w:val="auto"/>
          <w:highlight w:val="none"/>
          <w:lang w:eastAsia="zh-CN"/>
        </w:rPr>
        <w:t>供应商</w:t>
      </w:r>
      <w:r>
        <w:rPr>
          <w:rFonts w:hint="eastAsia"/>
          <w:color w:val="auto"/>
          <w:highlight w:val="none"/>
        </w:rPr>
        <w:t>应按照</w:t>
      </w:r>
      <w:r>
        <w:rPr>
          <w:rFonts w:hint="eastAsia"/>
          <w:color w:val="auto"/>
          <w:highlight w:val="none"/>
          <w:lang w:eastAsia="zh-CN"/>
        </w:rPr>
        <w:t>采购人</w:t>
      </w:r>
      <w:r>
        <w:rPr>
          <w:rFonts w:hint="eastAsia"/>
          <w:color w:val="auto"/>
          <w:highlight w:val="none"/>
        </w:rPr>
        <w:t>场地及人员安全管理制度，加强人员管理，配合</w:t>
      </w:r>
      <w:r>
        <w:rPr>
          <w:rFonts w:hint="eastAsia"/>
          <w:color w:val="auto"/>
          <w:highlight w:val="none"/>
          <w:lang w:eastAsia="zh-CN"/>
        </w:rPr>
        <w:t>采购人</w:t>
      </w:r>
      <w:r>
        <w:rPr>
          <w:rFonts w:hint="eastAsia"/>
          <w:color w:val="auto"/>
          <w:highlight w:val="none"/>
        </w:rPr>
        <w:t>落实人员背调、入离场、终端管理、网络限制、数据权限最小化等管控措施。</w:t>
      </w:r>
    </w:p>
    <w:p w14:paraId="4F68642B">
      <w:pPr>
        <w:rPr>
          <w:rFonts w:hint="eastAsia"/>
          <w:color w:val="auto"/>
          <w:highlight w:val="none"/>
        </w:rPr>
      </w:pPr>
      <w:r>
        <w:rPr>
          <w:rFonts w:hint="eastAsia"/>
          <w:color w:val="auto"/>
          <w:highlight w:val="none"/>
        </w:rPr>
        <w:t>(</w:t>
      </w:r>
      <w:r>
        <w:rPr>
          <w:rFonts w:hint="eastAsia"/>
          <w:color w:val="auto"/>
          <w:highlight w:val="none"/>
          <w:lang w:val="en-US" w:eastAsia="zh-CN"/>
        </w:rPr>
        <w:t>7</w:t>
      </w:r>
      <w:r>
        <w:rPr>
          <w:rFonts w:hint="eastAsia"/>
          <w:color w:val="auto"/>
          <w:highlight w:val="none"/>
        </w:rPr>
        <w:t>)</w:t>
      </w:r>
      <w:r>
        <w:rPr>
          <w:rFonts w:hint="eastAsia"/>
          <w:color w:val="auto"/>
          <w:highlight w:val="none"/>
          <w:lang w:eastAsia="zh-CN"/>
        </w:rPr>
        <w:t>供应商</w:t>
      </w:r>
      <w:r>
        <w:rPr>
          <w:rFonts w:hint="eastAsia"/>
          <w:color w:val="auto"/>
          <w:highlight w:val="none"/>
        </w:rPr>
        <w:t>应配合</w:t>
      </w:r>
      <w:r>
        <w:rPr>
          <w:rFonts w:hint="eastAsia"/>
          <w:color w:val="auto"/>
          <w:highlight w:val="none"/>
          <w:lang w:eastAsia="zh-CN"/>
        </w:rPr>
        <w:t>采购人</w:t>
      </w:r>
      <w:r>
        <w:rPr>
          <w:rFonts w:hint="eastAsia"/>
          <w:color w:val="auto"/>
          <w:highlight w:val="none"/>
        </w:rPr>
        <w:t>开展系统安全事件（含业务故障）级别划分，制定应急预案，并落实应急预案中规定的应急响应要求。</w:t>
      </w:r>
    </w:p>
    <w:p w14:paraId="38935D37">
      <w:pPr>
        <w:rPr>
          <w:rFonts w:hint="eastAsia"/>
          <w:color w:val="auto"/>
          <w:highlight w:val="none"/>
          <w:lang w:val="en-US"/>
        </w:rPr>
      </w:pPr>
      <w:r>
        <w:rPr>
          <w:rFonts w:hint="eastAsia"/>
          <w:color w:val="auto"/>
          <w:highlight w:val="none"/>
          <w:lang w:val="en-US" w:eastAsia="zh-CN"/>
        </w:rPr>
        <w:t>8</w:t>
      </w:r>
      <w:r>
        <w:rPr>
          <w:rFonts w:hint="eastAsia"/>
          <w:color w:val="auto"/>
          <w:highlight w:val="none"/>
        </w:rPr>
        <w:t>)</w:t>
      </w:r>
      <w:r>
        <w:rPr>
          <w:rFonts w:hint="eastAsia"/>
          <w:color w:val="auto"/>
          <w:highlight w:val="none"/>
          <w:lang w:eastAsia="zh-CN"/>
        </w:rPr>
        <w:t>供应商</w:t>
      </w:r>
      <w:r>
        <w:rPr>
          <w:rFonts w:hint="eastAsia"/>
          <w:color w:val="auto"/>
          <w:highlight w:val="none"/>
        </w:rPr>
        <w:t>应于系统上线部署前对系统运行环境、应用软件等开展安全自查，并于项目初验及系统试运行阶段，配合</w:t>
      </w:r>
      <w:r>
        <w:rPr>
          <w:rFonts w:hint="eastAsia"/>
          <w:color w:val="auto"/>
          <w:highlight w:val="none"/>
          <w:lang w:eastAsia="zh-CN"/>
        </w:rPr>
        <w:t>采购人</w:t>
      </w:r>
      <w:r>
        <w:rPr>
          <w:rFonts w:hint="eastAsia"/>
          <w:color w:val="auto"/>
          <w:highlight w:val="none"/>
        </w:rPr>
        <w:t>开展安测、密测、等保、密评、数据安全风险评估等系列安全测试、评估工作，针对发现的问题及时完成整改，确保系统上线安全。</w:t>
      </w:r>
    </w:p>
    <w:p w14:paraId="334DCCAF">
      <w:pPr>
        <w:rPr>
          <w:rFonts w:hint="eastAsia"/>
          <w:color w:val="auto"/>
          <w:highlight w:val="none"/>
          <w:lang w:val="en-US"/>
        </w:rPr>
      </w:pPr>
      <w:r>
        <w:rPr>
          <w:rFonts w:hint="eastAsia"/>
          <w:color w:val="auto"/>
          <w:highlight w:val="none"/>
        </w:rPr>
        <w:t>(</w:t>
      </w:r>
      <w:r>
        <w:rPr>
          <w:rFonts w:hint="eastAsia"/>
          <w:color w:val="auto"/>
          <w:highlight w:val="none"/>
          <w:lang w:val="en-US" w:eastAsia="zh-CN"/>
        </w:rPr>
        <w:t>9</w:t>
      </w:r>
      <w:r>
        <w:rPr>
          <w:rFonts w:hint="eastAsia"/>
          <w:color w:val="auto"/>
          <w:highlight w:val="none"/>
        </w:rPr>
        <w:t>)</w:t>
      </w:r>
      <w:r>
        <w:rPr>
          <w:rFonts w:hint="eastAsia"/>
          <w:color w:val="auto"/>
          <w:highlight w:val="none"/>
          <w:lang w:eastAsia="zh-CN"/>
        </w:rPr>
        <w:t>供应商</w:t>
      </w:r>
      <w:r>
        <w:rPr>
          <w:rFonts w:hint="eastAsia"/>
          <w:color w:val="auto"/>
          <w:highlight w:val="none"/>
        </w:rPr>
        <w:t>应在系统免维期内承担系统安全运维管理责任，落实安全管理保障措施，包括但不限于制度修订、风险排查、应急响应、漏洞修复、重保等工作。</w:t>
      </w:r>
    </w:p>
    <w:p w14:paraId="4628A543">
      <w:pPr>
        <w:pStyle w:val="3"/>
        <w:numPr>
          <w:ilvl w:val="1"/>
          <w:numId w:val="1"/>
        </w:numPr>
        <w:rPr>
          <w:color w:val="auto"/>
        </w:rPr>
      </w:pPr>
      <w:bookmarkStart w:id="32" w:name="_Toc63785507"/>
      <w:r>
        <w:rPr>
          <w:rFonts w:hint="eastAsia"/>
          <w:color w:val="auto"/>
        </w:rPr>
        <w:t>培训要求</w:t>
      </w:r>
      <w:bookmarkEnd w:id="32"/>
    </w:p>
    <w:p w14:paraId="466CFBAD">
      <w:pPr>
        <w:rPr>
          <w:color w:val="auto"/>
        </w:rPr>
      </w:pPr>
      <w:r>
        <w:rPr>
          <w:rFonts w:hint="eastAsia"/>
          <w:color w:val="auto"/>
        </w:rPr>
        <w:t>对系统使用单位提供业务操作培训，应提供详细培训方案。</w:t>
      </w:r>
    </w:p>
    <w:p w14:paraId="08500DED">
      <w:pPr>
        <w:rPr>
          <w:color w:val="auto"/>
        </w:rPr>
      </w:pPr>
      <w:r>
        <w:rPr>
          <w:rFonts w:hint="eastAsia"/>
          <w:color w:val="auto"/>
        </w:rPr>
        <w:t>(1)在12个月的质量保证期内，提供2次与项目相关的必要培训。</w:t>
      </w:r>
    </w:p>
    <w:p w14:paraId="764CDC38">
      <w:pPr>
        <w:rPr>
          <w:color w:val="auto"/>
        </w:rPr>
      </w:pPr>
      <w:r>
        <w:rPr>
          <w:rFonts w:hint="eastAsia"/>
          <w:color w:val="auto"/>
        </w:rPr>
        <w:t>(2)供应商需要开展分层次的人员培训工作，每次培训后应对参加培训人员进行测试，评估培训成果。培训应具有培训教材、培训环境和高水平的培训讲师。</w:t>
      </w:r>
    </w:p>
    <w:p w14:paraId="3C5D2D84">
      <w:pPr>
        <w:rPr>
          <w:color w:val="auto"/>
        </w:rPr>
      </w:pPr>
      <w:r>
        <w:rPr>
          <w:rFonts w:hint="eastAsia"/>
          <w:color w:val="auto"/>
        </w:rPr>
        <w:t>(3)供应商应提供一般用户的基础操作培训和部门信息管理员的日常应用维护的培训，确保用户对象能够掌握对应的操作技能。</w:t>
      </w:r>
    </w:p>
    <w:p w14:paraId="3CB6330A">
      <w:pPr>
        <w:pStyle w:val="3"/>
        <w:numPr>
          <w:ilvl w:val="1"/>
          <w:numId w:val="1"/>
        </w:numPr>
        <w:rPr>
          <w:color w:val="auto"/>
        </w:rPr>
      </w:pPr>
      <w:bookmarkStart w:id="33" w:name="_Toc63785508"/>
      <w:r>
        <w:rPr>
          <w:rFonts w:hint="eastAsia"/>
          <w:color w:val="auto"/>
        </w:rPr>
        <w:t>验收要求</w:t>
      </w:r>
      <w:bookmarkEnd w:id="33"/>
    </w:p>
    <w:p w14:paraId="544EC14F">
      <w:pPr>
        <w:rPr>
          <w:color w:val="auto"/>
          <w:szCs w:val="21"/>
        </w:rPr>
      </w:pPr>
      <w:r>
        <w:rPr>
          <w:rFonts w:hint="eastAsia"/>
          <w:color w:val="auto"/>
          <w:szCs w:val="21"/>
        </w:rPr>
        <w:t>本项目按下述方式开展验收。</w:t>
      </w:r>
    </w:p>
    <w:p w14:paraId="631D7A0B">
      <w:pPr>
        <w:rPr>
          <w:color w:val="auto"/>
          <w:szCs w:val="21"/>
        </w:rPr>
      </w:pPr>
      <w:r>
        <w:rPr>
          <w:rFonts w:hint="eastAsia"/>
          <w:color w:val="auto"/>
          <w:szCs w:val="21"/>
        </w:rPr>
        <w:t>（</w:t>
      </w:r>
      <w:r>
        <w:rPr>
          <w:color w:val="auto"/>
          <w:szCs w:val="21"/>
        </w:rPr>
        <w:t>1）验收分初验和终验。</w:t>
      </w:r>
    </w:p>
    <w:p w14:paraId="3D0CB096">
      <w:pPr>
        <w:rPr>
          <w:color w:val="auto"/>
          <w:szCs w:val="21"/>
        </w:rPr>
      </w:pPr>
      <w:r>
        <w:rPr>
          <w:rFonts w:hint="eastAsia"/>
          <w:color w:val="auto"/>
          <w:szCs w:val="21"/>
        </w:rPr>
        <w:t>（</w:t>
      </w:r>
      <w:r>
        <w:rPr>
          <w:color w:val="auto"/>
          <w:szCs w:val="21"/>
        </w:rPr>
        <w:t>2）初验前，供应商须完成软件开发、软硬件安装和信息系统的调试等，并对本项目进行功能和运行检测，确保所有信息系统功能模块能够正常运行且已达到本项目约定的各类标准要求。供应商应以书面形式向</w:t>
      </w:r>
      <w:r>
        <w:rPr>
          <w:rFonts w:hint="eastAsia"/>
          <w:color w:val="auto"/>
          <w:szCs w:val="21"/>
          <w:lang w:eastAsia="zh-CN"/>
        </w:rPr>
        <w:t>采购人</w:t>
      </w:r>
      <w:r>
        <w:rPr>
          <w:color w:val="auto"/>
          <w:szCs w:val="21"/>
        </w:rPr>
        <w:t>递交初验通知书。</w:t>
      </w:r>
      <w:r>
        <w:rPr>
          <w:rFonts w:hint="eastAsia"/>
          <w:color w:val="auto"/>
          <w:szCs w:val="21"/>
          <w:lang w:eastAsia="zh-CN"/>
        </w:rPr>
        <w:t>采购人</w:t>
      </w:r>
      <w:r>
        <w:rPr>
          <w:color w:val="auto"/>
          <w:szCs w:val="21"/>
        </w:rPr>
        <w:t>应当在接到通知后的5个工作日内确定初验的具体日期，由双方按照本项目的约定完成本项目的初验。</w:t>
      </w:r>
      <w:r>
        <w:rPr>
          <w:rFonts w:hint="eastAsia"/>
          <w:color w:val="auto"/>
          <w:szCs w:val="21"/>
          <w:lang w:eastAsia="zh-CN"/>
        </w:rPr>
        <w:t>采购人</w:t>
      </w:r>
      <w:r>
        <w:rPr>
          <w:color w:val="auto"/>
          <w:szCs w:val="21"/>
        </w:rPr>
        <w:t>有权委托第三方检测机构进行验收，对此供应商应当配合。</w:t>
      </w:r>
    </w:p>
    <w:p w14:paraId="550830A8">
      <w:pPr>
        <w:rPr>
          <w:color w:val="auto"/>
          <w:szCs w:val="21"/>
        </w:rPr>
      </w:pPr>
      <w:r>
        <w:rPr>
          <w:rFonts w:hint="eastAsia"/>
          <w:color w:val="auto"/>
          <w:szCs w:val="21"/>
        </w:rPr>
        <w:t>（</w:t>
      </w:r>
      <w:r>
        <w:rPr>
          <w:color w:val="auto"/>
          <w:szCs w:val="21"/>
        </w:rPr>
        <w:t>3）初验时，供应商须提供软件文档包括《用户需求说明书》、《系统概要设计说明书》、《系统详细设计说明书》、</w:t>
      </w:r>
      <w:r>
        <w:rPr>
          <w:rFonts w:hint="eastAsia"/>
          <w:color w:val="auto"/>
          <w:szCs w:val="21"/>
        </w:rPr>
        <w:t>《三方功能需求确认单》、</w:t>
      </w:r>
      <w:r>
        <w:rPr>
          <w:color w:val="auto"/>
          <w:szCs w:val="21"/>
        </w:rPr>
        <w:t>《测试报告》、《用户使用手册》、《系统部署文档》等）及可安装的程序运行文件。所交付的文档与文件应当是可供自然人阅读的书面和电子文档。软件文档及可安装的程序运行文件验收通过后，视为初验通过。如有缺陷，</w:t>
      </w:r>
      <w:r>
        <w:rPr>
          <w:rFonts w:hint="eastAsia"/>
          <w:color w:val="auto"/>
          <w:szCs w:val="21"/>
          <w:lang w:eastAsia="zh-CN"/>
        </w:rPr>
        <w:t>采购人</w:t>
      </w:r>
      <w:r>
        <w:rPr>
          <w:color w:val="auto"/>
          <w:szCs w:val="21"/>
        </w:rPr>
        <w:t>应向供应商出具书面报告，陈述需要改进的缺陷。供应商应立即严格依照</w:t>
      </w:r>
      <w:r>
        <w:rPr>
          <w:rFonts w:hint="eastAsia"/>
          <w:color w:val="auto"/>
          <w:szCs w:val="21"/>
          <w:lang w:eastAsia="zh-CN"/>
        </w:rPr>
        <w:t>采购人</w:t>
      </w:r>
      <w:r>
        <w:rPr>
          <w:color w:val="auto"/>
          <w:szCs w:val="21"/>
        </w:rPr>
        <w:t>的书面报告中的要求改进缺陷，并再次进行初验。</w:t>
      </w:r>
    </w:p>
    <w:p w14:paraId="056B7523">
      <w:pPr>
        <w:rPr>
          <w:color w:val="auto"/>
          <w:szCs w:val="21"/>
        </w:rPr>
      </w:pPr>
      <w:r>
        <w:rPr>
          <w:rFonts w:hint="eastAsia"/>
          <w:color w:val="auto"/>
          <w:szCs w:val="21"/>
        </w:rPr>
        <w:t>（</w:t>
      </w:r>
      <w:r>
        <w:rPr>
          <w:color w:val="auto"/>
          <w:szCs w:val="21"/>
        </w:rPr>
        <w:t>4）自初验通过之日起，</w:t>
      </w:r>
      <w:r>
        <w:rPr>
          <w:rFonts w:hint="eastAsia"/>
          <w:color w:val="auto"/>
          <w:szCs w:val="21"/>
          <w:lang w:eastAsia="zh-CN"/>
        </w:rPr>
        <w:t>采购人</w:t>
      </w:r>
      <w:r>
        <w:rPr>
          <w:color w:val="auto"/>
          <w:szCs w:val="21"/>
        </w:rPr>
        <w:t>享有供应商免费提供的</w:t>
      </w:r>
      <w:r>
        <w:rPr>
          <w:rFonts w:hint="eastAsia"/>
          <w:color w:val="auto"/>
          <w:szCs w:val="21"/>
          <w:lang w:val="en-US" w:eastAsia="zh-CN"/>
        </w:rPr>
        <w:t>15</w:t>
      </w:r>
      <w:r>
        <w:rPr>
          <w:color w:val="auto"/>
          <w:szCs w:val="21"/>
        </w:rPr>
        <w:t>天的信息系统试运行现场驻场服务期。该期间内，供应商应当按照</w:t>
      </w:r>
      <w:r>
        <w:rPr>
          <w:rFonts w:hint="eastAsia"/>
          <w:color w:val="auto"/>
          <w:szCs w:val="21"/>
          <w:lang w:eastAsia="zh-CN"/>
        </w:rPr>
        <w:t>采购人</w:t>
      </w:r>
      <w:r>
        <w:rPr>
          <w:color w:val="auto"/>
          <w:szCs w:val="21"/>
        </w:rPr>
        <w:t>的要求提供现场技术支持服务，解决信息系统试运行期间可能出现的各类问题，或进一步提高与完善信息系统运行水平。</w:t>
      </w:r>
    </w:p>
    <w:p w14:paraId="04147C0C">
      <w:pPr>
        <w:rPr>
          <w:color w:val="auto"/>
          <w:szCs w:val="21"/>
        </w:rPr>
      </w:pPr>
      <w:r>
        <w:rPr>
          <w:rFonts w:hint="eastAsia"/>
          <w:color w:val="auto"/>
          <w:szCs w:val="21"/>
        </w:rPr>
        <w:t>（</w:t>
      </w:r>
      <w:r>
        <w:rPr>
          <w:color w:val="auto"/>
          <w:szCs w:val="21"/>
        </w:rPr>
        <w:t>5）初验通过</w:t>
      </w:r>
      <w:r>
        <w:rPr>
          <w:rFonts w:hint="eastAsia"/>
          <w:color w:val="auto"/>
          <w:szCs w:val="21"/>
          <w:lang w:val="en-US" w:eastAsia="zh-CN"/>
        </w:rPr>
        <w:t>后30天</w:t>
      </w:r>
      <w:r>
        <w:rPr>
          <w:color w:val="auto"/>
          <w:szCs w:val="21"/>
        </w:rPr>
        <w:t>且信息系统试运行期已经达到本项目约定的时间，经供应商确认信息系统具备正常运行条件，且信息系统通过运行测试，供应商应以书面形式通知</w:t>
      </w:r>
      <w:r>
        <w:rPr>
          <w:rFonts w:hint="eastAsia"/>
          <w:color w:val="auto"/>
          <w:szCs w:val="21"/>
          <w:lang w:eastAsia="zh-CN"/>
        </w:rPr>
        <w:t>采购人</w:t>
      </w:r>
      <w:r>
        <w:rPr>
          <w:color w:val="auto"/>
          <w:szCs w:val="21"/>
        </w:rPr>
        <w:t>信息系统已准备就绪等待终验。</w:t>
      </w:r>
      <w:r>
        <w:rPr>
          <w:rFonts w:hint="eastAsia"/>
          <w:color w:val="auto"/>
          <w:szCs w:val="21"/>
          <w:lang w:eastAsia="zh-CN"/>
        </w:rPr>
        <w:t>采购人</w:t>
      </w:r>
      <w:r>
        <w:rPr>
          <w:color w:val="auto"/>
          <w:szCs w:val="21"/>
        </w:rPr>
        <w:t>在收到终验通知后的</w:t>
      </w:r>
      <w:r>
        <w:rPr>
          <w:rFonts w:hint="eastAsia"/>
          <w:color w:val="auto"/>
          <w:szCs w:val="21"/>
          <w:lang w:val="en-US" w:eastAsia="zh-CN"/>
        </w:rPr>
        <w:t>10</w:t>
      </w:r>
      <w:r>
        <w:rPr>
          <w:color w:val="auto"/>
          <w:szCs w:val="21"/>
        </w:rPr>
        <w:t>个工作日内发起组织专家验收会。</w:t>
      </w:r>
    </w:p>
    <w:p w14:paraId="47390E58">
      <w:pPr>
        <w:rPr>
          <w:color w:val="auto"/>
          <w:szCs w:val="21"/>
        </w:rPr>
      </w:pPr>
      <w:r>
        <w:rPr>
          <w:rFonts w:hint="eastAsia"/>
          <w:color w:val="auto"/>
          <w:szCs w:val="21"/>
        </w:rPr>
        <w:t>（6</w:t>
      </w:r>
      <w:r>
        <w:rPr>
          <w:color w:val="auto"/>
          <w:szCs w:val="21"/>
        </w:rPr>
        <w:t>）如果属于供应商原因致使本项目未能通过终验，供应商应当排除缺陷，直至本项目完全符合验收标准，由上述情形而产生的相关费用应由供应商自行承担。</w:t>
      </w:r>
    </w:p>
    <w:p w14:paraId="75A1B1F3">
      <w:pPr>
        <w:rPr>
          <w:color w:val="auto"/>
          <w:szCs w:val="21"/>
        </w:rPr>
      </w:pPr>
      <w:r>
        <w:rPr>
          <w:rFonts w:hint="eastAsia"/>
          <w:color w:val="auto"/>
          <w:szCs w:val="21"/>
        </w:rPr>
        <w:t>（7</w:t>
      </w:r>
      <w:r>
        <w:rPr>
          <w:color w:val="auto"/>
          <w:szCs w:val="21"/>
        </w:rPr>
        <w:t>）如果由于</w:t>
      </w:r>
      <w:r>
        <w:rPr>
          <w:rFonts w:hint="eastAsia"/>
          <w:color w:val="auto"/>
          <w:szCs w:val="21"/>
          <w:lang w:eastAsia="zh-CN"/>
        </w:rPr>
        <w:t>采购人</w:t>
      </w:r>
      <w:r>
        <w:rPr>
          <w:color w:val="auto"/>
          <w:szCs w:val="21"/>
        </w:rPr>
        <w:t>原因导致本项目在终验通过前出现故障或问题，供应商应及时配合排除该方面的故障或问题。</w:t>
      </w:r>
    </w:p>
    <w:p w14:paraId="1A3445CA">
      <w:pPr>
        <w:rPr>
          <w:color w:val="auto"/>
          <w:szCs w:val="21"/>
        </w:rPr>
      </w:pPr>
      <w:r>
        <w:rPr>
          <w:rFonts w:hint="eastAsia"/>
          <w:color w:val="auto"/>
          <w:szCs w:val="21"/>
        </w:rPr>
        <w:t>（8</w:t>
      </w:r>
      <w:r>
        <w:rPr>
          <w:color w:val="auto"/>
          <w:szCs w:val="21"/>
        </w:rPr>
        <w:t>）如本项目连续3次验收未通过（含初验未通过或终验未通过），</w:t>
      </w:r>
      <w:r>
        <w:rPr>
          <w:rFonts w:hint="eastAsia"/>
          <w:color w:val="auto"/>
          <w:szCs w:val="21"/>
          <w:lang w:eastAsia="zh-CN"/>
        </w:rPr>
        <w:t>采购人</w:t>
      </w:r>
      <w:r>
        <w:rPr>
          <w:color w:val="auto"/>
          <w:szCs w:val="21"/>
        </w:rPr>
        <w:t>有权解除项目，并有权依照本项目约定的违约条款追究供应商的违约责任。</w:t>
      </w:r>
    </w:p>
    <w:p w14:paraId="29980298">
      <w:pPr>
        <w:pStyle w:val="3"/>
        <w:numPr>
          <w:ilvl w:val="1"/>
          <w:numId w:val="1"/>
        </w:numPr>
        <w:rPr>
          <w:color w:val="auto"/>
        </w:rPr>
      </w:pPr>
      <w:bookmarkStart w:id="34" w:name="_Toc63785509"/>
      <w:r>
        <w:rPr>
          <w:rFonts w:hint="eastAsia"/>
          <w:color w:val="auto"/>
        </w:rPr>
        <w:t>进度要求</w:t>
      </w:r>
      <w:bookmarkEnd w:id="34"/>
    </w:p>
    <w:p w14:paraId="2756B9DA">
      <w:pPr>
        <w:rPr>
          <w:rFonts w:hint="eastAsia" w:eastAsia="宋体"/>
          <w:color w:val="auto"/>
          <w:lang w:eastAsia="zh-CN"/>
        </w:rPr>
      </w:pPr>
      <w:r>
        <w:rPr>
          <w:rFonts w:hint="eastAsia"/>
          <w:color w:val="auto"/>
          <w:lang w:eastAsia="zh-CN"/>
        </w:rPr>
        <w:t>需于</w:t>
      </w:r>
      <w:r>
        <w:rPr>
          <w:rFonts w:hint="eastAsia"/>
          <w:color w:val="auto"/>
          <w:lang w:val="en-US" w:eastAsia="zh-CN"/>
        </w:rPr>
        <w:t>2026年11月30日前完成项目并通过采购人验收，供应商</w:t>
      </w:r>
      <w:r>
        <w:rPr>
          <w:rFonts w:hint="eastAsia"/>
          <w:color w:val="auto"/>
        </w:rPr>
        <w:t>应根据建设内容，分阶段制定合理的时间进度，并且应根据</w:t>
      </w:r>
      <w:r>
        <w:rPr>
          <w:rFonts w:hint="eastAsia"/>
          <w:color w:val="auto"/>
          <w:lang w:eastAsia="zh-CN"/>
        </w:rPr>
        <w:t>采购人</w:t>
      </w:r>
      <w:r>
        <w:rPr>
          <w:rFonts w:hint="eastAsia"/>
          <w:color w:val="auto"/>
        </w:rPr>
        <w:t>要求进行调整和细化。</w:t>
      </w:r>
      <w:r>
        <w:rPr>
          <w:rFonts w:hint="eastAsia"/>
          <w:color w:val="auto"/>
          <w:lang w:eastAsia="zh-CN"/>
        </w:rPr>
        <w:t>合理分配</w:t>
      </w:r>
      <w:r>
        <w:rPr>
          <w:rFonts w:hint="eastAsia"/>
          <w:color w:val="auto"/>
          <w:lang w:val="en-US" w:eastAsia="zh-CN"/>
        </w:rPr>
        <w:t>需求调研、方案设计、功能设计、试运行、版发布上线的时间。</w:t>
      </w:r>
    </w:p>
    <w:p w14:paraId="4A103381">
      <w:pPr>
        <w:pStyle w:val="3"/>
        <w:numPr>
          <w:ilvl w:val="1"/>
          <w:numId w:val="1"/>
        </w:numPr>
        <w:rPr>
          <w:color w:val="auto"/>
        </w:rPr>
      </w:pPr>
      <w:r>
        <w:rPr>
          <w:rFonts w:hint="eastAsia"/>
          <w:color w:val="auto"/>
          <w:lang w:eastAsia="zh-CN"/>
        </w:rPr>
        <w:t>供应商综合实力要求</w:t>
      </w:r>
    </w:p>
    <w:p w14:paraId="17CD3032">
      <w:pPr>
        <w:rPr>
          <w:rFonts w:hint="eastAsia" w:eastAsia="宋体"/>
          <w:color w:val="auto"/>
          <w:lang w:eastAsia="zh-CN"/>
        </w:rPr>
      </w:pPr>
      <w:r>
        <w:rPr>
          <w:color w:val="auto"/>
        </w:rPr>
        <w:t>1）</w:t>
      </w:r>
      <w:r>
        <w:rPr>
          <w:rFonts w:hint="eastAsia"/>
          <w:color w:val="auto"/>
          <w:lang w:eastAsia="zh-CN"/>
        </w:rPr>
        <w:t>供应商具有</w:t>
      </w:r>
      <w:r>
        <w:rPr>
          <w:rFonts w:hint="eastAsia"/>
          <w:color w:val="auto"/>
        </w:rPr>
        <w:t>交通工程相关软件著作、专利</w:t>
      </w:r>
      <w:r>
        <w:rPr>
          <w:rFonts w:hint="eastAsia"/>
          <w:color w:val="auto"/>
          <w:lang w:eastAsia="zh-CN"/>
        </w:rPr>
        <w:t>的优先进行考虑。</w:t>
      </w:r>
    </w:p>
    <w:p w14:paraId="57F4D806">
      <w:pPr>
        <w:rPr>
          <w:color w:val="auto"/>
        </w:rPr>
      </w:pPr>
      <w:r>
        <w:rPr>
          <w:rFonts w:hint="eastAsia"/>
          <w:color w:val="auto"/>
          <w:lang w:val="en-US" w:eastAsia="zh-CN"/>
        </w:rPr>
        <w:t>2）</w:t>
      </w:r>
      <w:r>
        <w:rPr>
          <w:rFonts w:hint="eastAsia"/>
          <w:color w:val="auto"/>
          <w:lang w:eastAsia="zh-CN"/>
        </w:rPr>
        <w:t>供应商</w:t>
      </w:r>
      <w:r>
        <w:rPr>
          <w:color w:val="auto"/>
        </w:rPr>
        <w:t>须具有稳定的在职技术保障力量，能够提供及时的技术支援或服务，应针对本项目提供不少于</w:t>
      </w:r>
      <w:r>
        <w:rPr>
          <w:rFonts w:hint="eastAsia"/>
          <w:color w:val="auto"/>
          <w:lang w:val="en-US" w:eastAsia="zh-CN"/>
        </w:rPr>
        <w:t>8</w:t>
      </w:r>
      <w:r>
        <w:rPr>
          <w:color w:val="auto"/>
        </w:rPr>
        <w:t>人的项目服务团队（包括项目经理、产品经理、技术负责人、研发等），相关服务人员需具备相应的服务能力，需提供相关证明。</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1991"/>
        <w:gridCol w:w="1298"/>
        <w:gridCol w:w="2527"/>
        <w:gridCol w:w="1536"/>
      </w:tblGrid>
      <w:tr w14:paraId="6A031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76" w:type="dxa"/>
            <w:shd w:val="clear" w:color="auto" w:fill="auto"/>
            <w:noWrap/>
            <w:vAlign w:val="center"/>
          </w:tcPr>
          <w:p w14:paraId="36E63866">
            <w:pPr>
              <w:widowControl/>
              <w:spacing w:line="240" w:lineRule="auto"/>
              <w:ind w:firstLine="0" w:firstLineChars="0"/>
              <w:jc w:val="center"/>
              <w:rPr>
                <w:b/>
                <w:color w:val="auto"/>
              </w:rPr>
            </w:pPr>
            <w:r>
              <w:rPr>
                <w:rFonts w:hint="eastAsia"/>
                <w:b/>
                <w:color w:val="auto"/>
              </w:rPr>
              <w:t>角色</w:t>
            </w:r>
          </w:p>
        </w:tc>
        <w:tc>
          <w:tcPr>
            <w:tcW w:w="1991" w:type="dxa"/>
            <w:shd w:val="clear" w:color="auto" w:fill="auto"/>
            <w:noWrap/>
            <w:vAlign w:val="center"/>
          </w:tcPr>
          <w:p w14:paraId="44C8EE0A">
            <w:pPr>
              <w:widowControl/>
              <w:spacing w:line="240" w:lineRule="auto"/>
              <w:ind w:firstLine="0" w:firstLineChars="0"/>
              <w:jc w:val="center"/>
              <w:rPr>
                <w:b/>
                <w:color w:val="auto"/>
              </w:rPr>
            </w:pPr>
            <w:r>
              <w:rPr>
                <w:rFonts w:hint="eastAsia"/>
                <w:b/>
                <w:color w:val="auto"/>
              </w:rPr>
              <w:t>主要职责</w:t>
            </w:r>
          </w:p>
        </w:tc>
        <w:tc>
          <w:tcPr>
            <w:tcW w:w="1298" w:type="dxa"/>
            <w:shd w:val="clear" w:color="auto" w:fill="auto"/>
            <w:noWrap/>
            <w:vAlign w:val="center"/>
          </w:tcPr>
          <w:p w14:paraId="62F18E2B">
            <w:pPr>
              <w:widowControl/>
              <w:spacing w:line="240" w:lineRule="auto"/>
              <w:ind w:firstLine="0" w:firstLineChars="0"/>
              <w:jc w:val="center"/>
              <w:rPr>
                <w:b/>
                <w:color w:val="auto"/>
              </w:rPr>
            </w:pPr>
            <w:r>
              <w:rPr>
                <w:rFonts w:hint="eastAsia"/>
                <w:b/>
                <w:color w:val="auto"/>
              </w:rPr>
              <w:t>人员数量</w:t>
            </w:r>
          </w:p>
        </w:tc>
        <w:tc>
          <w:tcPr>
            <w:tcW w:w="2527" w:type="dxa"/>
            <w:vAlign w:val="center"/>
          </w:tcPr>
          <w:p w14:paraId="7E1B3DF0">
            <w:pPr>
              <w:widowControl/>
              <w:spacing w:line="240" w:lineRule="auto"/>
              <w:ind w:firstLine="0" w:firstLineChars="0"/>
              <w:jc w:val="center"/>
              <w:rPr>
                <w:b/>
                <w:color w:val="auto"/>
              </w:rPr>
            </w:pPr>
            <w:r>
              <w:rPr>
                <w:rFonts w:hint="eastAsia"/>
                <w:b/>
                <w:color w:val="auto"/>
              </w:rPr>
              <w:t>人员要求</w:t>
            </w:r>
          </w:p>
        </w:tc>
        <w:tc>
          <w:tcPr>
            <w:tcW w:w="1536" w:type="dxa"/>
            <w:shd w:val="clear" w:color="auto" w:fill="auto"/>
            <w:noWrap/>
            <w:vAlign w:val="center"/>
          </w:tcPr>
          <w:p w14:paraId="68D5B00D">
            <w:pPr>
              <w:widowControl/>
              <w:spacing w:line="240" w:lineRule="auto"/>
              <w:ind w:firstLine="0" w:firstLineChars="0"/>
              <w:jc w:val="center"/>
              <w:rPr>
                <w:b/>
                <w:color w:val="auto"/>
              </w:rPr>
            </w:pPr>
            <w:r>
              <w:rPr>
                <w:rFonts w:hint="eastAsia"/>
                <w:b/>
                <w:color w:val="auto"/>
              </w:rPr>
              <w:t>驻场要求</w:t>
            </w:r>
          </w:p>
        </w:tc>
      </w:tr>
      <w:tr w14:paraId="122AA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76" w:type="dxa"/>
            <w:shd w:val="clear" w:color="auto" w:fill="auto"/>
            <w:noWrap/>
            <w:vAlign w:val="center"/>
          </w:tcPr>
          <w:p w14:paraId="085AC85F">
            <w:pPr>
              <w:widowControl/>
              <w:spacing w:line="240" w:lineRule="auto"/>
              <w:ind w:firstLine="0" w:firstLineChars="0"/>
              <w:jc w:val="center"/>
              <w:rPr>
                <w:color w:val="auto"/>
              </w:rPr>
            </w:pPr>
            <w:r>
              <w:rPr>
                <w:rFonts w:hint="eastAsia"/>
                <w:color w:val="auto"/>
                <w:lang w:eastAsia="zh-CN"/>
              </w:rPr>
              <w:t>需求管理</w:t>
            </w:r>
            <w:r>
              <w:rPr>
                <w:rFonts w:hint="eastAsia"/>
                <w:color w:val="auto"/>
              </w:rPr>
              <w:t>经理</w:t>
            </w:r>
          </w:p>
        </w:tc>
        <w:tc>
          <w:tcPr>
            <w:tcW w:w="1991" w:type="dxa"/>
            <w:shd w:val="clear" w:color="auto" w:fill="auto"/>
            <w:vAlign w:val="center"/>
          </w:tcPr>
          <w:p w14:paraId="362AF9E9">
            <w:pPr>
              <w:widowControl/>
              <w:spacing w:line="240" w:lineRule="auto"/>
              <w:ind w:firstLine="0" w:firstLineChars="0"/>
              <w:jc w:val="center"/>
              <w:rPr>
                <w:color w:val="auto"/>
              </w:rPr>
            </w:pPr>
            <w:r>
              <w:rPr>
                <w:rFonts w:hint="eastAsia"/>
                <w:color w:val="auto"/>
              </w:rPr>
              <w:t>负责项目质量和进度控制</w:t>
            </w:r>
          </w:p>
        </w:tc>
        <w:tc>
          <w:tcPr>
            <w:tcW w:w="1298" w:type="dxa"/>
            <w:shd w:val="clear" w:color="auto" w:fill="auto"/>
            <w:noWrap/>
            <w:vAlign w:val="center"/>
          </w:tcPr>
          <w:p w14:paraId="110B850B">
            <w:pPr>
              <w:widowControl/>
              <w:spacing w:line="240" w:lineRule="auto"/>
              <w:ind w:firstLine="0" w:firstLineChars="0"/>
              <w:jc w:val="center"/>
              <w:rPr>
                <w:color w:val="auto"/>
              </w:rPr>
            </w:pPr>
            <w:r>
              <w:rPr>
                <w:rFonts w:hint="eastAsia"/>
                <w:color w:val="auto"/>
                <w:lang w:val="en-US" w:eastAsia="zh-CN"/>
              </w:rPr>
              <w:t>1</w:t>
            </w:r>
            <w:r>
              <w:rPr>
                <w:rFonts w:hint="eastAsia"/>
                <w:color w:val="auto"/>
              </w:rPr>
              <w:t>人</w:t>
            </w:r>
          </w:p>
        </w:tc>
        <w:tc>
          <w:tcPr>
            <w:tcW w:w="2527" w:type="dxa"/>
            <w:vAlign w:val="center"/>
          </w:tcPr>
          <w:p w14:paraId="25DF487D">
            <w:pPr>
              <w:widowControl/>
              <w:spacing w:line="240" w:lineRule="auto"/>
              <w:ind w:firstLine="0" w:firstLineChars="0"/>
              <w:jc w:val="center"/>
              <w:rPr>
                <w:rFonts w:hint="eastAsia" w:eastAsia="宋体"/>
                <w:color w:val="auto"/>
                <w:lang w:eastAsia="zh-CN"/>
              </w:rPr>
            </w:pPr>
            <w:r>
              <w:rPr>
                <w:rFonts w:ascii="宋体" w:hAnsi="宋体" w:eastAsia="宋体" w:cs="宋体"/>
                <w:color w:val="auto"/>
                <w:sz w:val="24"/>
                <w:szCs w:val="24"/>
              </w:rPr>
              <w:t>具备系统项目管理经验，能统筹技术实施与团队协调工作</w:t>
            </w:r>
            <w:r>
              <w:rPr>
                <w:rFonts w:hint="eastAsia" w:cs="宋体"/>
                <w:color w:val="auto"/>
                <w:sz w:val="24"/>
                <w:szCs w:val="24"/>
                <w:lang w:eastAsia="zh-CN"/>
              </w:rPr>
              <w:t>。具备交通运输相关专业本科及以上学历、（智能交通、交通工程等相关专业版）中级及以上职称</w:t>
            </w:r>
          </w:p>
        </w:tc>
        <w:tc>
          <w:tcPr>
            <w:tcW w:w="1536" w:type="dxa"/>
            <w:shd w:val="clear" w:color="auto" w:fill="auto"/>
            <w:noWrap/>
            <w:vAlign w:val="center"/>
          </w:tcPr>
          <w:p w14:paraId="40E5F076">
            <w:pPr>
              <w:widowControl/>
              <w:spacing w:line="240" w:lineRule="auto"/>
              <w:ind w:firstLine="0" w:firstLineChars="0"/>
              <w:jc w:val="center"/>
              <w:rPr>
                <w:color w:val="auto"/>
              </w:rPr>
            </w:pPr>
            <w:r>
              <w:rPr>
                <w:rFonts w:hint="eastAsia"/>
                <w:color w:val="auto"/>
              </w:rPr>
              <w:t>不驻场</w:t>
            </w:r>
          </w:p>
        </w:tc>
      </w:tr>
      <w:tr w14:paraId="436CB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76" w:type="dxa"/>
            <w:shd w:val="clear" w:color="auto" w:fill="auto"/>
            <w:noWrap/>
            <w:vAlign w:val="center"/>
          </w:tcPr>
          <w:p w14:paraId="11752751">
            <w:pPr>
              <w:widowControl/>
              <w:spacing w:line="240" w:lineRule="auto"/>
              <w:ind w:firstLine="0" w:firstLineChars="0"/>
              <w:jc w:val="center"/>
              <w:rPr>
                <w:color w:val="auto"/>
              </w:rPr>
            </w:pPr>
            <w:r>
              <w:rPr>
                <w:rFonts w:hint="eastAsia"/>
                <w:color w:val="auto"/>
              </w:rPr>
              <w:t>产品经理</w:t>
            </w:r>
          </w:p>
        </w:tc>
        <w:tc>
          <w:tcPr>
            <w:tcW w:w="1991" w:type="dxa"/>
            <w:shd w:val="clear" w:color="auto" w:fill="auto"/>
            <w:vAlign w:val="center"/>
          </w:tcPr>
          <w:p w14:paraId="386F31C5">
            <w:pPr>
              <w:widowControl/>
              <w:spacing w:line="240" w:lineRule="auto"/>
              <w:ind w:firstLine="0" w:firstLineChars="0"/>
              <w:jc w:val="center"/>
              <w:rPr>
                <w:color w:val="auto"/>
              </w:rPr>
            </w:pPr>
            <w:r>
              <w:rPr>
                <w:rFonts w:hint="eastAsia"/>
                <w:color w:val="auto"/>
              </w:rPr>
              <w:t>负责项目需求评估与产品设计</w:t>
            </w:r>
          </w:p>
        </w:tc>
        <w:tc>
          <w:tcPr>
            <w:tcW w:w="1298" w:type="dxa"/>
            <w:shd w:val="clear" w:color="auto" w:fill="auto"/>
            <w:noWrap/>
            <w:vAlign w:val="center"/>
          </w:tcPr>
          <w:p w14:paraId="5607C5BA">
            <w:pPr>
              <w:widowControl/>
              <w:spacing w:line="240" w:lineRule="auto"/>
              <w:ind w:firstLine="0" w:firstLineChars="0"/>
              <w:jc w:val="center"/>
              <w:rPr>
                <w:color w:val="auto"/>
              </w:rPr>
            </w:pPr>
            <w:r>
              <w:rPr>
                <w:rFonts w:hint="eastAsia"/>
                <w:color w:val="auto"/>
                <w:lang w:val="en-US" w:eastAsia="zh-CN"/>
              </w:rPr>
              <w:t>1</w:t>
            </w:r>
            <w:r>
              <w:rPr>
                <w:rFonts w:hint="eastAsia"/>
                <w:color w:val="auto"/>
              </w:rPr>
              <w:t>人</w:t>
            </w:r>
          </w:p>
        </w:tc>
        <w:tc>
          <w:tcPr>
            <w:tcW w:w="2527" w:type="dxa"/>
            <w:vAlign w:val="center"/>
          </w:tcPr>
          <w:p w14:paraId="29E5110F">
            <w:pPr>
              <w:widowControl/>
              <w:spacing w:line="240" w:lineRule="auto"/>
              <w:ind w:firstLine="0" w:firstLineChars="0"/>
              <w:jc w:val="center"/>
              <w:rPr>
                <w:rFonts w:hint="default" w:eastAsia="宋体"/>
                <w:color w:val="auto"/>
                <w:lang w:val="en-US" w:eastAsia="zh-CN"/>
              </w:rPr>
            </w:pPr>
            <w:r>
              <w:rPr>
                <w:rFonts w:ascii="宋体" w:hAnsi="宋体" w:eastAsia="宋体" w:cs="宋体"/>
                <w:color w:val="auto"/>
                <w:sz w:val="24"/>
                <w:szCs w:val="24"/>
              </w:rPr>
              <w:t>熟悉系统业务需求，可完成需求梳理及产品方案设计工作</w:t>
            </w:r>
          </w:p>
        </w:tc>
        <w:tc>
          <w:tcPr>
            <w:tcW w:w="1536" w:type="dxa"/>
            <w:shd w:val="clear" w:color="auto" w:fill="auto"/>
            <w:noWrap/>
            <w:vAlign w:val="center"/>
          </w:tcPr>
          <w:p w14:paraId="5AA6F2CD">
            <w:pPr>
              <w:widowControl/>
              <w:spacing w:line="240" w:lineRule="auto"/>
              <w:ind w:firstLine="0" w:firstLineChars="0"/>
              <w:jc w:val="center"/>
              <w:rPr>
                <w:color w:val="auto"/>
              </w:rPr>
            </w:pPr>
            <w:r>
              <w:rPr>
                <w:rFonts w:hint="eastAsia"/>
                <w:color w:val="auto"/>
              </w:rPr>
              <w:t>驻场</w:t>
            </w:r>
          </w:p>
        </w:tc>
      </w:tr>
      <w:tr w14:paraId="7408F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76" w:type="dxa"/>
            <w:shd w:val="clear" w:color="auto" w:fill="auto"/>
            <w:noWrap/>
            <w:vAlign w:val="center"/>
          </w:tcPr>
          <w:p w14:paraId="0247524D">
            <w:pPr>
              <w:widowControl/>
              <w:spacing w:line="240" w:lineRule="auto"/>
              <w:ind w:firstLine="0" w:firstLineChars="0"/>
              <w:jc w:val="center"/>
              <w:rPr>
                <w:color w:val="auto"/>
              </w:rPr>
            </w:pPr>
            <w:r>
              <w:rPr>
                <w:rFonts w:hint="eastAsia"/>
                <w:color w:val="auto"/>
              </w:rPr>
              <w:t>研发</w:t>
            </w:r>
          </w:p>
        </w:tc>
        <w:tc>
          <w:tcPr>
            <w:tcW w:w="1991" w:type="dxa"/>
            <w:shd w:val="clear" w:color="auto" w:fill="auto"/>
            <w:noWrap/>
            <w:vAlign w:val="center"/>
          </w:tcPr>
          <w:p w14:paraId="48C9EBBF">
            <w:pPr>
              <w:widowControl/>
              <w:spacing w:line="240" w:lineRule="auto"/>
              <w:ind w:firstLine="0" w:firstLineChars="0"/>
              <w:jc w:val="center"/>
              <w:rPr>
                <w:color w:val="auto"/>
              </w:rPr>
            </w:pPr>
            <w:r>
              <w:rPr>
                <w:rFonts w:hint="eastAsia"/>
                <w:color w:val="auto"/>
              </w:rPr>
              <w:t>负责项目具体开发与实施</w:t>
            </w:r>
          </w:p>
        </w:tc>
        <w:tc>
          <w:tcPr>
            <w:tcW w:w="1298" w:type="dxa"/>
            <w:shd w:val="clear" w:color="auto" w:fill="auto"/>
            <w:noWrap/>
            <w:vAlign w:val="center"/>
          </w:tcPr>
          <w:p w14:paraId="79FA0395">
            <w:pPr>
              <w:widowControl/>
              <w:spacing w:line="240" w:lineRule="auto"/>
              <w:ind w:firstLine="0" w:firstLineChars="0"/>
              <w:jc w:val="center"/>
              <w:rPr>
                <w:color w:val="auto"/>
              </w:rPr>
            </w:pPr>
            <w:r>
              <w:rPr>
                <w:rFonts w:hint="eastAsia"/>
                <w:color w:val="auto"/>
                <w:lang w:val="en-US" w:eastAsia="zh-CN"/>
              </w:rPr>
              <w:t>6</w:t>
            </w:r>
            <w:r>
              <w:rPr>
                <w:rFonts w:hint="eastAsia"/>
                <w:color w:val="auto"/>
              </w:rPr>
              <w:t>人</w:t>
            </w:r>
          </w:p>
        </w:tc>
        <w:tc>
          <w:tcPr>
            <w:tcW w:w="2527" w:type="dxa"/>
            <w:vAlign w:val="center"/>
          </w:tcPr>
          <w:p w14:paraId="67AB12F6">
            <w:pPr>
              <w:widowControl/>
              <w:spacing w:line="240" w:lineRule="auto"/>
              <w:ind w:firstLine="0" w:firstLineChars="0"/>
              <w:jc w:val="center"/>
              <w:rPr>
                <w:rFonts w:hint="eastAsia" w:eastAsia="宋体"/>
                <w:color w:val="auto"/>
                <w:lang w:val="en-US" w:eastAsia="zh-CN"/>
              </w:rPr>
            </w:pPr>
            <w:r>
              <w:rPr>
                <w:rFonts w:ascii="宋体" w:hAnsi="宋体" w:eastAsia="宋体" w:cs="宋体"/>
                <w:color w:val="auto"/>
                <w:sz w:val="24"/>
                <w:szCs w:val="24"/>
              </w:rPr>
              <w:t>掌握相关技术基础，能独立承担子系统开发及技术支持工作</w:t>
            </w:r>
          </w:p>
        </w:tc>
        <w:tc>
          <w:tcPr>
            <w:tcW w:w="1536" w:type="dxa"/>
            <w:shd w:val="clear" w:color="auto" w:fill="auto"/>
            <w:noWrap/>
            <w:vAlign w:val="center"/>
          </w:tcPr>
          <w:p w14:paraId="3F6F5DF0">
            <w:pPr>
              <w:widowControl/>
              <w:spacing w:line="240" w:lineRule="auto"/>
              <w:ind w:firstLine="0" w:firstLineChars="0"/>
              <w:jc w:val="center"/>
              <w:rPr>
                <w:color w:val="auto"/>
              </w:rPr>
            </w:pPr>
            <w:r>
              <w:rPr>
                <w:rFonts w:hint="eastAsia"/>
                <w:color w:val="auto"/>
              </w:rPr>
              <w:t>不驻场</w:t>
            </w:r>
          </w:p>
        </w:tc>
      </w:tr>
    </w:tbl>
    <w:p w14:paraId="479C930E">
      <w:pPr>
        <w:rPr>
          <w:color w:val="auto"/>
        </w:rPr>
      </w:pPr>
      <w:r>
        <w:rPr>
          <w:color w:val="auto"/>
        </w:rPr>
        <w:t>2）</w:t>
      </w:r>
      <w:r>
        <w:rPr>
          <w:rFonts w:hint="eastAsia"/>
          <w:color w:val="auto"/>
          <w:lang w:eastAsia="zh-CN"/>
        </w:rPr>
        <w:t>供应商</w:t>
      </w:r>
      <w:r>
        <w:rPr>
          <w:color w:val="auto"/>
        </w:rPr>
        <w:t>应针对本项目提供不少于</w:t>
      </w:r>
      <w:r>
        <w:rPr>
          <w:rFonts w:hint="eastAsia"/>
          <w:color w:val="auto"/>
          <w:lang w:val="en-US" w:eastAsia="zh-CN"/>
        </w:rPr>
        <w:t>4</w:t>
      </w:r>
      <w:r>
        <w:rPr>
          <w:color w:val="auto"/>
        </w:rPr>
        <w:t>人的质保期间支撑团队（其中技术经理</w:t>
      </w:r>
      <w:r>
        <w:rPr>
          <w:rFonts w:hint="eastAsia"/>
          <w:color w:val="auto"/>
          <w:lang w:val="en-US" w:eastAsia="zh-CN"/>
        </w:rPr>
        <w:t>1</w:t>
      </w:r>
      <w:r>
        <w:rPr>
          <w:color w:val="auto"/>
        </w:rPr>
        <w:t>人，产品经理</w:t>
      </w:r>
      <w:r>
        <w:rPr>
          <w:rFonts w:hint="eastAsia"/>
          <w:color w:val="auto"/>
          <w:lang w:val="en-US" w:eastAsia="zh-CN"/>
        </w:rPr>
        <w:t>1</w:t>
      </w:r>
      <w:r>
        <w:rPr>
          <w:color w:val="auto"/>
        </w:rPr>
        <w:t>人，技术工程师不少于</w:t>
      </w:r>
      <w:r>
        <w:rPr>
          <w:rFonts w:hint="eastAsia"/>
          <w:color w:val="auto"/>
          <w:lang w:val="en-US" w:eastAsia="zh-CN"/>
        </w:rPr>
        <w:t>2</w:t>
      </w:r>
      <w:r>
        <w:rPr>
          <w:color w:val="auto"/>
        </w:rPr>
        <w:t>人）；</w:t>
      </w:r>
      <w:r>
        <w:rPr>
          <w:rFonts w:hint="eastAsia"/>
          <w:color w:val="auto"/>
          <w:lang w:eastAsia="zh-CN"/>
        </w:rPr>
        <w:t>供应商</w:t>
      </w:r>
      <w:r>
        <w:rPr>
          <w:color w:val="auto"/>
        </w:rPr>
        <w:t>的相关服务人员需具备相应的服务能力，需提供相关证明（依法缴纳社保费的证明）。</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2843"/>
        <w:gridCol w:w="1180"/>
        <w:gridCol w:w="1553"/>
        <w:gridCol w:w="1536"/>
      </w:tblGrid>
      <w:tr w14:paraId="33D12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shd w:val="clear" w:color="auto" w:fill="auto"/>
            <w:noWrap/>
            <w:vAlign w:val="center"/>
          </w:tcPr>
          <w:p w14:paraId="3AF615B7">
            <w:pPr>
              <w:widowControl/>
              <w:spacing w:line="240" w:lineRule="auto"/>
              <w:ind w:firstLine="0" w:firstLineChars="0"/>
              <w:jc w:val="center"/>
              <w:rPr>
                <w:b/>
                <w:color w:val="auto"/>
              </w:rPr>
            </w:pPr>
            <w:r>
              <w:rPr>
                <w:rFonts w:hint="eastAsia"/>
                <w:b/>
                <w:color w:val="auto"/>
              </w:rPr>
              <w:t>角色</w:t>
            </w:r>
          </w:p>
        </w:tc>
        <w:tc>
          <w:tcPr>
            <w:tcW w:w="2843" w:type="dxa"/>
            <w:shd w:val="clear" w:color="auto" w:fill="auto"/>
            <w:noWrap/>
            <w:vAlign w:val="center"/>
          </w:tcPr>
          <w:p w14:paraId="36AC5F6C">
            <w:pPr>
              <w:widowControl/>
              <w:spacing w:line="240" w:lineRule="auto"/>
              <w:ind w:firstLine="0" w:firstLineChars="0"/>
              <w:jc w:val="center"/>
              <w:rPr>
                <w:b/>
                <w:color w:val="auto"/>
              </w:rPr>
            </w:pPr>
            <w:r>
              <w:rPr>
                <w:rFonts w:hint="eastAsia"/>
                <w:b/>
                <w:color w:val="auto"/>
              </w:rPr>
              <w:t>主要职责</w:t>
            </w:r>
          </w:p>
        </w:tc>
        <w:tc>
          <w:tcPr>
            <w:tcW w:w="1180" w:type="dxa"/>
            <w:shd w:val="clear" w:color="auto" w:fill="auto"/>
            <w:noWrap/>
            <w:vAlign w:val="center"/>
          </w:tcPr>
          <w:p w14:paraId="08D3BA03">
            <w:pPr>
              <w:widowControl/>
              <w:spacing w:line="240" w:lineRule="auto"/>
              <w:ind w:firstLine="0" w:firstLineChars="0"/>
              <w:jc w:val="center"/>
              <w:rPr>
                <w:b/>
                <w:color w:val="auto"/>
              </w:rPr>
            </w:pPr>
            <w:r>
              <w:rPr>
                <w:rFonts w:hint="eastAsia"/>
                <w:b/>
                <w:color w:val="auto"/>
              </w:rPr>
              <w:t>人员数量</w:t>
            </w:r>
          </w:p>
        </w:tc>
        <w:tc>
          <w:tcPr>
            <w:tcW w:w="1553" w:type="dxa"/>
            <w:vAlign w:val="center"/>
          </w:tcPr>
          <w:p w14:paraId="43246E12">
            <w:pPr>
              <w:widowControl/>
              <w:spacing w:line="240" w:lineRule="auto"/>
              <w:ind w:firstLine="0" w:firstLineChars="0"/>
              <w:jc w:val="center"/>
              <w:rPr>
                <w:b/>
                <w:color w:val="auto"/>
              </w:rPr>
            </w:pPr>
            <w:r>
              <w:rPr>
                <w:rFonts w:hint="eastAsia"/>
                <w:b/>
                <w:color w:val="auto"/>
              </w:rPr>
              <w:t>人员要求</w:t>
            </w:r>
          </w:p>
        </w:tc>
        <w:tc>
          <w:tcPr>
            <w:tcW w:w="1536" w:type="dxa"/>
            <w:shd w:val="clear" w:color="auto" w:fill="auto"/>
            <w:noWrap/>
            <w:vAlign w:val="center"/>
          </w:tcPr>
          <w:p w14:paraId="38110FBF">
            <w:pPr>
              <w:widowControl/>
              <w:spacing w:line="240" w:lineRule="auto"/>
              <w:ind w:firstLine="0" w:firstLineChars="0"/>
              <w:jc w:val="center"/>
              <w:rPr>
                <w:b/>
                <w:color w:val="auto"/>
              </w:rPr>
            </w:pPr>
            <w:r>
              <w:rPr>
                <w:rFonts w:hint="eastAsia"/>
                <w:b/>
                <w:color w:val="auto"/>
              </w:rPr>
              <w:t>驻场要求</w:t>
            </w:r>
          </w:p>
        </w:tc>
      </w:tr>
      <w:tr w14:paraId="30084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shd w:val="clear" w:color="auto" w:fill="auto"/>
            <w:noWrap/>
            <w:vAlign w:val="center"/>
          </w:tcPr>
          <w:p w14:paraId="69FD5E01">
            <w:pPr>
              <w:widowControl/>
              <w:spacing w:line="240" w:lineRule="auto"/>
              <w:ind w:firstLine="0" w:firstLineChars="0"/>
              <w:jc w:val="center"/>
              <w:rPr>
                <w:color w:val="auto"/>
              </w:rPr>
            </w:pPr>
            <w:r>
              <w:rPr>
                <w:rFonts w:hint="eastAsia"/>
                <w:color w:val="auto"/>
                <w:lang w:val="en-US" w:eastAsia="zh-CN"/>
              </w:rPr>
              <w:t>技术</w:t>
            </w:r>
            <w:r>
              <w:rPr>
                <w:rFonts w:hint="eastAsia"/>
                <w:color w:val="auto"/>
              </w:rPr>
              <w:t>经理</w:t>
            </w:r>
          </w:p>
        </w:tc>
        <w:tc>
          <w:tcPr>
            <w:tcW w:w="2843" w:type="dxa"/>
            <w:shd w:val="clear" w:color="auto" w:fill="auto"/>
            <w:vAlign w:val="center"/>
          </w:tcPr>
          <w:p w14:paraId="10E527CC">
            <w:pPr>
              <w:widowControl/>
              <w:spacing w:line="240" w:lineRule="auto"/>
              <w:ind w:firstLine="0" w:firstLineChars="0"/>
              <w:jc w:val="center"/>
              <w:rPr>
                <w:rFonts w:hint="default" w:eastAsia="宋体"/>
                <w:color w:val="auto"/>
                <w:lang w:val="en-US" w:eastAsia="zh-CN"/>
              </w:rPr>
            </w:pPr>
            <w:r>
              <w:rPr>
                <w:rFonts w:hint="eastAsia"/>
                <w:color w:val="auto"/>
              </w:rPr>
              <w:t>负责</w:t>
            </w:r>
            <w:r>
              <w:rPr>
                <w:rFonts w:hint="eastAsia"/>
                <w:color w:val="auto"/>
                <w:lang w:val="en-US" w:eastAsia="zh-CN"/>
              </w:rPr>
              <w:t>质保期技术方案评估与审核</w:t>
            </w:r>
          </w:p>
        </w:tc>
        <w:tc>
          <w:tcPr>
            <w:tcW w:w="1180" w:type="dxa"/>
            <w:shd w:val="clear" w:color="auto" w:fill="auto"/>
            <w:noWrap/>
            <w:vAlign w:val="center"/>
          </w:tcPr>
          <w:p w14:paraId="26D5EBD1">
            <w:pPr>
              <w:widowControl/>
              <w:spacing w:line="240" w:lineRule="auto"/>
              <w:ind w:firstLine="0" w:firstLineChars="0"/>
              <w:jc w:val="center"/>
              <w:rPr>
                <w:color w:val="auto"/>
              </w:rPr>
            </w:pPr>
            <w:r>
              <w:rPr>
                <w:rFonts w:hint="eastAsia"/>
                <w:color w:val="auto"/>
                <w:lang w:val="en-US" w:eastAsia="zh-CN"/>
              </w:rPr>
              <w:t>1</w:t>
            </w:r>
            <w:r>
              <w:rPr>
                <w:rFonts w:hint="eastAsia"/>
                <w:color w:val="auto"/>
              </w:rPr>
              <w:t>人</w:t>
            </w:r>
          </w:p>
        </w:tc>
        <w:tc>
          <w:tcPr>
            <w:tcW w:w="1553" w:type="dxa"/>
            <w:shd w:val="clear" w:color="auto" w:fill="auto"/>
            <w:vAlign w:val="center"/>
          </w:tcPr>
          <w:p w14:paraId="3A1A64DB">
            <w:pPr>
              <w:widowControl/>
              <w:spacing w:line="240" w:lineRule="auto"/>
              <w:ind w:firstLine="0" w:firstLineChars="0"/>
              <w:jc w:val="center"/>
              <w:rPr>
                <w:rFonts w:ascii="宋体" w:hAnsi="宋体" w:eastAsia="宋体" w:cs="Times New Roman"/>
                <w:color w:val="auto"/>
                <w:kern w:val="2"/>
                <w:sz w:val="24"/>
                <w:szCs w:val="24"/>
                <w:lang w:val="en-US" w:eastAsia="zh-CN" w:bidi="ar-SA"/>
              </w:rPr>
            </w:pPr>
            <w:r>
              <w:rPr>
                <w:rFonts w:ascii="宋体" w:hAnsi="宋体" w:eastAsia="宋体" w:cs="宋体"/>
                <w:color w:val="auto"/>
                <w:sz w:val="24"/>
                <w:szCs w:val="24"/>
              </w:rPr>
              <w:t>具备项目管理能力，可统筹技术推进及团队沟通协调</w:t>
            </w:r>
          </w:p>
        </w:tc>
        <w:tc>
          <w:tcPr>
            <w:tcW w:w="1536" w:type="dxa"/>
            <w:shd w:val="clear" w:color="auto" w:fill="auto"/>
            <w:noWrap/>
            <w:vAlign w:val="center"/>
          </w:tcPr>
          <w:p w14:paraId="1CA3A116">
            <w:pPr>
              <w:widowControl/>
              <w:spacing w:line="240" w:lineRule="auto"/>
              <w:ind w:firstLine="0" w:firstLineChars="0"/>
              <w:jc w:val="center"/>
              <w:rPr>
                <w:color w:val="auto"/>
              </w:rPr>
            </w:pPr>
            <w:r>
              <w:rPr>
                <w:rFonts w:hint="eastAsia"/>
                <w:color w:val="auto"/>
              </w:rPr>
              <w:t>不驻场</w:t>
            </w:r>
          </w:p>
        </w:tc>
      </w:tr>
      <w:tr w14:paraId="7D111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shd w:val="clear" w:color="auto" w:fill="auto"/>
            <w:noWrap/>
            <w:vAlign w:val="center"/>
          </w:tcPr>
          <w:p w14:paraId="28EEFC35">
            <w:pPr>
              <w:widowControl/>
              <w:spacing w:line="240" w:lineRule="auto"/>
              <w:ind w:firstLine="0" w:firstLineChars="0"/>
              <w:jc w:val="center"/>
              <w:rPr>
                <w:color w:val="auto"/>
              </w:rPr>
            </w:pPr>
            <w:r>
              <w:rPr>
                <w:rFonts w:hint="eastAsia"/>
                <w:color w:val="auto"/>
              </w:rPr>
              <w:t>产品经理</w:t>
            </w:r>
          </w:p>
        </w:tc>
        <w:tc>
          <w:tcPr>
            <w:tcW w:w="2843" w:type="dxa"/>
            <w:shd w:val="clear" w:color="auto" w:fill="auto"/>
            <w:vAlign w:val="center"/>
          </w:tcPr>
          <w:p w14:paraId="5FB717C5">
            <w:pPr>
              <w:widowControl/>
              <w:spacing w:line="240" w:lineRule="auto"/>
              <w:ind w:firstLine="0" w:firstLineChars="0"/>
              <w:jc w:val="center"/>
              <w:rPr>
                <w:color w:val="auto"/>
              </w:rPr>
            </w:pPr>
            <w:r>
              <w:rPr>
                <w:rFonts w:hint="eastAsia"/>
                <w:color w:val="auto"/>
              </w:rPr>
              <w:t>负责项目需求评估与产品设计</w:t>
            </w:r>
          </w:p>
        </w:tc>
        <w:tc>
          <w:tcPr>
            <w:tcW w:w="1180" w:type="dxa"/>
            <w:shd w:val="clear" w:color="auto" w:fill="auto"/>
            <w:noWrap/>
            <w:vAlign w:val="center"/>
          </w:tcPr>
          <w:p w14:paraId="14046B0F">
            <w:pPr>
              <w:widowControl/>
              <w:spacing w:line="240" w:lineRule="auto"/>
              <w:ind w:firstLine="0" w:firstLineChars="0"/>
              <w:jc w:val="center"/>
              <w:rPr>
                <w:color w:val="auto"/>
              </w:rPr>
            </w:pPr>
            <w:r>
              <w:rPr>
                <w:rFonts w:hint="eastAsia"/>
                <w:color w:val="auto"/>
                <w:lang w:val="en-US" w:eastAsia="zh-CN"/>
              </w:rPr>
              <w:t>1</w:t>
            </w:r>
            <w:r>
              <w:rPr>
                <w:rFonts w:hint="eastAsia"/>
                <w:color w:val="auto"/>
              </w:rPr>
              <w:t>人</w:t>
            </w:r>
          </w:p>
        </w:tc>
        <w:tc>
          <w:tcPr>
            <w:tcW w:w="1553" w:type="dxa"/>
            <w:vAlign w:val="center"/>
          </w:tcPr>
          <w:p w14:paraId="660BE798">
            <w:pPr>
              <w:widowControl/>
              <w:spacing w:line="240" w:lineRule="auto"/>
              <w:ind w:firstLine="0" w:firstLineChars="0"/>
              <w:jc w:val="center"/>
              <w:rPr>
                <w:rFonts w:hint="eastAsia" w:eastAsia="宋体"/>
                <w:color w:val="auto"/>
                <w:lang w:eastAsia="zh-CN"/>
              </w:rPr>
            </w:pPr>
            <w:r>
              <w:rPr>
                <w:rFonts w:ascii="宋体" w:hAnsi="宋体" w:eastAsia="宋体" w:cs="宋体"/>
                <w:color w:val="auto"/>
                <w:sz w:val="24"/>
                <w:szCs w:val="24"/>
              </w:rPr>
              <w:t>熟悉子系统需求管理，能完成产品规划及相关落地对接</w:t>
            </w:r>
          </w:p>
        </w:tc>
        <w:tc>
          <w:tcPr>
            <w:tcW w:w="1536" w:type="dxa"/>
            <w:shd w:val="clear" w:color="auto" w:fill="auto"/>
            <w:noWrap/>
            <w:vAlign w:val="center"/>
          </w:tcPr>
          <w:p w14:paraId="17521014">
            <w:pPr>
              <w:widowControl/>
              <w:spacing w:line="240" w:lineRule="auto"/>
              <w:ind w:firstLine="0" w:firstLineChars="0"/>
              <w:jc w:val="center"/>
              <w:rPr>
                <w:color w:val="auto"/>
              </w:rPr>
            </w:pPr>
            <w:r>
              <w:rPr>
                <w:rFonts w:hint="eastAsia"/>
                <w:color w:val="auto"/>
              </w:rPr>
              <w:t>驻场</w:t>
            </w:r>
          </w:p>
        </w:tc>
      </w:tr>
      <w:tr w14:paraId="4101D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shd w:val="clear" w:color="auto" w:fill="auto"/>
            <w:noWrap/>
            <w:vAlign w:val="center"/>
          </w:tcPr>
          <w:p w14:paraId="6164EA6D">
            <w:pPr>
              <w:widowControl/>
              <w:spacing w:line="240" w:lineRule="auto"/>
              <w:ind w:firstLine="0" w:firstLineChars="0"/>
              <w:jc w:val="center"/>
              <w:rPr>
                <w:color w:val="auto"/>
              </w:rPr>
            </w:pPr>
            <w:r>
              <w:rPr>
                <w:rFonts w:hint="eastAsia"/>
                <w:color w:val="auto"/>
              </w:rPr>
              <w:t>技术工程师</w:t>
            </w:r>
          </w:p>
        </w:tc>
        <w:tc>
          <w:tcPr>
            <w:tcW w:w="2843" w:type="dxa"/>
            <w:shd w:val="clear" w:color="auto" w:fill="auto"/>
            <w:noWrap/>
            <w:vAlign w:val="center"/>
          </w:tcPr>
          <w:p w14:paraId="0CD149D5">
            <w:pPr>
              <w:widowControl/>
              <w:spacing w:line="240" w:lineRule="auto"/>
              <w:ind w:firstLine="0" w:firstLineChars="0"/>
              <w:jc w:val="center"/>
              <w:rPr>
                <w:color w:val="auto"/>
              </w:rPr>
            </w:pPr>
            <w:r>
              <w:rPr>
                <w:rFonts w:hint="eastAsia"/>
                <w:color w:val="auto"/>
              </w:rPr>
              <w:t>负责项目运行维护</w:t>
            </w:r>
          </w:p>
        </w:tc>
        <w:tc>
          <w:tcPr>
            <w:tcW w:w="1180" w:type="dxa"/>
            <w:shd w:val="clear" w:color="auto" w:fill="auto"/>
            <w:noWrap/>
            <w:vAlign w:val="center"/>
          </w:tcPr>
          <w:p w14:paraId="252A083F">
            <w:pPr>
              <w:widowControl/>
              <w:spacing w:line="240" w:lineRule="auto"/>
              <w:ind w:firstLine="0" w:firstLineChars="0"/>
              <w:jc w:val="center"/>
              <w:rPr>
                <w:color w:val="auto"/>
              </w:rPr>
            </w:pPr>
            <w:r>
              <w:rPr>
                <w:rFonts w:hint="eastAsia"/>
                <w:color w:val="auto"/>
                <w:lang w:val="en-US" w:eastAsia="zh-CN"/>
              </w:rPr>
              <w:t>2</w:t>
            </w:r>
            <w:r>
              <w:rPr>
                <w:rFonts w:hint="eastAsia"/>
                <w:color w:val="auto"/>
              </w:rPr>
              <w:t>人</w:t>
            </w:r>
          </w:p>
        </w:tc>
        <w:tc>
          <w:tcPr>
            <w:tcW w:w="1553" w:type="dxa"/>
            <w:vAlign w:val="center"/>
          </w:tcPr>
          <w:p w14:paraId="767AFA6A">
            <w:pPr>
              <w:widowControl/>
              <w:spacing w:line="240" w:lineRule="auto"/>
              <w:ind w:firstLine="0" w:firstLineChars="0"/>
              <w:jc w:val="center"/>
              <w:rPr>
                <w:rFonts w:hint="default" w:eastAsia="宋体"/>
                <w:color w:val="auto"/>
                <w:lang w:val="en-US" w:eastAsia="zh-CN"/>
              </w:rPr>
            </w:pPr>
            <w:r>
              <w:rPr>
                <w:rFonts w:ascii="宋体" w:hAnsi="宋体" w:eastAsia="宋体" w:cs="宋体"/>
                <w:color w:val="auto"/>
                <w:sz w:val="24"/>
                <w:szCs w:val="24"/>
              </w:rPr>
              <w:t>具备相应技术能力，可完成子系统开发实施与问题处理</w:t>
            </w:r>
          </w:p>
        </w:tc>
        <w:tc>
          <w:tcPr>
            <w:tcW w:w="1536" w:type="dxa"/>
            <w:shd w:val="clear" w:color="auto" w:fill="auto"/>
            <w:noWrap/>
            <w:vAlign w:val="center"/>
          </w:tcPr>
          <w:p w14:paraId="4FEA7C65">
            <w:pPr>
              <w:widowControl/>
              <w:spacing w:line="240" w:lineRule="auto"/>
              <w:ind w:firstLine="0" w:firstLineChars="0"/>
              <w:jc w:val="center"/>
              <w:rPr>
                <w:color w:val="auto"/>
              </w:rPr>
            </w:pPr>
            <w:r>
              <w:rPr>
                <w:rFonts w:hint="eastAsia"/>
                <w:color w:val="auto"/>
              </w:rPr>
              <w:t>不驻场</w:t>
            </w:r>
          </w:p>
        </w:tc>
      </w:tr>
    </w:tbl>
    <w:p w14:paraId="5A2ABE6F">
      <w:pPr>
        <w:pStyle w:val="3"/>
        <w:numPr>
          <w:ilvl w:val="1"/>
          <w:numId w:val="1"/>
        </w:numPr>
        <w:rPr>
          <w:color w:val="auto"/>
        </w:rPr>
      </w:pPr>
      <w:bookmarkStart w:id="35" w:name="_Toc63785511"/>
      <w:r>
        <w:rPr>
          <w:color w:val="auto"/>
        </w:rPr>
        <w:t>等级保护要求</w:t>
      </w:r>
      <w:bookmarkEnd w:id="35"/>
    </w:p>
    <w:p w14:paraId="4FFC9E0A">
      <w:pPr>
        <w:ind w:firstLine="560"/>
        <w:rPr>
          <w:rFonts w:ascii="仿宋_GB2312" w:eastAsia="仿宋_GB2312" w:cs="仿宋_GB2312"/>
          <w:color w:val="auto"/>
          <w:kern w:val="0"/>
          <w:sz w:val="28"/>
          <w:szCs w:val="28"/>
        </w:rPr>
      </w:pPr>
      <w:r>
        <w:rPr>
          <w:color w:val="auto"/>
        </w:rPr>
        <w:t>本项目等级保护要求：</w:t>
      </w:r>
      <w:r>
        <w:rPr>
          <w:rFonts w:hint="eastAsia"/>
          <w:color w:val="auto"/>
        </w:rPr>
        <w:t>参照等保二级要求建设</w:t>
      </w:r>
      <w:r>
        <w:rPr>
          <w:rFonts w:hint="eastAsia" w:ascii="仿宋_GB2312" w:eastAsia="仿宋_GB2312" w:cs="仿宋_GB2312"/>
          <w:color w:val="auto"/>
          <w:kern w:val="0"/>
          <w:sz w:val="28"/>
          <w:szCs w:val="28"/>
        </w:rPr>
        <w:t>。</w:t>
      </w:r>
    </w:p>
    <w:p w14:paraId="7FE2C132">
      <w:pPr>
        <w:pStyle w:val="3"/>
        <w:numPr>
          <w:ilvl w:val="1"/>
          <w:numId w:val="1"/>
        </w:numPr>
        <w:rPr>
          <w:color w:val="auto"/>
        </w:rPr>
      </w:pPr>
      <w:r>
        <w:rPr>
          <w:rFonts w:hint="eastAsia"/>
          <w:color w:val="auto"/>
        </w:rPr>
        <w:t>商</w:t>
      </w:r>
      <w:r>
        <w:rPr>
          <w:rFonts w:hint="eastAsia"/>
          <w:color w:val="auto"/>
          <w:lang w:val="en-US" w:eastAsia="zh-CN"/>
        </w:rPr>
        <w:t>用</w:t>
      </w:r>
      <w:r>
        <w:rPr>
          <w:rFonts w:hint="eastAsia"/>
          <w:color w:val="auto"/>
        </w:rPr>
        <w:t>密码应用需求</w:t>
      </w:r>
    </w:p>
    <w:p w14:paraId="1FCD0823">
      <w:pPr>
        <w:ind w:firstLine="560"/>
        <w:rPr>
          <w:color w:val="auto"/>
        </w:rPr>
      </w:pPr>
      <w:r>
        <w:rPr>
          <w:rFonts w:hint="eastAsia"/>
          <w:color w:val="auto"/>
        </w:rPr>
        <w:t>本项目参照</w:t>
      </w:r>
      <w:r>
        <w:rPr>
          <w:color w:val="auto"/>
        </w:rPr>
        <w:t>商用密码</w:t>
      </w:r>
      <w:r>
        <w:rPr>
          <w:rFonts w:hint="eastAsia"/>
          <w:color w:val="auto"/>
        </w:rPr>
        <w:t>二级</w:t>
      </w:r>
      <w:r>
        <w:rPr>
          <w:color w:val="auto"/>
        </w:rPr>
        <w:t>应用需求</w:t>
      </w:r>
      <w:r>
        <w:rPr>
          <w:rFonts w:hint="eastAsia"/>
          <w:color w:val="auto"/>
        </w:rPr>
        <w:t>建设</w:t>
      </w:r>
      <w:r>
        <w:rPr>
          <w:rFonts w:hint="eastAsia" w:ascii="仿宋_GB2312" w:eastAsia="仿宋_GB2312" w:cs="仿宋_GB2312"/>
          <w:color w:val="auto"/>
          <w:kern w:val="0"/>
          <w:sz w:val="28"/>
          <w:szCs w:val="28"/>
        </w:rPr>
        <w:t>。</w:t>
      </w:r>
    </w:p>
    <w:p w14:paraId="014DEABD">
      <w:pPr>
        <w:pStyle w:val="3"/>
        <w:numPr>
          <w:ilvl w:val="1"/>
          <w:numId w:val="1"/>
        </w:numPr>
        <w:rPr>
          <w:color w:val="auto"/>
        </w:rPr>
      </w:pPr>
      <w:bookmarkStart w:id="36" w:name="_Toc63785512"/>
      <w:r>
        <w:rPr>
          <w:rFonts w:hint="eastAsia"/>
          <w:color w:val="auto"/>
        </w:rPr>
        <w:t>技术文件要求</w:t>
      </w:r>
    </w:p>
    <w:p w14:paraId="7E49EC0A">
      <w:pPr>
        <w:rPr>
          <w:color w:val="auto"/>
        </w:rPr>
      </w:pPr>
      <w:r>
        <w:rPr>
          <w:rFonts w:hint="eastAsia"/>
          <w:color w:val="auto"/>
          <w:lang w:val="en-US" w:eastAsia="zh-CN"/>
        </w:rPr>
        <w:t>供应商</w:t>
      </w:r>
      <w:r>
        <w:rPr>
          <w:rFonts w:hint="eastAsia"/>
          <w:color w:val="auto"/>
        </w:rPr>
        <w:t>提供的书面技术资料应能确保系统正常运行所需的管理、运营及维护有关的全套文件。技术文件应该全面、完整、详细。</w:t>
      </w:r>
      <w:r>
        <w:rPr>
          <w:rFonts w:hint="eastAsia"/>
          <w:color w:val="auto"/>
          <w:lang w:eastAsia="zh-CN"/>
        </w:rPr>
        <w:t>供应商</w:t>
      </w:r>
      <w:r>
        <w:rPr>
          <w:rFonts w:hint="eastAsia"/>
          <w:color w:val="auto"/>
        </w:rPr>
        <w:t>提供的技术文件至少应包括：</w:t>
      </w:r>
    </w:p>
    <w:p w14:paraId="37310BD2">
      <w:pPr>
        <w:rPr>
          <w:color w:val="auto"/>
        </w:rPr>
      </w:pPr>
      <w:r>
        <w:rPr>
          <w:rFonts w:hint="eastAsia"/>
          <w:color w:val="auto"/>
        </w:rPr>
        <w:t>－</w:t>
      </w:r>
      <w:r>
        <w:rPr>
          <w:color w:val="auto"/>
        </w:rPr>
        <w:t xml:space="preserve"> 系统说明文件； </w:t>
      </w:r>
    </w:p>
    <w:p w14:paraId="26E5DB25">
      <w:pPr>
        <w:rPr>
          <w:color w:val="auto"/>
        </w:rPr>
      </w:pPr>
      <w:r>
        <w:rPr>
          <w:rFonts w:hint="eastAsia"/>
          <w:color w:val="auto"/>
        </w:rPr>
        <w:t>－</w:t>
      </w:r>
      <w:r>
        <w:rPr>
          <w:color w:val="auto"/>
        </w:rPr>
        <w:t xml:space="preserve"> 技术手册(安装、测试、操作、维护、故障排除等)； </w:t>
      </w:r>
    </w:p>
    <w:p w14:paraId="5C992379">
      <w:pPr>
        <w:rPr>
          <w:color w:val="auto"/>
        </w:rPr>
      </w:pPr>
      <w:r>
        <w:rPr>
          <w:rFonts w:hint="eastAsia"/>
          <w:color w:val="auto"/>
        </w:rPr>
        <w:t>－</w:t>
      </w:r>
      <w:r>
        <w:rPr>
          <w:color w:val="auto"/>
        </w:rPr>
        <w:t xml:space="preserve"> 项目文档，应该包括：</w:t>
      </w:r>
    </w:p>
    <w:p w14:paraId="44F4BA44">
      <w:pPr>
        <w:ind w:left="360"/>
        <w:rPr>
          <w:color w:val="auto"/>
        </w:rPr>
      </w:pPr>
      <w:r>
        <w:rPr>
          <w:color w:val="auto"/>
        </w:rPr>
        <w:t>(1)软件需求说明书</w:t>
      </w:r>
    </w:p>
    <w:p w14:paraId="5F67A450">
      <w:pPr>
        <w:ind w:left="360"/>
        <w:rPr>
          <w:color w:val="auto"/>
        </w:rPr>
      </w:pPr>
      <w:r>
        <w:rPr>
          <w:color w:val="auto"/>
        </w:rPr>
        <w:t>(2)</w:t>
      </w:r>
      <w:r>
        <w:rPr>
          <w:color w:val="auto"/>
        </w:rPr>
        <w:tab/>
      </w:r>
      <w:r>
        <w:rPr>
          <w:color w:val="auto"/>
        </w:rPr>
        <w:t>系统总体设计说明书</w:t>
      </w:r>
    </w:p>
    <w:p w14:paraId="0C8E9B9F">
      <w:pPr>
        <w:ind w:left="360"/>
        <w:rPr>
          <w:color w:val="auto"/>
        </w:rPr>
      </w:pPr>
      <w:r>
        <w:rPr>
          <w:color w:val="auto"/>
        </w:rPr>
        <w:t>(3)</w:t>
      </w:r>
      <w:r>
        <w:rPr>
          <w:color w:val="auto"/>
        </w:rPr>
        <w:tab/>
      </w:r>
      <w:r>
        <w:rPr>
          <w:color w:val="auto"/>
        </w:rPr>
        <w:t>应用软件功能清单</w:t>
      </w:r>
    </w:p>
    <w:p w14:paraId="5BD12864">
      <w:pPr>
        <w:rPr>
          <w:color w:val="auto"/>
        </w:rPr>
      </w:pPr>
      <w:r>
        <w:rPr>
          <w:rFonts w:hint="eastAsia"/>
          <w:color w:val="auto"/>
        </w:rPr>
        <w:t>提供全套技术文件纸介质</w:t>
      </w:r>
      <w:r>
        <w:rPr>
          <w:color w:val="auto"/>
        </w:rPr>
        <w:t>3套以及电子文件1套。</w:t>
      </w:r>
    </w:p>
    <w:bookmarkEnd w:id="36"/>
    <w:p w14:paraId="506FF47E">
      <w:pPr>
        <w:pStyle w:val="2"/>
        <w:numPr>
          <w:ilvl w:val="0"/>
          <w:numId w:val="1"/>
        </w:numPr>
        <w:rPr>
          <w:color w:val="auto"/>
        </w:rPr>
      </w:pPr>
      <w:bookmarkStart w:id="37" w:name="_Toc68798863"/>
      <w:r>
        <w:rPr>
          <w:rFonts w:hint="eastAsia"/>
          <w:color w:val="auto"/>
        </w:rPr>
        <w:t>附录</w:t>
      </w:r>
      <w:bookmarkEnd w:id="37"/>
    </w:p>
    <w:p w14:paraId="2538CF54">
      <w:pPr>
        <w:ind w:firstLine="482"/>
        <w:rPr>
          <w:b/>
          <w:color w:val="auto"/>
        </w:rPr>
      </w:pPr>
      <w:r>
        <w:rPr>
          <w:rFonts w:hint="eastAsia"/>
          <w:b/>
          <w:color w:val="auto"/>
        </w:rPr>
        <w:t>若项目建设过程中需符合相关技术标准或规范文件的要求，请将相关文件作为附件列出。</w:t>
      </w:r>
    </w:p>
    <w:p w14:paraId="09800556">
      <w:pPr>
        <w:ind w:firstLine="482"/>
        <w:rPr>
          <w:color w:val="auto"/>
        </w:rPr>
      </w:pPr>
      <w:r>
        <w:rPr>
          <w:rFonts w:hint="eastAsia"/>
          <w:b/>
          <w:color w:val="auto"/>
        </w:rPr>
        <w:t>参考如下：</w:t>
      </w:r>
    </w:p>
    <w:p w14:paraId="4F3A7E8A">
      <w:pPr>
        <w:ind w:firstLine="0" w:firstLineChars="0"/>
        <w:rPr>
          <w:color w:val="auto"/>
        </w:rPr>
      </w:pPr>
      <w:r>
        <w:rPr>
          <w:rFonts w:hint="eastAsia"/>
          <w:color w:val="auto"/>
        </w:rPr>
        <w:t>1、</w:t>
      </w:r>
      <w:r>
        <w:rPr>
          <w:color w:val="auto"/>
        </w:rPr>
        <w:t>《政务网络安全监测平台总体技术要求》</w:t>
      </w:r>
    </w:p>
    <w:p w14:paraId="08FF0FC9">
      <w:pPr>
        <w:ind w:firstLine="0" w:firstLineChars="0"/>
        <w:rPr>
          <w:color w:val="auto"/>
        </w:rPr>
      </w:pPr>
      <w:r>
        <w:rPr>
          <w:color w:val="auto"/>
        </w:rPr>
        <w:object>
          <v:shape id="_x0000_i1025" o:spt="75" type="#_x0000_t75" style="height:55pt;width:76.5pt;" o:ole="t" filled="f" o:preferrelative="t" stroked="f" coordsize="21600,21600">
            <v:path/>
            <v:fill on="f" focussize="0,0"/>
            <v:stroke on="f" joinstyle="miter"/>
            <v:imagedata r:id="rId15" o:title=""/>
            <o:lock v:ext="edit" aspectratio="t"/>
            <w10:wrap type="none"/>
            <w10:anchorlock/>
          </v:shape>
          <o:OLEObject Type="Embed" ProgID="Package" ShapeID="_x0000_i1025" DrawAspect="Icon" ObjectID="_1468075725" r:id="rId14">
            <o:LockedField>false</o:LockedField>
          </o:OLEObject>
        </w:object>
      </w:r>
    </w:p>
    <w:p w14:paraId="15B6E3D4">
      <w:pPr>
        <w:ind w:firstLine="0" w:firstLineChars="0"/>
        <w:rPr>
          <w:color w:val="auto"/>
        </w:rPr>
      </w:pPr>
    </w:p>
    <w:p w14:paraId="1C31B340">
      <w:pPr>
        <w:ind w:firstLine="0" w:firstLineChars="0"/>
        <w:jc w:val="left"/>
        <w:rPr>
          <w:color w:val="auto"/>
        </w:rPr>
      </w:pPr>
      <w:r>
        <w:rPr>
          <w:rFonts w:hint="eastAsia"/>
          <w:color w:val="auto"/>
        </w:rPr>
        <w:t>2、《上海市电子政务外网建设和运行管理指南（试行）》</w:t>
      </w:r>
    </w:p>
    <w:p w14:paraId="4F07E179">
      <w:pPr>
        <w:ind w:firstLine="0" w:firstLineChars="0"/>
        <w:jc w:val="left"/>
        <w:rPr>
          <w:color w:val="auto"/>
        </w:rPr>
      </w:pPr>
      <w:r>
        <w:rPr>
          <w:color w:val="auto"/>
        </w:rPr>
        <w:object>
          <v:shape id="_x0000_i1026" o:spt="75" type="#_x0000_t75" style="height:55pt;width:76.5pt;" o:ole="t" filled="f" o:preferrelative="t" stroked="f" coordsize="21600,21600">
            <v:path/>
            <v:fill on="f" focussize="0,0"/>
            <v:stroke on="f" joinstyle="miter"/>
            <v:imagedata r:id="rId17" o:title=""/>
            <o:lock v:ext="edit" aspectratio="t"/>
            <w10:wrap type="none"/>
            <w10:anchorlock/>
          </v:shape>
          <o:OLEObject Type="Embed" ProgID="Package" ShapeID="_x0000_i1026" DrawAspect="Icon" ObjectID="_1468075726" r:id="rId16">
            <o:LockedField>false</o:LockedField>
          </o:OLEObject>
        </w:object>
      </w:r>
    </w:p>
    <w:p w14:paraId="4196DFF2">
      <w:pPr>
        <w:ind w:firstLine="0" w:firstLineChars="0"/>
        <w:jc w:val="left"/>
        <w:rPr>
          <w:rFonts w:hint="eastAsia"/>
          <w:color w:val="auto"/>
          <w:lang w:val="en-US" w:eastAsia="zh-CN"/>
        </w:rPr>
      </w:pPr>
      <w:r>
        <w:rPr>
          <w:rFonts w:hint="eastAsia"/>
          <w:color w:val="auto"/>
          <w:lang w:val="en-US" w:eastAsia="zh-CN"/>
        </w:rPr>
        <w:t>3、《低代码相关要求（试行）》</w:t>
      </w:r>
    </w:p>
    <w:p w14:paraId="438D7D1B">
      <w:pPr>
        <w:ind w:firstLine="0" w:firstLineChars="0"/>
        <w:jc w:val="left"/>
        <w:rPr>
          <w:rFonts w:hint="eastAsia"/>
          <w:color w:val="auto"/>
          <w:lang w:val="en-US" w:eastAsia="zh-CN"/>
        </w:rPr>
      </w:pPr>
    </w:p>
    <w:p w14:paraId="0997DFC7">
      <w:pPr>
        <w:ind w:firstLine="0" w:firstLineChars="0"/>
        <w:jc w:val="left"/>
        <w:rPr>
          <w:rFonts w:hint="eastAsia"/>
          <w:color w:val="auto"/>
          <w:lang w:val="en-US" w:eastAsia="zh-CN"/>
        </w:rPr>
      </w:pPr>
      <w:r>
        <w:rPr>
          <w:rFonts w:hint="eastAsia"/>
          <w:color w:val="auto"/>
          <w:lang w:val="en-US" w:eastAsia="zh-CN"/>
        </w:rPr>
        <w:t>4、其他标准</w:t>
      </w:r>
    </w:p>
    <w:sectPr>
      <w:footerReference r:id="rId11" w:type="first"/>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roman"/>
    <w:pitch w:val="default"/>
    <w:sig w:usb0="00000000" w:usb1="00000000" w:usb2="00000009" w:usb3="00000000" w:csb0="400001FF" w:csb1="FFFF0000"/>
  </w:font>
  <w:font w:name="宋体">
    <w:altName w:val="方正书宋_GBK"/>
    <w:panose1 w:val="02010600030101010101"/>
    <w:charset w:val="8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0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等线">
    <w:altName w:val="汉仪中宋简"/>
    <w:panose1 w:val="02010600030101010101"/>
    <w:charset w:val="86"/>
    <w:family w:val="auto"/>
    <w:pitch w:val="default"/>
    <w:sig w:usb0="00000000" w:usb1="00000000" w:usb2="00000016" w:usb3="00000000" w:csb0="0004000F" w:csb1="00000000"/>
  </w:font>
  <w:font w:name="汉仪中宋简">
    <w:panose1 w:val="02010600000101010101"/>
    <w:charset w:val="86"/>
    <w:family w:val="auto"/>
    <w:pitch w:val="default"/>
    <w:sig w:usb0="00000001" w:usb1="080E0800" w:usb2="00000002"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Calibri Light">
    <w:altName w:val="DejaVu Sans"/>
    <w:panose1 w:val="020F0302020204030204"/>
    <w:charset w:val="00"/>
    <w:family w:val="swiss"/>
    <w:pitch w:val="default"/>
    <w:sig w:usb0="00000000" w:usb1="00000000" w:usb2="00000000" w:usb3="00000000" w:csb0="2000019F" w:csb1="00000000"/>
  </w:font>
  <w:font w:name="Arial Unicode MS">
    <w:altName w:val="DejaVu Sans"/>
    <w:panose1 w:val="020B0604020202020204"/>
    <w:charset w:val="86"/>
    <w:family w:val="swiss"/>
    <w:pitch w:val="default"/>
    <w:sig w:usb0="00000000" w:usb1="00000000" w:usb2="0000003F" w:usb3="00000000" w:csb0="603F01FF" w:csb1="FFFF0000"/>
  </w:font>
  <w:font w:name="Microsoft Sans Serif">
    <w:altName w:val="Liberation Sans"/>
    <w:panose1 w:val="020B0604020202020204"/>
    <w:charset w:val="00"/>
    <w:family w:val="swiss"/>
    <w:pitch w:val="default"/>
    <w:sig w:usb0="00000000" w:usb1="00000000" w:usb2="00000008" w:usb3="00000000" w:csb0="200101FF" w:csb1="20280000"/>
  </w:font>
  <w:font w:name="Liberation Sans">
    <w:panose1 w:val="020B0604020202020204"/>
    <w:charset w:val="00"/>
    <w:family w:val="auto"/>
    <w:pitch w:val="default"/>
    <w:sig w:usb0="A00002AF" w:usb1="500078FB" w:usb2="00000000" w:usb3="00000000" w:csb0="6000009F" w:csb1="DFD70000"/>
  </w:font>
  <w:font w:name="time">
    <w:altName w:val="思源宋体"/>
    <w:panose1 w:val="00000000000000000000"/>
    <w:charset w:val="00"/>
    <w:family w:val="roman"/>
    <w:pitch w:val="default"/>
    <w:sig w:usb0="00000000" w:usb1="00000000" w:usb2="00000000" w:usb3="00000000" w:csb0="00040001" w:csb1="00000000"/>
  </w:font>
  <w:font w:name="思源宋体">
    <w:panose1 w:val="02020400000000000000"/>
    <w:charset w:val="86"/>
    <w:family w:val="auto"/>
    <w:pitch w:val="default"/>
    <w:sig w:usb0="30000083" w:usb1="2BDF3C10" w:usb2="00000016" w:usb3="00000000" w:csb0="602E0107" w:csb1="00000000"/>
  </w:font>
  <w:font w:name="楷体_GB2312">
    <w:panose1 w:val="02010609030101010101"/>
    <w:charset w:val="86"/>
    <w:family w:val="modern"/>
    <w:pitch w:val="default"/>
    <w:sig w:usb0="00000001" w:usb1="080E0000" w:usb2="00000000" w:usb3="00000000" w:csb0="00040000" w:csb1="00000000"/>
  </w:font>
  <w:font w:name="等线 Light">
    <w:altName w:val="汉仪中宋简"/>
    <w:panose1 w:val="02010600030101010101"/>
    <w:charset w:val="86"/>
    <w:family w:val="auto"/>
    <w:pitch w:val="default"/>
    <w:sig w:usb0="00000000" w:usb1="00000000" w:usb2="00000016" w:usb3="00000000" w:csb0="0004000F" w:csb1="00000000"/>
  </w:font>
  <w:font w:name="Microsoft YaHei UI">
    <w:altName w:val="文泉驿微米黑"/>
    <w:panose1 w:val="020B0503020204020204"/>
    <w:charset w:val="86"/>
    <w:family w:val="swiss"/>
    <w:pitch w:val="default"/>
    <w:sig w:usb0="00000000" w:usb1="00000000" w:usb2="00000016" w:usb3="00000000" w:csb0="0004001F" w:csb1="00000000"/>
  </w:font>
  <w:font w:name="文泉驿微米黑">
    <w:panose1 w:val="020B0606030804020204"/>
    <w:charset w:val="86"/>
    <w:family w:val="auto"/>
    <w:pitch w:val="default"/>
    <w:sig w:usb0="E10002EF" w:usb1="6BDFFCFB" w:usb2="00800036" w:usb3="00000000" w:csb0="603E019F" w:csb1="DFD70000"/>
  </w:font>
  <w:font w:name="仿宋_GB2312">
    <w:panose1 w:val="02010609030101010101"/>
    <w:charset w:val="86"/>
    <w:family w:val="modern"/>
    <w:pitch w:val="default"/>
    <w:sig w:usb0="00000001" w:usb1="080E0000" w:usb2="00000000" w:usb3="00000000" w:csb0="00040000" w:csb1="00000000"/>
  </w:font>
  <w:font w:name="微软雅黑">
    <w:altName w:val="方正黑体_GBK"/>
    <w:panose1 w:val="00000000000000000000"/>
    <w:charset w:val="00"/>
    <w:family w:val="auto"/>
    <w:pitch w:val="default"/>
    <w:sig w:usb0="00000000" w:usb1="00000000" w:usb2="00000000" w:usb3="00000000" w:csb0="00000000" w:csb1="00000000"/>
  </w:font>
  <w:font w:name="Tahoma">
    <w:altName w:val="noto sans thai"/>
    <w:panose1 w:val="00000000000000000000"/>
    <w:charset w:val="00"/>
    <w:family w:val="auto"/>
    <w:pitch w:val="default"/>
    <w:sig w:usb0="00000000" w:usb1="00000000" w:usb2="00000000" w:usb3="00000000" w:csb0="00000000" w:csb1="00000000"/>
  </w:font>
  <w:font w:name="Arial">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364BB">
    <w:pPr>
      <w:ind w:firstLine="0" w:firstLineChars="0"/>
      <w:jc w:val="center"/>
    </w:pPr>
    <w:r>
      <w:fldChar w:fldCharType="begin"/>
    </w:r>
    <w:r>
      <w:instrText xml:space="preserve">PAGE   \* MERGEFORMAT</w:instrText>
    </w:r>
    <w:r>
      <w:fldChar w:fldCharType="separate"/>
    </w:r>
    <w:r>
      <w:rPr>
        <w:lang w:val="zh-CN"/>
      </w:rPr>
      <w:t>11</w:t>
    </w:r>
    <w:r>
      <w:rPr>
        <w:lang w:val="zh-CN"/>
      </w:rPr>
      <w:fldChar w:fldCharType="end"/>
    </w:r>
  </w:p>
  <w:p w14:paraId="3F0A86F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07995"/>
  <w:p w14:paraId="3883B1B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D404A">
    <w:pPr>
      <w:ind w:firstLine="0" w:firstLineChars="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48DEB">
    <w:pPr>
      <w:ind w:firstLine="0" w:firstLineChars="0"/>
      <w:jc w:val="center"/>
      <w:rPr>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14:paraId="3B8F5B4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E1D08">
    <w:pPr>
      <w:pStyle w:val="2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6B09B"/>
  <w:p w14:paraId="2CFE373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E4D32">
    <w:pPr>
      <w:pStyle w:val="25"/>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BCC7CA"/>
    <w:multiLevelType w:val="singleLevel"/>
    <w:tmpl w:val="8ABCC7CA"/>
    <w:lvl w:ilvl="0" w:tentative="0">
      <w:start w:val="1"/>
      <w:numFmt w:val="decimal"/>
      <w:lvlText w:val="%1)"/>
      <w:lvlJc w:val="left"/>
      <w:pPr>
        <w:ind w:left="425" w:hanging="425"/>
      </w:pPr>
      <w:rPr>
        <w:rFonts w:hint="default"/>
      </w:rPr>
    </w:lvl>
  </w:abstractNum>
  <w:abstractNum w:abstractNumId="1">
    <w:nsid w:val="1E710373"/>
    <w:multiLevelType w:val="multilevel"/>
    <w:tmpl w:val="1E710373"/>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2">
    <w:nsid w:val="3FA9D8D7"/>
    <w:multiLevelType w:val="singleLevel"/>
    <w:tmpl w:val="3FA9D8D7"/>
    <w:lvl w:ilvl="0" w:tentative="0">
      <w:start w:val="1"/>
      <w:numFmt w:val="decimal"/>
      <w:suff w:val="space"/>
      <w:lvlText w:val="%1."/>
      <w:lvlJc w:val="left"/>
    </w:lvl>
  </w:abstractNum>
  <w:abstractNum w:abstractNumId="3">
    <w:nsid w:val="50CA0883"/>
    <w:multiLevelType w:val="singleLevel"/>
    <w:tmpl w:val="50CA0883"/>
    <w:lvl w:ilvl="0" w:tentative="0">
      <w:start w:val="1"/>
      <w:numFmt w:val="decimal"/>
      <w:suff w:val="nothing"/>
      <w:lvlText w:val="%1、"/>
      <w:lvlJc w:val="left"/>
    </w:lvl>
  </w:abstractNum>
  <w:abstractNum w:abstractNumId="4">
    <w:nsid w:val="6350366A"/>
    <w:multiLevelType w:val="multilevel"/>
    <w:tmpl w:val="6350366A"/>
    <w:lvl w:ilvl="0" w:tentative="0">
      <w:start w:val="1"/>
      <w:numFmt w:val="none"/>
      <w:pStyle w:val="48"/>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6A2F4AB3"/>
    <w:multiLevelType w:val="multilevel"/>
    <w:tmpl w:val="6A2F4AB3"/>
    <w:lvl w:ilvl="0" w:tentative="0">
      <w:start w:val="1"/>
      <w:numFmt w:val="chineseCountingThousand"/>
      <w:pStyle w:val="2"/>
      <w:suff w:val="nothing"/>
      <w:lvlText w:val="%1、"/>
      <w:lvlJc w:val="left"/>
      <w:pPr>
        <w:ind w:left="0" w:hanging="425"/>
      </w:pPr>
      <w:rPr>
        <w:rFonts w:hint="eastAsia"/>
        <w:sz w:val="32"/>
        <w:szCs w:val="32"/>
      </w:rPr>
    </w:lvl>
    <w:lvl w:ilvl="1" w:tentative="0">
      <w:start w:val="1"/>
      <w:numFmt w:val="decimal"/>
      <w:pStyle w:val="3"/>
      <w:isLgl/>
      <w:suff w:val="nothing"/>
      <w:lvlText w:val="%1.%2、"/>
      <w:lvlJc w:val="left"/>
      <w:pPr>
        <w:ind w:left="240" w:hanging="567"/>
      </w:pPr>
    </w:lvl>
    <w:lvl w:ilvl="2" w:tentative="0">
      <w:start w:val="1"/>
      <w:numFmt w:val="decimal"/>
      <w:pStyle w:val="4"/>
      <w:isLgl/>
      <w:suff w:val="nothing"/>
      <w:lvlText w:val="%1.%2.%3、"/>
      <w:lvlJc w:val="left"/>
      <w:pPr>
        <w:ind w:left="1069" w:hanging="1069"/>
      </w:pPr>
      <w:rPr>
        <w:rFonts w:hint="default" w:ascii="宋体" w:hAnsi="宋体" w:eastAsia="宋体" w:cs="Arial"/>
      </w:rPr>
    </w:lvl>
    <w:lvl w:ilvl="3" w:tentative="0">
      <w:start w:val="1"/>
      <w:numFmt w:val="decimal"/>
      <w:pStyle w:val="5"/>
      <w:isLgl/>
      <w:suff w:val="nothing"/>
      <w:lvlText w:val="%1.%2.%3.%4、"/>
      <w:lvlJc w:val="left"/>
      <w:pPr>
        <w:ind w:left="3403" w:hanging="851"/>
      </w:pPr>
    </w:lvl>
    <w:lvl w:ilvl="4" w:tentative="0">
      <w:start w:val="1"/>
      <w:numFmt w:val="decimal"/>
      <w:pStyle w:val="6"/>
      <w:isLgl/>
      <w:suff w:val="nothing"/>
      <w:lvlText w:val="%1.%2.%3.%4.%5、"/>
      <w:lvlJc w:val="left"/>
      <w:pPr>
        <w:ind w:left="3544" w:hanging="992"/>
      </w:pPr>
      <w:rPr>
        <w:rFonts w:hint="eastAsia"/>
      </w:rPr>
    </w:lvl>
    <w:lvl w:ilvl="5" w:tentative="0">
      <w:start w:val="1"/>
      <w:numFmt w:val="decimal"/>
      <w:pStyle w:val="7"/>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5"/>
  </w:num>
  <w:num w:numId="2">
    <w:abstractNumId w:val="4"/>
  </w:num>
  <w:num w:numId="3">
    <w:abstractNumId w:val="1"/>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trackRevisions w:val="1"/>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4ZTA5YWY5NzAwYmUwMzY1OWRkMTVmODEzMTZlYmEifQ=="/>
  </w:docVars>
  <w:rsids>
    <w:rsidRoot w:val="006910C0"/>
    <w:rsid w:val="0000005A"/>
    <w:rsid w:val="00000AED"/>
    <w:rsid w:val="00002DBA"/>
    <w:rsid w:val="00003516"/>
    <w:rsid w:val="0000380E"/>
    <w:rsid w:val="00005AFD"/>
    <w:rsid w:val="00006563"/>
    <w:rsid w:val="000074F1"/>
    <w:rsid w:val="00007A41"/>
    <w:rsid w:val="00007DA7"/>
    <w:rsid w:val="00012EF0"/>
    <w:rsid w:val="000156DE"/>
    <w:rsid w:val="000165AD"/>
    <w:rsid w:val="000179E9"/>
    <w:rsid w:val="00020C18"/>
    <w:rsid w:val="00021EE6"/>
    <w:rsid w:val="0002280E"/>
    <w:rsid w:val="00022C74"/>
    <w:rsid w:val="00025122"/>
    <w:rsid w:val="000252D5"/>
    <w:rsid w:val="00026997"/>
    <w:rsid w:val="00027A64"/>
    <w:rsid w:val="00032D27"/>
    <w:rsid w:val="00035325"/>
    <w:rsid w:val="00035D5B"/>
    <w:rsid w:val="000378D0"/>
    <w:rsid w:val="00037F2C"/>
    <w:rsid w:val="00042C2A"/>
    <w:rsid w:val="000430EC"/>
    <w:rsid w:val="000447CB"/>
    <w:rsid w:val="00047915"/>
    <w:rsid w:val="00047D06"/>
    <w:rsid w:val="00050FBD"/>
    <w:rsid w:val="0005107A"/>
    <w:rsid w:val="0005192C"/>
    <w:rsid w:val="00052929"/>
    <w:rsid w:val="0005299F"/>
    <w:rsid w:val="000541D7"/>
    <w:rsid w:val="000545C0"/>
    <w:rsid w:val="0005586D"/>
    <w:rsid w:val="00056C0E"/>
    <w:rsid w:val="000574A8"/>
    <w:rsid w:val="000574F8"/>
    <w:rsid w:val="00057A49"/>
    <w:rsid w:val="0006231F"/>
    <w:rsid w:val="00062A05"/>
    <w:rsid w:val="00062EE6"/>
    <w:rsid w:val="0006344E"/>
    <w:rsid w:val="000649E6"/>
    <w:rsid w:val="0006794B"/>
    <w:rsid w:val="00067DCA"/>
    <w:rsid w:val="00070063"/>
    <w:rsid w:val="0007087A"/>
    <w:rsid w:val="000710EC"/>
    <w:rsid w:val="00072237"/>
    <w:rsid w:val="00072ABE"/>
    <w:rsid w:val="00080B39"/>
    <w:rsid w:val="00083950"/>
    <w:rsid w:val="0008452F"/>
    <w:rsid w:val="00084E8E"/>
    <w:rsid w:val="00085A68"/>
    <w:rsid w:val="00090625"/>
    <w:rsid w:val="00090948"/>
    <w:rsid w:val="00091CD1"/>
    <w:rsid w:val="0009460E"/>
    <w:rsid w:val="000951D4"/>
    <w:rsid w:val="000A2146"/>
    <w:rsid w:val="000A2930"/>
    <w:rsid w:val="000A3276"/>
    <w:rsid w:val="000A3C35"/>
    <w:rsid w:val="000A3E30"/>
    <w:rsid w:val="000A5876"/>
    <w:rsid w:val="000A61D0"/>
    <w:rsid w:val="000A6C67"/>
    <w:rsid w:val="000A6DB8"/>
    <w:rsid w:val="000A7596"/>
    <w:rsid w:val="000B11A8"/>
    <w:rsid w:val="000B1959"/>
    <w:rsid w:val="000B2E1C"/>
    <w:rsid w:val="000B4459"/>
    <w:rsid w:val="000B4B46"/>
    <w:rsid w:val="000B5363"/>
    <w:rsid w:val="000B53BA"/>
    <w:rsid w:val="000B642F"/>
    <w:rsid w:val="000B6C99"/>
    <w:rsid w:val="000C3F3C"/>
    <w:rsid w:val="000C5A75"/>
    <w:rsid w:val="000C75E9"/>
    <w:rsid w:val="000C75F7"/>
    <w:rsid w:val="000D0AB2"/>
    <w:rsid w:val="000D225C"/>
    <w:rsid w:val="000D36F2"/>
    <w:rsid w:val="000D4B26"/>
    <w:rsid w:val="000D74DB"/>
    <w:rsid w:val="000E24D6"/>
    <w:rsid w:val="000E6072"/>
    <w:rsid w:val="000E6D61"/>
    <w:rsid w:val="000E7A23"/>
    <w:rsid w:val="000F1C29"/>
    <w:rsid w:val="000F1E9E"/>
    <w:rsid w:val="000F2B10"/>
    <w:rsid w:val="000F3F72"/>
    <w:rsid w:val="001055B2"/>
    <w:rsid w:val="001068F0"/>
    <w:rsid w:val="00106AB8"/>
    <w:rsid w:val="00106C9E"/>
    <w:rsid w:val="00106E16"/>
    <w:rsid w:val="0010768B"/>
    <w:rsid w:val="00111701"/>
    <w:rsid w:val="00112A29"/>
    <w:rsid w:val="001167F6"/>
    <w:rsid w:val="00116C86"/>
    <w:rsid w:val="00121ACF"/>
    <w:rsid w:val="00121D8F"/>
    <w:rsid w:val="00122037"/>
    <w:rsid w:val="0012210C"/>
    <w:rsid w:val="00122A7F"/>
    <w:rsid w:val="00123F98"/>
    <w:rsid w:val="001242A5"/>
    <w:rsid w:val="00124531"/>
    <w:rsid w:val="00126EDF"/>
    <w:rsid w:val="00127BBE"/>
    <w:rsid w:val="00131D52"/>
    <w:rsid w:val="001329C1"/>
    <w:rsid w:val="00132C16"/>
    <w:rsid w:val="00136320"/>
    <w:rsid w:val="00136FFA"/>
    <w:rsid w:val="00137AC6"/>
    <w:rsid w:val="00145512"/>
    <w:rsid w:val="001465BD"/>
    <w:rsid w:val="00147B45"/>
    <w:rsid w:val="00150803"/>
    <w:rsid w:val="00151D83"/>
    <w:rsid w:val="001546C9"/>
    <w:rsid w:val="00154FAE"/>
    <w:rsid w:val="00155E77"/>
    <w:rsid w:val="00156A70"/>
    <w:rsid w:val="00160A61"/>
    <w:rsid w:val="00160FC0"/>
    <w:rsid w:val="0016429B"/>
    <w:rsid w:val="00164525"/>
    <w:rsid w:val="00164C50"/>
    <w:rsid w:val="00165CB2"/>
    <w:rsid w:val="00166203"/>
    <w:rsid w:val="00166767"/>
    <w:rsid w:val="001707CB"/>
    <w:rsid w:val="00170C54"/>
    <w:rsid w:val="00171477"/>
    <w:rsid w:val="00172A1A"/>
    <w:rsid w:val="00173251"/>
    <w:rsid w:val="00176BED"/>
    <w:rsid w:val="0017759D"/>
    <w:rsid w:val="001804A5"/>
    <w:rsid w:val="00181C94"/>
    <w:rsid w:val="00182C84"/>
    <w:rsid w:val="00187031"/>
    <w:rsid w:val="00191EA4"/>
    <w:rsid w:val="00192B6C"/>
    <w:rsid w:val="00192C30"/>
    <w:rsid w:val="0019381E"/>
    <w:rsid w:val="00194CF5"/>
    <w:rsid w:val="0019503C"/>
    <w:rsid w:val="00195D94"/>
    <w:rsid w:val="00196F7B"/>
    <w:rsid w:val="001971CB"/>
    <w:rsid w:val="0019795C"/>
    <w:rsid w:val="001A053A"/>
    <w:rsid w:val="001A22A2"/>
    <w:rsid w:val="001A2971"/>
    <w:rsid w:val="001A3D52"/>
    <w:rsid w:val="001A460A"/>
    <w:rsid w:val="001A4A4C"/>
    <w:rsid w:val="001B0230"/>
    <w:rsid w:val="001B13AB"/>
    <w:rsid w:val="001B3907"/>
    <w:rsid w:val="001B3B49"/>
    <w:rsid w:val="001B4907"/>
    <w:rsid w:val="001B4DC5"/>
    <w:rsid w:val="001B5505"/>
    <w:rsid w:val="001C2180"/>
    <w:rsid w:val="001C29CC"/>
    <w:rsid w:val="001C3217"/>
    <w:rsid w:val="001C3B98"/>
    <w:rsid w:val="001C6028"/>
    <w:rsid w:val="001C6365"/>
    <w:rsid w:val="001C7F57"/>
    <w:rsid w:val="001D0E79"/>
    <w:rsid w:val="001D6049"/>
    <w:rsid w:val="001D7339"/>
    <w:rsid w:val="001E2750"/>
    <w:rsid w:val="001E4343"/>
    <w:rsid w:val="001E52BB"/>
    <w:rsid w:val="001E660A"/>
    <w:rsid w:val="001F05D6"/>
    <w:rsid w:val="001F5B0A"/>
    <w:rsid w:val="001F640F"/>
    <w:rsid w:val="001F6794"/>
    <w:rsid w:val="001F6F65"/>
    <w:rsid w:val="002002DF"/>
    <w:rsid w:val="00203A6F"/>
    <w:rsid w:val="00205646"/>
    <w:rsid w:val="002063F7"/>
    <w:rsid w:val="002129E5"/>
    <w:rsid w:val="00212AA4"/>
    <w:rsid w:val="00212E13"/>
    <w:rsid w:val="002163C8"/>
    <w:rsid w:val="002179FE"/>
    <w:rsid w:val="00220CC0"/>
    <w:rsid w:val="00221A36"/>
    <w:rsid w:val="00223296"/>
    <w:rsid w:val="0022329B"/>
    <w:rsid w:val="002240F7"/>
    <w:rsid w:val="0022486F"/>
    <w:rsid w:val="00225314"/>
    <w:rsid w:val="00225DF4"/>
    <w:rsid w:val="00226C70"/>
    <w:rsid w:val="00230C8A"/>
    <w:rsid w:val="00231F98"/>
    <w:rsid w:val="002324F8"/>
    <w:rsid w:val="002348B0"/>
    <w:rsid w:val="00235CDC"/>
    <w:rsid w:val="00237E76"/>
    <w:rsid w:val="00240BBE"/>
    <w:rsid w:val="00241525"/>
    <w:rsid w:val="00241D87"/>
    <w:rsid w:val="00243C55"/>
    <w:rsid w:val="00243D5E"/>
    <w:rsid w:val="002451EC"/>
    <w:rsid w:val="00245ED4"/>
    <w:rsid w:val="00246B41"/>
    <w:rsid w:val="0025002B"/>
    <w:rsid w:val="002500DE"/>
    <w:rsid w:val="00252457"/>
    <w:rsid w:val="00252581"/>
    <w:rsid w:val="002535B5"/>
    <w:rsid w:val="002538CB"/>
    <w:rsid w:val="002542BD"/>
    <w:rsid w:val="0025774E"/>
    <w:rsid w:val="00257D64"/>
    <w:rsid w:val="0026340A"/>
    <w:rsid w:val="002654EA"/>
    <w:rsid w:val="002704EA"/>
    <w:rsid w:val="0027061A"/>
    <w:rsid w:val="002719CC"/>
    <w:rsid w:val="002730C5"/>
    <w:rsid w:val="0027337C"/>
    <w:rsid w:val="0027602B"/>
    <w:rsid w:val="00277F5E"/>
    <w:rsid w:val="00280084"/>
    <w:rsid w:val="00280490"/>
    <w:rsid w:val="002860B8"/>
    <w:rsid w:val="0029206E"/>
    <w:rsid w:val="00293382"/>
    <w:rsid w:val="00294F51"/>
    <w:rsid w:val="002A2342"/>
    <w:rsid w:val="002A279E"/>
    <w:rsid w:val="002A4FA3"/>
    <w:rsid w:val="002B3606"/>
    <w:rsid w:val="002B3D80"/>
    <w:rsid w:val="002B4402"/>
    <w:rsid w:val="002B4946"/>
    <w:rsid w:val="002B4C41"/>
    <w:rsid w:val="002B588D"/>
    <w:rsid w:val="002C1839"/>
    <w:rsid w:val="002C214A"/>
    <w:rsid w:val="002C28E8"/>
    <w:rsid w:val="002C3027"/>
    <w:rsid w:val="002C674D"/>
    <w:rsid w:val="002C7648"/>
    <w:rsid w:val="002C7DC4"/>
    <w:rsid w:val="002D0821"/>
    <w:rsid w:val="002D1929"/>
    <w:rsid w:val="002D1B73"/>
    <w:rsid w:val="002D3CB0"/>
    <w:rsid w:val="002D4800"/>
    <w:rsid w:val="002D5B21"/>
    <w:rsid w:val="002D6F6D"/>
    <w:rsid w:val="002E1FE6"/>
    <w:rsid w:val="002E2EA7"/>
    <w:rsid w:val="002E36D2"/>
    <w:rsid w:val="002E748B"/>
    <w:rsid w:val="002F2002"/>
    <w:rsid w:val="002F335D"/>
    <w:rsid w:val="002F4E32"/>
    <w:rsid w:val="002F503F"/>
    <w:rsid w:val="002F51DD"/>
    <w:rsid w:val="002F5D08"/>
    <w:rsid w:val="002F6895"/>
    <w:rsid w:val="002F6D13"/>
    <w:rsid w:val="003038D3"/>
    <w:rsid w:val="003049C7"/>
    <w:rsid w:val="00305F0E"/>
    <w:rsid w:val="0030667A"/>
    <w:rsid w:val="003106DE"/>
    <w:rsid w:val="00311530"/>
    <w:rsid w:val="00312D31"/>
    <w:rsid w:val="00315216"/>
    <w:rsid w:val="0031691C"/>
    <w:rsid w:val="00317AEF"/>
    <w:rsid w:val="00317F49"/>
    <w:rsid w:val="0032089B"/>
    <w:rsid w:val="00323450"/>
    <w:rsid w:val="00323D93"/>
    <w:rsid w:val="0032489B"/>
    <w:rsid w:val="0032525B"/>
    <w:rsid w:val="00326A7A"/>
    <w:rsid w:val="00326FEE"/>
    <w:rsid w:val="003315D7"/>
    <w:rsid w:val="00334DE6"/>
    <w:rsid w:val="0033536D"/>
    <w:rsid w:val="003353FF"/>
    <w:rsid w:val="003366D2"/>
    <w:rsid w:val="00337C79"/>
    <w:rsid w:val="00337FEF"/>
    <w:rsid w:val="0034084C"/>
    <w:rsid w:val="00340D5E"/>
    <w:rsid w:val="003420B5"/>
    <w:rsid w:val="00343646"/>
    <w:rsid w:val="00344CCB"/>
    <w:rsid w:val="00345897"/>
    <w:rsid w:val="00351BFC"/>
    <w:rsid w:val="0035575E"/>
    <w:rsid w:val="003565B4"/>
    <w:rsid w:val="00362E75"/>
    <w:rsid w:val="003631AA"/>
    <w:rsid w:val="003632D5"/>
    <w:rsid w:val="00363575"/>
    <w:rsid w:val="00364EF9"/>
    <w:rsid w:val="00367579"/>
    <w:rsid w:val="0036795B"/>
    <w:rsid w:val="00370A29"/>
    <w:rsid w:val="003722F9"/>
    <w:rsid w:val="00372349"/>
    <w:rsid w:val="00372CBC"/>
    <w:rsid w:val="00373A61"/>
    <w:rsid w:val="00374BDE"/>
    <w:rsid w:val="00376B39"/>
    <w:rsid w:val="003772C0"/>
    <w:rsid w:val="00377BAC"/>
    <w:rsid w:val="00380142"/>
    <w:rsid w:val="00380558"/>
    <w:rsid w:val="00381D3C"/>
    <w:rsid w:val="0038223E"/>
    <w:rsid w:val="00382D92"/>
    <w:rsid w:val="00385AEF"/>
    <w:rsid w:val="003860EA"/>
    <w:rsid w:val="0038781A"/>
    <w:rsid w:val="0039080B"/>
    <w:rsid w:val="0039326E"/>
    <w:rsid w:val="00394E22"/>
    <w:rsid w:val="003967A4"/>
    <w:rsid w:val="00397FA3"/>
    <w:rsid w:val="003A1596"/>
    <w:rsid w:val="003A317E"/>
    <w:rsid w:val="003A345B"/>
    <w:rsid w:val="003A49EE"/>
    <w:rsid w:val="003A674D"/>
    <w:rsid w:val="003A7123"/>
    <w:rsid w:val="003B102E"/>
    <w:rsid w:val="003B2167"/>
    <w:rsid w:val="003B5F5D"/>
    <w:rsid w:val="003B62C8"/>
    <w:rsid w:val="003C0C62"/>
    <w:rsid w:val="003C12DC"/>
    <w:rsid w:val="003C2CDA"/>
    <w:rsid w:val="003D000A"/>
    <w:rsid w:val="003D31E9"/>
    <w:rsid w:val="003D544E"/>
    <w:rsid w:val="003D5980"/>
    <w:rsid w:val="003E0842"/>
    <w:rsid w:val="003E13B0"/>
    <w:rsid w:val="003E2580"/>
    <w:rsid w:val="003E3DEE"/>
    <w:rsid w:val="003E3EBB"/>
    <w:rsid w:val="003E4A4C"/>
    <w:rsid w:val="003E4CBA"/>
    <w:rsid w:val="003E4D2F"/>
    <w:rsid w:val="003E4EDC"/>
    <w:rsid w:val="003E599D"/>
    <w:rsid w:val="003E5C81"/>
    <w:rsid w:val="003E6965"/>
    <w:rsid w:val="003F00E8"/>
    <w:rsid w:val="003F1936"/>
    <w:rsid w:val="003F1BDD"/>
    <w:rsid w:val="003F3BA3"/>
    <w:rsid w:val="003F3BD5"/>
    <w:rsid w:val="003F400E"/>
    <w:rsid w:val="003F6F35"/>
    <w:rsid w:val="003F7768"/>
    <w:rsid w:val="00400E8C"/>
    <w:rsid w:val="004017DC"/>
    <w:rsid w:val="00401B53"/>
    <w:rsid w:val="00402668"/>
    <w:rsid w:val="00404FEC"/>
    <w:rsid w:val="0040534D"/>
    <w:rsid w:val="00405FAD"/>
    <w:rsid w:val="004117AB"/>
    <w:rsid w:val="00412B2F"/>
    <w:rsid w:val="00415281"/>
    <w:rsid w:val="00415716"/>
    <w:rsid w:val="0041604D"/>
    <w:rsid w:val="00417842"/>
    <w:rsid w:val="00417A6E"/>
    <w:rsid w:val="00420CDF"/>
    <w:rsid w:val="0042285D"/>
    <w:rsid w:val="00427D2B"/>
    <w:rsid w:val="00430B13"/>
    <w:rsid w:val="00430CE5"/>
    <w:rsid w:val="0043153C"/>
    <w:rsid w:val="00431D0F"/>
    <w:rsid w:val="0043481C"/>
    <w:rsid w:val="00444307"/>
    <w:rsid w:val="0044436F"/>
    <w:rsid w:val="004443EB"/>
    <w:rsid w:val="00444432"/>
    <w:rsid w:val="00444673"/>
    <w:rsid w:val="0044621E"/>
    <w:rsid w:val="00447BF1"/>
    <w:rsid w:val="00450BA4"/>
    <w:rsid w:val="004511FC"/>
    <w:rsid w:val="00456784"/>
    <w:rsid w:val="00456DCA"/>
    <w:rsid w:val="00461140"/>
    <w:rsid w:val="004611DB"/>
    <w:rsid w:val="004658B0"/>
    <w:rsid w:val="0046614B"/>
    <w:rsid w:val="00467FD7"/>
    <w:rsid w:val="00470073"/>
    <w:rsid w:val="004730F8"/>
    <w:rsid w:val="00474353"/>
    <w:rsid w:val="00474555"/>
    <w:rsid w:val="004750F4"/>
    <w:rsid w:val="00476CB1"/>
    <w:rsid w:val="00480A48"/>
    <w:rsid w:val="00482501"/>
    <w:rsid w:val="00482E7D"/>
    <w:rsid w:val="00484395"/>
    <w:rsid w:val="004865FB"/>
    <w:rsid w:val="00486C03"/>
    <w:rsid w:val="00491AB3"/>
    <w:rsid w:val="00497A33"/>
    <w:rsid w:val="004A1112"/>
    <w:rsid w:val="004A1DA0"/>
    <w:rsid w:val="004A1F20"/>
    <w:rsid w:val="004A2393"/>
    <w:rsid w:val="004A3569"/>
    <w:rsid w:val="004A452A"/>
    <w:rsid w:val="004A5F2C"/>
    <w:rsid w:val="004A6E4F"/>
    <w:rsid w:val="004A720D"/>
    <w:rsid w:val="004B00D0"/>
    <w:rsid w:val="004B6084"/>
    <w:rsid w:val="004B7AE0"/>
    <w:rsid w:val="004C0BC4"/>
    <w:rsid w:val="004C260D"/>
    <w:rsid w:val="004C2D47"/>
    <w:rsid w:val="004C4357"/>
    <w:rsid w:val="004C4477"/>
    <w:rsid w:val="004C5730"/>
    <w:rsid w:val="004C6397"/>
    <w:rsid w:val="004C668F"/>
    <w:rsid w:val="004C682B"/>
    <w:rsid w:val="004D142C"/>
    <w:rsid w:val="004D29F7"/>
    <w:rsid w:val="004D36D8"/>
    <w:rsid w:val="004D4C5C"/>
    <w:rsid w:val="004D5AB0"/>
    <w:rsid w:val="004D5EAE"/>
    <w:rsid w:val="004D7A0E"/>
    <w:rsid w:val="004E06E7"/>
    <w:rsid w:val="004E0AE3"/>
    <w:rsid w:val="004E20D3"/>
    <w:rsid w:val="004E2C82"/>
    <w:rsid w:val="004E4FAE"/>
    <w:rsid w:val="004E62C7"/>
    <w:rsid w:val="004E68FF"/>
    <w:rsid w:val="004E7A1B"/>
    <w:rsid w:val="004F0B7F"/>
    <w:rsid w:val="004F1193"/>
    <w:rsid w:val="004F11DC"/>
    <w:rsid w:val="004F2124"/>
    <w:rsid w:val="004F271B"/>
    <w:rsid w:val="004F3A52"/>
    <w:rsid w:val="004F449F"/>
    <w:rsid w:val="004F4E7E"/>
    <w:rsid w:val="004F63AB"/>
    <w:rsid w:val="004F6B76"/>
    <w:rsid w:val="004F6C7C"/>
    <w:rsid w:val="004F7F1A"/>
    <w:rsid w:val="004F7FBB"/>
    <w:rsid w:val="005042B3"/>
    <w:rsid w:val="005045AB"/>
    <w:rsid w:val="00507D43"/>
    <w:rsid w:val="005103F2"/>
    <w:rsid w:val="00510E2C"/>
    <w:rsid w:val="00511FDC"/>
    <w:rsid w:val="005124C6"/>
    <w:rsid w:val="00513EBC"/>
    <w:rsid w:val="00514CE1"/>
    <w:rsid w:val="00517155"/>
    <w:rsid w:val="00517DB3"/>
    <w:rsid w:val="005200DC"/>
    <w:rsid w:val="005200F2"/>
    <w:rsid w:val="0052369D"/>
    <w:rsid w:val="005271DB"/>
    <w:rsid w:val="00530D2F"/>
    <w:rsid w:val="0053487C"/>
    <w:rsid w:val="005356E1"/>
    <w:rsid w:val="00536A8B"/>
    <w:rsid w:val="00540418"/>
    <w:rsid w:val="00541A96"/>
    <w:rsid w:val="00541C6A"/>
    <w:rsid w:val="00542C54"/>
    <w:rsid w:val="00546A43"/>
    <w:rsid w:val="00546C70"/>
    <w:rsid w:val="00547258"/>
    <w:rsid w:val="00550CF0"/>
    <w:rsid w:val="005559FE"/>
    <w:rsid w:val="005560D6"/>
    <w:rsid w:val="00556D07"/>
    <w:rsid w:val="005611F2"/>
    <w:rsid w:val="00561734"/>
    <w:rsid w:val="00561952"/>
    <w:rsid w:val="00564B9A"/>
    <w:rsid w:val="00565694"/>
    <w:rsid w:val="00566DD6"/>
    <w:rsid w:val="005714EF"/>
    <w:rsid w:val="005717D9"/>
    <w:rsid w:val="00571CEC"/>
    <w:rsid w:val="00572FCE"/>
    <w:rsid w:val="005750DB"/>
    <w:rsid w:val="005759FC"/>
    <w:rsid w:val="00575B85"/>
    <w:rsid w:val="00576DB9"/>
    <w:rsid w:val="0057738F"/>
    <w:rsid w:val="005805E4"/>
    <w:rsid w:val="0058202F"/>
    <w:rsid w:val="00584221"/>
    <w:rsid w:val="00584EB6"/>
    <w:rsid w:val="00586B68"/>
    <w:rsid w:val="0058774E"/>
    <w:rsid w:val="005878CF"/>
    <w:rsid w:val="00590CA0"/>
    <w:rsid w:val="00595B01"/>
    <w:rsid w:val="00596D98"/>
    <w:rsid w:val="005979A5"/>
    <w:rsid w:val="005A0021"/>
    <w:rsid w:val="005A017B"/>
    <w:rsid w:val="005A2AEC"/>
    <w:rsid w:val="005A412D"/>
    <w:rsid w:val="005A5212"/>
    <w:rsid w:val="005B002D"/>
    <w:rsid w:val="005B0FFF"/>
    <w:rsid w:val="005B19AF"/>
    <w:rsid w:val="005B258C"/>
    <w:rsid w:val="005B61DD"/>
    <w:rsid w:val="005B6735"/>
    <w:rsid w:val="005B7831"/>
    <w:rsid w:val="005C0CD6"/>
    <w:rsid w:val="005C12D9"/>
    <w:rsid w:val="005C2146"/>
    <w:rsid w:val="005C309D"/>
    <w:rsid w:val="005C544B"/>
    <w:rsid w:val="005C5916"/>
    <w:rsid w:val="005C5AEE"/>
    <w:rsid w:val="005C774A"/>
    <w:rsid w:val="005D3734"/>
    <w:rsid w:val="005D4F16"/>
    <w:rsid w:val="005D5A53"/>
    <w:rsid w:val="005D5DA0"/>
    <w:rsid w:val="005D7FBD"/>
    <w:rsid w:val="005E19B4"/>
    <w:rsid w:val="005E1D6B"/>
    <w:rsid w:val="005E227A"/>
    <w:rsid w:val="005E2CF8"/>
    <w:rsid w:val="005E3126"/>
    <w:rsid w:val="005E7075"/>
    <w:rsid w:val="005E75A7"/>
    <w:rsid w:val="005F38E2"/>
    <w:rsid w:val="005F3EE6"/>
    <w:rsid w:val="005F6736"/>
    <w:rsid w:val="00602C10"/>
    <w:rsid w:val="00602EBD"/>
    <w:rsid w:val="00604CF2"/>
    <w:rsid w:val="00606DFF"/>
    <w:rsid w:val="00606FB7"/>
    <w:rsid w:val="00610533"/>
    <w:rsid w:val="006110F6"/>
    <w:rsid w:val="00611FA1"/>
    <w:rsid w:val="00612522"/>
    <w:rsid w:val="00612DA6"/>
    <w:rsid w:val="0061365B"/>
    <w:rsid w:val="006138B6"/>
    <w:rsid w:val="00614BC6"/>
    <w:rsid w:val="00614E33"/>
    <w:rsid w:val="006158B8"/>
    <w:rsid w:val="0061706D"/>
    <w:rsid w:val="006173DA"/>
    <w:rsid w:val="00617EF9"/>
    <w:rsid w:val="00620295"/>
    <w:rsid w:val="00622F8E"/>
    <w:rsid w:val="00626AC8"/>
    <w:rsid w:val="00627912"/>
    <w:rsid w:val="0063195F"/>
    <w:rsid w:val="00636C0A"/>
    <w:rsid w:val="00637EC6"/>
    <w:rsid w:val="0064240C"/>
    <w:rsid w:val="00642FF5"/>
    <w:rsid w:val="006430FB"/>
    <w:rsid w:val="00643992"/>
    <w:rsid w:val="00644DBC"/>
    <w:rsid w:val="00646FE6"/>
    <w:rsid w:val="006474CD"/>
    <w:rsid w:val="00647744"/>
    <w:rsid w:val="006479A0"/>
    <w:rsid w:val="006500D9"/>
    <w:rsid w:val="00653B54"/>
    <w:rsid w:val="006541A3"/>
    <w:rsid w:val="00654FAD"/>
    <w:rsid w:val="00655C9F"/>
    <w:rsid w:val="006567FF"/>
    <w:rsid w:val="00656867"/>
    <w:rsid w:val="0066109F"/>
    <w:rsid w:val="00664B26"/>
    <w:rsid w:val="0066596B"/>
    <w:rsid w:val="00670295"/>
    <w:rsid w:val="006704F5"/>
    <w:rsid w:val="00672894"/>
    <w:rsid w:val="00674B47"/>
    <w:rsid w:val="0067609E"/>
    <w:rsid w:val="00676BE1"/>
    <w:rsid w:val="00677749"/>
    <w:rsid w:val="00680E07"/>
    <w:rsid w:val="00682B9D"/>
    <w:rsid w:val="00683806"/>
    <w:rsid w:val="00686AF9"/>
    <w:rsid w:val="006910C0"/>
    <w:rsid w:val="00691954"/>
    <w:rsid w:val="0069320E"/>
    <w:rsid w:val="00693D13"/>
    <w:rsid w:val="00694F58"/>
    <w:rsid w:val="006955BC"/>
    <w:rsid w:val="006959E2"/>
    <w:rsid w:val="00696920"/>
    <w:rsid w:val="00697EB9"/>
    <w:rsid w:val="006A20D4"/>
    <w:rsid w:val="006A268D"/>
    <w:rsid w:val="006A350F"/>
    <w:rsid w:val="006A3957"/>
    <w:rsid w:val="006A39A4"/>
    <w:rsid w:val="006A41D6"/>
    <w:rsid w:val="006A669D"/>
    <w:rsid w:val="006A6E41"/>
    <w:rsid w:val="006B012F"/>
    <w:rsid w:val="006B27CF"/>
    <w:rsid w:val="006B41BD"/>
    <w:rsid w:val="006B5678"/>
    <w:rsid w:val="006B62B2"/>
    <w:rsid w:val="006C1C57"/>
    <w:rsid w:val="006C5760"/>
    <w:rsid w:val="006C6D6F"/>
    <w:rsid w:val="006D0D78"/>
    <w:rsid w:val="006D1128"/>
    <w:rsid w:val="006D2848"/>
    <w:rsid w:val="006D30E0"/>
    <w:rsid w:val="006D5521"/>
    <w:rsid w:val="006D5FE9"/>
    <w:rsid w:val="006D6CBB"/>
    <w:rsid w:val="006D76A9"/>
    <w:rsid w:val="006D77F4"/>
    <w:rsid w:val="006E0898"/>
    <w:rsid w:val="006E41CD"/>
    <w:rsid w:val="006F3BEC"/>
    <w:rsid w:val="00703C00"/>
    <w:rsid w:val="007057CC"/>
    <w:rsid w:val="007066F2"/>
    <w:rsid w:val="00706AE5"/>
    <w:rsid w:val="0070740A"/>
    <w:rsid w:val="00711F93"/>
    <w:rsid w:val="00712940"/>
    <w:rsid w:val="0071428C"/>
    <w:rsid w:val="00715A16"/>
    <w:rsid w:val="007164B0"/>
    <w:rsid w:val="007166FF"/>
    <w:rsid w:val="007260CC"/>
    <w:rsid w:val="00726543"/>
    <w:rsid w:val="0073353E"/>
    <w:rsid w:val="00736633"/>
    <w:rsid w:val="00741EE7"/>
    <w:rsid w:val="00743A79"/>
    <w:rsid w:val="007444D4"/>
    <w:rsid w:val="0074594D"/>
    <w:rsid w:val="007459F3"/>
    <w:rsid w:val="00746E35"/>
    <w:rsid w:val="007470E2"/>
    <w:rsid w:val="0075232F"/>
    <w:rsid w:val="00753132"/>
    <w:rsid w:val="007550B3"/>
    <w:rsid w:val="00760451"/>
    <w:rsid w:val="0077182A"/>
    <w:rsid w:val="00771913"/>
    <w:rsid w:val="00772718"/>
    <w:rsid w:val="00775BCF"/>
    <w:rsid w:val="007818AA"/>
    <w:rsid w:val="00783140"/>
    <w:rsid w:val="007838B6"/>
    <w:rsid w:val="00783E77"/>
    <w:rsid w:val="007906F1"/>
    <w:rsid w:val="0079243D"/>
    <w:rsid w:val="00794A9B"/>
    <w:rsid w:val="0079583B"/>
    <w:rsid w:val="00796602"/>
    <w:rsid w:val="00797185"/>
    <w:rsid w:val="007976B7"/>
    <w:rsid w:val="00797A7E"/>
    <w:rsid w:val="00797D6F"/>
    <w:rsid w:val="007B014B"/>
    <w:rsid w:val="007B0D88"/>
    <w:rsid w:val="007B306F"/>
    <w:rsid w:val="007B4714"/>
    <w:rsid w:val="007B4E82"/>
    <w:rsid w:val="007C1996"/>
    <w:rsid w:val="007C3773"/>
    <w:rsid w:val="007C3F1F"/>
    <w:rsid w:val="007D2D0D"/>
    <w:rsid w:val="007D3325"/>
    <w:rsid w:val="007D3818"/>
    <w:rsid w:val="007D6DC5"/>
    <w:rsid w:val="007D7425"/>
    <w:rsid w:val="007E320E"/>
    <w:rsid w:val="007E3280"/>
    <w:rsid w:val="007E4A02"/>
    <w:rsid w:val="007E595C"/>
    <w:rsid w:val="007E59A5"/>
    <w:rsid w:val="007F3B8C"/>
    <w:rsid w:val="007F41D0"/>
    <w:rsid w:val="007F4B8B"/>
    <w:rsid w:val="007F5957"/>
    <w:rsid w:val="007F70B6"/>
    <w:rsid w:val="007F74CA"/>
    <w:rsid w:val="00800F1E"/>
    <w:rsid w:val="0080195A"/>
    <w:rsid w:val="0080239C"/>
    <w:rsid w:val="00802841"/>
    <w:rsid w:val="008037D5"/>
    <w:rsid w:val="00805447"/>
    <w:rsid w:val="008054FA"/>
    <w:rsid w:val="0080717A"/>
    <w:rsid w:val="00807DFA"/>
    <w:rsid w:val="0081009F"/>
    <w:rsid w:val="00810152"/>
    <w:rsid w:val="008115AB"/>
    <w:rsid w:val="00812D2C"/>
    <w:rsid w:val="008159F4"/>
    <w:rsid w:val="008167C1"/>
    <w:rsid w:val="008167C6"/>
    <w:rsid w:val="00816B8F"/>
    <w:rsid w:val="00820331"/>
    <w:rsid w:val="00820BF5"/>
    <w:rsid w:val="008212B1"/>
    <w:rsid w:val="0082155A"/>
    <w:rsid w:val="0082209F"/>
    <w:rsid w:val="008223C2"/>
    <w:rsid w:val="008250A2"/>
    <w:rsid w:val="00825D64"/>
    <w:rsid w:val="0082650B"/>
    <w:rsid w:val="008301CE"/>
    <w:rsid w:val="008312E3"/>
    <w:rsid w:val="00831D5B"/>
    <w:rsid w:val="00832DD6"/>
    <w:rsid w:val="00832F0C"/>
    <w:rsid w:val="008336F2"/>
    <w:rsid w:val="008345D9"/>
    <w:rsid w:val="008347CB"/>
    <w:rsid w:val="00835647"/>
    <w:rsid w:val="00837A2E"/>
    <w:rsid w:val="00841558"/>
    <w:rsid w:val="00842A68"/>
    <w:rsid w:val="008435BA"/>
    <w:rsid w:val="0084558B"/>
    <w:rsid w:val="0084654A"/>
    <w:rsid w:val="00847654"/>
    <w:rsid w:val="00851064"/>
    <w:rsid w:val="00855543"/>
    <w:rsid w:val="008566B3"/>
    <w:rsid w:val="008576B7"/>
    <w:rsid w:val="00857F7B"/>
    <w:rsid w:val="00863DA1"/>
    <w:rsid w:val="008654A6"/>
    <w:rsid w:val="00865D86"/>
    <w:rsid w:val="00870495"/>
    <w:rsid w:val="00870EA1"/>
    <w:rsid w:val="008710C5"/>
    <w:rsid w:val="00874438"/>
    <w:rsid w:val="00874E75"/>
    <w:rsid w:val="008767F3"/>
    <w:rsid w:val="00876CEF"/>
    <w:rsid w:val="00877342"/>
    <w:rsid w:val="008803C3"/>
    <w:rsid w:val="00881450"/>
    <w:rsid w:val="008817C7"/>
    <w:rsid w:val="00881875"/>
    <w:rsid w:val="008848A3"/>
    <w:rsid w:val="00884AF1"/>
    <w:rsid w:val="00885F7A"/>
    <w:rsid w:val="00890712"/>
    <w:rsid w:val="00890D81"/>
    <w:rsid w:val="00892955"/>
    <w:rsid w:val="00893628"/>
    <w:rsid w:val="008941EB"/>
    <w:rsid w:val="0089545A"/>
    <w:rsid w:val="00895A02"/>
    <w:rsid w:val="008A01EE"/>
    <w:rsid w:val="008A0DAC"/>
    <w:rsid w:val="008A3B78"/>
    <w:rsid w:val="008A4166"/>
    <w:rsid w:val="008A7DBF"/>
    <w:rsid w:val="008B136C"/>
    <w:rsid w:val="008B55EF"/>
    <w:rsid w:val="008B6910"/>
    <w:rsid w:val="008C0B5C"/>
    <w:rsid w:val="008C1343"/>
    <w:rsid w:val="008C3912"/>
    <w:rsid w:val="008C5598"/>
    <w:rsid w:val="008C69EA"/>
    <w:rsid w:val="008C6F8B"/>
    <w:rsid w:val="008C7AB7"/>
    <w:rsid w:val="008C7FB4"/>
    <w:rsid w:val="008D2C8C"/>
    <w:rsid w:val="008D3040"/>
    <w:rsid w:val="008D3ECD"/>
    <w:rsid w:val="008D5C03"/>
    <w:rsid w:val="008D7580"/>
    <w:rsid w:val="008D7C35"/>
    <w:rsid w:val="008E5698"/>
    <w:rsid w:val="008E5733"/>
    <w:rsid w:val="008E77D2"/>
    <w:rsid w:val="008E78FD"/>
    <w:rsid w:val="008F199D"/>
    <w:rsid w:val="008F38A0"/>
    <w:rsid w:val="008F39C9"/>
    <w:rsid w:val="008F5EB5"/>
    <w:rsid w:val="008F678C"/>
    <w:rsid w:val="008F75A7"/>
    <w:rsid w:val="008F7E5A"/>
    <w:rsid w:val="00900A7F"/>
    <w:rsid w:val="009036EE"/>
    <w:rsid w:val="00905815"/>
    <w:rsid w:val="00905D1D"/>
    <w:rsid w:val="0091016D"/>
    <w:rsid w:val="009108A7"/>
    <w:rsid w:val="00910C98"/>
    <w:rsid w:val="00911910"/>
    <w:rsid w:val="00912A58"/>
    <w:rsid w:val="00913908"/>
    <w:rsid w:val="00913D26"/>
    <w:rsid w:val="0091438B"/>
    <w:rsid w:val="009147E3"/>
    <w:rsid w:val="00920FD2"/>
    <w:rsid w:val="00923A43"/>
    <w:rsid w:val="0092439C"/>
    <w:rsid w:val="0092498E"/>
    <w:rsid w:val="00925B91"/>
    <w:rsid w:val="00934461"/>
    <w:rsid w:val="00934F7E"/>
    <w:rsid w:val="00936A1C"/>
    <w:rsid w:val="00943E35"/>
    <w:rsid w:val="00945278"/>
    <w:rsid w:val="0094658D"/>
    <w:rsid w:val="00947678"/>
    <w:rsid w:val="00947878"/>
    <w:rsid w:val="009504C2"/>
    <w:rsid w:val="0095254A"/>
    <w:rsid w:val="0095273B"/>
    <w:rsid w:val="009559E1"/>
    <w:rsid w:val="009568D5"/>
    <w:rsid w:val="00957CD3"/>
    <w:rsid w:val="0096269B"/>
    <w:rsid w:val="00963FB0"/>
    <w:rsid w:val="00964C86"/>
    <w:rsid w:val="00965E82"/>
    <w:rsid w:val="009664BB"/>
    <w:rsid w:val="009669F8"/>
    <w:rsid w:val="00966F89"/>
    <w:rsid w:val="00973B5D"/>
    <w:rsid w:val="0097755E"/>
    <w:rsid w:val="00981467"/>
    <w:rsid w:val="00981C24"/>
    <w:rsid w:val="009852F6"/>
    <w:rsid w:val="00985DE5"/>
    <w:rsid w:val="00986254"/>
    <w:rsid w:val="0098729E"/>
    <w:rsid w:val="00990067"/>
    <w:rsid w:val="00992977"/>
    <w:rsid w:val="009937D4"/>
    <w:rsid w:val="00993C78"/>
    <w:rsid w:val="009948C7"/>
    <w:rsid w:val="00995850"/>
    <w:rsid w:val="0099796C"/>
    <w:rsid w:val="009A194E"/>
    <w:rsid w:val="009A1EA2"/>
    <w:rsid w:val="009A209E"/>
    <w:rsid w:val="009A3FD7"/>
    <w:rsid w:val="009A6652"/>
    <w:rsid w:val="009A74FD"/>
    <w:rsid w:val="009B25D8"/>
    <w:rsid w:val="009B42E3"/>
    <w:rsid w:val="009B5859"/>
    <w:rsid w:val="009C6D07"/>
    <w:rsid w:val="009C7CEC"/>
    <w:rsid w:val="009D154D"/>
    <w:rsid w:val="009D18EF"/>
    <w:rsid w:val="009D3BE8"/>
    <w:rsid w:val="009D44E0"/>
    <w:rsid w:val="009D573B"/>
    <w:rsid w:val="009D59A0"/>
    <w:rsid w:val="009D716A"/>
    <w:rsid w:val="009E1AC4"/>
    <w:rsid w:val="009E20B8"/>
    <w:rsid w:val="009E29A0"/>
    <w:rsid w:val="009E41B5"/>
    <w:rsid w:val="009E55D7"/>
    <w:rsid w:val="009E627C"/>
    <w:rsid w:val="009F110B"/>
    <w:rsid w:val="009F1498"/>
    <w:rsid w:val="009F1E9F"/>
    <w:rsid w:val="009F3793"/>
    <w:rsid w:val="009F54F2"/>
    <w:rsid w:val="00A0056B"/>
    <w:rsid w:val="00A01657"/>
    <w:rsid w:val="00A01C65"/>
    <w:rsid w:val="00A0213D"/>
    <w:rsid w:val="00A04C73"/>
    <w:rsid w:val="00A0679A"/>
    <w:rsid w:val="00A07A2B"/>
    <w:rsid w:val="00A12375"/>
    <w:rsid w:val="00A125B8"/>
    <w:rsid w:val="00A13124"/>
    <w:rsid w:val="00A15370"/>
    <w:rsid w:val="00A156AB"/>
    <w:rsid w:val="00A16B8D"/>
    <w:rsid w:val="00A21293"/>
    <w:rsid w:val="00A2134B"/>
    <w:rsid w:val="00A21623"/>
    <w:rsid w:val="00A220EB"/>
    <w:rsid w:val="00A22302"/>
    <w:rsid w:val="00A25F1B"/>
    <w:rsid w:val="00A325F3"/>
    <w:rsid w:val="00A33103"/>
    <w:rsid w:val="00A33294"/>
    <w:rsid w:val="00A35DCB"/>
    <w:rsid w:val="00A3690E"/>
    <w:rsid w:val="00A37751"/>
    <w:rsid w:val="00A406B1"/>
    <w:rsid w:val="00A4113E"/>
    <w:rsid w:val="00A42435"/>
    <w:rsid w:val="00A438BA"/>
    <w:rsid w:val="00A446FD"/>
    <w:rsid w:val="00A46F46"/>
    <w:rsid w:val="00A52CB6"/>
    <w:rsid w:val="00A52F99"/>
    <w:rsid w:val="00A538BB"/>
    <w:rsid w:val="00A54164"/>
    <w:rsid w:val="00A56737"/>
    <w:rsid w:val="00A60002"/>
    <w:rsid w:val="00A603D8"/>
    <w:rsid w:val="00A60AE2"/>
    <w:rsid w:val="00A61834"/>
    <w:rsid w:val="00A618B0"/>
    <w:rsid w:val="00A62790"/>
    <w:rsid w:val="00A6291F"/>
    <w:rsid w:val="00A63F53"/>
    <w:rsid w:val="00A7111E"/>
    <w:rsid w:val="00A755B6"/>
    <w:rsid w:val="00A75B1A"/>
    <w:rsid w:val="00A80ED4"/>
    <w:rsid w:val="00A816C4"/>
    <w:rsid w:val="00A82981"/>
    <w:rsid w:val="00A86F10"/>
    <w:rsid w:val="00A87AF2"/>
    <w:rsid w:val="00A90B23"/>
    <w:rsid w:val="00A93193"/>
    <w:rsid w:val="00A93C2B"/>
    <w:rsid w:val="00A94556"/>
    <w:rsid w:val="00A974CB"/>
    <w:rsid w:val="00AA1EAC"/>
    <w:rsid w:val="00AA45E2"/>
    <w:rsid w:val="00AA7AC1"/>
    <w:rsid w:val="00AB6327"/>
    <w:rsid w:val="00AB6B8F"/>
    <w:rsid w:val="00AC0C65"/>
    <w:rsid w:val="00AC0FB2"/>
    <w:rsid w:val="00AC3721"/>
    <w:rsid w:val="00AC41C6"/>
    <w:rsid w:val="00AC70C7"/>
    <w:rsid w:val="00AC76B7"/>
    <w:rsid w:val="00AD0223"/>
    <w:rsid w:val="00AD123A"/>
    <w:rsid w:val="00AD15FF"/>
    <w:rsid w:val="00AD1AA5"/>
    <w:rsid w:val="00AD2920"/>
    <w:rsid w:val="00AD2CD5"/>
    <w:rsid w:val="00AD2DFC"/>
    <w:rsid w:val="00AD38C4"/>
    <w:rsid w:val="00AD5A4A"/>
    <w:rsid w:val="00AD60EE"/>
    <w:rsid w:val="00AD6A2B"/>
    <w:rsid w:val="00AD73D4"/>
    <w:rsid w:val="00AE1EA2"/>
    <w:rsid w:val="00AE2874"/>
    <w:rsid w:val="00AE2BA2"/>
    <w:rsid w:val="00AE2F98"/>
    <w:rsid w:val="00AE3602"/>
    <w:rsid w:val="00AE5342"/>
    <w:rsid w:val="00AE5987"/>
    <w:rsid w:val="00AE6472"/>
    <w:rsid w:val="00AF1345"/>
    <w:rsid w:val="00AF38A8"/>
    <w:rsid w:val="00AF63EB"/>
    <w:rsid w:val="00B016D2"/>
    <w:rsid w:val="00B018EC"/>
    <w:rsid w:val="00B060C7"/>
    <w:rsid w:val="00B11AB7"/>
    <w:rsid w:val="00B12213"/>
    <w:rsid w:val="00B13710"/>
    <w:rsid w:val="00B22881"/>
    <w:rsid w:val="00B23EFC"/>
    <w:rsid w:val="00B24B72"/>
    <w:rsid w:val="00B25DB8"/>
    <w:rsid w:val="00B2656C"/>
    <w:rsid w:val="00B266E6"/>
    <w:rsid w:val="00B3094D"/>
    <w:rsid w:val="00B30B04"/>
    <w:rsid w:val="00B311BC"/>
    <w:rsid w:val="00B31810"/>
    <w:rsid w:val="00B31C10"/>
    <w:rsid w:val="00B3446D"/>
    <w:rsid w:val="00B34652"/>
    <w:rsid w:val="00B34F89"/>
    <w:rsid w:val="00B358C8"/>
    <w:rsid w:val="00B36185"/>
    <w:rsid w:val="00B3662F"/>
    <w:rsid w:val="00B373CD"/>
    <w:rsid w:val="00B377C8"/>
    <w:rsid w:val="00B400B8"/>
    <w:rsid w:val="00B404DE"/>
    <w:rsid w:val="00B40765"/>
    <w:rsid w:val="00B4232D"/>
    <w:rsid w:val="00B42682"/>
    <w:rsid w:val="00B43065"/>
    <w:rsid w:val="00B44784"/>
    <w:rsid w:val="00B449D0"/>
    <w:rsid w:val="00B456AB"/>
    <w:rsid w:val="00B46C2A"/>
    <w:rsid w:val="00B47E8B"/>
    <w:rsid w:val="00B51C67"/>
    <w:rsid w:val="00B53F86"/>
    <w:rsid w:val="00B53FDC"/>
    <w:rsid w:val="00B55431"/>
    <w:rsid w:val="00B55CAE"/>
    <w:rsid w:val="00B576C6"/>
    <w:rsid w:val="00B615F2"/>
    <w:rsid w:val="00B61A28"/>
    <w:rsid w:val="00B65C6D"/>
    <w:rsid w:val="00B66B06"/>
    <w:rsid w:val="00B67862"/>
    <w:rsid w:val="00B70634"/>
    <w:rsid w:val="00B70BE4"/>
    <w:rsid w:val="00B73880"/>
    <w:rsid w:val="00B73CF1"/>
    <w:rsid w:val="00B745B3"/>
    <w:rsid w:val="00B7599D"/>
    <w:rsid w:val="00B7648F"/>
    <w:rsid w:val="00B76E13"/>
    <w:rsid w:val="00B771EE"/>
    <w:rsid w:val="00B7765B"/>
    <w:rsid w:val="00B77B4B"/>
    <w:rsid w:val="00B80ABC"/>
    <w:rsid w:val="00B814C2"/>
    <w:rsid w:val="00B900FE"/>
    <w:rsid w:val="00B9064C"/>
    <w:rsid w:val="00BA0A14"/>
    <w:rsid w:val="00BA228D"/>
    <w:rsid w:val="00BA398D"/>
    <w:rsid w:val="00BA39D3"/>
    <w:rsid w:val="00BA5C56"/>
    <w:rsid w:val="00BA776F"/>
    <w:rsid w:val="00BB0C0D"/>
    <w:rsid w:val="00BB0D69"/>
    <w:rsid w:val="00BB366E"/>
    <w:rsid w:val="00BB3AF0"/>
    <w:rsid w:val="00BB4F70"/>
    <w:rsid w:val="00BB67FF"/>
    <w:rsid w:val="00BC11B9"/>
    <w:rsid w:val="00BC138C"/>
    <w:rsid w:val="00BC14CF"/>
    <w:rsid w:val="00BC1659"/>
    <w:rsid w:val="00BC2C91"/>
    <w:rsid w:val="00BC3A9C"/>
    <w:rsid w:val="00BC5288"/>
    <w:rsid w:val="00BC6A71"/>
    <w:rsid w:val="00BC6B2F"/>
    <w:rsid w:val="00BD0637"/>
    <w:rsid w:val="00BD08A8"/>
    <w:rsid w:val="00BD1BAC"/>
    <w:rsid w:val="00BD1FA8"/>
    <w:rsid w:val="00BD25A6"/>
    <w:rsid w:val="00BD4C95"/>
    <w:rsid w:val="00BD65FC"/>
    <w:rsid w:val="00BD7660"/>
    <w:rsid w:val="00BE0666"/>
    <w:rsid w:val="00BE24B9"/>
    <w:rsid w:val="00BE2AE8"/>
    <w:rsid w:val="00BE2D55"/>
    <w:rsid w:val="00BE38DD"/>
    <w:rsid w:val="00BE4AB1"/>
    <w:rsid w:val="00BF16C3"/>
    <w:rsid w:val="00BF38E0"/>
    <w:rsid w:val="00BF44FA"/>
    <w:rsid w:val="00BF57E1"/>
    <w:rsid w:val="00C003B4"/>
    <w:rsid w:val="00C00A5F"/>
    <w:rsid w:val="00C042E0"/>
    <w:rsid w:val="00C051D9"/>
    <w:rsid w:val="00C06333"/>
    <w:rsid w:val="00C06F68"/>
    <w:rsid w:val="00C075BA"/>
    <w:rsid w:val="00C10A3A"/>
    <w:rsid w:val="00C11E20"/>
    <w:rsid w:val="00C15D16"/>
    <w:rsid w:val="00C20015"/>
    <w:rsid w:val="00C247DD"/>
    <w:rsid w:val="00C25B43"/>
    <w:rsid w:val="00C26A54"/>
    <w:rsid w:val="00C3261C"/>
    <w:rsid w:val="00C3318B"/>
    <w:rsid w:val="00C33C20"/>
    <w:rsid w:val="00C35362"/>
    <w:rsid w:val="00C357EA"/>
    <w:rsid w:val="00C379F8"/>
    <w:rsid w:val="00C37A1C"/>
    <w:rsid w:val="00C42323"/>
    <w:rsid w:val="00C4316E"/>
    <w:rsid w:val="00C453A9"/>
    <w:rsid w:val="00C465D5"/>
    <w:rsid w:val="00C4756A"/>
    <w:rsid w:val="00C47C39"/>
    <w:rsid w:val="00C50649"/>
    <w:rsid w:val="00C50E1F"/>
    <w:rsid w:val="00C51C09"/>
    <w:rsid w:val="00C52BB6"/>
    <w:rsid w:val="00C53471"/>
    <w:rsid w:val="00C55143"/>
    <w:rsid w:val="00C5611B"/>
    <w:rsid w:val="00C5695E"/>
    <w:rsid w:val="00C61528"/>
    <w:rsid w:val="00C63457"/>
    <w:rsid w:val="00C64964"/>
    <w:rsid w:val="00C6631E"/>
    <w:rsid w:val="00C67473"/>
    <w:rsid w:val="00C67AA4"/>
    <w:rsid w:val="00C7148C"/>
    <w:rsid w:val="00C72192"/>
    <w:rsid w:val="00C732E5"/>
    <w:rsid w:val="00C73D0B"/>
    <w:rsid w:val="00C75017"/>
    <w:rsid w:val="00C765B4"/>
    <w:rsid w:val="00C813EA"/>
    <w:rsid w:val="00C81496"/>
    <w:rsid w:val="00C82CE6"/>
    <w:rsid w:val="00C82E22"/>
    <w:rsid w:val="00C85144"/>
    <w:rsid w:val="00C86738"/>
    <w:rsid w:val="00C86A27"/>
    <w:rsid w:val="00C91517"/>
    <w:rsid w:val="00C929BD"/>
    <w:rsid w:val="00C931A2"/>
    <w:rsid w:val="00CA02E1"/>
    <w:rsid w:val="00CA15DA"/>
    <w:rsid w:val="00CA224E"/>
    <w:rsid w:val="00CA41C5"/>
    <w:rsid w:val="00CA42B7"/>
    <w:rsid w:val="00CA4A53"/>
    <w:rsid w:val="00CA51F5"/>
    <w:rsid w:val="00CB218A"/>
    <w:rsid w:val="00CB225A"/>
    <w:rsid w:val="00CB69E6"/>
    <w:rsid w:val="00CB761B"/>
    <w:rsid w:val="00CB7E33"/>
    <w:rsid w:val="00CC13DF"/>
    <w:rsid w:val="00CC1EEE"/>
    <w:rsid w:val="00CC562B"/>
    <w:rsid w:val="00CC6C15"/>
    <w:rsid w:val="00CC7FCF"/>
    <w:rsid w:val="00CD2749"/>
    <w:rsid w:val="00CD2A60"/>
    <w:rsid w:val="00CD306F"/>
    <w:rsid w:val="00CD3971"/>
    <w:rsid w:val="00CD3DAB"/>
    <w:rsid w:val="00CE0DF1"/>
    <w:rsid w:val="00CE3786"/>
    <w:rsid w:val="00CE4027"/>
    <w:rsid w:val="00CE47CC"/>
    <w:rsid w:val="00CE68F6"/>
    <w:rsid w:val="00CE7E27"/>
    <w:rsid w:val="00CF22AC"/>
    <w:rsid w:val="00CF2F0A"/>
    <w:rsid w:val="00CF79E8"/>
    <w:rsid w:val="00D015AA"/>
    <w:rsid w:val="00D021B8"/>
    <w:rsid w:val="00D03D90"/>
    <w:rsid w:val="00D04024"/>
    <w:rsid w:val="00D043EB"/>
    <w:rsid w:val="00D06705"/>
    <w:rsid w:val="00D06A9B"/>
    <w:rsid w:val="00D0750D"/>
    <w:rsid w:val="00D07DD8"/>
    <w:rsid w:val="00D1038F"/>
    <w:rsid w:val="00D10BF7"/>
    <w:rsid w:val="00D10FEB"/>
    <w:rsid w:val="00D140A0"/>
    <w:rsid w:val="00D203D1"/>
    <w:rsid w:val="00D2057A"/>
    <w:rsid w:val="00D21D98"/>
    <w:rsid w:val="00D2317F"/>
    <w:rsid w:val="00D231A9"/>
    <w:rsid w:val="00D24391"/>
    <w:rsid w:val="00D2472B"/>
    <w:rsid w:val="00D253DD"/>
    <w:rsid w:val="00D26FFA"/>
    <w:rsid w:val="00D3215D"/>
    <w:rsid w:val="00D33352"/>
    <w:rsid w:val="00D347D9"/>
    <w:rsid w:val="00D35565"/>
    <w:rsid w:val="00D36A19"/>
    <w:rsid w:val="00D40DCF"/>
    <w:rsid w:val="00D41075"/>
    <w:rsid w:val="00D41C76"/>
    <w:rsid w:val="00D41DD8"/>
    <w:rsid w:val="00D4222C"/>
    <w:rsid w:val="00D425CE"/>
    <w:rsid w:val="00D42F40"/>
    <w:rsid w:val="00D4396C"/>
    <w:rsid w:val="00D4446F"/>
    <w:rsid w:val="00D44B55"/>
    <w:rsid w:val="00D45490"/>
    <w:rsid w:val="00D457B8"/>
    <w:rsid w:val="00D457E1"/>
    <w:rsid w:val="00D47BEB"/>
    <w:rsid w:val="00D50487"/>
    <w:rsid w:val="00D50563"/>
    <w:rsid w:val="00D50F50"/>
    <w:rsid w:val="00D5235F"/>
    <w:rsid w:val="00D52F50"/>
    <w:rsid w:val="00D55A98"/>
    <w:rsid w:val="00D56B49"/>
    <w:rsid w:val="00D6053F"/>
    <w:rsid w:val="00D6073D"/>
    <w:rsid w:val="00D618D6"/>
    <w:rsid w:val="00D62426"/>
    <w:rsid w:val="00D62804"/>
    <w:rsid w:val="00D70F55"/>
    <w:rsid w:val="00D70FA5"/>
    <w:rsid w:val="00D74171"/>
    <w:rsid w:val="00D7474C"/>
    <w:rsid w:val="00D8032C"/>
    <w:rsid w:val="00D80CE2"/>
    <w:rsid w:val="00D83080"/>
    <w:rsid w:val="00D83E66"/>
    <w:rsid w:val="00D84D5F"/>
    <w:rsid w:val="00D851E2"/>
    <w:rsid w:val="00D87FFA"/>
    <w:rsid w:val="00D91419"/>
    <w:rsid w:val="00D92A09"/>
    <w:rsid w:val="00D92D2A"/>
    <w:rsid w:val="00D92EEC"/>
    <w:rsid w:val="00D93470"/>
    <w:rsid w:val="00D9395F"/>
    <w:rsid w:val="00D93D55"/>
    <w:rsid w:val="00D941FA"/>
    <w:rsid w:val="00D94B59"/>
    <w:rsid w:val="00D95315"/>
    <w:rsid w:val="00D95EAB"/>
    <w:rsid w:val="00DA0B39"/>
    <w:rsid w:val="00DA1203"/>
    <w:rsid w:val="00DA2316"/>
    <w:rsid w:val="00DA25E0"/>
    <w:rsid w:val="00DA2700"/>
    <w:rsid w:val="00DA3001"/>
    <w:rsid w:val="00DA3C5D"/>
    <w:rsid w:val="00DA3EFF"/>
    <w:rsid w:val="00DA7769"/>
    <w:rsid w:val="00DB08C6"/>
    <w:rsid w:val="00DB1BC2"/>
    <w:rsid w:val="00DB1CBB"/>
    <w:rsid w:val="00DB31ED"/>
    <w:rsid w:val="00DB4124"/>
    <w:rsid w:val="00DB4511"/>
    <w:rsid w:val="00DB4F0C"/>
    <w:rsid w:val="00DC0176"/>
    <w:rsid w:val="00DC043F"/>
    <w:rsid w:val="00DC093E"/>
    <w:rsid w:val="00DC0E29"/>
    <w:rsid w:val="00DC0E7A"/>
    <w:rsid w:val="00DC2A65"/>
    <w:rsid w:val="00DC2A86"/>
    <w:rsid w:val="00DC3631"/>
    <w:rsid w:val="00DC37F7"/>
    <w:rsid w:val="00DC6F54"/>
    <w:rsid w:val="00DD0C00"/>
    <w:rsid w:val="00DD0F8C"/>
    <w:rsid w:val="00DD116C"/>
    <w:rsid w:val="00DD23D5"/>
    <w:rsid w:val="00DD2AF1"/>
    <w:rsid w:val="00DD46DA"/>
    <w:rsid w:val="00DD6072"/>
    <w:rsid w:val="00DD62BE"/>
    <w:rsid w:val="00DD77D9"/>
    <w:rsid w:val="00DD7CA4"/>
    <w:rsid w:val="00DE167C"/>
    <w:rsid w:val="00DE3B70"/>
    <w:rsid w:val="00DE5813"/>
    <w:rsid w:val="00DF10B1"/>
    <w:rsid w:val="00DF1FDA"/>
    <w:rsid w:val="00DF3DD0"/>
    <w:rsid w:val="00DF4D50"/>
    <w:rsid w:val="00DF538C"/>
    <w:rsid w:val="00E021C2"/>
    <w:rsid w:val="00E024A3"/>
    <w:rsid w:val="00E0423D"/>
    <w:rsid w:val="00E057B5"/>
    <w:rsid w:val="00E0581E"/>
    <w:rsid w:val="00E079C5"/>
    <w:rsid w:val="00E07CBD"/>
    <w:rsid w:val="00E07F56"/>
    <w:rsid w:val="00E10A16"/>
    <w:rsid w:val="00E1112F"/>
    <w:rsid w:val="00E1318F"/>
    <w:rsid w:val="00E13B3B"/>
    <w:rsid w:val="00E13E29"/>
    <w:rsid w:val="00E16857"/>
    <w:rsid w:val="00E16C3A"/>
    <w:rsid w:val="00E20651"/>
    <w:rsid w:val="00E2107C"/>
    <w:rsid w:val="00E21E70"/>
    <w:rsid w:val="00E224DE"/>
    <w:rsid w:val="00E23DCE"/>
    <w:rsid w:val="00E26363"/>
    <w:rsid w:val="00E272A4"/>
    <w:rsid w:val="00E305F9"/>
    <w:rsid w:val="00E306AC"/>
    <w:rsid w:val="00E34446"/>
    <w:rsid w:val="00E3633B"/>
    <w:rsid w:val="00E36870"/>
    <w:rsid w:val="00E374E1"/>
    <w:rsid w:val="00E417AB"/>
    <w:rsid w:val="00E43D48"/>
    <w:rsid w:val="00E4542D"/>
    <w:rsid w:val="00E45BE0"/>
    <w:rsid w:val="00E46CAD"/>
    <w:rsid w:val="00E47521"/>
    <w:rsid w:val="00E4760C"/>
    <w:rsid w:val="00E507A6"/>
    <w:rsid w:val="00E5375C"/>
    <w:rsid w:val="00E561AD"/>
    <w:rsid w:val="00E57FAF"/>
    <w:rsid w:val="00E60BA9"/>
    <w:rsid w:val="00E63510"/>
    <w:rsid w:val="00E635EA"/>
    <w:rsid w:val="00E655E5"/>
    <w:rsid w:val="00E65F4E"/>
    <w:rsid w:val="00E662E0"/>
    <w:rsid w:val="00E67D5D"/>
    <w:rsid w:val="00E71C7A"/>
    <w:rsid w:val="00E73119"/>
    <w:rsid w:val="00E73E1E"/>
    <w:rsid w:val="00E767FF"/>
    <w:rsid w:val="00E84C91"/>
    <w:rsid w:val="00E84E60"/>
    <w:rsid w:val="00E8556E"/>
    <w:rsid w:val="00E86B2D"/>
    <w:rsid w:val="00E86F4D"/>
    <w:rsid w:val="00E87D08"/>
    <w:rsid w:val="00E90D0E"/>
    <w:rsid w:val="00E91B2D"/>
    <w:rsid w:val="00E92FCA"/>
    <w:rsid w:val="00E95CAA"/>
    <w:rsid w:val="00EA0A39"/>
    <w:rsid w:val="00EA0EB2"/>
    <w:rsid w:val="00EA236F"/>
    <w:rsid w:val="00EA3023"/>
    <w:rsid w:val="00EA3E49"/>
    <w:rsid w:val="00EA3FC8"/>
    <w:rsid w:val="00EA5B8C"/>
    <w:rsid w:val="00EB0DC9"/>
    <w:rsid w:val="00EB1383"/>
    <w:rsid w:val="00EB252D"/>
    <w:rsid w:val="00EB29FA"/>
    <w:rsid w:val="00EB2CCE"/>
    <w:rsid w:val="00EB385F"/>
    <w:rsid w:val="00EB3E49"/>
    <w:rsid w:val="00EB5FC3"/>
    <w:rsid w:val="00EB6DA9"/>
    <w:rsid w:val="00EC1561"/>
    <w:rsid w:val="00EC462E"/>
    <w:rsid w:val="00EC6CD8"/>
    <w:rsid w:val="00EC786F"/>
    <w:rsid w:val="00ED1866"/>
    <w:rsid w:val="00ED3134"/>
    <w:rsid w:val="00ED38E2"/>
    <w:rsid w:val="00ED5C44"/>
    <w:rsid w:val="00ED635B"/>
    <w:rsid w:val="00EE742D"/>
    <w:rsid w:val="00EF0A22"/>
    <w:rsid w:val="00EF1267"/>
    <w:rsid w:val="00EF180C"/>
    <w:rsid w:val="00EF3B6B"/>
    <w:rsid w:val="00EF4B43"/>
    <w:rsid w:val="00EF6750"/>
    <w:rsid w:val="00EF770B"/>
    <w:rsid w:val="00F02836"/>
    <w:rsid w:val="00F02FB5"/>
    <w:rsid w:val="00F0534E"/>
    <w:rsid w:val="00F05C30"/>
    <w:rsid w:val="00F10F1B"/>
    <w:rsid w:val="00F14179"/>
    <w:rsid w:val="00F15786"/>
    <w:rsid w:val="00F167C5"/>
    <w:rsid w:val="00F20B5A"/>
    <w:rsid w:val="00F21F0B"/>
    <w:rsid w:val="00F236AB"/>
    <w:rsid w:val="00F24EA4"/>
    <w:rsid w:val="00F27087"/>
    <w:rsid w:val="00F2773C"/>
    <w:rsid w:val="00F300B3"/>
    <w:rsid w:val="00F30DB9"/>
    <w:rsid w:val="00F30FB8"/>
    <w:rsid w:val="00F31D68"/>
    <w:rsid w:val="00F33152"/>
    <w:rsid w:val="00F338F2"/>
    <w:rsid w:val="00F349D3"/>
    <w:rsid w:val="00F3533E"/>
    <w:rsid w:val="00F35B84"/>
    <w:rsid w:val="00F402B5"/>
    <w:rsid w:val="00F4072F"/>
    <w:rsid w:val="00F42839"/>
    <w:rsid w:val="00F44CC0"/>
    <w:rsid w:val="00F450BA"/>
    <w:rsid w:val="00F4684B"/>
    <w:rsid w:val="00F46BE9"/>
    <w:rsid w:val="00F47C3B"/>
    <w:rsid w:val="00F506CA"/>
    <w:rsid w:val="00F53A7A"/>
    <w:rsid w:val="00F54FCD"/>
    <w:rsid w:val="00F5785C"/>
    <w:rsid w:val="00F65E3C"/>
    <w:rsid w:val="00F67076"/>
    <w:rsid w:val="00F677FA"/>
    <w:rsid w:val="00F7115A"/>
    <w:rsid w:val="00F717AA"/>
    <w:rsid w:val="00F72714"/>
    <w:rsid w:val="00F744C3"/>
    <w:rsid w:val="00F75EE2"/>
    <w:rsid w:val="00F75F69"/>
    <w:rsid w:val="00F76014"/>
    <w:rsid w:val="00F802D3"/>
    <w:rsid w:val="00F80F94"/>
    <w:rsid w:val="00F81BA2"/>
    <w:rsid w:val="00F823A4"/>
    <w:rsid w:val="00F8412F"/>
    <w:rsid w:val="00F84791"/>
    <w:rsid w:val="00F85995"/>
    <w:rsid w:val="00F85FC5"/>
    <w:rsid w:val="00F86C22"/>
    <w:rsid w:val="00F90CB3"/>
    <w:rsid w:val="00F912A2"/>
    <w:rsid w:val="00F913A3"/>
    <w:rsid w:val="00F925C3"/>
    <w:rsid w:val="00FA0109"/>
    <w:rsid w:val="00FA458B"/>
    <w:rsid w:val="00FA5EC5"/>
    <w:rsid w:val="00FA7016"/>
    <w:rsid w:val="00FA7174"/>
    <w:rsid w:val="00FA793D"/>
    <w:rsid w:val="00FB020E"/>
    <w:rsid w:val="00FB0F17"/>
    <w:rsid w:val="00FB4B9D"/>
    <w:rsid w:val="00FB50ED"/>
    <w:rsid w:val="00FB6E18"/>
    <w:rsid w:val="00FC144B"/>
    <w:rsid w:val="00FC2169"/>
    <w:rsid w:val="00FC28E2"/>
    <w:rsid w:val="00FC3BF6"/>
    <w:rsid w:val="00FC3D22"/>
    <w:rsid w:val="00FC6FE1"/>
    <w:rsid w:val="00FD0C3D"/>
    <w:rsid w:val="00FD2F6B"/>
    <w:rsid w:val="00FE064A"/>
    <w:rsid w:val="00FE0B55"/>
    <w:rsid w:val="00FE1E98"/>
    <w:rsid w:val="00FE2452"/>
    <w:rsid w:val="00FE5469"/>
    <w:rsid w:val="00FE66C2"/>
    <w:rsid w:val="00FE684A"/>
    <w:rsid w:val="00FE6F23"/>
    <w:rsid w:val="00FF0F8C"/>
    <w:rsid w:val="00FF408B"/>
    <w:rsid w:val="00FF43E1"/>
    <w:rsid w:val="01897503"/>
    <w:rsid w:val="019519E2"/>
    <w:rsid w:val="01B16C90"/>
    <w:rsid w:val="0254231A"/>
    <w:rsid w:val="03430854"/>
    <w:rsid w:val="039F5FA6"/>
    <w:rsid w:val="03D942D2"/>
    <w:rsid w:val="076F17EB"/>
    <w:rsid w:val="09305ADA"/>
    <w:rsid w:val="0CC13A5C"/>
    <w:rsid w:val="0E1A23E7"/>
    <w:rsid w:val="0E8013B7"/>
    <w:rsid w:val="10D604C6"/>
    <w:rsid w:val="11B515E0"/>
    <w:rsid w:val="13A53267"/>
    <w:rsid w:val="13F970D2"/>
    <w:rsid w:val="144D20AC"/>
    <w:rsid w:val="14AA4136"/>
    <w:rsid w:val="14AF1479"/>
    <w:rsid w:val="1572463D"/>
    <w:rsid w:val="163A420B"/>
    <w:rsid w:val="193E726F"/>
    <w:rsid w:val="19413B26"/>
    <w:rsid w:val="1C6D3688"/>
    <w:rsid w:val="1C974DF7"/>
    <w:rsid w:val="1CC63D0A"/>
    <w:rsid w:val="1DC2081A"/>
    <w:rsid w:val="1DC91D6E"/>
    <w:rsid w:val="1DD94266"/>
    <w:rsid w:val="1F9D0947"/>
    <w:rsid w:val="1FFB29C6"/>
    <w:rsid w:val="20970BD1"/>
    <w:rsid w:val="22AF3620"/>
    <w:rsid w:val="22E70234"/>
    <w:rsid w:val="22E70AD4"/>
    <w:rsid w:val="23B1724B"/>
    <w:rsid w:val="24F1508D"/>
    <w:rsid w:val="26440418"/>
    <w:rsid w:val="266F634F"/>
    <w:rsid w:val="27DB4AD8"/>
    <w:rsid w:val="287565A1"/>
    <w:rsid w:val="28D948BF"/>
    <w:rsid w:val="291059EA"/>
    <w:rsid w:val="2B653518"/>
    <w:rsid w:val="2BBF12EC"/>
    <w:rsid w:val="2BC649D9"/>
    <w:rsid w:val="31CB005B"/>
    <w:rsid w:val="3515160D"/>
    <w:rsid w:val="36934F7F"/>
    <w:rsid w:val="388375F2"/>
    <w:rsid w:val="38EC0862"/>
    <w:rsid w:val="39B25B99"/>
    <w:rsid w:val="3B003F2D"/>
    <w:rsid w:val="3B7807FE"/>
    <w:rsid w:val="3C7D00D8"/>
    <w:rsid w:val="3CA06C0C"/>
    <w:rsid w:val="3D125759"/>
    <w:rsid w:val="3EA25851"/>
    <w:rsid w:val="3F6C3757"/>
    <w:rsid w:val="3FABDEE7"/>
    <w:rsid w:val="3FAE03FB"/>
    <w:rsid w:val="405D6A10"/>
    <w:rsid w:val="41CC74A8"/>
    <w:rsid w:val="41DA6594"/>
    <w:rsid w:val="444C1A75"/>
    <w:rsid w:val="4490151F"/>
    <w:rsid w:val="44A3526F"/>
    <w:rsid w:val="44B032F4"/>
    <w:rsid w:val="454268F1"/>
    <w:rsid w:val="457D25F7"/>
    <w:rsid w:val="468341CD"/>
    <w:rsid w:val="472973DD"/>
    <w:rsid w:val="472C2589"/>
    <w:rsid w:val="49FA0DE9"/>
    <w:rsid w:val="4A1A6D5A"/>
    <w:rsid w:val="4A760AEB"/>
    <w:rsid w:val="4C73398F"/>
    <w:rsid w:val="4F3162CA"/>
    <w:rsid w:val="4F38754B"/>
    <w:rsid w:val="50D359BB"/>
    <w:rsid w:val="50D95873"/>
    <w:rsid w:val="51354687"/>
    <w:rsid w:val="516D24F1"/>
    <w:rsid w:val="51897B82"/>
    <w:rsid w:val="526102AF"/>
    <w:rsid w:val="528444DA"/>
    <w:rsid w:val="537745D5"/>
    <w:rsid w:val="552306F6"/>
    <w:rsid w:val="56E352D5"/>
    <w:rsid w:val="5787613A"/>
    <w:rsid w:val="579066F2"/>
    <w:rsid w:val="57E435FE"/>
    <w:rsid w:val="582D0655"/>
    <w:rsid w:val="58DE47AD"/>
    <w:rsid w:val="5951205C"/>
    <w:rsid w:val="59D079E8"/>
    <w:rsid w:val="59D40847"/>
    <w:rsid w:val="5AE37F25"/>
    <w:rsid w:val="5CB23D47"/>
    <w:rsid w:val="5D8B797C"/>
    <w:rsid w:val="5DFD93CC"/>
    <w:rsid w:val="5FAF09C4"/>
    <w:rsid w:val="601E432A"/>
    <w:rsid w:val="608C4642"/>
    <w:rsid w:val="60C43183"/>
    <w:rsid w:val="61AE78D1"/>
    <w:rsid w:val="62795572"/>
    <w:rsid w:val="64DD6417"/>
    <w:rsid w:val="66004745"/>
    <w:rsid w:val="68383CC4"/>
    <w:rsid w:val="693B4F68"/>
    <w:rsid w:val="6A567F20"/>
    <w:rsid w:val="6AC87D14"/>
    <w:rsid w:val="6CD97953"/>
    <w:rsid w:val="6ED30FD7"/>
    <w:rsid w:val="6FFF7BD7"/>
    <w:rsid w:val="70EF6DAB"/>
    <w:rsid w:val="727D78FD"/>
    <w:rsid w:val="73CC655F"/>
    <w:rsid w:val="73FA8648"/>
    <w:rsid w:val="75957445"/>
    <w:rsid w:val="75D01AE1"/>
    <w:rsid w:val="77524363"/>
    <w:rsid w:val="775E5DE9"/>
    <w:rsid w:val="77B917B5"/>
    <w:rsid w:val="77F75380"/>
    <w:rsid w:val="78703975"/>
    <w:rsid w:val="78900DBA"/>
    <w:rsid w:val="792A61BA"/>
    <w:rsid w:val="79CA17C9"/>
    <w:rsid w:val="7A971C1F"/>
    <w:rsid w:val="7B937AAC"/>
    <w:rsid w:val="7BDC08A0"/>
    <w:rsid w:val="7BE01F8F"/>
    <w:rsid w:val="7BE15C7B"/>
    <w:rsid w:val="7BE420FD"/>
    <w:rsid w:val="7BE42797"/>
    <w:rsid w:val="7CFB3FA0"/>
    <w:rsid w:val="7D0D296B"/>
    <w:rsid w:val="7D4E0B54"/>
    <w:rsid w:val="7D503E78"/>
    <w:rsid w:val="7DDBC3E5"/>
    <w:rsid w:val="7E0160D4"/>
    <w:rsid w:val="9FFFE66F"/>
    <w:rsid w:val="B79A69B2"/>
    <w:rsid w:val="E5DF8784"/>
    <w:rsid w:val="EEFBEB45"/>
    <w:rsid w:val="F3BFAB4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link w:val="111"/>
    <w:qFormat/>
    <w:uiPriority w:val="0"/>
    <w:pPr>
      <w:keepNext/>
      <w:keepLines/>
      <w:numPr>
        <w:ilvl w:val="0"/>
        <w:numId w:val="1"/>
      </w:numPr>
      <w:spacing w:before="120" w:after="120"/>
      <w:ind w:firstLine="0" w:firstLineChars="0"/>
      <w:outlineLvl w:val="0"/>
    </w:pPr>
    <w:rPr>
      <w:rFonts w:eastAsia="黑体"/>
      <w:b/>
      <w:bCs/>
      <w:kern w:val="44"/>
      <w:sz w:val="32"/>
      <w:szCs w:val="28"/>
    </w:rPr>
  </w:style>
  <w:style w:type="paragraph" w:styleId="3">
    <w:name w:val="heading 2"/>
    <w:basedOn w:val="1"/>
    <w:next w:val="1"/>
    <w:link w:val="102"/>
    <w:qFormat/>
    <w:uiPriority w:val="9"/>
    <w:pPr>
      <w:keepNext/>
      <w:keepLines/>
      <w:numPr>
        <w:ilvl w:val="1"/>
        <w:numId w:val="1"/>
      </w:numPr>
      <w:spacing w:before="120" w:after="120"/>
      <w:ind w:firstLine="0" w:firstLineChars="0"/>
      <w:outlineLvl w:val="1"/>
    </w:pPr>
    <w:rPr>
      <w:b/>
      <w:bCs/>
      <w:sz w:val="30"/>
      <w:szCs w:val="32"/>
    </w:rPr>
  </w:style>
  <w:style w:type="paragraph" w:styleId="4">
    <w:name w:val="heading 3"/>
    <w:basedOn w:val="1"/>
    <w:next w:val="1"/>
    <w:link w:val="57"/>
    <w:qFormat/>
    <w:uiPriority w:val="0"/>
    <w:pPr>
      <w:keepNext/>
      <w:keepLines/>
      <w:numPr>
        <w:ilvl w:val="2"/>
        <w:numId w:val="1"/>
      </w:numPr>
      <w:spacing w:before="120" w:after="120"/>
      <w:ind w:firstLine="0" w:firstLineChars="0"/>
      <w:outlineLvl w:val="2"/>
    </w:pPr>
    <w:rPr>
      <w:b/>
      <w:bCs/>
      <w:sz w:val="28"/>
      <w:szCs w:val="28"/>
    </w:rPr>
  </w:style>
  <w:style w:type="paragraph" w:styleId="5">
    <w:name w:val="heading 4"/>
    <w:basedOn w:val="1"/>
    <w:next w:val="1"/>
    <w:link w:val="70"/>
    <w:qFormat/>
    <w:uiPriority w:val="0"/>
    <w:pPr>
      <w:keepNext/>
      <w:keepLines/>
      <w:numPr>
        <w:ilvl w:val="3"/>
        <w:numId w:val="1"/>
      </w:numPr>
      <w:spacing w:before="120" w:after="120"/>
      <w:ind w:left="851" w:firstLine="0" w:firstLineChars="0"/>
      <w:outlineLvl w:val="3"/>
    </w:pPr>
    <w:rPr>
      <w:b/>
      <w:bCs/>
      <w:sz w:val="30"/>
      <w:szCs w:val="30"/>
    </w:rPr>
  </w:style>
  <w:style w:type="paragraph" w:styleId="6">
    <w:name w:val="heading 5"/>
    <w:basedOn w:val="1"/>
    <w:next w:val="1"/>
    <w:link w:val="110"/>
    <w:autoRedefine/>
    <w:qFormat/>
    <w:uiPriority w:val="0"/>
    <w:pPr>
      <w:keepNext/>
      <w:keepLines/>
      <w:numPr>
        <w:ilvl w:val="4"/>
        <w:numId w:val="1"/>
      </w:numPr>
      <w:spacing w:before="120" w:after="120"/>
      <w:ind w:left="0" w:firstLine="0" w:firstLineChars="0"/>
      <w:outlineLvl w:val="4"/>
    </w:pPr>
    <w:rPr>
      <w:b/>
      <w:bCs/>
      <w:szCs w:val="28"/>
    </w:rPr>
  </w:style>
  <w:style w:type="paragraph" w:styleId="7">
    <w:name w:val="heading 6"/>
    <w:basedOn w:val="1"/>
    <w:next w:val="1"/>
    <w:link w:val="60"/>
    <w:autoRedefine/>
    <w:qFormat/>
    <w:uiPriority w:val="0"/>
    <w:pPr>
      <w:keepNext/>
      <w:keepLines/>
      <w:numPr>
        <w:ilvl w:val="5"/>
        <w:numId w:val="1"/>
      </w:numPr>
      <w:spacing w:before="120" w:after="120"/>
      <w:ind w:firstLine="0" w:firstLineChars="0"/>
      <w:outlineLvl w:val="5"/>
    </w:pPr>
    <w:rPr>
      <w:rFonts w:ascii="Cambria" w:hAnsi="Cambria"/>
      <w:b/>
      <w:bCs/>
    </w:rPr>
  </w:style>
  <w:style w:type="paragraph" w:styleId="8">
    <w:name w:val="heading 7"/>
    <w:basedOn w:val="1"/>
    <w:next w:val="1"/>
    <w:link w:val="98"/>
    <w:qFormat/>
    <w:uiPriority w:val="9"/>
    <w:pPr>
      <w:keepNext/>
      <w:keepLines/>
      <w:spacing w:before="240" w:after="64" w:line="319" w:lineRule="auto"/>
      <w:ind w:firstLine="0" w:firstLineChars="0"/>
      <w:outlineLvl w:val="6"/>
    </w:pPr>
    <w:rPr>
      <w:rFonts w:ascii="Times New Roman" w:hAnsi="Times New Roman"/>
      <w:b/>
      <w:bCs/>
      <w:sz w:val="21"/>
    </w:rPr>
  </w:style>
  <w:style w:type="paragraph" w:styleId="9">
    <w:name w:val="heading 8"/>
    <w:basedOn w:val="1"/>
    <w:next w:val="1"/>
    <w:link w:val="123"/>
    <w:qFormat/>
    <w:uiPriority w:val="9"/>
    <w:pPr>
      <w:keepNext/>
      <w:keepLines/>
      <w:spacing w:before="240" w:after="64" w:line="319" w:lineRule="auto"/>
      <w:ind w:firstLine="0" w:firstLineChars="0"/>
      <w:outlineLvl w:val="7"/>
    </w:pPr>
    <w:rPr>
      <w:rFonts w:ascii="Cambria" w:hAnsi="Cambria"/>
      <w:sz w:val="21"/>
    </w:rPr>
  </w:style>
  <w:style w:type="paragraph" w:styleId="10">
    <w:name w:val="heading 9"/>
    <w:basedOn w:val="1"/>
    <w:next w:val="1"/>
    <w:link w:val="46"/>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37">
    <w:name w:val="Default Paragraph Font"/>
    <w:autoRedefine/>
    <w:semiHidden/>
    <w:unhideWhenUsed/>
    <w:qFormat/>
    <w:uiPriority w:val="1"/>
  </w:style>
  <w:style w:type="table" w:default="1" w:styleId="35">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等线" w:hAnsi="等线" w:eastAsia="等线"/>
      <w:szCs w:val="22"/>
    </w:rPr>
  </w:style>
  <w:style w:type="paragraph" w:styleId="12">
    <w:name w:val="Normal Indent"/>
    <w:basedOn w:val="1"/>
    <w:autoRedefine/>
    <w:unhideWhenUsed/>
    <w:qFormat/>
    <w:uiPriority w:val="99"/>
    <w:pPr>
      <w:spacing w:line="240" w:lineRule="auto"/>
      <w:ind w:firstLine="420"/>
    </w:pPr>
    <w:rPr>
      <w:rFonts w:ascii="Calibri" w:hAnsi="Calibri"/>
      <w:sz w:val="21"/>
    </w:rPr>
  </w:style>
  <w:style w:type="paragraph" w:styleId="13">
    <w:name w:val="caption"/>
    <w:basedOn w:val="1"/>
    <w:next w:val="1"/>
    <w:link w:val="115"/>
    <w:autoRedefine/>
    <w:qFormat/>
    <w:uiPriority w:val="0"/>
    <w:pPr>
      <w:spacing w:afterLines="50"/>
      <w:ind w:firstLine="200"/>
    </w:pPr>
    <w:rPr>
      <w:rFonts w:ascii="Arial" w:hAnsi="Arial" w:eastAsia="黑体"/>
      <w:sz w:val="20"/>
      <w:szCs w:val="20"/>
    </w:rPr>
  </w:style>
  <w:style w:type="paragraph" w:styleId="14">
    <w:name w:val="Document Map"/>
    <w:basedOn w:val="1"/>
    <w:link w:val="81"/>
    <w:qFormat/>
    <w:uiPriority w:val="0"/>
    <w:rPr>
      <w:rFonts w:hAnsi="Times New Roman"/>
      <w:sz w:val="18"/>
      <w:szCs w:val="18"/>
    </w:rPr>
  </w:style>
  <w:style w:type="paragraph" w:styleId="15">
    <w:name w:val="annotation text"/>
    <w:basedOn w:val="1"/>
    <w:link w:val="103"/>
    <w:qFormat/>
    <w:uiPriority w:val="99"/>
    <w:pPr>
      <w:jc w:val="left"/>
    </w:pPr>
    <w:rPr>
      <w:rFonts w:ascii="Times New Roman" w:hAnsi="Times New Roman" w:eastAsia="仿宋"/>
      <w:sz w:val="28"/>
    </w:rPr>
  </w:style>
  <w:style w:type="paragraph" w:styleId="16">
    <w:name w:val="Body Text"/>
    <w:basedOn w:val="1"/>
    <w:link w:val="55"/>
    <w:unhideWhenUsed/>
    <w:qFormat/>
    <w:uiPriority w:val="0"/>
    <w:pPr>
      <w:spacing w:after="120" w:line="240" w:lineRule="auto"/>
      <w:ind w:firstLine="0" w:firstLineChars="0"/>
    </w:pPr>
    <w:rPr>
      <w:rFonts w:ascii="Times New Roman" w:hAnsi="Times New Roman"/>
      <w:sz w:val="21"/>
    </w:rPr>
  </w:style>
  <w:style w:type="paragraph" w:styleId="17">
    <w:name w:val="Body Text Indent"/>
    <w:basedOn w:val="1"/>
    <w:link w:val="51"/>
    <w:qFormat/>
    <w:uiPriority w:val="0"/>
    <w:pPr>
      <w:spacing w:after="120"/>
      <w:ind w:firstLine="200"/>
    </w:pPr>
    <w:rPr>
      <w:rFonts w:ascii="Times New Roman" w:hAnsi="Times New Roman"/>
      <w:sz w:val="21"/>
      <w:szCs w:val="20"/>
    </w:rPr>
  </w:style>
  <w:style w:type="paragraph" w:styleId="18">
    <w:name w:val="toc 5"/>
    <w:basedOn w:val="1"/>
    <w:next w:val="1"/>
    <w:unhideWhenUsed/>
    <w:qFormat/>
    <w:uiPriority w:val="39"/>
    <w:pPr>
      <w:ind w:left="1680" w:leftChars="800"/>
    </w:pPr>
    <w:rPr>
      <w:rFonts w:ascii="等线" w:hAnsi="等线" w:eastAsia="等线"/>
      <w:szCs w:val="22"/>
    </w:rPr>
  </w:style>
  <w:style w:type="paragraph" w:styleId="19">
    <w:name w:val="toc 3"/>
    <w:basedOn w:val="1"/>
    <w:next w:val="1"/>
    <w:qFormat/>
    <w:uiPriority w:val="39"/>
    <w:pPr>
      <w:tabs>
        <w:tab w:val="right" w:leader="dot" w:pos="8302"/>
      </w:tabs>
      <w:ind w:left="840" w:leftChars="400"/>
    </w:pPr>
  </w:style>
  <w:style w:type="paragraph" w:styleId="20">
    <w:name w:val="Plain Text"/>
    <w:basedOn w:val="1"/>
    <w:link w:val="95"/>
    <w:qFormat/>
    <w:uiPriority w:val="0"/>
    <w:pPr>
      <w:spacing w:line="240" w:lineRule="auto"/>
      <w:ind w:firstLine="0" w:firstLineChars="0"/>
    </w:pPr>
    <w:rPr>
      <w:rFonts w:hAnsi="Courier New"/>
      <w:sz w:val="21"/>
      <w:szCs w:val="20"/>
    </w:rPr>
  </w:style>
  <w:style w:type="paragraph" w:styleId="21">
    <w:name w:val="toc 8"/>
    <w:basedOn w:val="1"/>
    <w:next w:val="1"/>
    <w:unhideWhenUsed/>
    <w:qFormat/>
    <w:uiPriority w:val="39"/>
    <w:pPr>
      <w:ind w:left="2940" w:leftChars="1400"/>
    </w:pPr>
    <w:rPr>
      <w:rFonts w:ascii="等线" w:hAnsi="等线" w:eastAsia="等线"/>
      <w:szCs w:val="22"/>
    </w:rPr>
  </w:style>
  <w:style w:type="paragraph" w:styleId="22">
    <w:name w:val="Date"/>
    <w:basedOn w:val="1"/>
    <w:next w:val="1"/>
    <w:link w:val="90"/>
    <w:qFormat/>
    <w:uiPriority w:val="0"/>
    <w:pPr>
      <w:ind w:left="100" w:leftChars="2500"/>
    </w:pPr>
    <w:rPr>
      <w:rFonts w:ascii="Times New Roman" w:hAnsi="Times New Roman"/>
      <w:sz w:val="21"/>
    </w:rPr>
  </w:style>
  <w:style w:type="paragraph" w:styleId="23">
    <w:name w:val="Balloon Text"/>
    <w:basedOn w:val="1"/>
    <w:link w:val="132"/>
    <w:qFormat/>
    <w:uiPriority w:val="0"/>
    <w:rPr>
      <w:rFonts w:ascii="Times New Roman" w:hAnsi="Times New Roman"/>
      <w:sz w:val="18"/>
      <w:szCs w:val="18"/>
    </w:rPr>
  </w:style>
  <w:style w:type="paragraph" w:styleId="24">
    <w:name w:val="footer"/>
    <w:basedOn w:val="1"/>
    <w:link w:val="53"/>
    <w:qFormat/>
    <w:uiPriority w:val="99"/>
    <w:pPr>
      <w:tabs>
        <w:tab w:val="center" w:pos="4153"/>
        <w:tab w:val="right" w:pos="8306"/>
      </w:tabs>
      <w:snapToGrid w:val="0"/>
      <w:jc w:val="center"/>
    </w:pPr>
    <w:rPr>
      <w:rFonts w:ascii="Times New Roman" w:hAnsi="Times New Roman"/>
      <w:sz w:val="18"/>
      <w:szCs w:val="18"/>
    </w:rPr>
  </w:style>
  <w:style w:type="paragraph" w:styleId="25">
    <w:name w:val="header"/>
    <w:basedOn w:val="1"/>
    <w:link w:val="44"/>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26">
    <w:name w:val="toc 1"/>
    <w:basedOn w:val="1"/>
    <w:next w:val="1"/>
    <w:qFormat/>
    <w:uiPriority w:val="39"/>
  </w:style>
  <w:style w:type="paragraph" w:styleId="27">
    <w:name w:val="toc 4"/>
    <w:basedOn w:val="1"/>
    <w:next w:val="1"/>
    <w:unhideWhenUsed/>
    <w:qFormat/>
    <w:uiPriority w:val="39"/>
    <w:pPr>
      <w:ind w:left="1260" w:leftChars="600"/>
    </w:pPr>
    <w:rPr>
      <w:rFonts w:ascii="等线" w:hAnsi="等线" w:eastAsia="等线"/>
      <w:szCs w:val="22"/>
    </w:rPr>
  </w:style>
  <w:style w:type="paragraph" w:styleId="28">
    <w:name w:val="Subtitle"/>
    <w:basedOn w:val="1"/>
    <w:next w:val="1"/>
    <w:link w:val="121"/>
    <w:qFormat/>
    <w:uiPriority w:val="0"/>
    <w:pPr>
      <w:spacing w:before="240" w:after="60" w:line="312" w:lineRule="auto"/>
      <w:jc w:val="center"/>
      <w:outlineLvl w:val="1"/>
    </w:pPr>
    <w:rPr>
      <w:rFonts w:ascii="Calibri Light" w:hAnsi="Calibri Light"/>
      <w:b/>
      <w:bCs/>
      <w:kern w:val="28"/>
      <w:sz w:val="32"/>
      <w:szCs w:val="32"/>
    </w:rPr>
  </w:style>
  <w:style w:type="paragraph" w:styleId="29">
    <w:name w:val="toc 6"/>
    <w:basedOn w:val="1"/>
    <w:next w:val="1"/>
    <w:unhideWhenUsed/>
    <w:qFormat/>
    <w:uiPriority w:val="39"/>
    <w:pPr>
      <w:ind w:left="2100" w:leftChars="1000"/>
    </w:pPr>
    <w:rPr>
      <w:rFonts w:ascii="等线" w:hAnsi="等线" w:eastAsia="等线"/>
      <w:szCs w:val="22"/>
    </w:rPr>
  </w:style>
  <w:style w:type="paragraph" w:styleId="30">
    <w:name w:val="toc 2"/>
    <w:basedOn w:val="1"/>
    <w:next w:val="1"/>
    <w:qFormat/>
    <w:uiPriority w:val="39"/>
    <w:pPr>
      <w:tabs>
        <w:tab w:val="right" w:leader="dot" w:pos="8302"/>
      </w:tabs>
      <w:ind w:left="420" w:leftChars="200"/>
    </w:pPr>
  </w:style>
  <w:style w:type="paragraph" w:styleId="31">
    <w:name w:val="toc 9"/>
    <w:basedOn w:val="1"/>
    <w:next w:val="1"/>
    <w:unhideWhenUsed/>
    <w:qFormat/>
    <w:uiPriority w:val="39"/>
    <w:pPr>
      <w:ind w:left="3360" w:leftChars="1600"/>
    </w:pPr>
    <w:rPr>
      <w:rFonts w:ascii="等线" w:hAnsi="等线" w:eastAsia="等线"/>
      <w:szCs w:val="22"/>
    </w:rPr>
  </w:style>
  <w:style w:type="paragraph" w:styleId="32">
    <w:name w:val="Normal (Web)"/>
    <w:basedOn w:val="1"/>
    <w:qFormat/>
    <w:uiPriority w:val="99"/>
    <w:pPr>
      <w:widowControl/>
      <w:spacing w:before="100" w:after="100"/>
      <w:jc w:val="left"/>
    </w:pPr>
    <w:rPr>
      <w:rFonts w:hint="eastAsia" w:ascii="Arial Unicode MS" w:hAnsi="Arial Unicode MS" w:eastAsia="Arial Unicode MS"/>
      <w:kern w:val="0"/>
    </w:rPr>
  </w:style>
  <w:style w:type="paragraph" w:styleId="33">
    <w:name w:val="Title"/>
    <w:basedOn w:val="1"/>
    <w:next w:val="1"/>
    <w:link w:val="108"/>
    <w:qFormat/>
    <w:uiPriority w:val="0"/>
    <w:pPr>
      <w:spacing w:before="240" w:after="60" w:line="960" w:lineRule="auto"/>
      <w:jc w:val="center"/>
    </w:pPr>
    <w:rPr>
      <w:rFonts w:ascii="Cambria" w:hAnsi="Cambria" w:eastAsia="黑体"/>
      <w:b/>
      <w:bCs/>
      <w:sz w:val="52"/>
      <w:szCs w:val="32"/>
    </w:rPr>
  </w:style>
  <w:style w:type="paragraph" w:styleId="34">
    <w:name w:val="annotation subject"/>
    <w:basedOn w:val="15"/>
    <w:next w:val="15"/>
    <w:link w:val="76"/>
    <w:qFormat/>
    <w:uiPriority w:val="0"/>
    <w:rPr>
      <w:b/>
      <w:bCs/>
      <w:sz w:val="21"/>
    </w:rPr>
  </w:style>
  <w:style w:type="table" w:styleId="36">
    <w:name w:val="Table Grid"/>
    <w:basedOn w:val="35"/>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page number"/>
    <w:basedOn w:val="37"/>
    <w:qFormat/>
    <w:uiPriority w:val="0"/>
  </w:style>
  <w:style w:type="character" w:styleId="39">
    <w:name w:val="FollowedHyperlink"/>
    <w:unhideWhenUsed/>
    <w:qFormat/>
    <w:uiPriority w:val="99"/>
    <w:rPr>
      <w:color w:val="954F72"/>
      <w:u w:val="single"/>
    </w:rPr>
  </w:style>
  <w:style w:type="character" w:styleId="40">
    <w:name w:val="Hyperlink"/>
    <w:qFormat/>
    <w:uiPriority w:val="99"/>
    <w:rPr>
      <w:color w:val="0000FF"/>
      <w:u w:val="single"/>
    </w:rPr>
  </w:style>
  <w:style w:type="character" w:styleId="41">
    <w:name w:val="annotation reference"/>
    <w:qFormat/>
    <w:uiPriority w:val="99"/>
    <w:rPr>
      <w:sz w:val="21"/>
      <w:szCs w:val="21"/>
    </w:rPr>
  </w:style>
  <w:style w:type="paragraph" w:customStyle="1" w:styleId="42">
    <w:name w:val="正文2"/>
    <w:basedOn w:val="1"/>
    <w:link w:val="125"/>
    <w:qFormat/>
    <w:uiPriority w:val="0"/>
    <w:pPr>
      <w:ind w:firstLine="420"/>
    </w:pPr>
    <w:rPr>
      <w:rFonts w:ascii="Times New Roman" w:hAnsi="Times New Roman"/>
      <w:sz w:val="21"/>
    </w:rPr>
  </w:style>
  <w:style w:type="character" w:customStyle="1" w:styleId="43">
    <w:name w:val="日期 字符"/>
    <w:semiHidden/>
    <w:qFormat/>
    <w:uiPriority w:val="99"/>
    <w:rPr>
      <w:rFonts w:ascii="宋体" w:hAnsi="宋体"/>
      <w:kern w:val="2"/>
      <w:sz w:val="24"/>
      <w:szCs w:val="24"/>
    </w:rPr>
  </w:style>
  <w:style w:type="character" w:customStyle="1" w:styleId="44">
    <w:name w:val="页眉 Char"/>
    <w:link w:val="25"/>
    <w:qFormat/>
    <w:uiPriority w:val="99"/>
    <w:rPr>
      <w:kern w:val="2"/>
      <w:sz w:val="18"/>
      <w:szCs w:val="18"/>
    </w:rPr>
  </w:style>
  <w:style w:type="paragraph" w:customStyle="1" w:styleId="45">
    <w:name w:val="Revision"/>
    <w:autoRedefine/>
    <w:unhideWhenUsed/>
    <w:qFormat/>
    <w:uiPriority w:val="99"/>
    <w:rPr>
      <w:rFonts w:ascii="宋体" w:hAnsi="宋体" w:eastAsia="宋体" w:cs="Times New Roman"/>
      <w:kern w:val="2"/>
      <w:sz w:val="24"/>
      <w:szCs w:val="24"/>
      <w:lang w:val="en-US" w:eastAsia="zh-CN" w:bidi="ar-SA"/>
    </w:rPr>
  </w:style>
  <w:style w:type="character" w:customStyle="1" w:styleId="46">
    <w:name w:val="标题 9 Char"/>
    <w:link w:val="10"/>
    <w:autoRedefine/>
    <w:qFormat/>
    <w:uiPriority w:val="9"/>
    <w:rPr>
      <w:rFonts w:ascii="Cambria" w:hAnsi="Cambria"/>
      <w:kern w:val="2"/>
      <w:sz w:val="21"/>
      <w:szCs w:val="21"/>
    </w:rPr>
  </w:style>
  <w:style w:type="character" w:customStyle="1" w:styleId="47">
    <w:name w:val="页脚 字符"/>
    <w:autoRedefine/>
    <w:qFormat/>
    <w:uiPriority w:val="99"/>
  </w:style>
  <w:style w:type="paragraph" w:customStyle="1" w:styleId="48">
    <w:name w:val="列项●（二级）"/>
    <w:autoRedefine/>
    <w:qFormat/>
    <w:uiPriority w:val="0"/>
    <w:pPr>
      <w:numPr>
        <w:ilvl w:val="0"/>
        <w:numId w:val="2"/>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49">
    <w:name w:val="列出段落1"/>
    <w:basedOn w:val="1"/>
    <w:autoRedefine/>
    <w:qFormat/>
    <w:uiPriority w:val="34"/>
    <w:pPr>
      <w:spacing w:line="240" w:lineRule="auto"/>
      <w:ind w:firstLine="420"/>
    </w:pPr>
    <w:rPr>
      <w:rFonts w:ascii="Calibri" w:hAnsi="Calibri"/>
      <w:sz w:val="21"/>
      <w:szCs w:val="22"/>
    </w:rPr>
  </w:style>
  <w:style w:type="character" w:customStyle="1" w:styleId="50">
    <w:name w:val="副标题 Char1"/>
    <w:autoRedefine/>
    <w:qFormat/>
    <w:uiPriority w:val="0"/>
    <w:rPr>
      <w:rFonts w:ascii="Calibri Light" w:hAnsi="Calibri Light" w:cs="Times New Roman"/>
      <w:b/>
      <w:bCs/>
      <w:kern w:val="28"/>
      <w:sz w:val="32"/>
      <w:szCs w:val="32"/>
    </w:rPr>
  </w:style>
  <w:style w:type="character" w:customStyle="1" w:styleId="51">
    <w:name w:val="正文文本缩进 Char"/>
    <w:link w:val="17"/>
    <w:autoRedefine/>
    <w:qFormat/>
    <w:uiPriority w:val="0"/>
    <w:rPr>
      <w:kern w:val="2"/>
      <w:sz w:val="21"/>
    </w:rPr>
  </w:style>
  <w:style w:type="paragraph" w:customStyle="1" w:styleId="52">
    <w:name w:val="my正文"/>
    <w:basedOn w:val="1"/>
    <w:link w:val="130"/>
    <w:autoRedefine/>
    <w:qFormat/>
    <w:uiPriority w:val="0"/>
    <w:pPr>
      <w:spacing w:line="240" w:lineRule="auto"/>
      <w:ind w:firstLine="0" w:firstLineChars="0"/>
    </w:pPr>
    <w:rPr>
      <w:rFonts w:ascii="Times New Roman" w:hAnsi="Times New Roman"/>
      <w:sz w:val="21"/>
    </w:rPr>
  </w:style>
  <w:style w:type="character" w:customStyle="1" w:styleId="53">
    <w:name w:val="页脚 Char"/>
    <w:link w:val="24"/>
    <w:autoRedefine/>
    <w:qFormat/>
    <w:uiPriority w:val="99"/>
    <w:rPr>
      <w:kern w:val="2"/>
      <w:sz w:val="18"/>
      <w:szCs w:val="18"/>
    </w:rPr>
  </w:style>
  <w:style w:type="paragraph" w:styleId="54">
    <w:name w:val="List Paragraph"/>
    <w:basedOn w:val="1"/>
    <w:link w:val="82"/>
    <w:autoRedefine/>
    <w:qFormat/>
    <w:uiPriority w:val="34"/>
    <w:pPr>
      <w:ind w:firstLine="420"/>
    </w:pPr>
    <w:rPr>
      <w:rFonts w:ascii="Times New Roman" w:hAnsi="Times New Roman"/>
      <w:sz w:val="21"/>
    </w:rPr>
  </w:style>
  <w:style w:type="character" w:customStyle="1" w:styleId="55">
    <w:name w:val="正文文本 Char"/>
    <w:link w:val="16"/>
    <w:autoRedefine/>
    <w:qFormat/>
    <w:uiPriority w:val="0"/>
    <w:rPr>
      <w:kern w:val="2"/>
      <w:sz w:val="21"/>
      <w:szCs w:val="24"/>
    </w:rPr>
  </w:style>
  <w:style w:type="paragraph" w:customStyle="1" w:styleId="56">
    <w:name w:val="Char Char Char Char Char Char1 Char"/>
    <w:basedOn w:val="1"/>
    <w:autoRedefine/>
    <w:qFormat/>
    <w:uiPriority w:val="0"/>
    <w:pPr>
      <w:widowControl/>
      <w:spacing w:after="160" w:line="240" w:lineRule="exact"/>
      <w:jc w:val="left"/>
    </w:pPr>
  </w:style>
  <w:style w:type="character" w:customStyle="1" w:styleId="57">
    <w:name w:val="标题 3 Char"/>
    <w:link w:val="4"/>
    <w:autoRedefine/>
    <w:qFormat/>
    <w:uiPriority w:val="0"/>
    <w:rPr>
      <w:rFonts w:ascii="宋体" w:hAnsi="宋体"/>
      <w:b/>
      <w:bCs/>
      <w:kern w:val="2"/>
      <w:sz w:val="28"/>
      <w:szCs w:val="28"/>
    </w:rPr>
  </w:style>
  <w:style w:type="paragraph" w:customStyle="1" w:styleId="58">
    <w:name w:val="标准正文"/>
    <w:basedOn w:val="17"/>
    <w:link w:val="120"/>
    <w:autoRedefine/>
    <w:qFormat/>
    <w:uiPriority w:val="0"/>
    <w:pPr>
      <w:spacing w:before="60" w:after="60"/>
      <w:ind w:firstLine="482" w:firstLineChars="0"/>
    </w:pPr>
    <w:rPr>
      <w:rFonts w:ascii="Arial" w:hAnsi="Arial"/>
      <w:sz w:val="24"/>
    </w:rPr>
  </w:style>
  <w:style w:type="character" w:customStyle="1" w:styleId="59">
    <w:name w:val="列表段落 字符"/>
    <w:autoRedefine/>
    <w:qFormat/>
    <w:uiPriority w:val="34"/>
    <w:rPr>
      <w:kern w:val="2"/>
      <w:sz w:val="21"/>
      <w:szCs w:val="22"/>
    </w:rPr>
  </w:style>
  <w:style w:type="character" w:customStyle="1" w:styleId="60">
    <w:name w:val="标题 6 Char"/>
    <w:link w:val="7"/>
    <w:autoRedefine/>
    <w:qFormat/>
    <w:uiPriority w:val="0"/>
    <w:rPr>
      <w:rFonts w:ascii="Cambria" w:hAnsi="Cambria"/>
      <w:b/>
      <w:bCs/>
      <w:kern w:val="2"/>
      <w:sz w:val="24"/>
      <w:szCs w:val="24"/>
    </w:rPr>
  </w:style>
  <w:style w:type="paragraph" w:customStyle="1" w:styleId="61">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62">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63">
    <w:name w:val="Char Char1"/>
    <w:basedOn w:val="1"/>
    <w:autoRedefine/>
    <w:qFormat/>
    <w:uiPriority w:val="0"/>
    <w:pPr>
      <w:widowControl/>
      <w:spacing w:before="120" w:after="120"/>
    </w:pPr>
    <w:rPr>
      <w:rFonts w:ascii="Times New Roman" w:hAnsi="Times New Roman" w:cs="宋体"/>
    </w:rPr>
  </w:style>
  <w:style w:type="paragraph" w:customStyle="1" w:styleId="64">
    <w:name w:val="xl69"/>
    <w:basedOn w:val="1"/>
    <w:autoRedefine/>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65">
    <w:name w:val="TOC Heading"/>
    <w:basedOn w:val="2"/>
    <w:next w:val="1"/>
    <w:autoRedefine/>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66">
    <w:name w:val="段"/>
    <w:autoRedefine/>
    <w:qFormat/>
    <w:uiPriority w:val="0"/>
    <w:pPr>
      <w:autoSpaceDE w:val="0"/>
      <w:autoSpaceDN w:val="0"/>
      <w:ind w:firstLine="200" w:firstLineChars="200"/>
      <w:jc w:val="both"/>
    </w:pPr>
    <w:rPr>
      <w:rFonts w:ascii="宋体" w:hAnsi="Times New Roman" w:eastAsia="宋体" w:cs="Calibri"/>
      <w:sz w:val="21"/>
      <w:lang w:val="en-US" w:eastAsia="zh-CN" w:bidi="ar-SA"/>
    </w:rPr>
  </w:style>
  <w:style w:type="character" w:customStyle="1" w:styleId="67">
    <w:name w:val="副标题 字符"/>
    <w:autoRedefine/>
    <w:qFormat/>
    <w:uiPriority w:val="11"/>
    <w:rPr>
      <w:rFonts w:ascii="等线" w:hAnsi="等线" w:eastAsia="等线" w:cs="Times New Roman"/>
      <w:b/>
      <w:bCs/>
      <w:kern w:val="28"/>
      <w:sz w:val="32"/>
      <w:szCs w:val="32"/>
    </w:rPr>
  </w:style>
  <w:style w:type="character" w:customStyle="1" w:styleId="68">
    <w:name w:val="首行缩进正文 Char"/>
    <w:link w:val="69"/>
    <w:autoRedefine/>
    <w:qFormat/>
    <w:uiPriority w:val="0"/>
    <w:rPr>
      <w:kern w:val="2"/>
      <w:sz w:val="24"/>
    </w:rPr>
  </w:style>
  <w:style w:type="paragraph" w:customStyle="1" w:styleId="69">
    <w:name w:val="首行缩进正文"/>
    <w:basedOn w:val="1"/>
    <w:link w:val="68"/>
    <w:autoRedefine/>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character" w:customStyle="1" w:styleId="70">
    <w:name w:val="标题 4 Char"/>
    <w:link w:val="5"/>
    <w:autoRedefine/>
    <w:qFormat/>
    <w:uiPriority w:val="0"/>
    <w:rPr>
      <w:rFonts w:ascii="宋体" w:hAnsi="宋体"/>
      <w:b/>
      <w:bCs/>
      <w:kern w:val="2"/>
      <w:sz w:val="30"/>
      <w:szCs w:val="30"/>
    </w:rPr>
  </w:style>
  <w:style w:type="character" w:customStyle="1" w:styleId="71">
    <w:name w:val="纯文本 字符"/>
    <w:autoRedefine/>
    <w:qFormat/>
    <w:uiPriority w:val="0"/>
    <w:rPr>
      <w:rFonts w:ascii="宋体" w:hAnsi="Courier New" w:cs="Courier New"/>
      <w:kern w:val="2"/>
      <w:sz w:val="21"/>
      <w:szCs w:val="21"/>
    </w:rPr>
  </w:style>
  <w:style w:type="character" w:customStyle="1" w:styleId="72">
    <w:name w:val="*正文 Char"/>
    <w:link w:val="73"/>
    <w:autoRedefine/>
    <w:qFormat/>
    <w:uiPriority w:val="0"/>
    <w:rPr>
      <w:rFonts w:ascii="time" w:hAnsi="time"/>
      <w:sz w:val="24"/>
      <w:szCs w:val="24"/>
      <w:lang w:bidi="en-US"/>
    </w:rPr>
  </w:style>
  <w:style w:type="paragraph" w:customStyle="1" w:styleId="73">
    <w:name w:val="*正文"/>
    <w:basedOn w:val="1"/>
    <w:link w:val="72"/>
    <w:autoRedefine/>
    <w:qFormat/>
    <w:uiPriority w:val="0"/>
    <w:pPr>
      <w:widowControl/>
      <w:ind w:firstLine="200"/>
      <w:contextualSpacing/>
    </w:pPr>
    <w:rPr>
      <w:rFonts w:ascii="time" w:hAnsi="time"/>
      <w:kern w:val="0"/>
      <w:lang w:bidi="en-US"/>
    </w:rPr>
  </w:style>
  <w:style w:type="paragraph" w:customStyle="1" w:styleId="74">
    <w:name w:val="xl72"/>
    <w:basedOn w:val="1"/>
    <w:autoRedefine/>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75">
    <w:name w:val="助手文本"/>
    <w:basedOn w:val="1"/>
    <w:autoRedefine/>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character" w:customStyle="1" w:styleId="76">
    <w:name w:val="批注主题 Char"/>
    <w:link w:val="34"/>
    <w:autoRedefine/>
    <w:qFormat/>
    <w:uiPriority w:val="0"/>
    <w:rPr>
      <w:rFonts w:eastAsia="仿宋"/>
      <w:b/>
      <w:bCs/>
      <w:kern w:val="2"/>
      <w:sz w:val="21"/>
      <w:szCs w:val="24"/>
    </w:rPr>
  </w:style>
  <w:style w:type="paragraph" w:customStyle="1" w:styleId="77">
    <w:name w:val="_Style 2"/>
    <w:basedOn w:val="2"/>
    <w:next w:val="1"/>
    <w:autoRedefine/>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78">
    <w:name w:val="样式 行距: 1.5 倍行距 首行缩进:  2 字符"/>
    <w:basedOn w:val="1"/>
    <w:autoRedefine/>
    <w:qFormat/>
    <w:uiPriority w:val="0"/>
    <w:pPr>
      <w:ind w:firstLine="560"/>
      <w:jc w:val="left"/>
    </w:pPr>
    <w:rPr>
      <w:rFonts w:ascii="仿宋" w:hAnsi="仿宋" w:eastAsia="仿宋" w:cs="宋体"/>
      <w:sz w:val="28"/>
      <w:szCs w:val="20"/>
    </w:rPr>
  </w:style>
  <w:style w:type="character" w:customStyle="1" w:styleId="79">
    <w:name w:val="批注文字 字符"/>
    <w:autoRedefine/>
    <w:qFormat/>
    <w:uiPriority w:val="99"/>
    <w:rPr>
      <w:rFonts w:ascii="宋体" w:hAnsi="宋体"/>
      <w:kern w:val="2"/>
      <w:sz w:val="24"/>
      <w:szCs w:val="24"/>
    </w:rPr>
  </w:style>
  <w:style w:type="paragraph" w:customStyle="1" w:styleId="80">
    <w:name w:val="正文 缩进2字符"/>
    <w:basedOn w:val="1"/>
    <w:autoRedefine/>
    <w:qFormat/>
    <w:uiPriority w:val="0"/>
    <w:pPr>
      <w:spacing w:afterLines="50" w:line="240" w:lineRule="auto"/>
      <w:ind w:firstLine="0" w:firstLineChars="0"/>
    </w:pPr>
    <w:rPr>
      <w:rFonts w:ascii="Times New Roman" w:hAnsi="Times New Roman" w:cs="宋体"/>
      <w:sz w:val="21"/>
      <w:szCs w:val="20"/>
    </w:rPr>
  </w:style>
  <w:style w:type="character" w:customStyle="1" w:styleId="81">
    <w:name w:val="文档结构图 Char"/>
    <w:link w:val="14"/>
    <w:autoRedefine/>
    <w:qFormat/>
    <w:uiPriority w:val="0"/>
    <w:rPr>
      <w:rFonts w:ascii="宋体"/>
      <w:kern w:val="2"/>
      <w:sz w:val="18"/>
      <w:szCs w:val="18"/>
    </w:rPr>
  </w:style>
  <w:style w:type="character" w:customStyle="1" w:styleId="82">
    <w:name w:val="列出段落 Char"/>
    <w:link w:val="54"/>
    <w:autoRedefine/>
    <w:qFormat/>
    <w:uiPriority w:val="34"/>
    <w:rPr>
      <w:kern w:val="2"/>
      <w:sz w:val="21"/>
      <w:szCs w:val="24"/>
    </w:rPr>
  </w:style>
  <w:style w:type="character" w:customStyle="1" w:styleId="83">
    <w:name w:val="font21"/>
    <w:autoRedefine/>
    <w:qFormat/>
    <w:uiPriority w:val="0"/>
    <w:rPr>
      <w:rFonts w:ascii="Calibri" w:hAnsi="Calibri" w:cs="Calibri"/>
      <w:color w:val="000000"/>
      <w:sz w:val="21"/>
      <w:szCs w:val="21"/>
      <w:u w:val="none"/>
    </w:rPr>
  </w:style>
  <w:style w:type="table" w:customStyle="1" w:styleId="84">
    <w:name w:val="!我的表格1"/>
    <w:basedOn w:val="35"/>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5">
    <w:name w:val="标题 2 字符"/>
    <w:autoRedefine/>
    <w:semiHidden/>
    <w:qFormat/>
    <w:uiPriority w:val="9"/>
    <w:rPr>
      <w:rFonts w:ascii="等线 Light" w:hAnsi="等线 Light" w:eastAsia="等线 Light" w:cs="Times New Roman"/>
      <w:b/>
      <w:bCs/>
      <w:kern w:val="2"/>
      <w:sz w:val="32"/>
      <w:szCs w:val="32"/>
    </w:rPr>
  </w:style>
  <w:style w:type="character" w:customStyle="1" w:styleId="86">
    <w:name w:val="正文文本缩进 字符"/>
    <w:autoRedefine/>
    <w:semiHidden/>
    <w:qFormat/>
    <w:uiPriority w:val="99"/>
    <w:rPr>
      <w:rFonts w:ascii="宋体" w:hAnsi="宋体"/>
      <w:kern w:val="2"/>
      <w:sz w:val="24"/>
      <w:szCs w:val="24"/>
    </w:rPr>
  </w:style>
  <w:style w:type="paragraph" w:customStyle="1" w:styleId="87">
    <w:name w:val="Indent Normal"/>
    <w:basedOn w:val="1"/>
    <w:autoRedefine/>
    <w:qFormat/>
    <w:uiPriority w:val="0"/>
    <w:pPr>
      <w:ind w:firstLine="150" w:firstLineChars="150"/>
    </w:pPr>
  </w:style>
  <w:style w:type="character" w:customStyle="1" w:styleId="88">
    <w:name w:val="标题 4 字符"/>
    <w:autoRedefine/>
    <w:semiHidden/>
    <w:qFormat/>
    <w:uiPriority w:val="9"/>
    <w:rPr>
      <w:rFonts w:ascii="等线 Light" w:hAnsi="等线 Light" w:eastAsia="等线 Light" w:cs="Times New Roman"/>
      <w:b/>
      <w:bCs/>
      <w:kern w:val="2"/>
      <w:sz w:val="28"/>
      <w:szCs w:val="28"/>
    </w:rPr>
  </w:style>
  <w:style w:type="character" w:customStyle="1" w:styleId="89">
    <w:name w:val="font41"/>
    <w:autoRedefine/>
    <w:qFormat/>
    <w:uiPriority w:val="0"/>
    <w:rPr>
      <w:rFonts w:hint="eastAsia" w:ascii="宋体" w:hAnsi="宋体" w:eastAsia="宋体" w:cs="宋体"/>
      <w:color w:val="000000"/>
      <w:sz w:val="21"/>
      <w:szCs w:val="21"/>
      <w:u w:val="none"/>
    </w:rPr>
  </w:style>
  <w:style w:type="character" w:customStyle="1" w:styleId="90">
    <w:name w:val="日期 Char"/>
    <w:link w:val="22"/>
    <w:autoRedefine/>
    <w:qFormat/>
    <w:uiPriority w:val="0"/>
    <w:rPr>
      <w:kern w:val="2"/>
      <w:sz w:val="21"/>
      <w:szCs w:val="24"/>
    </w:rPr>
  </w:style>
  <w:style w:type="paragraph" w:customStyle="1" w:styleId="91">
    <w:name w:val="正文（深信服）"/>
    <w:autoRedefine/>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character" w:customStyle="1" w:styleId="92">
    <w:name w:val="标题 5 字符"/>
    <w:autoRedefine/>
    <w:semiHidden/>
    <w:qFormat/>
    <w:uiPriority w:val="9"/>
    <w:rPr>
      <w:rFonts w:ascii="宋体" w:hAnsi="宋体"/>
      <w:b/>
      <w:bCs/>
      <w:kern w:val="2"/>
      <w:sz w:val="28"/>
      <w:szCs w:val="28"/>
    </w:rPr>
  </w:style>
  <w:style w:type="character" w:customStyle="1" w:styleId="93">
    <w:name w:val="标题 字符"/>
    <w:autoRedefine/>
    <w:qFormat/>
    <w:uiPriority w:val="10"/>
    <w:rPr>
      <w:rFonts w:ascii="等线 Light" w:hAnsi="等线 Light" w:eastAsia="等线 Light" w:cs="Times New Roman"/>
      <w:b/>
      <w:bCs/>
      <w:kern w:val="2"/>
      <w:sz w:val="32"/>
      <w:szCs w:val="32"/>
    </w:rPr>
  </w:style>
  <w:style w:type="character" w:customStyle="1" w:styleId="94">
    <w:name w:val="文档结构图 字符"/>
    <w:autoRedefine/>
    <w:semiHidden/>
    <w:qFormat/>
    <w:uiPriority w:val="99"/>
    <w:rPr>
      <w:rFonts w:ascii="Microsoft YaHei UI" w:hAnsi="宋体" w:eastAsia="Microsoft YaHei UI"/>
      <w:kern w:val="2"/>
      <w:sz w:val="18"/>
      <w:szCs w:val="18"/>
    </w:rPr>
  </w:style>
  <w:style w:type="character" w:customStyle="1" w:styleId="95">
    <w:name w:val="纯文本 Char"/>
    <w:link w:val="20"/>
    <w:autoRedefine/>
    <w:qFormat/>
    <w:locked/>
    <w:uiPriority w:val="0"/>
    <w:rPr>
      <w:rFonts w:ascii="宋体" w:hAnsi="Courier New"/>
      <w:kern w:val="2"/>
      <w:sz w:val="21"/>
    </w:rPr>
  </w:style>
  <w:style w:type="paragraph" w:customStyle="1" w:styleId="96">
    <w:name w:val="正文样式"/>
    <w:autoRedefine/>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97">
    <w:name w:val="msonormal"/>
    <w:basedOn w:val="1"/>
    <w:autoRedefine/>
    <w:qFormat/>
    <w:uiPriority w:val="0"/>
    <w:pPr>
      <w:widowControl/>
      <w:spacing w:before="100" w:beforeAutospacing="1" w:after="100" w:afterAutospacing="1" w:line="240" w:lineRule="auto"/>
      <w:ind w:firstLine="0" w:firstLineChars="0"/>
      <w:jc w:val="left"/>
    </w:pPr>
    <w:rPr>
      <w:rFonts w:cs="宋体"/>
      <w:kern w:val="0"/>
    </w:rPr>
  </w:style>
  <w:style w:type="character" w:customStyle="1" w:styleId="98">
    <w:name w:val="标题 7 Char"/>
    <w:link w:val="8"/>
    <w:autoRedefine/>
    <w:qFormat/>
    <w:uiPriority w:val="9"/>
    <w:rPr>
      <w:b/>
      <w:bCs/>
      <w:kern w:val="2"/>
      <w:sz w:val="21"/>
      <w:szCs w:val="24"/>
    </w:rPr>
  </w:style>
  <w:style w:type="character" w:customStyle="1" w:styleId="99">
    <w:name w:val="页眉 字符"/>
    <w:autoRedefine/>
    <w:semiHidden/>
    <w:qFormat/>
    <w:uiPriority w:val="99"/>
    <w:rPr>
      <w:rFonts w:ascii="宋体" w:hAnsi="宋体"/>
      <w:kern w:val="2"/>
      <w:sz w:val="18"/>
      <w:szCs w:val="18"/>
    </w:rPr>
  </w:style>
  <w:style w:type="paragraph" w:customStyle="1" w:styleId="100">
    <w:name w:val="xl65"/>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character" w:customStyle="1" w:styleId="101">
    <w:name w:val="标题 1 字符"/>
    <w:autoRedefine/>
    <w:qFormat/>
    <w:uiPriority w:val="9"/>
    <w:rPr>
      <w:rFonts w:ascii="宋体" w:hAnsi="宋体"/>
      <w:b/>
      <w:bCs/>
      <w:kern w:val="44"/>
      <w:sz w:val="44"/>
      <w:szCs w:val="44"/>
    </w:rPr>
  </w:style>
  <w:style w:type="character" w:customStyle="1" w:styleId="102">
    <w:name w:val="标题 2 Char"/>
    <w:link w:val="3"/>
    <w:autoRedefine/>
    <w:qFormat/>
    <w:uiPriority w:val="9"/>
    <w:rPr>
      <w:rFonts w:ascii="宋体" w:hAnsi="宋体"/>
      <w:b/>
      <w:bCs/>
      <w:kern w:val="2"/>
      <w:sz w:val="30"/>
      <w:szCs w:val="32"/>
    </w:rPr>
  </w:style>
  <w:style w:type="character" w:customStyle="1" w:styleId="103">
    <w:name w:val="批注文字 Char"/>
    <w:link w:val="15"/>
    <w:autoRedefine/>
    <w:qFormat/>
    <w:uiPriority w:val="99"/>
    <w:rPr>
      <w:rFonts w:eastAsia="仿宋"/>
      <w:kern w:val="2"/>
      <w:sz w:val="28"/>
      <w:szCs w:val="24"/>
    </w:rPr>
  </w:style>
  <w:style w:type="paragraph" w:customStyle="1" w:styleId="104">
    <w:name w:val="文档正文文本（中安网脉）"/>
    <w:basedOn w:val="1"/>
    <w:autoRedefine/>
    <w:qFormat/>
    <w:uiPriority w:val="0"/>
    <w:pPr>
      <w:ind w:firstLine="200"/>
    </w:pPr>
    <w:rPr>
      <w:rFonts w:ascii="Times New Roman" w:hAnsi="Times New Roman" w:eastAsia="仿宋_GB2312"/>
      <w:color w:val="000000"/>
      <w:szCs w:val="28"/>
    </w:rPr>
  </w:style>
  <w:style w:type="character" w:customStyle="1" w:styleId="105">
    <w:name w:val="标题 3 字符"/>
    <w:autoRedefine/>
    <w:semiHidden/>
    <w:qFormat/>
    <w:uiPriority w:val="9"/>
    <w:rPr>
      <w:rFonts w:ascii="宋体" w:hAnsi="宋体"/>
      <w:b/>
      <w:bCs/>
      <w:kern w:val="2"/>
      <w:sz w:val="32"/>
      <w:szCs w:val="32"/>
    </w:rPr>
  </w:style>
  <w:style w:type="paragraph" w:customStyle="1" w:styleId="106">
    <w:name w:val="xl67"/>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character" w:customStyle="1" w:styleId="107">
    <w:name w:val="font31"/>
    <w:autoRedefine/>
    <w:qFormat/>
    <w:uiPriority w:val="0"/>
    <w:rPr>
      <w:rFonts w:hint="eastAsia" w:ascii="宋体" w:hAnsi="宋体" w:eastAsia="宋体" w:cs="宋体"/>
      <w:color w:val="000000"/>
      <w:sz w:val="21"/>
      <w:szCs w:val="21"/>
      <w:u w:val="none"/>
    </w:rPr>
  </w:style>
  <w:style w:type="character" w:customStyle="1" w:styleId="108">
    <w:name w:val="标题 Char"/>
    <w:link w:val="33"/>
    <w:autoRedefine/>
    <w:qFormat/>
    <w:uiPriority w:val="0"/>
    <w:rPr>
      <w:rFonts w:ascii="Cambria" w:hAnsi="Cambria" w:eastAsia="黑体"/>
      <w:b/>
      <w:bCs/>
      <w:kern w:val="2"/>
      <w:sz w:val="52"/>
      <w:szCs w:val="32"/>
    </w:rPr>
  </w:style>
  <w:style w:type="character" w:customStyle="1" w:styleId="109">
    <w:name w:val="标题 6 字符"/>
    <w:autoRedefine/>
    <w:semiHidden/>
    <w:qFormat/>
    <w:uiPriority w:val="9"/>
    <w:rPr>
      <w:rFonts w:ascii="等线 Light" w:hAnsi="等线 Light" w:eastAsia="等线 Light" w:cs="Times New Roman"/>
      <w:b/>
      <w:bCs/>
      <w:kern w:val="2"/>
      <w:sz w:val="24"/>
      <w:szCs w:val="24"/>
    </w:rPr>
  </w:style>
  <w:style w:type="character" w:customStyle="1" w:styleId="110">
    <w:name w:val="标题 5 Char"/>
    <w:link w:val="6"/>
    <w:autoRedefine/>
    <w:qFormat/>
    <w:uiPriority w:val="0"/>
    <w:rPr>
      <w:rFonts w:ascii="宋体" w:hAnsi="宋体"/>
      <w:b/>
      <w:bCs/>
      <w:kern w:val="2"/>
      <w:sz w:val="24"/>
      <w:szCs w:val="28"/>
    </w:rPr>
  </w:style>
  <w:style w:type="character" w:customStyle="1" w:styleId="111">
    <w:name w:val="标题 1 Char1"/>
    <w:link w:val="2"/>
    <w:autoRedefine/>
    <w:qFormat/>
    <w:uiPriority w:val="0"/>
    <w:rPr>
      <w:rFonts w:ascii="宋体" w:hAnsi="宋体" w:eastAsia="黑体"/>
      <w:b/>
      <w:bCs/>
      <w:kern w:val="44"/>
      <w:sz w:val="32"/>
      <w:szCs w:val="28"/>
    </w:rPr>
  </w:style>
  <w:style w:type="table" w:customStyle="1" w:styleId="112">
    <w:name w:val="网格型1"/>
    <w:basedOn w:val="35"/>
    <w:autoRedefine/>
    <w:unhideWhenUsed/>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13">
    <w:name w:val="正文正文2"/>
    <w:basedOn w:val="1"/>
    <w:link w:val="126"/>
    <w:autoRedefine/>
    <w:qFormat/>
    <w:uiPriority w:val="0"/>
    <w:pPr>
      <w:ind w:firstLine="460"/>
    </w:pPr>
    <w:rPr>
      <w:sz w:val="21"/>
      <w:szCs w:val="21"/>
    </w:rPr>
  </w:style>
  <w:style w:type="character" w:customStyle="1" w:styleId="114">
    <w:name w:val="批注主题 字符"/>
    <w:autoRedefine/>
    <w:semiHidden/>
    <w:qFormat/>
    <w:uiPriority w:val="99"/>
    <w:rPr>
      <w:rFonts w:ascii="宋体" w:hAnsi="宋体"/>
      <w:b/>
      <w:bCs/>
      <w:kern w:val="2"/>
      <w:sz w:val="24"/>
      <w:szCs w:val="24"/>
    </w:rPr>
  </w:style>
  <w:style w:type="character" w:customStyle="1" w:styleId="115">
    <w:name w:val="题注 Char"/>
    <w:link w:val="13"/>
    <w:autoRedefine/>
    <w:qFormat/>
    <w:locked/>
    <w:uiPriority w:val="0"/>
    <w:rPr>
      <w:rFonts w:ascii="Arial" w:hAnsi="Arial" w:eastAsia="黑体"/>
      <w:kern w:val="2"/>
    </w:rPr>
  </w:style>
  <w:style w:type="character" w:customStyle="1" w:styleId="116">
    <w:name w:val="标题 3 字符1"/>
    <w:autoRedefine/>
    <w:qFormat/>
    <w:uiPriority w:val="0"/>
    <w:rPr>
      <w:rFonts w:ascii="宋体" w:hAnsi="宋体"/>
      <w:b/>
      <w:bCs/>
      <w:kern w:val="2"/>
      <w:sz w:val="28"/>
      <w:szCs w:val="28"/>
    </w:rPr>
  </w:style>
  <w:style w:type="character" w:customStyle="1" w:styleId="117">
    <w:name w:val="标题 1 Char"/>
    <w:autoRedefine/>
    <w:qFormat/>
    <w:uiPriority w:val="0"/>
    <w:rPr>
      <w:rFonts w:ascii="宋体" w:hAnsi="宋体" w:eastAsia="黑体"/>
      <w:b/>
      <w:bCs/>
      <w:kern w:val="44"/>
      <w:sz w:val="32"/>
      <w:szCs w:val="28"/>
    </w:rPr>
  </w:style>
  <w:style w:type="paragraph" w:customStyle="1" w:styleId="118">
    <w:name w:val="xl71"/>
    <w:basedOn w:val="1"/>
    <w:autoRedefine/>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19">
    <w:name w:val="前言、引言标题"/>
    <w:next w:val="1"/>
    <w:autoRedefine/>
    <w:qFormat/>
    <w:uiPriority w:val="99"/>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character" w:customStyle="1" w:styleId="120">
    <w:name w:val="标准正文 Char"/>
    <w:link w:val="58"/>
    <w:autoRedefine/>
    <w:qFormat/>
    <w:uiPriority w:val="0"/>
    <w:rPr>
      <w:rFonts w:ascii="Arial" w:hAnsi="Arial"/>
      <w:kern w:val="2"/>
      <w:sz w:val="24"/>
    </w:rPr>
  </w:style>
  <w:style w:type="character" w:customStyle="1" w:styleId="121">
    <w:name w:val="副标题 Char"/>
    <w:link w:val="28"/>
    <w:autoRedefine/>
    <w:qFormat/>
    <w:uiPriority w:val="0"/>
    <w:rPr>
      <w:rFonts w:ascii="Calibri Light" w:hAnsi="Calibri Light"/>
      <w:b/>
      <w:bCs/>
      <w:kern w:val="28"/>
      <w:sz w:val="32"/>
      <w:szCs w:val="32"/>
    </w:rPr>
  </w:style>
  <w:style w:type="character" w:customStyle="1" w:styleId="122">
    <w:name w:val="批注框文本 字符"/>
    <w:autoRedefine/>
    <w:semiHidden/>
    <w:qFormat/>
    <w:uiPriority w:val="99"/>
    <w:rPr>
      <w:rFonts w:ascii="宋体" w:hAnsi="宋体"/>
      <w:kern w:val="2"/>
      <w:sz w:val="18"/>
      <w:szCs w:val="18"/>
    </w:rPr>
  </w:style>
  <w:style w:type="character" w:customStyle="1" w:styleId="123">
    <w:name w:val="标题 8 Char"/>
    <w:link w:val="9"/>
    <w:autoRedefine/>
    <w:qFormat/>
    <w:uiPriority w:val="9"/>
    <w:rPr>
      <w:rFonts w:ascii="Cambria" w:hAnsi="Cambria"/>
      <w:kern w:val="2"/>
      <w:sz w:val="21"/>
      <w:szCs w:val="24"/>
    </w:rPr>
  </w:style>
  <w:style w:type="character" w:customStyle="1" w:styleId="124">
    <w:name w:val="未处理的提及1"/>
    <w:autoRedefine/>
    <w:unhideWhenUsed/>
    <w:qFormat/>
    <w:uiPriority w:val="99"/>
    <w:rPr>
      <w:color w:val="605E5C"/>
      <w:shd w:val="clear" w:color="auto" w:fill="E1DFDD"/>
    </w:rPr>
  </w:style>
  <w:style w:type="character" w:customStyle="1" w:styleId="125">
    <w:name w:val="正文2 字符"/>
    <w:link w:val="42"/>
    <w:autoRedefine/>
    <w:qFormat/>
    <w:uiPriority w:val="0"/>
    <w:rPr>
      <w:kern w:val="2"/>
      <w:sz w:val="21"/>
      <w:szCs w:val="24"/>
    </w:rPr>
  </w:style>
  <w:style w:type="character" w:customStyle="1" w:styleId="126">
    <w:name w:val="正文正文2 Char"/>
    <w:link w:val="113"/>
    <w:autoRedefine/>
    <w:qFormat/>
    <w:uiPriority w:val="0"/>
    <w:rPr>
      <w:rFonts w:ascii="宋体" w:hAnsi="宋体"/>
      <w:kern w:val="2"/>
      <w:sz w:val="21"/>
      <w:szCs w:val="21"/>
    </w:rPr>
  </w:style>
  <w:style w:type="paragraph" w:customStyle="1" w:styleId="127">
    <w:name w:val="xl68"/>
    <w:basedOn w:val="1"/>
    <w:autoRedefine/>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28">
    <w:name w:val="正文缩进1"/>
    <w:basedOn w:val="1"/>
    <w:autoRedefine/>
    <w:qFormat/>
    <w:uiPriority w:val="0"/>
    <w:pPr>
      <w:spacing w:line="240" w:lineRule="auto"/>
      <w:ind w:firstLine="420"/>
    </w:pPr>
    <w:rPr>
      <w:rFonts w:ascii="Times New Roman" w:hAnsi="Times New Roman"/>
      <w:sz w:val="21"/>
      <w:szCs w:val="20"/>
    </w:rPr>
  </w:style>
  <w:style w:type="paragraph" w:customStyle="1" w:styleId="129">
    <w:name w:val="PM_Body"/>
    <w:basedOn w:val="1"/>
    <w:autoRedefine/>
    <w:qFormat/>
    <w:locked/>
    <w:uiPriority w:val="0"/>
    <w:rPr>
      <w:szCs w:val="21"/>
    </w:rPr>
  </w:style>
  <w:style w:type="character" w:customStyle="1" w:styleId="130">
    <w:name w:val="my正文 Char"/>
    <w:link w:val="52"/>
    <w:autoRedefine/>
    <w:qFormat/>
    <w:uiPriority w:val="0"/>
    <w:rPr>
      <w:kern w:val="2"/>
      <w:sz w:val="21"/>
      <w:szCs w:val="24"/>
    </w:rPr>
  </w:style>
  <w:style w:type="paragraph" w:customStyle="1" w:styleId="131">
    <w:name w:val="列出段落2"/>
    <w:basedOn w:val="1"/>
    <w:autoRedefine/>
    <w:qFormat/>
    <w:uiPriority w:val="0"/>
    <w:pPr>
      <w:spacing w:line="240" w:lineRule="auto"/>
      <w:ind w:firstLine="420"/>
    </w:pPr>
    <w:rPr>
      <w:rFonts w:ascii="等线" w:hAnsi="等线" w:eastAsia="等线" w:cs="等线"/>
      <w:sz w:val="21"/>
      <w:szCs w:val="21"/>
    </w:rPr>
  </w:style>
  <w:style w:type="character" w:customStyle="1" w:styleId="132">
    <w:name w:val="批注框文本 Char"/>
    <w:link w:val="23"/>
    <w:autoRedefine/>
    <w:qFormat/>
    <w:uiPriority w:val="0"/>
    <w:rPr>
      <w:kern w:val="2"/>
      <w:sz w:val="18"/>
      <w:szCs w:val="18"/>
    </w:rPr>
  </w:style>
  <w:style w:type="character" w:customStyle="1" w:styleId="133">
    <w:name w:val="纯文本 Char2"/>
    <w:autoRedefine/>
    <w:qFormat/>
    <w:uiPriority w:val="0"/>
    <w:rPr>
      <w:rFonts w:ascii="宋体" w:hAnsi="宋体" w:eastAsia="宋体" w:cs="Times New Roman"/>
      <w:color w:val="000000"/>
      <w:kern w:val="0"/>
      <w:sz w:val="24"/>
      <w:szCs w:val="24"/>
    </w:rPr>
  </w:style>
  <w:style w:type="paragraph" w:customStyle="1" w:styleId="134">
    <w:name w:val="xl70"/>
    <w:basedOn w:val="1"/>
    <w:autoRedefine/>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3.png"/><Relationship Id="rId16" Type="http://schemas.openxmlformats.org/officeDocument/2006/relationships/package" Target="embeddings/oleObject2.bin"/><Relationship Id="rId15" Type="http://schemas.openxmlformats.org/officeDocument/2006/relationships/image" Target="media/image2.png"/><Relationship Id="rId14" Type="http://schemas.openxmlformats.org/officeDocument/2006/relationships/package" Target="embeddings/oleObject1.bin"/><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27</Pages>
  <Words>5005</Words>
  <Characters>5145</Characters>
  <TotalTime>117</TotalTime>
  <ScaleCrop>false</ScaleCrop>
  <LinksUpToDate>false</LinksUpToDate>
  <CharactersWithSpaces>5150</CharactersWithSpaces>
  <Application>WPS Office_12.8.2.1119_F1E327BC-269C-435d-A152-05C5408002CA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2026-04-02T16:58:00Z</dcterms:created>
  <dc:creator>Administrator</dc:creator>
  <cp:lastModifiedBy>郭田恬</cp:lastModifiedBy>
  <dcterms:modified xsi:type="dcterms:W3CDTF">2026-06-11T17:03:15Z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eyJoZGlkIjoiMzAxNTc1NzhmNzBlNWMzMjdlN2U1Y2Y3NTg4Y2U1YjAifQ==</vt:lpwstr>
  </property>
  <property fmtid="{D5CDD505-2E9C-101B-9397-08002B2CF9AE}" pid="3" name="KSOProductBuildVer">
    <vt:lpwstr>2052-12.8.2.1119</vt:lpwstr>
  </property>
  <property fmtid="{D5CDD505-2E9C-101B-9397-08002B2CF9AE}" pid="4" name="ICV">
    <vt:lpwstr>E93D640787C04AFF8E163774FD1029D2_13</vt:lpwstr>
  </property>
</Properties>
</file>