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DECF6">
      <w:pPr>
        <w:ind w:firstLine="0" w:firstLineChars="0"/>
        <w:jc w:val="center"/>
        <w:rPr>
          <w:rFonts w:ascii="Times New Roman" w:hAnsi="Times New Roman" w:eastAsia="黑体"/>
          <w:sz w:val="48"/>
          <w:szCs w:val="48"/>
        </w:rPr>
      </w:pPr>
    </w:p>
    <w:p w14:paraId="55687275">
      <w:pPr>
        <w:ind w:firstLine="0" w:firstLineChars="0"/>
        <w:jc w:val="center"/>
        <w:rPr>
          <w:rFonts w:ascii="Times New Roman" w:hAnsi="Times New Roman" w:eastAsia="黑体"/>
          <w:sz w:val="48"/>
          <w:szCs w:val="48"/>
        </w:rPr>
      </w:pPr>
    </w:p>
    <w:p w14:paraId="22FBCB39">
      <w:pPr>
        <w:ind w:firstLine="0" w:firstLineChars="0"/>
        <w:jc w:val="center"/>
        <w:rPr>
          <w:rFonts w:ascii="Times New Roman" w:hAnsi="Times New Roman" w:eastAsia="黑体"/>
          <w:sz w:val="52"/>
          <w:szCs w:val="52"/>
        </w:rPr>
      </w:pPr>
      <w:r>
        <w:rPr>
          <w:rFonts w:hint="eastAsia" w:ascii="Times New Roman" w:hAnsi="Times New Roman" w:eastAsia="黑体"/>
          <w:sz w:val="52"/>
          <w:szCs w:val="52"/>
        </w:rPr>
        <w:t>市经信委综合管理大系统建设项目（2026年升级改造）项目</w:t>
      </w:r>
    </w:p>
    <w:p w14:paraId="30AFFF95">
      <w:pPr>
        <w:ind w:firstLine="0" w:firstLineChars="0"/>
        <w:jc w:val="center"/>
        <w:rPr>
          <w:rFonts w:ascii="Times New Roman" w:hAnsi="Times New Roman" w:eastAsia="黑体"/>
          <w:sz w:val="52"/>
          <w:szCs w:val="52"/>
        </w:rPr>
      </w:pPr>
      <w:r>
        <w:rPr>
          <w:rFonts w:hint="eastAsia" w:ascii="Times New Roman" w:hAnsi="Times New Roman" w:eastAsia="黑体"/>
          <w:sz w:val="52"/>
          <w:szCs w:val="52"/>
        </w:rPr>
        <w:t>采购需求</w:t>
      </w:r>
    </w:p>
    <w:p w14:paraId="6AECC19B">
      <w:pPr>
        <w:ind w:firstLine="0" w:firstLineChars="0"/>
        <w:jc w:val="center"/>
        <w:rPr>
          <w:rFonts w:ascii="Times New Roman" w:hAnsi="Times New Roman" w:eastAsia="黑体"/>
          <w:sz w:val="72"/>
          <w:szCs w:val="72"/>
        </w:rPr>
      </w:pPr>
    </w:p>
    <w:p w14:paraId="17CC4648">
      <w:pPr>
        <w:ind w:firstLine="0" w:firstLineChars="0"/>
        <w:jc w:val="center"/>
        <w:rPr>
          <w:rFonts w:ascii="Times New Roman" w:hAnsi="Times New Roman" w:eastAsia="黑体"/>
          <w:sz w:val="48"/>
          <w:szCs w:val="48"/>
        </w:rPr>
      </w:pPr>
    </w:p>
    <w:p w14:paraId="12B0EC16">
      <w:pPr>
        <w:ind w:firstLine="0" w:firstLineChars="0"/>
        <w:jc w:val="center"/>
        <w:rPr>
          <w:rFonts w:ascii="Times New Roman" w:hAnsi="Times New Roman" w:eastAsia="黑体"/>
          <w:sz w:val="52"/>
          <w:szCs w:val="52"/>
        </w:rPr>
      </w:pPr>
    </w:p>
    <w:p w14:paraId="285DB6C0">
      <w:pPr>
        <w:ind w:firstLine="1040"/>
        <w:rPr>
          <w:rFonts w:ascii="Times New Roman" w:hAnsi="Times New Roman" w:eastAsia="黑体"/>
          <w:sz w:val="52"/>
          <w:szCs w:val="52"/>
        </w:rPr>
      </w:pPr>
    </w:p>
    <w:p w14:paraId="2E38A46A">
      <w:pPr>
        <w:rPr>
          <w:rFonts w:ascii="Times New Roman" w:hAnsi="Times New Roman"/>
        </w:rPr>
      </w:pPr>
    </w:p>
    <w:p w14:paraId="4E0846FB">
      <w:pPr>
        <w:rPr>
          <w:rFonts w:ascii="Times New Roman" w:hAnsi="Times New Roman"/>
        </w:rPr>
      </w:pPr>
    </w:p>
    <w:p w14:paraId="2E97E82C">
      <w:pPr>
        <w:rPr>
          <w:rFonts w:ascii="Times New Roman" w:hAnsi="Times New Roman"/>
        </w:rPr>
      </w:pPr>
    </w:p>
    <w:p w14:paraId="14B2A36C">
      <w:pPr>
        <w:rPr>
          <w:rFonts w:ascii="Times New Roman" w:hAnsi="Times New Roman"/>
        </w:rPr>
      </w:pPr>
    </w:p>
    <w:p w14:paraId="24342BFF">
      <w:pPr>
        <w:rPr>
          <w:rFonts w:ascii="Times New Roman" w:hAnsi="Times New Roman"/>
        </w:rPr>
      </w:pPr>
    </w:p>
    <w:p w14:paraId="00888D3D">
      <w:pPr>
        <w:ind w:firstLine="1040"/>
        <w:rPr>
          <w:rFonts w:ascii="Times New Roman" w:hAnsi="Times New Roman" w:eastAsia="黑体"/>
          <w:sz w:val="52"/>
          <w:szCs w:val="52"/>
        </w:rPr>
      </w:pPr>
    </w:p>
    <w:p w14:paraId="134933F7">
      <w:pPr>
        <w:jc w:val="center"/>
        <w:rPr>
          <w:rFonts w:ascii="Times New Roman" w:hAnsi="Times New Roman"/>
        </w:rPr>
        <w:sectPr>
          <w:headerReference r:id="rId9" w:type="first"/>
          <w:footerReference r:id="rId12" w:type="first"/>
          <w:headerReference r:id="rId7" w:type="default"/>
          <w:footerReference r:id="rId10" w:type="default"/>
          <w:headerReference r:id="rId8" w:type="even"/>
          <w:footerReference r:id="rId11" w:type="even"/>
          <w:pgSz w:w="11906" w:h="16838"/>
          <w:pgMar w:top="1134" w:right="1797" w:bottom="1135" w:left="1797" w:header="340" w:footer="7" w:gutter="0"/>
          <w:pgNumType w:start="1"/>
          <w:cols w:space="720" w:num="1"/>
          <w:titlePg/>
          <w:docGrid w:type="linesAndChars" w:linePitch="326" w:charSpace="0"/>
        </w:sectPr>
      </w:pPr>
    </w:p>
    <w:p w14:paraId="1D065DA2">
      <w:pPr>
        <w:pStyle w:val="2"/>
        <w:rPr>
          <w:rFonts w:ascii="Times New Roman" w:hAnsi="Times New Roman"/>
        </w:rPr>
      </w:pPr>
      <w:bookmarkStart w:id="0" w:name="_Toc63785461"/>
      <w:r>
        <w:rPr>
          <w:rFonts w:hint="eastAsia" w:ascii="Times New Roman" w:hAnsi="Times New Roman"/>
        </w:rPr>
        <w:t>项目概况</w:t>
      </w:r>
      <w:bookmarkEnd w:id="0"/>
    </w:p>
    <w:p w14:paraId="1842D7D3">
      <w:pPr>
        <w:spacing w:line="560" w:lineRule="exact"/>
        <w:rPr>
          <w:rFonts w:ascii="Times New Roman" w:hAnsi="Times New Roman"/>
        </w:rPr>
      </w:pPr>
      <w:r>
        <w:rPr>
          <w:rFonts w:hint="eastAsia" w:ascii="Times New Roman" w:hAnsi="Times New Roman"/>
        </w:rPr>
        <w:t>项目背景：总书记在上海考察时强调，上海承担着建设国际科技创新中心的历史使命，要抢抓机遇，以服务国家战略为牵引，不断增强科技创新策源功能和高端产业引领功能，加快建成具有全球影响力的科技创新高地。在上海主持召开部分省区市“十五五”时期经济社会发展座谈会时，强调要巩固拓展优势、突破瓶颈堵点、补强短板弱项、提高质量效益，与整体目标保持取向一致性，“十五五”时期，必须把因地制宜发展新质生产力摆在更加突出的战略位置，以科技创新为引领、以实体经济为根基，坚持全面推进传统产业转型升级、积极发展新兴产业、超前布局未来产业并举，加快建设现代化产业体系。为更好地达成上海经济运行的整体目标，提高产业管理工作效率和决策质量，现拟升级改造市经信委综合管理大系统下的“一屏观产业决策分析系统”。</w:t>
      </w:r>
    </w:p>
    <w:p w14:paraId="575E6BD1">
      <w:pPr>
        <w:spacing w:line="560" w:lineRule="exact"/>
        <w:rPr>
          <w:rFonts w:ascii="Times New Roman" w:hAnsi="Times New Roman"/>
        </w:rPr>
      </w:pPr>
      <w:r>
        <w:rPr>
          <w:rFonts w:hint="eastAsia" w:ascii="Times New Roman" w:hAnsi="Times New Roman"/>
        </w:rPr>
        <w:t>项目现状：2021、2022年，市经信委建设了“一屏观产业决策分析系统”，系统由领导驾驶舱、处室工作台、系统监控室3大核心模块组成，内容包含宏观的全市产业地图，解析三大行业6大产业方向为核心的“3+6”产业发展内容，构建了企业画像和产业链图谱，以及围绕经济运行分析、产业投资监测、产业发展分析、产业引领分析、产业载体分析、产业主体分析的主题业务屏及“一屏观产业智库”平台。2024年，对该系统进行升级改造，新增电力运行监测分析、电煤保障运行监测分析、成品油运行监测分析、人工智能产业监测分析、上海对外产业合作成果分析五大核心功能模块。基于当前发展背景及业务现状，市经信委提出新的业务功能需求，包括：数据库建设功能、共性支撑能力功能、数据分析展示功能、业务应用功能。</w:t>
      </w:r>
    </w:p>
    <w:p w14:paraId="5C5B0EEC">
      <w:pPr>
        <w:spacing w:line="560" w:lineRule="exact"/>
        <w:rPr>
          <w:rFonts w:ascii="Times New Roman" w:hAnsi="Times New Roman"/>
        </w:rPr>
      </w:pPr>
      <w:r>
        <w:rPr>
          <w:rFonts w:hint="eastAsia" w:ascii="Times New Roman" w:hAnsi="Times New Roman"/>
        </w:rPr>
        <w:t>建设期限：</w:t>
      </w:r>
      <w:r>
        <w:rPr>
          <w:rFonts w:hint="eastAsia" w:ascii="Times New Roman" w:hAnsi="Times New Roman"/>
          <w:lang w:eastAsia="zh-CN"/>
        </w:rPr>
        <w:t>合同签订后</w:t>
      </w:r>
      <w:r>
        <w:rPr>
          <w:rFonts w:hint="eastAsia" w:ascii="Times New Roman" w:hAnsi="Times New Roman"/>
          <w:lang w:val="en-US" w:eastAsia="zh-CN"/>
        </w:rPr>
        <w:t>10个月内</w:t>
      </w:r>
      <w:r>
        <w:rPr>
          <w:rFonts w:hint="eastAsia" w:ascii="Times New Roman" w:hAnsi="Times New Roman"/>
        </w:rPr>
        <w:t>完成项目建设</w:t>
      </w:r>
    </w:p>
    <w:p w14:paraId="2C585BBD">
      <w:pPr>
        <w:spacing w:line="560" w:lineRule="exact"/>
        <w:rPr>
          <w:rFonts w:ascii="Times New Roman" w:hAnsi="Times New Roman"/>
        </w:rPr>
      </w:pPr>
      <w:r>
        <w:rPr>
          <w:rFonts w:hint="eastAsia" w:ascii="Times New Roman" w:hAnsi="Times New Roman"/>
        </w:rPr>
        <w:t>建设地点：上海市浦东新区世博村路300号5号楼</w:t>
      </w:r>
    </w:p>
    <w:p w14:paraId="54C419A1">
      <w:pPr>
        <w:spacing w:line="560" w:lineRule="exact"/>
        <w:rPr>
          <w:rFonts w:ascii="Times New Roman" w:hAnsi="Times New Roman"/>
        </w:rPr>
      </w:pPr>
      <w:r>
        <w:rPr>
          <w:rFonts w:hint="eastAsia" w:ascii="Times New Roman" w:hAnsi="Times New Roman"/>
        </w:rPr>
        <w:t>预算金额：3,640,000元</w:t>
      </w:r>
    </w:p>
    <w:p w14:paraId="021829A2">
      <w:pPr>
        <w:spacing w:line="560" w:lineRule="exact"/>
        <w:rPr>
          <w:rFonts w:ascii="Times New Roman" w:hAnsi="Times New Roman"/>
        </w:rPr>
      </w:pPr>
    </w:p>
    <w:p w14:paraId="7401CDCB">
      <w:pPr>
        <w:spacing w:line="560" w:lineRule="exact"/>
        <w:rPr>
          <w:rFonts w:ascii="Times New Roman" w:hAnsi="Times New Roman"/>
        </w:rPr>
      </w:pPr>
      <w:r>
        <w:rPr>
          <w:rFonts w:hint="eastAsia" w:ascii="Times New Roman" w:hAnsi="Times New Roman"/>
        </w:rPr>
        <w:t>采购金额（最高限价）：3,640,000元</w:t>
      </w:r>
    </w:p>
    <w:p w14:paraId="0440C975">
      <w:pPr>
        <w:rPr>
          <w:rFonts w:ascii="Times New Roman" w:hAnsi="Times New Roman"/>
        </w:rPr>
      </w:pPr>
      <w:r>
        <w:rPr>
          <w:rFonts w:hint="eastAsia" w:ascii="Times New Roman" w:hAnsi="Times New Roman"/>
        </w:rPr>
        <w:t>组织形式：集中采购</w:t>
      </w:r>
    </w:p>
    <w:p w14:paraId="447D367D">
      <w:pPr>
        <w:rPr>
          <w:rFonts w:ascii="Times New Roman" w:hAnsi="Times New Roman"/>
        </w:rPr>
      </w:pPr>
      <w:r>
        <w:rPr>
          <w:rFonts w:hint="eastAsia" w:ascii="Times New Roman" w:hAnsi="Times New Roman"/>
        </w:rPr>
        <w:t>采购方式：竞争性磋商</w:t>
      </w:r>
    </w:p>
    <w:p w14:paraId="12A040F7">
      <w:pPr>
        <w:rPr>
          <w:rFonts w:ascii="Times New Roman" w:hAnsi="Times New Roman"/>
        </w:rPr>
      </w:pPr>
      <w:r>
        <w:rPr>
          <w:rFonts w:hint="eastAsia" w:ascii="Times New Roman" w:hAnsi="Times New Roman"/>
        </w:rPr>
        <w:t>是否接受联合体：否</w:t>
      </w:r>
    </w:p>
    <w:p w14:paraId="28E8F842">
      <w:pPr>
        <w:rPr>
          <w:rFonts w:ascii="Times New Roman" w:hAnsi="Times New Roman"/>
        </w:rPr>
      </w:pPr>
      <w:r>
        <w:rPr>
          <w:rFonts w:ascii="Times New Roman" w:hAnsi="Times New Roman"/>
        </w:rPr>
        <w:t>是否按</w:t>
      </w:r>
      <w:r>
        <w:rPr>
          <w:rFonts w:hint="eastAsia" w:ascii="Times New Roman" w:hAnsi="Times New Roman"/>
        </w:rPr>
        <w:t>XC</w:t>
      </w:r>
      <w:r>
        <w:rPr>
          <w:rFonts w:ascii="Times New Roman" w:hAnsi="Times New Roman"/>
        </w:rPr>
        <w:t>要求建设：是</w:t>
      </w:r>
    </w:p>
    <w:p w14:paraId="0C88BC1E">
      <w:pPr>
        <w:tabs>
          <w:tab w:val="left" w:pos="3120"/>
        </w:tabs>
        <w:rPr>
          <w:rFonts w:ascii="Times New Roman" w:hAnsi="Times New Roman"/>
        </w:rPr>
      </w:pPr>
      <w:r>
        <w:rPr>
          <w:rFonts w:hint="eastAsia" w:ascii="Times New Roman" w:hAnsi="Times New Roman"/>
        </w:rPr>
        <w:t>是否采用低代码建设：否</w:t>
      </w:r>
    </w:p>
    <w:p w14:paraId="74A590F4">
      <w:pPr>
        <w:rPr>
          <w:rFonts w:ascii="Times New Roman" w:hAnsi="Times New Roman"/>
        </w:rPr>
      </w:pPr>
      <w:r>
        <w:rPr>
          <w:rFonts w:hint="eastAsia" w:ascii="Times New Roman" w:hAnsi="Times New Roman"/>
        </w:rPr>
        <w:t>运维后所属大系统：市经信委综合管理大系统（实体大系统）</w:t>
      </w:r>
    </w:p>
    <w:p w14:paraId="0EB6DA7A">
      <w:pPr>
        <w:pStyle w:val="2"/>
        <w:rPr>
          <w:rFonts w:ascii="Times New Roman" w:hAnsi="Times New Roman"/>
        </w:rPr>
      </w:pPr>
      <w:bookmarkStart w:id="1" w:name="_Toc47532255"/>
      <w:bookmarkEnd w:id="1"/>
      <w:bookmarkStart w:id="2" w:name="_Toc47539070"/>
      <w:bookmarkEnd w:id="2"/>
      <w:bookmarkStart w:id="3" w:name="_Toc47533256"/>
      <w:bookmarkEnd w:id="3"/>
      <w:bookmarkStart w:id="4" w:name="_Toc47532891"/>
      <w:bookmarkEnd w:id="4"/>
      <w:bookmarkStart w:id="5" w:name="_Toc47537134"/>
      <w:bookmarkEnd w:id="5"/>
      <w:bookmarkStart w:id="6" w:name="_Toc47536272"/>
      <w:bookmarkEnd w:id="6"/>
      <w:bookmarkStart w:id="7" w:name="_Toc47536644"/>
      <w:bookmarkEnd w:id="7"/>
      <w:bookmarkStart w:id="8" w:name="_Toc47531634"/>
      <w:bookmarkEnd w:id="8"/>
      <w:bookmarkStart w:id="9" w:name="_Toc48223882"/>
      <w:bookmarkStart w:id="10" w:name="_Toc63785463"/>
      <w:r>
        <w:rPr>
          <w:rFonts w:hint="eastAsia" w:ascii="Times New Roman" w:hAnsi="Times New Roman"/>
        </w:rPr>
        <w:t>建设目标</w:t>
      </w:r>
      <w:bookmarkEnd w:id="9"/>
      <w:bookmarkEnd w:id="10"/>
    </w:p>
    <w:p w14:paraId="17E83B49">
      <w:pPr>
        <w:spacing w:line="560" w:lineRule="exact"/>
        <w:rPr>
          <w:rFonts w:ascii="Times New Roman" w:hAnsi="Times New Roman"/>
        </w:rPr>
      </w:pPr>
      <w:r>
        <w:rPr>
          <w:rFonts w:hint="eastAsia" w:ascii="Times New Roman" w:hAnsi="Times New Roman"/>
        </w:rPr>
        <w:t>为更好地达成上海经济运行的整体目标，提升产业治理数字化水平与科学决策效能，现拟升级改造“市经信委综合管理大系统”下的“一屏观产业决策分析系统”。项目以数据资源为核心，聚焦数据赋能经信委转型升级、全面提升经济数据处理能力，以数字化转型为引领，强化数据资源统筹、业务场景融合、系统能力复用，着力破解数据分散、标准不一、共享不足等问题，全面实现一数一源、一数多用，推动数据资源全域汇聚、全面治理、全程共享、全效赋能，为上海产业高质量发展提供坚实数据支撑和平台保障。</w:t>
      </w:r>
    </w:p>
    <w:p w14:paraId="43372581">
      <w:pPr>
        <w:spacing w:line="560" w:lineRule="exact"/>
        <w:rPr>
          <w:rFonts w:ascii="Times New Roman" w:hAnsi="Times New Roman"/>
        </w:rPr>
      </w:pPr>
      <w:r>
        <w:rPr>
          <w:rFonts w:hint="eastAsia" w:ascii="Times New Roman" w:hAnsi="Times New Roman"/>
        </w:rPr>
        <w:t>项目以数据为核心，拟两个方面的突破升级：</w:t>
      </w:r>
    </w:p>
    <w:p w14:paraId="35A6925E">
      <w:pPr>
        <w:spacing w:line="560" w:lineRule="exact"/>
        <w:rPr>
          <w:rFonts w:ascii="Times New Roman" w:hAnsi="Times New Roman"/>
        </w:rPr>
      </w:pPr>
      <w:r>
        <w:rPr>
          <w:rFonts w:hint="eastAsia" w:ascii="Times New Roman" w:hAnsi="Times New Roman"/>
        </w:rPr>
        <w:t>一是构建统一、规范、高效的数据资源体系，整合各类产业经济相关的数据资源，明确数据来源，规范数据标准，夯实以企业为核心的数据资源底座，实现产业经济数据资源的集中化、标准化管理，从源头解决数据分散、标准不一、复用不足的问题，推动“一数多用”落地见效，实现数据跨业务、跨场景、跨层级共享共用，全面提升市经信委对于产业经济数据的处理能力，让数据资源真正转化为经济治理效能。</w:t>
      </w:r>
    </w:p>
    <w:p w14:paraId="5249E515">
      <w:pPr>
        <w:spacing w:line="560" w:lineRule="exact"/>
        <w:rPr>
          <w:rFonts w:ascii="Times New Roman" w:hAnsi="Times New Roman"/>
        </w:rPr>
      </w:pPr>
      <w:r>
        <w:rPr>
          <w:rFonts w:hint="eastAsia" w:ascii="Times New Roman" w:hAnsi="Times New Roman"/>
        </w:rPr>
        <w:t>二是强化数据应用赋能，依托统一数据底座打造面向全委核心业务场景的主题屏应用，全面提升市区协同、企业培育、产业载体、智能制造、人工智能、新兴产业、产业风险的数据分析和应用能力，尤其加强企业培育及服务能力，让数据价值充分释放，让产业治理更科学、服务更精准、运行更高效，为产业高质量发展注入强劲动力。</w:t>
      </w:r>
    </w:p>
    <w:p w14:paraId="77E634A9">
      <w:pPr>
        <w:rPr>
          <w:rFonts w:ascii="Times New Roman" w:hAnsi="Times New Roman"/>
        </w:rPr>
      </w:pPr>
      <w:r>
        <w:rPr>
          <w:rFonts w:hint="eastAsia" w:ascii="Times New Roman" w:hAnsi="Times New Roman"/>
        </w:rPr>
        <w:t>项目建设所需达到的成效考核目标如下：</w:t>
      </w:r>
    </w:p>
    <w:tbl>
      <w:tblPr>
        <w:tblStyle w:val="37"/>
        <w:tblW w:w="853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41"/>
        <w:gridCol w:w="1511"/>
        <w:gridCol w:w="1510"/>
        <w:gridCol w:w="1648"/>
        <w:gridCol w:w="1506"/>
        <w:gridCol w:w="1521"/>
      </w:tblGrid>
      <w:tr w14:paraId="290188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557F3606">
            <w:pPr>
              <w:pStyle w:val="137"/>
              <w:widowControl w:val="0"/>
              <w:spacing w:line="276" w:lineRule="auto"/>
              <w:jc w:val="center"/>
              <w:rPr>
                <w:rFonts w:eastAsia="宋体" w:cs="宋体"/>
                <w:sz w:val="22"/>
                <w:szCs w:val="22"/>
              </w:rPr>
            </w:pPr>
            <w:r>
              <w:rPr>
                <w:rFonts w:hint="eastAsia" w:eastAsia="宋体" w:cs="宋体"/>
                <w:sz w:val="22"/>
                <w:szCs w:val="22"/>
              </w:rPr>
              <w:t>序号</w:t>
            </w:r>
          </w:p>
        </w:tc>
        <w:tc>
          <w:tcPr>
            <w:tcW w:w="1511" w:type="dxa"/>
            <w:vAlign w:val="center"/>
          </w:tcPr>
          <w:p w14:paraId="0C485D20">
            <w:pPr>
              <w:pStyle w:val="137"/>
              <w:widowControl w:val="0"/>
              <w:spacing w:line="276" w:lineRule="auto"/>
              <w:jc w:val="center"/>
              <w:rPr>
                <w:rFonts w:eastAsia="宋体" w:cs="宋体"/>
                <w:sz w:val="22"/>
                <w:szCs w:val="22"/>
              </w:rPr>
            </w:pPr>
            <w:r>
              <w:rPr>
                <w:rFonts w:hint="eastAsia" w:eastAsia="宋体" w:cs="宋体"/>
                <w:sz w:val="22"/>
                <w:szCs w:val="22"/>
              </w:rPr>
              <w:t>一级指标</w:t>
            </w:r>
          </w:p>
        </w:tc>
        <w:tc>
          <w:tcPr>
            <w:tcW w:w="1510" w:type="dxa"/>
            <w:vAlign w:val="center"/>
          </w:tcPr>
          <w:p w14:paraId="4F29390A">
            <w:pPr>
              <w:pStyle w:val="137"/>
              <w:widowControl w:val="0"/>
              <w:spacing w:line="276" w:lineRule="auto"/>
              <w:jc w:val="center"/>
              <w:rPr>
                <w:rFonts w:eastAsia="宋体" w:cs="宋体"/>
                <w:sz w:val="22"/>
                <w:szCs w:val="22"/>
              </w:rPr>
            </w:pPr>
            <w:r>
              <w:rPr>
                <w:rFonts w:hint="eastAsia" w:eastAsia="宋体" w:cs="宋体"/>
                <w:sz w:val="22"/>
                <w:szCs w:val="22"/>
              </w:rPr>
              <w:t>二级指标</w:t>
            </w:r>
          </w:p>
        </w:tc>
        <w:tc>
          <w:tcPr>
            <w:tcW w:w="1648" w:type="dxa"/>
            <w:vAlign w:val="center"/>
          </w:tcPr>
          <w:p w14:paraId="7B7E191C">
            <w:pPr>
              <w:pStyle w:val="137"/>
              <w:widowControl w:val="0"/>
              <w:spacing w:line="276" w:lineRule="auto"/>
              <w:jc w:val="center"/>
              <w:rPr>
                <w:rFonts w:eastAsia="宋体" w:cs="宋体"/>
                <w:sz w:val="22"/>
                <w:szCs w:val="22"/>
              </w:rPr>
            </w:pPr>
            <w:r>
              <w:rPr>
                <w:rFonts w:hint="eastAsia" w:eastAsia="宋体" w:cs="宋体"/>
                <w:sz w:val="22"/>
                <w:szCs w:val="22"/>
              </w:rPr>
              <w:t>三级指标</w:t>
            </w:r>
          </w:p>
        </w:tc>
        <w:tc>
          <w:tcPr>
            <w:tcW w:w="1506" w:type="dxa"/>
          </w:tcPr>
          <w:p w14:paraId="2F963744">
            <w:pPr>
              <w:pStyle w:val="137"/>
              <w:widowControl w:val="0"/>
              <w:spacing w:line="276" w:lineRule="auto"/>
              <w:jc w:val="center"/>
              <w:rPr>
                <w:rFonts w:eastAsia="宋体" w:cs="宋体"/>
                <w:sz w:val="22"/>
                <w:szCs w:val="22"/>
              </w:rPr>
            </w:pPr>
            <w:r>
              <w:rPr>
                <w:rFonts w:hint="eastAsia" w:eastAsia="宋体" w:cs="宋体"/>
                <w:sz w:val="22"/>
                <w:szCs w:val="22"/>
              </w:rPr>
              <w:t>四级指标</w:t>
            </w:r>
          </w:p>
        </w:tc>
        <w:tc>
          <w:tcPr>
            <w:tcW w:w="1521" w:type="dxa"/>
            <w:vAlign w:val="center"/>
          </w:tcPr>
          <w:p w14:paraId="30D2FB5A">
            <w:pPr>
              <w:pStyle w:val="137"/>
              <w:widowControl w:val="0"/>
              <w:spacing w:line="276" w:lineRule="auto"/>
              <w:jc w:val="center"/>
              <w:rPr>
                <w:rFonts w:eastAsia="宋体" w:cs="宋体"/>
                <w:sz w:val="22"/>
                <w:szCs w:val="22"/>
              </w:rPr>
            </w:pPr>
            <w:r>
              <w:rPr>
                <w:rFonts w:hint="eastAsia" w:eastAsia="宋体" w:cs="宋体"/>
                <w:sz w:val="22"/>
                <w:szCs w:val="22"/>
              </w:rPr>
              <w:t>指标值</w:t>
            </w:r>
          </w:p>
        </w:tc>
      </w:tr>
      <w:tr w14:paraId="03B3C4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3AE844E2">
            <w:pPr>
              <w:pStyle w:val="137"/>
              <w:widowControl w:val="0"/>
              <w:spacing w:line="276" w:lineRule="auto"/>
              <w:jc w:val="center"/>
              <w:rPr>
                <w:rFonts w:eastAsia="宋体" w:cs="宋体"/>
                <w:sz w:val="22"/>
                <w:szCs w:val="22"/>
              </w:rPr>
            </w:pPr>
            <w:r>
              <w:rPr>
                <w:rFonts w:hint="eastAsia" w:eastAsia="宋体" w:cs="宋体"/>
                <w:sz w:val="22"/>
                <w:szCs w:val="22"/>
              </w:rPr>
              <w:t>1</w:t>
            </w:r>
          </w:p>
        </w:tc>
        <w:tc>
          <w:tcPr>
            <w:tcW w:w="1511" w:type="dxa"/>
            <w:vMerge w:val="restart"/>
            <w:vAlign w:val="center"/>
          </w:tcPr>
          <w:p w14:paraId="7BA753BC">
            <w:pPr>
              <w:pStyle w:val="137"/>
              <w:widowControl w:val="0"/>
              <w:spacing w:line="276" w:lineRule="auto"/>
              <w:jc w:val="center"/>
              <w:rPr>
                <w:rFonts w:eastAsia="宋体" w:cs="宋体"/>
                <w:sz w:val="22"/>
                <w:szCs w:val="22"/>
              </w:rPr>
            </w:pPr>
            <w:r>
              <w:rPr>
                <w:rFonts w:hint="eastAsia" w:eastAsia="宋体" w:cs="宋体"/>
                <w:sz w:val="22"/>
                <w:szCs w:val="22"/>
              </w:rPr>
              <w:t>通用指标</w:t>
            </w:r>
          </w:p>
        </w:tc>
        <w:tc>
          <w:tcPr>
            <w:tcW w:w="1510" w:type="dxa"/>
            <w:vMerge w:val="restart"/>
            <w:vAlign w:val="center"/>
          </w:tcPr>
          <w:p w14:paraId="5D4457FE">
            <w:pPr>
              <w:pStyle w:val="137"/>
              <w:widowControl w:val="0"/>
              <w:spacing w:line="276" w:lineRule="auto"/>
              <w:jc w:val="center"/>
              <w:rPr>
                <w:rFonts w:eastAsia="宋体" w:cs="宋体"/>
                <w:sz w:val="22"/>
                <w:szCs w:val="22"/>
              </w:rPr>
            </w:pPr>
            <w:r>
              <w:rPr>
                <w:rFonts w:hint="eastAsia" w:eastAsia="宋体" w:cs="宋体"/>
                <w:sz w:val="22"/>
                <w:szCs w:val="22"/>
              </w:rPr>
              <w:t>产出指标</w:t>
            </w:r>
          </w:p>
        </w:tc>
        <w:tc>
          <w:tcPr>
            <w:tcW w:w="1648" w:type="dxa"/>
            <w:vAlign w:val="center"/>
          </w:tcPr>
          <w:p w14:paraId="21F09F7D">
            <w:pPr>
              <w:pStyle w:val="137"/>
              <w:widowControl w:val="0"/>
              <w:spacing w:line="276" w:lineRule="auto"/>
              <w:jc w:val="center"/>
              <w:rPr>
                <w:rFonts w:eastAsia="宋体" w:cs="宋体"/>
                <w:sz w:val="22"/>
                <w:szCs w:val="22"/>
              </w:rPr>
            </w:pPr>
            <w:r>
              <w:rPr>
                <w:rFonts w:hint="eastAsia" w:eastAsia="宋体" w:cs="宋体"/>
                <w:sz w:val="22"/>
                <w:szCs w:val="22"/>
              </w:rPr>
              <w:t>产出数量</w:t>
            </w:r>
          </w:p>
        </w:tc>
        <w:tc>
          <w:tcPr>
            <w:tcW w:w="1506" w:type="dxa"/>
          </w:tcPr>
          <w:p w14:paraId="27234DB0">
            <w:pPr>
              <w:pStyle w:val="137"/>
              <w:widowControl w:val="0"/>
              <w:spacing w:line="276" w:lineRule="auto"/>
              <w:jc w:val="center"/>
              <w:rPr>
                <w:rFonts w:eastAsia="宋体" w:cs="宋体"/>
                <w:sz w:val="22"/>
                <w:szCs w:val="22"/>
              </w:rPr>
            </w:pPr>
            <w:r>
              <w:rPr>
                <w:rFonts w:hint="eastAsia" w:eastAsia="宋体" w:cs="宋体"/>
                <w:sz w:val="22"/>
                <w:szCs w:val="22"/>
              </w:rPr>
              <w:t>软件开发完成率</w:t>
            </w:r>
          </w:p>
        </w:tc>
        <w:tc>
          <w:tcPr>
            <w:tcW w:w="1521" w:type="dxa"/>
            <w:vAlign w:val="center"/>
          </w:tcPr>
          <w:p w14:paraId="10681329">
            <w:pPr>
              <w:pStyle w:val="137"/>
              <w:widowControl w:val="0"/>
              <w:spacing w:line="276" w:lineRule="auto"/>
              <w:jc w:val="center"/>
              <w:rPr>
                <w:rFonts w:eastAsia="宋体" w:cs="宋体"/>
                <w:sz w:val="22"/>
                <w:szCs w:val="22"/>
              </w:rPr>
            </w:pPr>
            <w:r>
              <w:rPr>
                <w:rFonts w:hint="eastAsia" w:eastAsia="宋体" w:cs="宋体"/>
                <w:sz w:val="22"/>
                <w:szCs w:val="22"/>
              </w:rPr>
              <w:t>100%</w:t>
            </w:r>
          </w:p>
        </w:tc>
      </w:tr>
      <w:tr w14:paraId="4176CC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2287C843">
            <w:pPr>
              <w:pStyle w:val="137"/>
              <w:widowControl w:val="0"/>
              <w:spacing w:line="276" w:lineRule="auto"/>
              <w:jc w:val="center"/>
              <w:rPr>
                <w:rFonts w:eastAsia="宋体" w:cs="宋体"/>
                <w:sz w:val="22"/>
                <w:szCs w:val="22"/>
              </w:rPr>
            </w:pPr>
            <w:r>
              <w:rPr>
                <w:rFonts w:hint="eastAsia" w:eastAsia="宋体" w:cs="宋体"/>
                <w:sz w:val="22"/>
                <w:szCs w:val="22"/>
              </w:rPr>
              <w:t>2</w:t>
            </w:r>
          </w:p>
        </w:tc>
        <w:tc>
          <w:tcPr>
            <w:tcW w:w="1511" w:type="dxa"/>
            <w:vMerge w:val="continue"/>
            <w:vAlign w:val="center"/>
          </w:tcPr>
          <w:p w14:paraId="4E1A7BEB">
            <w:pPr>
              <w:pStyle w:val="137"/>
              <w:widowControl w:val="0"/>
              <w:spacing w:line="276" w:lineRule="auto"/>
              <w:jc w:val="center"/>
              <w:rPr>
                <w:rFonts w:eastAsia="宋体" w:cs="宋体"/>
                <w:sz w:val="22"/>
                <w:szCs w:val="22"/>
              </w:rPr>
            </w:pPr>
          </w:p>
        </w:tc>
        <w:tc>
          <w:tcPr>
            <w:tcW w:w="1510" w:type="dxa"/>
            <w:vMerge w:val="continue"/>
            <w:vAlign w:val="center"/>
          </w:tcPr>
          <w:p w14:paraId="6910CE72">
            <w:pPr>
              <w:pStyle w:val="137"/>
              <w:widowControl w:val="0"/>
              <w:spacing w:line="276" w:lineRule="auto"/>
              <w:jc w:val="center"/>
              <w:rPr>
                <w:rFonts w:eastAsia="宋体" w:cs="宋体"/>
                <w:sz w:val="22"/>
                <w:szCs w:val="22"/>
              </w:rPr>
            </w:pPr>
          </w:p>
        </w:tc>
        <w:tc>
          <w:tcPr>
            <w:tcW w:w="1648" w:type="dxa"/>
            <w:vMerge w:val="restart"/>
            <w:vAlign w:val="center"/>
          </w:tcPr>
          <w:p w14:paraId="44CCD0B8">
            <w:pPr>
              <w:pStyle w:val="137"/>
              <w:widowControl w:val="0"/>
              <w:spacing w:line="276" w:lineRule="auto"/>
              <w:jc w:val="center"/>
              <w:rPr>
                <w:rFonts w:eastAsia="宋体" w:cs="宋体"/>
                <w:sz w:val="22"/>
                <w:szCs w:val="22"/>
              </w:rPr>
            </w:pPr>
            <w:r>
              <w:rPr>
                <w:rFonts w:hint="eastAsia" w:eastAsia="宋体" w:cs="宋体"/>
                <w:sz w:val="22"/>
                <w:szCs w:val="22"/>
              </w:rPr>
              <w:t>产出质量</w:t>
            </w:r>
          </w:p>
        </w:tc>
        <w:tc>
          <w:tcPr>
            <w:tcW w:w="1506" w:type="dxa"/>
          </w:tcPr>
          <w:p w14:paraId="006FEC81">
            <w:pPr>
              <w:pStyle w:val="137"/>
              <w:widowControl w:val="0"/>
              <w:spacing w:line="276" w:lineRule="auto"/>
              <w:jc w:val="center"/>
              <w:rPr>
                <w:rFonts w:eastAsia="宋体" w:cs="宋体"/>
                <w:sz w:val="22"/>
                <w:szCs w:val="22"/>
              </w:rPr>
            </w:pPr>
            <w:r>
              <w:rPr>
                <w:rFonts w:hint="eastAsia" w:eastAsia="宋体" w:cs="宋体"/>
                <w:sz w:val="22"/>
                <w:szCs w:val="22"/>
              </w:rPr>
              <w:t>软件测试达标</w:t>
            </w:r>
          </w:p>
        </w:tc>
        <w:tc>
          <w:tcPr>
            <w:tcW w:w="1521" w:type="dxa"/>
            <w:vAlign w:val="center"/>
          </w:tcPr>
          <w:p w14:paraId="60D0B32E">
            <w:pPr>
              <w:pStyle w:val="137"/>
              <w:widowControl w:val="0"/>
              <w:spacing w:line="276" w:lineRule="auto"/>
              <w:jc w:val="center"/>
              <w:rPr>
                <w:rFonts w:eastAsia="宋体" w:cs="宋体"/>
                <w:sz w:val="22"/>
                <w:szCs w:val="22"/>
              </w:rPr>
            </w:pPr>
            <w:r>
              <w:rPr>
                <w:rFonts w:hint="eastAsia" w:eastAsia="宋体" w:cs="宋体"/>
                <w:sz w:val="22"/>
                <w:szCs w:val="22"/>
              </w:rPr>
              <w:t>达标</w:t>
            </w:r>
          </w:p>
        </w:tc>
      </w:tr>
      <w:tr w14:paraId="09FE67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059F42B0">
            <w:pPr>
              <w:pStyle w:val="137"/>
              <w:widowControl w:val="0"/>
              <w:spacing w:line="276" w:lineRule="auto"/>
              <w:jc w:val="center"/>
              <w:rPr>
                <w:rFonts w:eastAsia="宋体" w:cs="宋体"/>
                <w:sz w:val="22"/>
                <w:szCs w:val="22"/>
              </w:rPr>
            </w:pPr>
            <w:r>
              <w:rPr>
                <w:rFonts w:hint="eastAsia" w:eastAsia="宋体" w:cs="宋体"/>
                <w:sz w:val="22"/>
                <w:szCs w:val="22"/>
              </w:rPr>
              <w:t>3</w:t>
            </w:r>
          </w:p>
        </w:tc>
        <w:tc>
          <w:tcPr>
            <w:tcW w:w="1511" w:type="dxa"/>
            <w:vMerge w:val="continue"/>
            <w:vAlign w:val="center"/>
          </w:tcPr>
          <w:p w14:paraId="49CE1714">
            <w:pPr>
              <w:pStyle w:val="137"/>
              <w:widowControl w:val="0"/>
              <w:spacing w:line="276" w:lineRule="auto"/>
              <w:jc w:val="center"/>
              <w:rPr>
                <w:rFonts w:eastAsia="宋体" w:cs="宋体"/>
                <w:sz w:val="22"/>
                <w:szCs w:val="22"/>
              </w:rPr>
            </w:pPr>
          </w:p>
        </w:tc>
        <w:tc>
          <w:tcPr>
            <w:tcW w:w="1510" w:type="dxa"/>
            <w:vMerge w:val="continue"/>
            <w:vAlign w:val="center"/>
          </w:tcPr>
          <w:p w14:paraId="02583C80">
            <w:pPr>
              <w:pStyle w:val="137"/>
              <w:widowControl w:val="0"/>
              <w:spacing w:line="276" w:lineRule="auto"/>
              <w:jc w:val="center"/>
              <w:rPr>
                <w:rFonts w:eastAsia="宋体" w:cs="宋体"/>
                <w:sz w:val="22"/>
                <w:szCs w:val="22"/>
              </w:rPr>
            </w:pPr>
          </w:p>
        </w:tc>
        <w:tc>
          <w:tcPr>
            <w:tcW w:w="1648" w:type="dxa"/>
            <w:vMerge w:val="continue"/>
            <w:vAlign w:val="center"/>
          </w:tcPr>
          <w:p w14:paraId="0E15B300">
            <w:pPr>
              <w:pStyle w:val="137"/>
              <w:widowControl w:val="0"/>
              <w:spacing w:line="276" w:lineRule="auto"/>
              <w:jc w:val="center"/>
              <w:rPr>
                <w:rFonts w:eastAsia="宋体" w:cs="宋体"/>
                <w:sz w:val="22"/>
                <w:szCs w:val="22"/>
              </w:rPr>
            </w:pPr>
          </w:p>
        </w:tc>
        <w:tc>
          <w:tcPr>
            <w:tcW w:w="1506" w:type="dxa"/>
          </w:tcPr>
          <w:p w14:paraId="7180B8D4">
            <w:pPr>
              <w:pStyle w:val="137"/>
              <w:widowControl w:val="0"/>
              <w:spacing w:line="276" w:lineRule="auto"/>
              <w:jc w:val="center"/>
              <w:rPr>
                <w:rFonts w:eastAsia="宋体" w:cs="宋体"/>
                <w:sz w:val="22"/>
                <w:szCs w:val="22"/>
              </w:rPr>
            </w:pPr>
            <w:r>
              <w:rPr>
                <w:rFonts w:hint="eastAsia" w:eastAsia="宋体" w:cs="宋体"/>
                <w:sz w:val="22"/>
                <w:szCs w:val="22"/>
              </w:rPr>
              <w:t>安全事件发生次数</w:t>
            </w:r>
          </w:p>
        </w:tc>
        <w:tc>
          <w:tcPr>
            <w:tcW w:w="1521" w:type="dxa"/>
            <w:vAlign w:val="center"/>
          </w:tcPr>
          <w:p w14:paraId="723F85D6">
            <w:pPr>
              <w:pStyle w:val="137"/>
              <w:widowControl w:val="0"/>
              <w:spacing w:line="276" w:lineRule="auto"/>
              <w:jc w:val="center"/>
              <w:rPr>
                <w:rFonts w:eastAsia="宋体" w:cs="宋体"/>
                <w:sz w:val="22"/>
                <w:szCs w:val="22"/>
              </w:rPr>
            </w:pPr>
            <w:r>
              <w:rPr>
                <w:rFonts w:hint="eastAsia" w:eastAsia="宋体" w:cs="宋体"/>
                <w:sz w:val="22"/>
                <w:szCs w:val="22"/>
              </w:rPr>
              <w:t>0次</w:t>
            </w:r>
          </w:p>
        </w:tc>
      </w:tr>
      <w:tr w14:paraId="0759EF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7FD327E6">
            <w:pPr>
              <w:pStyle w:val="137"/>
              <w:widowControl w:val="0"/>
              <w:spacing w:line="276" w:lineRule="auto"/>
              <w:jc w:val="center"/>
              <w:rPr>
                <w:rFonts w:eastAsia="宋体" w:cs="宋体"/>
                <w:sz w:val="22"/>
                <w:szCs w:val="22"/>
              </w:rPr>
            </w:pPr>
            <w:r>
              <w:rPr>
                <w:rFonts w:hint="eastAsia" w:eastAsia="宋体" w:cs="宋体"/>
                <w:sz w:val="22"/>
                <w:szCs w:val="22"/>
              </w:rPr>
              <w:t>4</w:t>
            </w:r>
          </w:p>
        </w:tc>
        <w:tc>
          <w:tcPr>
            <w:tcW w:w="1511" w:type="dxa"/>
            <w:vMerge w:val="continue"/>
            <w:vAlign w:val="center"/>
          </w:tcPr>
          <w:p w14:paraId="62AE9831">
            <w:pPr>
              <w:pStyle w:val="137"/>
              <w:widowControl w:val="0"/>
              <w:spacing w:line="276" w:lineRule="auto"/>
              <w:jc w:val="center"/>
              <w:rPr>
                <w:rFonts w:eastAsia="宋体" w:cs="宋体"/>
                <w:sz w:val="22"/>
                <w:szCs w:val="22"/>
              </w:rPr>
            </w:pPr>
          </w:p>
        </w:tc>
        <w:tc>
          <w:tcPr>
            <w:tcW w:w="1510" w:type="dxa"/>
            <w:vMerge w:val="continue"/>
            <w:vAlign w:val="center"/>
          </w:tcPr>
          <w:p w14:paraId="5F117088">
            <w:pPr>
              <w:pStyle w:val="137"/>
              <w:widowControl w:val="0"/>
              <w:spacing w:line="276" w:lineRule="auto"/>
              <w:jc w:val="center"/>
              <w:rPr>
                <w:rFonts w:eastAsia="宋体" w:cs="宋体"/>
                <w:sz w:val="22"/>
                <w:szCs w:val="22"/>
              </w:rPr>
            </w:pPr>
          </w:p>
        </w:tc>
        <w:tc>
          <w:tcPr>
            <w:tcW w:w="1648" w:type="dxa"/>
            <w:vMerge w:val="continue"/>
            <w:vAlign w:val="center"/>
          </w:tcPr>
          <w:p w14:paraId="3B16FE5A">
            <w:pPr>
              <w:pStyle w:val="137"/>
              <w:widowControl w:val="0"/>
              <w:spacing w:line="276" w:lineRule="auto"/>
              <w:jc w:val="center"/>
              <w:rPr>
                <w:rFonts w:eastAsia="宋体" w:cs="宋体"/>
                <w:sz w:val="22"/>
                <w:szCs w:val="22"/>
              </w:rPr>
            </w:pPr>
          </w:p>
        </w:tc>
        <w:tc>
          <w:tcPr>
            <w:tcW w:w="1506" w:type="dxa"/>
          </w:tcPr>
          <w:p w14:paraId="7C28A094">
            <w:pPr>
              <w:pStyle w:val="137"/>
              <w:widowControl w:val="0"/>
              <w:spacing w:line="276" w:lineRule="auto"/>
              <w:jc w:val="center"/>
              <w:rPr>
                <w:rFonts w:eastAsia="宋体" w:cs="宋体"/>
                <w:sz w:val="22"/>
                <w:szCs w:val="22"/>
              </w:rPr>
            </w:pPr>
            <w:r>
              <w:rPr>
                <w:rFonts w:hint="eastAsia" w:eastAsia="宋体" w:cs="宋体"/>
                <w:sz w:val="22"/>
                <w:szCs w:val="22"/>
              </w:rPr>
              <w:t>密码测试达标</w:t>
            </w:r>
          </w:p>
        </w:tc>
        <w:tc>
          <w:tcPr>
            <w:tcW w:w="1521" w:type="dxa"/>
            <w:vAlign w:val="center"/>
          </w:tcPr>
          <w:p w14:paraId="3DA53E75">
            <w:pPr>
              <w:pStyle w:val="137"/>
              <w:widowControl w:val="0"/>
              <w:spacing w:line="276" w:lineRule="auto"/>
              <w:jc w:val="center"/>
              <w:rPr>
                <w:rFonts w:eastAsia="宋体" w:cs="宋体"/>
                <w:sz w:val="22"/>
                <w:szCs w:val="22"/>
              </w:rPr>
            </w:pPr>
            <w:r>
              <w:rPr>
                <w:rFonts w:hint="eastAsia" w:eastAsia="宋体" w:cs="宋体"/>
                <w:sz w:val="22"/>
                <w:szCs w:val="22"/>
              </w:rPr>
              <w:t>达标</w:t>
            </w:r>
          </w:p>
        </w:tc>
      </w:tr>
      <w:tr w14:paraId="1CE43D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20473D3A">
            <w:pPr>
              <w:pStyle w:val="137"/>
              <w:widowControl w:val="0"/>
              <w:spacing w:line="276" w:lineRule="auto"/>
              <w:jc w:val="center"/>
              <w:rPr>
                <w:rFonts w:eastAsia="宋体" w:cs="宋体"/>
                <w:sz w:val="22"/>
                <w:szCs w:val="22"/>
              </w:rPr>
            </w:pPr>
            <w:r>
              <w:rPr>
                <w:rFonts w:hint="eastAsia" w:eastAsia="宋体" w:cs="宋体"/>
                <w:sz w:val="22"/>
                <w:szCs w:val="22"/>
              </w:rPr>
              <w:t>5</w:t>
            </w:r>
          </w:p>
        </w:tc>
        <w:tc>
          <w:tcPr>
            <w:tcW w:w="1511" w:type="dxa"/>
            <w:vMerge w:val="continue"/>
            <w:vAlign w:val="center"/>
          </w:tcPr>
          <w:p w14:paraId="6804A778">
            <w:pPr>
              <w:pStyle w:val="137"/>
              <w:widowControl w:val="0"/>
              <w:spacing w:line="276" w:lineRule="auto"/>
              <w:jc w:val="center"/>
              <w:rPr>
                <w:rFonts w:eastAsia="宋体" w:cs="宋体"/>
                <w:sz w:val="22"/>
                <w:szCs w:val="22"/>
              </w:rPr>
            </w:pPr>
          </w:p>
        </w:tc>
        <w:tc>
          <w:tcPr>
            <w:tcW w:w="1510" w:type="dxa"/>
            <w:vMerge w:val="continue"/>
            <w:vAlign w:val="center"/>
          </w:tcPr>
          <w:p w14:paraId="159998CA">
            <w:pPr>
              <w:pStyle w:val="137"/>
              <w:widowControl w:val="0"/>
              <w:spacing w:line="276" w:lineRule="auto"/>
              <w:jc w:val="center"/>
              <w:rPr>
                <w:rFonts w:eastAsia="宋体" w:cs="宋体"/>
                <w:sz w:val="22"/>
                <w:szCs w:val="22"/>
              </w:rPr>
            </w:pPr>
          </w:p>
        </w:tc>
        <w:tc>
          <w:tcPr>
            <w:tcW w:w="1648" w:type="dxa"/>
            <w:vMerge w:val="continue"/>
            <w:vAlign w:val="center"/>
          </w:tcPr>
          <w:p w14:paraId="408729F7">
            <w:pPr>
              <w:pStyle w:val="137"/>
              <w:widowControl w:val="0"/>
              <w:spacing w:line="276" w:lineRule="auto"/>
              <w:jc w:val="center"/>
              <w:rPr>
                <w:rFonts w:eastAsia="宋体" w:cs="宋体"/>
                <w:sz w:val="22"/>
                <w:szCs w:val="22"/>
              </w:rPr>
            </w:pPr>
          </w:p>
        </w:tc>
        <w:tc>
          <w:tcPr>
            <w:tcW w:w="1506" w:type="dxa"/>
          </w:tcPr>
          <w:p w14:paraId="1C61C57F">
            <w:pPr>
              <w:pStyle w:val="137"/>
              <w:widowControl w:val="0"/>
              <w:spacing w:line="276" w:lineRule="auto"/>
              <w:jc w:val="center"/>
              <w:rPr>
                <w:rFonts w:eastAsia="宋体" w:cs="宋体"/>
                <w:sz w:val="22"/>
                <w:szCs w:val="22"/>
              </w:rPr>
            </w:pPr>
            <w:r>
              <w:rPr>
                <w:rFonts w:hint="eastAsia" w:eastAsia="宋体" w:cs="宋体"/>
                <w:sz w:val="22"/>
                <w:szCs w:val="22"/>
              </w:rPr>
              <w:t>安全测试达标</w:t>
            </w:r>
          </w:p>
        </w:tc>
        <w:tc>
          <w:tcPr>
            <w:tcW w:w="1521" w:type="dxa"/>
            <w:vAlign w:val="center"/>
          </w:tcPr>
          <w:p w14:paraId="6DE247AA">
            <w:pPr>
              <w:pStyle w:val="137"/>
              <w:widowControl w:val="0"/>
              <w:spacing w:line="276" w:lineRule="auto"/>
              <w:jc w:val="center"/>
              <w:rPr>
                <w:rFonts w:eastAsia="宋体" w:cs="宋体"/>
                <w:sz w:val="22"/>
                <w:szCs w:val="22"/>
              </w:rPr>
            </w:pPr>
            <w:r>
              <w:rPr>
                <w:rFonts w:hint="eastAsia" w:eastAsia="宋体" w:cs="宋体"/>
                <w:sz w:val="22"/>
                <w:szCs w:val="22"/>
              </w:rPr>
              <w:t>达标</w:t>
            </w:r>
          </w:p>
        </w:tc>
      </w:tr>
      <w:tr w14:paraId="68312B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7B0E505B">
            <w:pPr>
              <w:pStyle w:val="137"/>
              <w:widowControl w:val="0"/>
              <w:spacing w:line="276" w:lineRule="auto"/>
              <w:jc w:val="center"/>
              <w:rPr>
                <w:rFonts w:eastAsia="宋体" w:cs="宋体"/>
                <w:sz w:val="22"/>
                <w:szCs w:val="22"/>
              </w:rPr>
            </w:pPr>
            <w:r>
              <w:rPr>
                <w:rFonts w:hint="eastAsia" w:eastAsia="宋体" w:cs="宋体"/>
                <w:sz w:val="22"/>
                <w:szCs w:val="22"/>
              </w:rPr>
              <w:t>6</w:t>
            </w:r>
          </w:p>
        </w:tc>
        <w:tc>
          <w:tcPr>
            <w:tcW w:w="1511" w:type="dxa"/>
            <w:vMerge w:val="continue"/>
            <w:vAlign w:val="center"/>
          </w:tcPr>
          <w:p w14:paraId="6F2DB548">
            <w:pPr>
              <w:pStyle w:val="137"/>
              <w:widowControl w:val="0"/>
              <w:spacing w:line="276" w:lineRule="auto"/>
              <w:jc w:val="center"/>
              <w:rPr>
                <w:rFonts w:eastAsia="宋体" w:cs="宋体"/>
                <w:sz w:val="22"/>
                <w:szCs w:val="22"/>
              </w:rPr>
            </w:pPr>
          </w:p>
        </w:tc>
        <w:tc>
          <w:tcPr>
            <w:tcW w:w="1510" w:type="dxa"/>
            <w:vMerge w:val="continue"/>
            <w:vAlign w:val="center"/>
          </w:tcPr>
          <w:p w14:paraId="47907FAB">
            <w:pPr>
              <w:pStyle w:val="137"/>
              <w:widowControl w:val="0"/>
              <w:spacing w:line="276" w:lineRule="auto"/>
              <w:jc w:val="center"/>
              <w:rPr>
                <w:rFonts w:eastAsia="宋体" w:cs="宋体"/>
                <w:sz w:val="22"/>
                <w:szCs w:val="22"/>
              </w:rPr>
            </w:pPr>
          </w:p>
        </w:tc>
        <w:tc>
          <w:tcPr>
            <w:tcW w:w="1648" w:type="dxa"/>
            <w:vMerge w:val="continue"/>
            <w:vAlign w:val="center"/>
          </w:tcPr>
          <w:p w14:paraId="0D7EAE59">
            <w:pPr>
              <w:pStyle w:val="137"/>
              <w:widowControl w:val="0"/>
              <w:spacing w:line="276" w:lineRule="auto"/>
              <w:jc w:val="center"/>
              <w:rPr>
                <w:rFonts w:eastAsia="宋体" w:cs="宋体"/>
                <w:sz w:val="22"/>
                <w:szCs w:val="22"/>
              </w:rPr>
            </w:pPr>
          </w:p>
        </w:tc>
        <w:tc>
          <w:tcPr>
            <w:tcW w:w="1506" w:type="dxa"/>
          </w:tcPr>
          <w:p w14:paraId="4FF33D09">
            <w:pPr>
              <w:pStyle w:val="137"/>
              <w:widowControl w:val="0"/>
              <w:spacing w:line="276" w:lineRule="auto"/>
              <w:jc w:val="center"/>
              <w:rPr>
                <w:rFonts w:eastAsia="宋体" w:cs="宋体"/>
                <w:sz w:val="22"/>
                <w:szCs w:val="22"/>
              </w:rPr>
            </w:pPr>
            <w:r>
              <w:rPr>
                <w:rFonts w:hint="eastAsia" w:eastAsia="宋体" w:cs="宋体"/>
                <w:sz w:val="22"/>
                <w:szCs w:val="22"/>
              </w:rPr>
              <w:t>网络安全等级保护</w:t>
            </w:r>
          </w:p>
        </w:tc>
        <w:tc>
          <w:tcPr>
            <w:tcW w:w="1521" w:type="dxa"/>
            <w:vAlign w:val="center"/>
          </w:tcPr>
          <w:p w14:paraId="41795EA8">
            <w:pPr>
              <w:pStyle w:val="137"/>
              <w:widowControl w:val="0"/>
              <w:spacing w:line="276" w:lineRule="auto"/>
              <w:jc w:val="center"/>
              <w:rPr>
                <w:rFonts w:eastAsia="宋体" w:cs="宋体"/>
                <w:sz w:val="22"/>
                <w:szCs w:val="22"/>
              </w:rPr>
            </w:pPr>
            <w:r>
              <w:rPr>
                <w:rFonts w:hint="eastAsia" w:eastAsia="宋体" w:cs="宋体"/>
                <w:sz w:val="22"/>
                <w:szCs w:val="22"/>
              </w:rPr>
              <w:t>二级等保要求</w:t>
            </w:r>
          </w:p>
        </w:tc>
      </w:tr>
      <w:tr w14:paraId="272AB7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415C9B24">
            <w:pPr>
              <w:pStyle w:val="137"/>
              <w:widowControl w:val="0"/>
              <w:spacing w:line="276" w:lineRule="auto"/>
              <w:jc w:val="center"/>
              <w:rPr>
                <w:rFonts w:eastAsia="宋体" w:cs="宋体"/>
                <w:sz w:val="22"/>
                <w:szCs w:val="22"/>
              </w:rPr>
            </w:pPr>
            <w:r>
              <w:rPr>
                <w:rFonts w:hint="eastAsia" w:eastAsia="宋体" w:cs="宋体"/>
                <w:sz w:val="22"/>
                <w:szCs w:val="22"/>
              </w:rPr>
              <w:t>7</w:t>
            </w:r>
          </w:p>
        </w:tc>
        <w:tc>
          <w:tcPr>
            <w:tcW w:w="1511" w:type="dxa"/>
            <w:vMerge w:val="continue"/>
            <w:vAlign w:val="center"/>
          </w:tcPr>
          <w:p w14:paraId="18B88F0B">
            <w:pPr>
              <w:pStyle w:val="137"/>
              <w:widowControl w:val="0"/>
              <w:spacing w:line="276" w:lineRule="auto"/>
              <w:jc w:val="center"/>
              <w:rPr>
                <w:rFonts w:eastAsia="宋体" w:cs="宋体"/>
                <w:sz w:val="22"/>
                <w:szCs w:val="22"/>
              </w:rPr>
            </w:pPr>
          </w:p>
        </w:tc>
        <w:tc>
          <w:tcPr>
            <w:tcW w:w="1510" w:type="dxa"/>
            <w:vMerge w:val="continue"/>
            <w:vAlign w:val="center"/>
          </w:tcPr>
          <w:p w14:paraId="7B54601A">
            <w:pPr>
              <w:pStyle w:val="137"/>
              <w:widowControl w:val="0"/>
              <w:spacing w:line="276" w:lineRule="auto"/>
              <w:jc w:val="center"/>
              <w:rPr>
                <w:rFonts w:eastAsia="宋体" w:cs="宋体"/>
                <w:sz w:val="22"/>
                <w:szCs w:val="22"/>
              </w:rPr>
            </w:pPr>
          </w:p>
        </w:tc>
        <w:tc>
          <w:tcPr>
            <w:tcW w:w="1648" w:type="dxa"/>
            <w:vMerge w:val="continue"/>
            <w:vAlign w:val="center"/>
          </w:tcPr>
          <w:p w14:paraId="6EF7ADBE">
            <w:pPr>
              <w:pStyle w:val="137"/>
              <w:widowControl w:val="0"/>
              <w:spacing w:line="276" w:lineRule="auto"/>
              <w:jc w:val="center"/>
              <w:rPr>
                <w:rFonts w:eastAsia="宋体" w:cs="宋体"/>
                <w:sz w:val="22"/>
                <w:szCs w:val="22"/>
              </w:rPr>
            </w:pPr>
          </w:p>
        </w:tc>
        <w:tc>
          <w:tcPr>
            <w:tcW w:w="1506" w:type="dxa"/>
          </w:tcPr>
          <w:p w14:paraId="2ED14C3C">
            <w:pPr>
              <w:pStyle w:val="137"/>
              <w:widowControl w:val="0"/>
              <w:spacing w:line="276" w:lineRule="auto"/>
              <w:jc w:val="center"/>
              <w:rPr>
                <w:rFonts w:eastAsia="宋体" w:cs="宋体"/>
                <w:sz w:val="22"/>
                <w:szCs w:val="22"/>
              </w:rPr>
            </w:pPr>
            <w:r>
              <w:rPr>
                <w:rFonts w:hint="eastAsia" w:eastAsia="宋体" w:cs="宋体"/>
                <w:sz w:val="22"/>
                <w:szCs w:val="22"/>
              </w:rPr>
              <w:t>一次性验收合格率</w:t>
            </w:r>
          </w:p>
        </w:tc>
        <w:tc>
          <w:tcPr>
            <w:tcW w:w="1521" w:type="dxa"/>
            <w:vAlign w:val="center"/>
          </w:tcPr>
          <w:p w14:paraId="2E66572A">
            <w:pPr>
              <w:pStyle w:val="137"/>
              <w:widowControl w:val="0"/>
              <w:spacing w:line="276" w:lineRule="auto"/>
              <w:jc w:val="center"/>
              <w:rPr>
                <w:rFonts w:eastAsia="宋体" w:cs="宋体"/>
                <w:sz w:val="22"/>
                <w:szCs w:val="22"/>
              </w:rPr>
            </w:pPr>
            <w:r>
              <w:rPr>
                <w:rFonts w:hint="eastAsia" w:eastAsia="宋体" w:cs="宋体"/>
                <w:sz w:val="22"/>
                <w:szCs w:val="22"/>
              </w:rPr>
              <w:t>100%</w:t>
            </w:r>
          </w:p>
        </w:tc>
      </w:tr>
      <w:tr w14:paraId="315DBE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2CBC8067">
            <w:pPr>
              <w:pStyle w:val="137"/>
              <w:widowControl w:val="0"/>
              <w:spacing w:line="276" w:lineRule="auto"/>
              <w:jc w:val="center"/>
              <w:rPr>
                <w:rFonts w:eastAsia="宋体" w:cs="宋体"/>
                <w:sz w:val="22"/>
                <w:szCs w:val="22"/>
              </w:rPr>
            </w:pPr>
            <w:r>
              <w:rPr>
                <w:rFonts w:hint="eastAsia" w:eastAsia="宋体" w:cs="宋体"/>
                <w:sz w:val="22"/>
                <w:szCs w:val="22"/>
              </w:rPr>
              <w:t>8</w:t>
            </w:r>
          </w:p>
        </w:tc>
        <w:tc>
          <w:tcPr>
            <w:tcW w:w="1511" w:type="dxa"/>
            <w:vMerge w:val="continue"/>
            <w:vAlign w:val="center"/>
          </w:tcPr>
          <w:p w14:paraId="5696C8BB">
            <w:pPr>
              <w:pStyle w:val="137"/>
              <w:widowControl w:val="0"/>
              <w:spacing w:line="276" w:lineRule="auto"/>
              <w:jc w:val="center"/>
              <w:rPr>
                <w:rFonts w:eastAsia="宋体" w:cs="宋体"/>
                <w:sz w:val="22"/>
                <w:szCs w:val="22"/>
              </w:rPr>
            </w:pPr>
          </w:p>
        </w:tc>
        <w:tc>
          <w:tcPr>
            <w:tcW w:w="1510" w:type="dxa"/>
            <w:vMerge w:val="continue"/>
            <w:vAlign w:val="center"/>
          </w:tcPr>
          <w:p w14:paraId="719F9B8D">
            <w:pPr>
              <w:pStyle w:val="137"/>
              <w:widowControl w:val="0"/>
              <w:spacing w:line="276" w:lineRule="auto"/>
              <w:jc w:val="center"/>
              <w:rPr>
                <w:rFonts w:eastAsia="宋体" w:cs="宋体"/>
                <w:sz w:val="22"/>
                <w:szCs w:val="22"/>
              </w:rPr>
            </w:pPr>
          </w:p>
        </w:tc>
        <w:tc>
          <w:tcPr>
            <w:tcW w:w="1648" w:type="dxa"/>
            <w:vMerge w:val="continue"/>
            <w:vAlign w:val="center"/>
          </w:tcPr>
          <w:p w14:paraId="131F6676">
            <w:pPr>
              <w:pStyle w:val="137"/>
              <w:widowControl w:val="0"/>
              <w:spacing w:line="276" w:lineRule="auto"/>
              <w:jc w:val="center"/>
              <w:rPr>
                <w:rFonts w:eastAsia="宋体" w:cs="宋体"/>
                <w:sz w:val="22"/>
                <w:szCs w:val="22"/>
              </w:rPr>
            </w:pPr>
          </w:p>
        </w:tc>
        <w:tc>
          <w:tcPr>
            <w:tcW w:w="1506" w:type="dxa"/>
          </w:tcPr>
          <w:p w14:paraId="36AA889F">
            <w:pPr>
              <w:pStyle w:val="137"/>
              <w:widowControl w:val="0"/>
              <w:spacing w:line="276" w:lineRule="auto"/>
              <w:jc w:val="center"/>
              <w:rPr>
                <w:rFonts w:eastAsia="宋体" w:cs="宋体"/>
                <w:sz w:val="22"/>
                <w:szCs w:val="22"/>
              </w:rPr>
            </w:pPr>
            <w:r>
              <w:rPr>
                <w:rFonts w:hint="eastAsia" w:eastAsia="宋体" w:cs="宋体"/>
                <w:sz w:val="22"/>
                <w:szCs w:val="22"/>
              </w:rPr>
              <w:t>系统可靠性</w:t>
            </w:r>
          </w:p>
        </w:tc>
        <w:tc>
          <w:tcPr>
            <w:tcW w:w="1521" w:type="dxa"/>
            <w:vAlign w:val="center"/>
          </w:tcPr>
          <w:p w14:paraId="474807BD">
            <w:pPr>
              <w:pStyle w:val="137"/>
              <w:widowControl w:val="0"/>
              <w:spacing w:line="276" w:lineRule="auto"/>
              <w:jc w:val="center"/>
              <w:rPr>
                <w:rFonts w:eastAsia="宋体" w:cs="宋体"/>
                <w:sz w:val="22"/>
                <w:szCs w:val="22"/>
              </w:rPr>
            </w:pPr>
            <w:r>
              <w:rPr>
                <w:rFonts w:hint="eastAsia" w:eastAsia="宋体" w:cs="宋体"/>
                <w:sz w:val="22"/>
                <w:szCs w:val="22"/>
              </w:rPr>
              <w:t>≥99%</w:t>
            </w:r>
          </w:p>
        </w:tc>
      </w:tr>
      <w:tr w14:paraId="052FE4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7463AF03">
            <w:pPr>
              <w:pStyle w:val="137"/>
              <w:widowControl w:val="0"/>
              <w:spacing w:line="276" w:lineRule="auto"/>
              <w:jc w:val="center"/>
              <w:rPr>
                <w:rFonts w:eastAsia="宋体" w:cs="宋体"/>
                <w:sz w:val="22"/>
                <w:szCs w:val="22"/>
              </w:rPr>
            </w:pPr>
            <w:r>
              <w:rPr>
                <w:rFonts w:hint="eastAsia" w:eastAsia="宋体" w:cs="宋体"/>
                <w:sz w:val="22"/>
                <w:szCs w:val="22"/>
              </w:rPr>
              <w:t>9</w:t>
            </w:r>
          </w:p>
        </w:tc>
        <w:tc>
          <w:tcPr>
            <w:tcW w:w="1511" w:type="dxa"/>
            <w:vMerge w:val="continue"/>
            <w:vAlign w:val="center"/>
          </w:tcPr>
          <w:p w14:paraId="2F3E0219">
            <w:pPr>
              <w:pStyle w:val="137"/>
              <w:widowControl w:val="0"/>
              <w:spacing w:line="276" w:lineRule="auto"/>
              <w:jc w:val="center"/>
              <w:rPr>
                <w:rFonts w:eastAsia="宋体" w:cs="宋体"/>
                <w:sz w:val="22"/>
                <w:szCs w:val="22"/>
              </w:rPr>
            </w:pPr>
          </w:p>
        </w:tc>
        <w:tc>
          <w:tcPr>
            <w:tcW w:w="1510" w:type="dxa"/>
            <w:vMerge w:val="continue"/>
            <w:vAlign w:val="center"/>
          </w:tcPr>
          <w:p w14:paraId="78E3443B">
            <w:pPr>
              <w:pStyle w:val="137"/>
              <w:widowControl w:val="0"/>
              <w:spacing w:line="276" w:lineRule="auto"/>
              <w:jc w:val="center"/>
              <w:rPr>
                <w:rFonts w:eastAsia="宋体" w:cs="宋体"/>
                <w:sz w:val="22"/>
                <w:szCs w:val="22"/>
              </w:rPr>
            </w:pPr>
          </w:p>
        </w:tc>
        <w:tc>
          <w:tcPr>
            <w:tcW w:w="1648" w:type="dxa"/>
            <w:vAlign w:val="center"/>
          </w:tcPr>
          <w:p w14:paraId="41BD92C1">
            <w:pPr>
              <w:pStyle w:val="137"/>
              <w:widowControl w:val="0"/>
              <w:spacing w:line="276" w:lineRule="auto"/>
              <w:jc w:val="center"/>
              <w:rPr>
                <w:rFonts w:eastAsia="宋体" w:cs="宋体"/>
                <w:sz w:val="22"/>
                <w:szCs w:val="22"/>
              </w:rPr>
            </w:pPr>
            <w:r>
              <w:rPr>
                <w:rFonts w:hint="eastAsia" w:eastAsia="宋体" w:cs="宋体"/>
                <w:sz w:val="22"/>
                <w:szCs w:val="22"/>
              </w:rPr>
              <w:t>产出时效</w:t>
            </w:r>
          </w:p>
        </w:tc>
        <w:tc>
          <w:tcPr>
            <w:tcW w:w="1506" w:type="dxa"/>
          </w:tcPr>
          <w:p w14:paraId="20B3D1C1">
            <w:pPr>
              <w:pStyle w:val="137"/>
              <w:widowControl w:val="0"/>
              <w:spacing w:line="276" w:lineRule="auto"/>
              <w:jc w:val="center"/>
              <w:rPr>
                <w:rFonts w:eastAsia="宋体" w:cs="宋体"/>
                <w:sz w:val="22"/>
                <w:szCs w:val="22"/>
              </w:rPr>
            </w:pPr>
            <w:r>
              <w:rPr>
                <w:rFonts w:hint="eastAsia" w:eastAsia="宋体" w:cs="宋体"/>
                <w:sz w:val="22"/>
                <w:szCs w:val="22"/>
              </w:rPr>
              <w:t>项目建设周期</w:t>
            </w:r>
          </w:p>
        </w:tc>
        <w:tc>
          <w:tcPr>
            <w:tcW w:w="1521" w:type="dxa"/>
            <w:vAlign w:val="center"/>
          </w:tcPr>
          <w:p w14:paraId="2D829236">
            <w:pPr>
              <w:pStyle w:val="137"/>
              <w:widowControl w:val="0"/>
              <w:spacing w:line="276" w:lineRule="auto"/>
              <w:jc w:val="center"/>
              <w:rPr>
                <w:rFonts w:eastAsia="宋体" w:cs="宋体"/>
                <w:sz w:val="22"/>
                <w:szCs w:val="22"/>
              </w:rPr>
            </w:pPr>
            <w:r>
              <w:rPr>
                <w:rFonts w:hint="eastAsia" w:eastAsia="宋体" w:cs="宋体"/>
                <w:sz w:val="22"/>
                <w:szCs w:val="22"/>
              </w:rPr>
              <w:t>≤10个月</w:t>
            </w:r>
          </w:p>
        </w:tc>
      </w:tr>
      <w:tr w14:paraId="007AEA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196A703C">
            <w:pPr>
              <w:pStyle w:val="137"/>
              <w:widowControl w:val="0"/>
              <w:spacing w:line="276" w:lineRule="auto"/>
              <w:jc w:val="center"/>
              <w:rPr>
                <w:rFonts w:eastAsia="宋体" w:cs="宋体"/>
                <w:sz w:val="22"/>
                <w:szCs w:val="22"/>
              </w:rPr>
            </w:pPr>
            <w:bookmarkStart w:id="11" w:name="_Hlk202779773"/>
            <w:r>
              <w:rPr>
                <w:rFonts w:hint="eastAsia" w:eastAsia="宋体" w:cs="宋体"/>
                <w:sz w:val="22"/>
                <w:szCs w:val="22"/>
              </w:rPr>
              <w:t>10</w:t>
            </w:r>
          </w:p>
        </w:tc>
        <w:tc>
          <w:tcPr>
            <w:tcW w:w="1511" w:type="dxa"/>
            <w:vMerge w:val="continue"/>
            <w:vAlign w:val="center"/>
          </w:tcPr>
          <w:p w14:paraId="236071C2">
            <w:pPr>
              <w:pStyle w:val="137"/>
              <w:widowControl w:val="0"/>
              <w:spacing w:line="276" w:lineRule="auto"/>
              <w:jc w:val="center"/>
              <w:rPr>
                <w:rFonts w:eastAsia="宋体" w:cs="宋体"/>
                <w:sz w:val="22"/>
                <w:szCs w:val="22"/>
              </w:rPr>
            </w:pPr>
          </w:p>
        </w:tc>
        <w:tc>
          <w:tcPr>
            <w:tcW w:w="1510" w:type="dxa"/>
            <w:vMerge w:val="restart"/>
            <w:vAlign w:val="center"/>
          </w:tcPr>
          <w:p w14:paraId="45F8EFA6">
            <w:pPr>
              <w:pStyle w:val="137"/>
              <w:widowControl w:val="0"/>
              <w:spacing w:line="276" w:lineRule="auto"/>
              <w:jc w:val="center"/>
              <w:rPr>
                <w:rFonts w:eastAsia="宋体" w:cs="宋体"/>
                <w:sz w:val="22"/>
                <w:szCs w:val="22"/>
              </w:rPr>
            </w:pPr>
            <w:r>
              <w:rPr>
                <w:rFonts w:hint="eastAsia" w:eastAsia="宋体" w:cs="宋体"/>
                <w:sz w:val="22"/>
                <w:szCs w:val="22"/>
              </w:rPr>
              <w:t>效益指标</w:t>
            </w:r>
          </w:p>
        </w:tc>
        <w:tc>
          <w:tcPr>
            <w:tcW w:w="1648" w:type="dxa"/>
            <w:vMerge w:val="restart"/>
            <w:vAlign w:val="center"/>
          </w:tcPr>
          <w:p w14:paraId="7A0E9AC7">
            <w:pPr>
              <w:pStyle w:val="137"/>
              <w:widowControl w:val="0"/>
              <w:spacing w:line="276" w:lineRule="auto"/>
              <w:jc w:val="center"/>
              <w:rPr>
                <w:rFonts w:eastAsia="宋体" w:cs="宋体"/>
                <w:sz w:val="22"/>
                <w:szCs w:val="22"/>
              </w:rPr>
            </w:pPr>
            <w:r>
              <w:rPr>
                <w:rFonts w:hint="eastAsia" w:eastAsia="宋体" w:cs="宋体"/>
                <w:sz w:val="22"/>
                <w:szCs w:val="22"/>
              </w:rPr>
              <w:t>用户使用情况</w:t>
            </w:r>
          </w:p>
        </w:tc>
        <w:tc>
          <w:tcPr>
            <w:tcW w:w="1506" w:type="dxa"/>
          </w:tcPr>
          <w:p w14:paraId="1D54BE94">
            <w:pPr>
              <w:pStyle w:val="137"/>
              <w:widowControl w:val="0"/>
              <w:spacing w:line="276" w:lineRule="auto"/>
              <w:jc w:val="center"/>
              <w:rPr>
                <w:rFonts w:eastAsia="宋体" w:cs="宋体"/>
                <w:sz w:val="22"/>
                <w:szCs w:val="22"/>
              </w:rPr>
            </w:pPr>
            <w:r>
              <w:rPr>
                <w:rFonts w:hint="eastAsia" w:eastAsia="宋体" w:cs="宋体"/>
                <w:sz w:val="22"/>
                <w:szCs w:val="22"/>
              </w:rPr>
              <w:t>系统用户量</w:t>
            </w:r>
          </w:p>
        </w:tc>
        <w:tc>
          <w:tcPr>
            <w:tcW w:w="1521" w:type="dxa"/>
            <w:vAlign w:val="center"/>
          </w:tcPr>
          <w:p w14:paraId="571FF806">
            <w:pPr>
              <w:pStyle w:val="137"/>
              <w:widowControl w:val="0"/>
              <w:spacing w:line="276" w:lineRule="auto"/>
              <w:jc w:val="center"/>
              <w:rPr>
                <w:rFonts w:eastAsia="宋体" w:cs="宋体"/>
                <w:color w:val="000000" w:themeColor="text1"/>
                <w:sz w:val="22"/>
                <w:szCs w:val="22"/>
                <w14:textFill>
                  <w14:solidFill>
                    <w14:schemeClr w14:val="tx1"/>
                  </w14:solidFill>
                </w14:textFill>
              </w:rPr>
            </w:pPr>
            <w:r>
              <w:rPr>
                <w:rFonts w:hint="eastAsia" w:eastAsia="宋体" w:cs="宋体"/>
                <w:color w:val="000000" w:themeColor="text1"/>
                <w:sz w:val="22"/>
                <w:szCs w:val="22"/>
                <w14:textFill>
                  <w14:solidFill>
                    <w14:schemeClr w14:val="tx1"/>
                  </w14:solidFill>
                </w14:textFill>
              </w:rPr>
              <w:t>≥2万</w:t>
            </w:r>
          </w:p>
        </w:tc>
      </w:tr>
      <w:tr w14:paraId="2E1D84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06788A11">
            <w:pPr>
              <w:pStyle w:val="137"/>
              <w:widowControl w:val="0"/>
              <w:spacing w:line="276" w:lineRule="auto"/>
              <w:jc w:val="center"/>
              <w:rPr>
                <w:rFonts w:eastAsia="宋体" w:cs="宋体"/>
                <w:sz w:val="22"/>
                <w:szCs w:val="22"/>
              </w:rPr>
            </w:pPr>
            <w:r>
              <w:rPr>
                <w:rFonts w:hint="eastAsia" w:eastAsia="宋体" w:cs="宋体"/>
                <w:sz w:val="22"/>
                <w:szCs w:val="22"/>
              </w:rPr>
              <w:t>11</w:t>
            </w:r>
          </w:p>
        </w:tc>
        <w:tc>
          <w:tcPr>
            <w:tcW w:w="1511" w:type="dxa"/>
            <w:vMerge w:val="continue"/>
            <w:vAlign w:val="center"/>
          </w:tcPr>
          <w:p w14:paraId="59555D3B">
            <w:pPr>
              <w:pStyle w:val="137"/>
              <w:widowControl w:val="0"/>
              <w:spacing w:line="276" w:lineRule="auto"/>
              <w:jc w:val="center"/>
              <w:rPr>
                <w:rFonts w:eastAsia="宋体" w:cs="宋体"/>
                <w:sz w:val="22"/>
                <w:szCs w:val="22"/>
              </w:rPr>
            </w:pPr>
          </w:p>
        </w:tc>
        <w:tc>
          <w:tcPr>
            <w:tcW w:w="1510" w:type="dxa"/>
            <w:vMerge w:val="continue"/>
            <w:vAlign w:val="center"/>
          </w:tcPr>
          <w:p w14:paraId="3AE68878">
            <w:pPr>
              <w:pStyle w:val="137"/>
              <w:widowControl w:val="0"/>
              <w:spacing w:line="276" w:lineRule="auto"/>
              <w:jc w:val="center"/>
              <w:rPr>
                <w:rFonts w:eastAsia="宋体" w:cs="宋体"/>
                <w:sz w:val="22"/>
                <w:szCs w:val="22"/>
              </w:rPr>
            </w:pPr>
          </w:p>
        </w:tc>
        <w:tc>
          <w:tcPr>
            <w:tcW w:w="1648" w:type="dxa"/>
            <w:vMerge w:val="continue"/>
            <w:vAlign w:val="center"/>
          </w:tcPr>
          <w:p w14:paraId="390E2AA0">
            <w:pPr>
              <w:pStyle w:val="137"/>
              <w:widowControl w:val="0"/>
              <w:spacing w:line="276" w:lineRule="auto"/>
              <w:jc w:val="center"/>
              <w:rPr>
                <w:rFonts w:eastAsia="宋体" w:cs="宋体"/>
                <w:sz w:val="22"/>
                <w:szCs w:val="22"/>
              </w:rPr>
            </w:pPr>
          </w:p>
        </w:tc>
        <w:tc>
          <w:tcPr>
            <w:tcW w:w="1506" w:type="dxa"/>
          </w:tcPr>
          <w:p w14:paraId="6F861D74">
            <w:pPr>
              <w:pStyle w:val="137"/>
              <w:widowControl w:val="0"/>
              <w:spacing w:line="276" w:lineRule="auto"/>
              <w:jc w:val="center"/>
              <w:rPr>
                <w:rFonts w:eastAsia="宋体" w:cs="宋体"/>
                <w:sz w:val="22"/>
                <w:szCs w:val="22"/>
              </w:rPr>
            </w:pPr>
            <w:r>
              <w:rPr>
                <w:rFonts w:hint="eastAsia" w:eastAsia="宋体" w:cs="宋体"/>
                <w:sz w:val="22"/>
                <w:szCs w:val="22"/>
              </w:rPr>
              <w:t>月活跃用户量</w:t>
            </w:r>
          </w:p>
        </w:tc>
        <w:tc>
          <w:tcPr>
            <w:tcW w:w="1521" w:type="dxa"/>
            <w:vAlign w:val="center"/>
          </w:tcPr>
          <w:p w14:paraId="0724E979">
            <w:pPr>
              <w:pStyle w:val="137"/>
              <w:widowControl w:val="0"/>
              <w:spacing w:line="276" w:lineRule="auto"/>
              <w:jc w:val="center"/>
              <w:rPr>
                <w:rFonts w:eastAsia="宋体" w:cs="宋体"/>
                <w:color w:val="000000" w:themeColor="text1"/>
                <w:sz w:val="22"/>
                <w:szCs w:val="22"/>
                <w14:textFill>
                  <w14:solidFill>
                    <w14:schemeClr w14:val="tx1"/>
                  </w14:solidFill>
                </w14:textFill>
              </w:rPr>
            </w:pPr>
            <w:r>
              <w:rPr>
                <w:rFonts w:hint="eastAsia" w:eastAsia="宋体" w:cs="宋体"/>
                <w:color w:val="000000" w:themeColor="text1"/>
                <w:sz w:val="22"/>
                <w:szCs w:val="22"/>
                <w14:textFill>
                  <w14:solidFill>
                    <w14:schemeClr w14:val="tx1"/>
                  </w14:solidFill>
                </w14:textFill>
              </w:rPr>
              <w:t>≥5000人次/月</w:t>
            </w:r>
          </w:p>
        </w:tc>
      </w:tr>
      <w:bookmarkEnd w:id="11"/>
      <w:tr w14:paraId="4179EF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3D5EB571">
            <w:pPr>
              <w:pStyle w:val="137"/>
              <w:widowControl w:val="0"/>
              <w:spacing w:line="276" w:lineRule="auto"/>
              <w:jc w:val="center"/>
              <w:rPr>
                <w:rFonts w:eastAsia="宋体" w:cs="宋体"/>
                <w:sz w:val="22"/>
                <w:szCs w:val="22"/>
              </w:rPr>
            </w:pPr>
            <w:r>
              <w:rPr>
                <w:rFonts w:hint="eastAsia" w:eastAsia="宋体" w:cs="宋体"/>
                <w:sz w:val="22"/>
                <w:szCs w:val="22"/>
              </w:rPr>
              <w:t>12</w:t>
            </w:r>
          </w:p>
        </w:tc>
        <w:tc>
          <w:tcPr>
            <w:tcW w:w="1511" w:type="dxa"/>
            <w:vMerge w:val="restart"/>
            <w:vAlign w:val="center"/>
          </w:tcPr>
          <w:p w14:paraId="75639307">
            <w:pPr>
              <w:pStyle w:val="137"/>
              <w:widowControl w:val="0"/>
              <w:spacing w:line="276" w:lineRule="auto"/>
              <w:jc w:val="center"/>
              <w:rPr>
                <w:rFonts w:eastAsia="宋体" w:cs="宋体"/>
                <w:sz w:val="22"/>
                <w:szCs w:val="22"/>
              </w:rPr>
            </w:pPr>
            <w:r>
              <w:rPr>
                <w:rFonts w:hint="eastAsia" w:eastAsia="宋体" w:cs="宋体"/>
                <w:sz w:val="22"/>
                <w:szCs w:val="22"/>
              </w:rPr>
              <w:t>业务指标</w:t>
            </w:r>
          </w:p>
        </w:tc>
        <w:tc>
          <w:tcPr>
            <w:tcW w:w="1510" w:type="dxa"/>
            <w:vMerge w:val="restart"/>
            <w:vAlign w:val="center"/>
          </w:tcPr>
          <w:p w14:paraId="080C71BA">
            <w:pPr>
              <w:pStyle w:val="137"/>
              <w:widowControl w:val="0"/>
              <w:spacing w:line="276" w:lineRule="auto"/>
              <w:jc w:val="center"/>
              <w:rPr>
                <w:rFonts w:eastAsia="宋体" w:cs="宋体"/>
                <w:sz w:val="22"/>
                <w:szCs w:val="22"/>
              </w:rPr>
            </w:pPr>
            <w:r>
              <w:rPr>
                <w:rFonts w:hint="eastAsia" w:eastAsia="宋体" w:cs="宋体"/>
                <w:sz w:val="22"/>
                <w:szCs w:val="22"/>
              </w:rPr>
              <w:t>产出指标</w:t>
            </w:r>
          </w:p>
        </w:tc>
        <w:tc>
          <w:tcPr>
            <w:tcW w:w="1648" w:type="dxa"/>
            <w:vMerge w:val="restart"/>
            <w:vAlign w:val="center"/>
          </w:tcPr>
          <w:p w14:paraId="60739B8C">
            <w:pPr>
              <w:pStyle w:val="137"/>
              <w:widowControl w:val="0"/>
              <w:spacing w:line="276" w:lineRule="auto"/>
              <w:jc w:val="center"/>
              <w:rPr>
                <w:rFonts w:eastAsia="宋体" w:cs="宋体"/>
                <w:sz w:val="22"/>
                <w:szCs w:val="22"/>
              </w:rPr>
            </w:pPr>
            <w:r>
              <w:rPr>
                <w:rFonts w:hint="eastAsia" w:eastAsia="宋体" w:cs="宋体"/>
                <w:sz w:val="22"/>
                <w:szCs w:val="22"/>
              </w:rPr>
              <w:t>产出质量</w:t>
            </w:r>
          </w:p>
        </w:tc>
        <w:tc>
          <w:tcPr>
            <w:tcW w:w="1506" w:type="dxa"/>
          </w:tcPr>
          <w:p w14:paraId="4E2345CA">
            <w:pPr>
              <w:pStyle w:val="137"/>
              <w:widowControl w:val="0"/>
              <w:spacing w:line="276" w:lineRule="auto"/>
              <w:jc w:val="center"/>
              <w:rPr>
                <w:rFonts w:eastAsia="宋体" w:cs="宋体"/>
                <w:sz w:val="22"/>
                <w:szCs w:val="22"/>
              </w:rPr>
            </w:pPr>
            <w:bookmarkStart w:id="12" w:name="OLE_LINK36"/>
            <w:r>
              <w:rPr>
                <w:rFonts w:hint="eastAsia" w:eastAsia="宋体" w:cs="宋体"/>
                <w:sz w:val="22"/>
                <w:szCs w:val="22"/>
              </w:rPr>
              <w:t>平均操作响应时间</w:t>
            </w:r>
            <w:bookmarkEnd w:id="12"/>
          </w:p>
        </w:tc>
        <w:tc>
          <w:tcPr>
            <w:tcW w:w="1521" w:type="dxa"/>
            <w:vAlign w:val="center"/>
          </w:tcPr>
          <w:p w14:paraId="3A3940DB">
            <w:pPr>
              <w:pStyle w:val="137"/>
              <w:widowControl w:val="0"/>
              <w:spacing w:line="276" w:lineRule="auto"/>
              <w:jc w:val="center"/>
              <w:rPr>
                <w:rFonts w:eastAsia="宋体" w:cs="宋体"/>
                <w:sz w:val="22"/>
                <w:szCs w:val="22"/>
              </w:rPr>
            </w:pPr>
            <w:r>
              <w:rPr>
                <w:rFonts w:hint="eastAsia" w:eastAsia="宋体" w:cs="宋体"/>
                <w:sz w:val="22"/>
                <w:szCs w:val="22"/>
              </w:rPr>
              <w:t>≤3s</w:t>
            </w:r>
          </w:p>
        </w:tc>
      </w:tr>
      <w:tr w14:paraId="28A076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7DEC525A">
            <w:pPr>
              <w:pStyle w:val="137"/>
              <w:widowControl w:val="0"/>
              <w:spacing w:line="276" w:lineRule="auto"/>
              <w:jc w:val="center"/>
              <w:rPr>
                <w:rFonts w:eastAsia="宋体" w:cs="宋体"/>
                <w:sz w:val="22"/>
                <w:szCs w:val="22"/>
              </w:rPr>
            </w:pPr>
            <w:r>
              <w:rPr>
                <w:rFonts w:hint="eastAsia" w:eastAsia="宋体" w:cs="宋体"/>
                <w:sz w:val="22"/>
                <w:szCs w:val="22"/>
              </w:rPr>
              <w:t>13</w:t>
            </w:r>
          </w:p>
        </w:tc>
        <w:tc>
          <w:tcPr>
            <w:tcW w:w="1511" w:type="dxa"/>
            <w:vMerge w:val="continue"/>
            <w:vAlign w:val="center"/>
          </w:tcPr>
          <w:p w14:paraId="6E2041BA">
            <w:pPr>
              <w:pStyle w:val="137"/>
              <w:widowControl w:val="0"/>
              <w:spacing w:line="276" w:lineRule="auto"/>
              <w:jc w:val="center"/>
              <w:rPr>
                <w:rFonts w:eastAsia="宋体" w:cs="宋体"/>
                <w:sz w:val="22"/>
                <w:szCs w:val="22"/>
              </w:rPr>
            </w:pPr>
          </w:p>
        </w:tc>
        <w:tc>
          <w:tcPr>
            <w:tcW w:w="1510" w:type="dxa"/>
            <w:vMerge w:val="continue"/>
            <w:vAlign w:val="center"/>
          </w:tcPr>
          <w:p w14:paraId="6686604C">
            <w:pPr>
              <w:pStyle w:val="137"/>
              <w:widowControl w:val="0"/>
              <w:spacing w:line="276" w:lineRule="auto"/>
              <w:jc w:val="center"/>
              <w:rPr>
                <w:rFonts w:eastAsia="宋体" w:cs="宋体"/>
                <w:sz w:val="22"/>
                <w:szCs w:val="22"/>
              </w:rPr>
            </w:pPr>
          </w:p>
        </w:tc>
        <w:tc>
          <w:tcPr>
            <w:tcW w:w="1648" w:type="dxa"/>
            <w:vMerge w:val="continue"/>
            <w:vAlign w:val="center"/>
          </w:tcPr>
          <w:p w14:paraId="4C293AD2">
            <w:pPr>
              <w:pStyle w:val="137"/>
              <w:widowControl w:val="0"/>
              <w:spacing w:line="276" w:lineRule="auto"/>
              <w:jc w:val="center"/>
              <w:rPr>
                <w:rFonts w:eastAsia="宋体" w:cs="宋体"/>
                <w:sz w:val="22"/>
                <w:szCs w:val="22"/>
              </w:rPr>
            </w:pPr>
          </w:p>
        </w:tc>
        <w:tc>
          <w:tcPr>
            <w:tcW w:w="1506" w:type="dxa"/>
          </w:tcPr>
          <w:p w14:paraId="64C263C0">
            <w:pPr>
              <w:pStyle w:val="137"/>
              <w:widowControl w:val="0"/>
              <w:spacing w:line="276" w:lineRule="auto"/>
              <w:jc w:val="center"/>
              <w:rPr>
                <w:rFonts w:eastAsia="宋体" w:cs="宋体"/>
                <w:sz w:val="22"/>
                <w:szCs w:val="22"/>
              </w:rPr>
            </w:pPr>
            <w:r>
              <w:rPr>
                <w:rFonts w:hint="eastAsia" w:eastAsia="宋体" w:cs="宋体"/>
                <w:sz w:val="22"/>
                <w:szCs w:val="22"/>
              </w:rPr>
              <w:t>接口调用响应时间</w:t>
            </w:r>
          </w:p>
        </w:tc>
        <w:tc>
          <w:tcPr>
            <w:tcW w:w="1521" w:type="dxa"/>
            <w:vAlign w:val="center"/>
          </w:tcPr>
          <w:p w14:paraId="1079B84F">
            <w:pPr>
              <w:pStyle w:val="137"/>
              <w:widowControl w:val="0"/>
              <w:spacing w:line="276" w:lineRule="auto"/>
              <w:jc w:val="center"/>
              <w:rPr>
                <w:rFonts w:eastAsia="宋体" w:cs="宋体"/>
                <w:sz w:val="22"/>
                <w:szCs w:val="22"/>
              </w:rPr>
            </w:pPr>
            <w:r>
              <w:rPr>
                <w:rFonts w:hint="eastAsia" w:eastAsia="宋体" w:cs="宋体"/>
                <w:sz w:val="22"/>
                <w:szCs w:val="22"/>
              </w:rPr>
              <w:t>≤5s</w:t>
            </w:r>
          </w:p>
        </w:tc>
      </w:tr>
      <w:tr w14:paraId="585CD2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2EE8673B">
            <w:pPr>
              <w:pStyle w:val="137"/>
              <w:widowControl w:val="0"/>
              <w:spacing w:line="276" w:lineRule="auto"/>
              <w:jc w:val="center"/>
              <w:rPr>
                <w:rFonts w:eastAsia="宋体" w:cs="宋体"/>
                <w:sz w:val="22"/>
                <w:szCs w:val="22"/>
              </w:rPr>
            </w:pPr>
            <w:r>
              <w:rPr>
                <w:rFonts w:hint="eastAsia" w:eastAsia="宋体" w:cs="宋体"/>
                <w:sz w:val="22"/>
                <w:szCs w:val="22"/>
              </w:rPr>
              <w:t>14</w:t>
            </w:r>
          </w:p>
        </w:tc>
        <w:tc>
          <w:tcPr>
            <w:tcW w:w="1511" w:type="dxa"/>
            <w:vMerge w:val="continue"/>
            <w:vAlign w:val="center"/>
          </w:tcPr>
          <w:p w14:paraId="24CD1FCC">
            <w:pPr>
              <w:pStyle w:val="137"/>
              <w:widowControl w:val="0"/>
              <w:spacing w:line="276" w:lineRule="auto"/>
              <w:jc w:val="center"/>
              <w:rPr>
                <w:rFonts w:eastAsia="宋体" w:cs="宋体"/>
                <w:sz w:val="22"/>
                <w:szCs w:val="22"/>
              </w:rPr>
            </w:pPr>
          </w:p>
        </w:tc>
        <w:tc>
          <w:tcPr>
            <w:tcW w:w="1510" w:type="dxa"/>
            <w:vMerge w:val="continue"/>
            <w:vAlign w:val="center"/>
          </w:tcPr>
          <w:p w14:paraId="6C499505">
            <w:pPr>
              <w:pStyle w:val="137"/>
              <w:widowControl w:val="0"/>
              <w:spacing w:line="276" w:lineRule="auto"/>
              <w:jc w:val="center"/>
              <w:rPr>
                <w:rFonts w:eastAsia="宋体" w:cs="宋体"/>
                <w:sz w:val="22"/>
                <w:szCs w:val="22"/>
              </w:rPr>
            </w:pPr>
          </w:p>
        </w:tc>
        <w:tc>
          <w:tcPr>
            <w:tcW w:w="1648" w:type="dxa"/>
            <w:vMerge w:val="continue"/>
            <w:vAlign w:val="center"/>
          </w:tcPr>
          <w:p w14:paraId="5DE6DEB2">
            <w:pPr>
              <w:pStyle w:val="137"/>
              <w:widowControl w:val="0"/>
              <w:spacing w:line="276" w:lineRule="auto"/>
              <w:jc w:val="center"/>
              <w:rPr>
                <w:rFonts w:eastAsia="宋体" w:cs="宋体"/>
                <w:sz w:val="22"/>
                <w:szCs w:val="22"/>
              </w:rPr>
            </w:pPr>
          </w:p>
        </w:tc>
        <w:tc>
          <w:tcPr>
            <w:tcW w:w="1506" w:type="dxa"/>
          </w:tcPr>
          <w:p w14:paraId="7CFA327E">
            <w:pPr>
              <w:pStyle w:val="137"/>
              <w:widowControl w:val="0"/>
              <w:spacing w:line="276" w:lineRule="auto"/>
              <w:jc w:val="center"/>
              <w:rPr>
                <w:rFonts w:eastAsia="宋体" w:cs="宋体"/>
                <w:sz w:val="22"/>
                <w:szCs w:val="22"/>
              </w:rPr>
            </w:pPr>
            <w:r>
              <w:rPr>
                <w:rFonts w:hint="eastAsia" w:eastAsia="宋体" w:cs="宋体"/>
                <w:sz w:val="22"/>
                <w:szCs w:val="22"/>
              </w:rPr>
              <w:t>平均故障响应时间</w:t>
            </w:r>
          </w:p>
        </w:tc>
        <w:tc>
          <w:tcPr>
            <w:tcW w:w="1521" w:type="dxa"/>
            <w:vAlign w:val="center"/>
          </w:tcPr>
          <w:p w14:paraId="25701831">
            <w:pPr>
              <w:pStyle w:val="137"/>
              <w:widowControl w:val="0"/>
              <w:spacing w:line="276" w:lineRule="auto"/>
              <w:jc w:val="center"/>
              <w:rPr>
                <w:rFonts w:eastAsia="宋体" w:cs="宋体"/>
                <w:sz w:val="22"/>
                <w:szCs w:val="22"/>
              </w:rPr>
            </w:pPr>
            <w:r>
              <w:rPr>
                <w:rFonts w:hint="eastAsia" w:eastAsia="宋体" w:cs="宋体"/>
                <w:sz w:val="22"/>
                <w:szCs w:val="22"/>
              </w:rPr>
              <w:t>≤0.5小时</w:t>
            </w:r>
          </w:p>
        </w:tc>
      </w:tr>
      <w:tr w14:paraId="136DBE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841" w:type="dxa"/>
            <w:vAlign w:val="center"/>
          </w:tcPr>
          <w:p w14:paraId="7C06B214">
            <w:pPr>
              <w:pStyle w:val="137"/>
              <w:widowControl w:val="0"/>
              <w:spacing w:line="276" w:lineRule="auto"/>
              <w:jc w:val="center"/>
              <w:rPr>
                <w:rFonts w:eastAsia="宋体" w:cs="宋体"/>
                <w:sz w:val="22"/>
                <w:szCs w:val="22"/>
              </w:rPr>
            </w:pPr>
            <w:r>
              <w:rPr>
                <w:rFonts w:hint="eastAsia" w:eastAsia="宋体" w:cs="宋体"/>
                <w:sz w:val="22"/>
                <w:szCs w:val="22"/>
              </w:rPr>
              <w:t>15</w:t>
            </w:r>
          </w:p>
        </w:tc>
        <w:tc>
          <w:tcPr>
            <w:tcW w:w="1511" w:type="dxa"/>
            <w:vMerge w:val="continue"/>
            <w:vAlign w:val="center"/>
          </w:tcPr>
          <w:p w14:paraId="27EAAC51">
            <w:pPr>
              <w:pStyle w:val="137"/>
              <w:widowControl w:val="0"/>
              <w:spacing w:line="276" w:lineRule="auto"/>
              <w:jc w:val="center"/>
              <w:rPr>
                <w:rFonts w:eastAsia="宋体" w:cs="宋体"/>
                <w:sz w:val="22"/>
                <w:szCs w:val="22"/>
              </w:rPr>
            </w:pPr>
          </w:p>
        </w:tc>
        <w:tc>
          <w:tcPr>
            <w:tcW w:w="1510" w:type="dxa"/>
            <w:vMerge w:val="continue"/>
            <w:vAlign w:val="center"/>
          </w:tcPr>
          <w:p w14:paraId="70E16D6C">
            <w:pPr>
              <w:pStyle w:val="137"/>
              <w:widowControl w:val="0"/>
              <w:spacing w:line="276" w:lineRule="auto"/>
              <w:jc w:val="center"/>
              <w:rPr>
                <w:rFonts w:eastAsia="宋体" w:cs="宋体"/>
                <w:sz w:val="22"/>
                <w:szCs w:val="22"/>
              </w:rPr>
            </w:pPr>
          </w:p>
        </w:tc>
        <w:tc>
          <w:tcPr>
            <w:tcW w:w="1648" w:type="dxa"/>
            <w:vAlign w:val="center"/>
          </w:tcPr>
          <w:p w14:paraId="132FCBD0">
            <w:pPr>
              <w:pStyle w:val="137"/>
              <w:widowControl w:val="0"/>
              <w:spacing w:line="276" w:lineRule="auto"/>
              <w:jc w:val="center"/>
              <w:rPr>
                <w:rFonts w:eastAsia="宋体" w:cs="宋体"/>
                <w:sz w:val="22"/>
                <w:szCs w:val="22"/>
              </w:rPr>
            </w:pPr>
            <w:r>
              <w:rPr>
                <w:rFonts w:hint="eastAsia" w:eastAsia="宋体" w:cs="宋体"/>
                <w:sz w:val="22"/>
                <w:szCs w:val="22"/>
              </w:rPr>
              <w:t>产出数量</w:t>
            </w:r>
          </w:p>
        </w:tc>
        <w:tc>
          <w:tcPr>
            <w:tcW w:w="1506" w:type="dxa"/>
          </w:tcPr>
          <w:p w14:paraId="2BAA9C8B">
            <w:pPr>
              <w:pStyle w:val="137"/>
              <w:widowControl w:val="0"/>
              <w:spacing w:line="276" w:lineRule="auto"/>
              <w:jc w:val="center"/>
              <w:rPr>
                <w:rFonts w:eastAsia="宋体" w:cs="宋体"/>
                <w:sz w:val="22"/>
                <w:szCs w:val="22"/>
              </w:rPr>
            </w:pPr>
            <w:r>
              <w:rPr>
                <w:rFonts w:hint="eastAsia" w:eastAsia="宋体" w:cs="宋体"/>
                <w:sz w:val="22"/>
                <w:szCs w:val="22"/>
              </w:rPr>
              <w:t>年发现潜力企业</w:t>
            </w:r>
          </w:p>
        </w:tc>
        <w:tc>
          <w:tcPr>
            <w:tcW w:w="1521" w:type="dxa"/>
            <w:vAlign w:val="center"/>
          </w:tcPr>
          <w:p w14:paraId="4B4439E4">
            <w:pPr>
              <w:pStyle w:val="137"/>
              <w:widowControl w:val="0"/>
              <w:spacing w:line="276" w:lineRule="auto"/>
              <w:jc w:val="center"/>
              <w:rPr>
                <w:rFonts w:eastAsia="宋体" w:cs="宋体"/>
                <w:sz w:val="22"/>
                <w:szCs w:val="22"/>
              </w:rPr>
            </w:pPr>
            <w:r>
              <w:rPr>
                <w:rFonts w:hint="eastAsia" w:eastAsia="宋体" w:cs="宋体"/>
                <w:sz w:val="22"/>
                <w:szCs w:val="22"/>
              </w:rPr>
              <w:t>≥4000个</w:t>
            </w:r>
          </w:p>
        </w:tc>
      </w:tr>
      <w:tr w14:paraId="13A64D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 w:hRule="atLeast"/>
          <w:jc w:val="center"/>
        </w:trPr>
        <w:tc>
          <w:tcPr>
            <w:tcW w:w="841" w:type="dxa"/>
            <w:vAlign w:val="center"/>
          </w:tcPr>
          <w:p w14:paraId="7441DDBD">
            <w:pPr>
              <w:pStyle w:val="137"/>
              <w:widowControl w:val="0"/>
              <w:spacing w:line="276" w:lineRule="auto"/>
              <w:jc w:val="center"/>
              <w:rPr>
                <w:rFonts w:eastAsia="宋体" w:cs="宋体"/>
                <w:sz w:val="22"/>
                <w:szCs w:val="22"/>
              </w:rPr>
            </w:pPr>
            <w:r>
              <w:rPr>
                <w:rFonts w:hint="eastAsia" w:eastAsia="宋体" w:cs="宋体"/>
                <w:sz w:val="22"/>
                <w:szCs w:val="22"/>
              </w:rPr>
              <w:t>16</w:t>
            </w:r>
          </w:p>
        </w:tc>
        <w:tc>
          <w:tcPr>
            <w:tcW w:w="1511" w:type="dxa"/>
            <w:vMerge w:val="continue"/>
            <w:vAlign w:val="center"/>
          </w:tcPr>
          <w:p w14:paraId="1DE4877C">
            <w:pPr>
              <w:pStyle w:val="137"/>
              <w:widowControl w:val="0"/>
              <w:spacing w:line="276" w:lineRule="auto"/>
              <w:jc w:val="center"/>
              <w:rPr>
                <w:rFonts w:eastAsia="宋体" w:cs="宋体"/>
                <w:sz w:val="22"/>
                <w:szCs w:val="22"/>
              </w:rPr>
            </w:pPr>
          </w:p>
        </w:tc>
        <w:tc>
          <w:tcPr>
            <w:tcW w:w="1510" w:type="dxa"/>
            <w:vMerge w:val="restart"/>
            <w:vAlign w:val="center"/>
          </w:tcPr>
          <w:p w14:paraId="632E6235">
            <w:pPr>
              <w:pStyle w:val="137"/>
              <w:widowControl w:val="0"/>
              <w:spacing w:line="276" w:lineRule="auto"/>
              <w:jc w:val="center"/>
              <w:rPr>
                <w:rFonts w:eastAsia="宋体" w:cs="宋体"/>
                <w:sz w:val="22"/>
                <w:szCs w:val="22"/>
              </w:rPr>
            </w:pPr>
            <w:r>
              <w:rPr>
                <w:rFonts w:hint="eastAsia" w:eastAsia="宋体" w:cs="宋体"/>
                <w:sz w:val="22"/>
                <w:szCs w:val="22"/>
              </w:rPr>
              <w:t>效益指标</w:t>
            </w:r>
          </w:p>
        </w:tc>
        <w:tc>
          <w:tcPr>
            <w:tcW w:w="1648" w:type="dxa"/>
            <w:vAlign w:val="center"/>
          </w:tcPr>
          <w:p w14:paraId="057A7402">
            <w:pPr>
              <w:pStyle w:val="137"/>
              <w:widowControl w:val="0"/>
              <w:spacing w:line="276" w:lineRule="auto"/>
              <w:jc w:val="center"/>
              <w:rPr>
                <w:rFonts w:eastAsia="宋体" w:cs="宋体"/>
                <w:sz w:val="22"/>
                <w:szCs w:val="22"/>
              </w:rPr>
            </w:pPr>
            <w:r>
              <w:rPr>
                <w:rFonts w:hint="eastAsia" w:eastAsia="宋体" w:cs="宋体"/>
                <w:sz w:val="22"/>
                <w:szCs w:val="22"/>
              </w:rPr>
              <w:t>经济效益</w:t>
            </w:r>
          </w:p>
        </w:tc>
        <w:tc>
          <w:tcPr>
            <w:tcW w:w="1506" w:type="dxa"/>
          </w:tcPr>
          <w:p w14:paraId="45C121A8">
            <w:pPr>
              <w:pStyle w:val="137"/>
              <w:widowControl w:val="0"/>
              <w:spacing w:line="276" w:lineRule="auto"/>
              <w:jc w:val="center"/>
              <w:rPr>
                <w:rFonts w:eastAsia="宋体" w:cs="宋体"/>
                <w:sz w:val="22"/>
                <w:szCs w:val="22"/>
              </w:rPr>
            </w:pPr>
            <w:r>
              <w:rPr>
                <w:rFonts w:hint="eastAsia" w:eastAsia="宋体" w:cs="宋体"/>
                <w:sz w:val="22"/>
                <w:szCs w:val="22"/>
              </w:rPr>
              <w:t>产业决策效率</w:t>
            </w:r>
          </w:p>
        </w:tc>
        <w:tc>
          <w:tcPr>
            <w:tcW w:w="1521" w:type="dxa"/>
            <w:vAlign w:val="center"/>
          </w:tcPr>
          <w:p w14:paraId="1D34F4F6">
            <w:pPr>
              <w:pStyle w:val="137"/>
              <w:widowControl w:val="0"/>
              <w:spacing w:line="276" w:lineRule="auto"/>
              <w:jc w:val="center"/>
              <w:rPr>
                <w:rFonts w:eastAsia="宋体" w:cs="宋体"/>
                <w:sz w:val="22"/>
                <w:szCs w:val="22"/>
              </w:rPr>
            </w:pPr>
            <w:r>
              <w:rPr>
                <w:rFonts w:hint="eastAsia" w:eastAsia="宋体" w:cs="宋体"/>
                <w:sz w:val="22"/>
                <w:szCs w:val="22"/>
              </w:rPr>
              <w:t>提升</w:t>
            </w:r>
          </w:p>
        </w:tc>
      </w:tr>
      <w:tr w14:paraId="779791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8" w:hRule="atLeast"/>
          <w:jc w:val="center"/>
        </w:trPr>
        <w:tc>
          <w:tcPr>
            <w:tcW w:w="841" w:type="dxa"/>
            <w:vAlign w:val="center"/>
          </w:tcPr>
          <w:p w14:paraId="6DF4E9B8">
            <w:pPr>
              <w:pStyle w:val="137"/>
              <w:widowControl w:val="0"/>
              <w:spacing w:line="276" w:lineRule="auto"/>
              <w:jc w:val="center"/>
              <w:rPr>
                <w:rFonts w:eastAsia="宋体" w:cs="宋体"/>
                <w:sz w:val="22"/>
                <w:szCs w:val="22"/>
              </w:rPr>
            </w:pPr>
            <w:r>
              <w:rPr>
                <w:rFonts w:hint="eastAsia" w:eastAsia="宋体" w:cs="宋体"/>
                <w:sz w:val="22"/>
                <w:szCs w:val="22"/>
              </w:rPr>
              <w:t>17</w:t>
            </w:r>
          </w:p>
        </w:tc>
        <w:tc>
          <w:tcPr>
            <w:tcW w:w="1511" w:type="dxa"/>
            <w:vMerge w:val="continue"/>
            <w:vAlign w:val="center"/>
          </w:tcPr>
          <w:p w14:paraId="67B72E9A">
            <w:pPr>
              <w:pStyle w:val="137"/>
              <w:widowControl w:val="0"/>
              <w:spacing w:line="276" w:lineRule="auto"/>
              <w:jc w:val="center"/>
              <w:rPr>
                <w:rFonts w:eastAsia="宋体" w:cs="宋体"/>
                <w:sz w:val="22"/>
                <w:szCs w:val="22"/>
              </w:rPr>
            </w:pPr>
          </w:p>
        </w:tc>
        <w:tc>
          <w:tcPr>
            <w:tcW w:w="1510" w:type="dxa"/>
            <w:vMerge w:val="continue"/>
            <w:vAlign w:val="center"/>
          </w:tcPr>
          <w:p w14:paraId="7983C666">
            <w:pPr>
              <w:pStyle w:val="137"/>
              <w:widowControl w:val="0"/>
              <w:spacing w:line="276" w:lineRule="auto"/>
              <w:jc w:val="center"/>
              <w:rPr>
                <w:rFonts w:eastAsia="宋体" w:cs="宋体"/>
                <w:sz w:val="22"/>
                <w:szCs w:val="22"/>
              </w:rPr>
            </w:pPr>
          </w:p>
        </w:tc>
        <w:tc>
          <w:tcPr>
            <w:tcW w:w="1648" w:type="dxa"/>
            <w:vAlign w:val="center"/>
          </w:tcPr>
          <w:p w14:paraId="4F5F2BF1">
            <w:pPr>
              <w:pStyle w:val="137"/>
              <w:widowControl w:val="0"/>
              <w:spacing w:line="276" w:lineRule="auto"/>
              <w:jc w:val="center"/>
              <w:rPr>
                <w:rFonts w:eastAsia="宋体" w:cs="宋体"/>
                <w:sz w:val="22"/>
                <w:szCs w:val="22"/>
              </w:rPr>
            </w:pPr>
            <w:r>
              <w:rPr>
                <w:rFonts w:hint="eastAsia" w:eastAsia="宋体" w:cs="宋体"/>
                <w:sz w:val="22"/>
                <w:szCs w:val="22"/>
              </w:rPr>
              <w:t>社会效益</w:t>
            </w:r>
          </w:p>
        </w:tc>
        <w:tc>
          <w:tcPr>
            <w:tcW w:w="1506" w:type="dxa"/>
          </w:tcPr>
          <w:p w14:paraId="1125A42E">
            <w:pPr>
              <w:pStyle w:val="137"/>
              <w:widowControl w:val="0"/>
              <w:spacing w:line="276" w:lineRule="auto"/>
              <w:jc w:val="center"/>
              <w:rPr>
                <w:rFonts w:eastAsia="宋体" w:cs="宋体"/>
                <w:sz w:val="22"/>
                <w:szCs w:val="22"/>
              </w:rPr>
            </w:pPr>
            <w:r>
              <w:rPr>
                <w:rFonts w:hint="eastAsia" w:eastAsia="宋体" w:cs="宋体"/>
                <w:sz w:val="22"/>
                <w:szCs w:val="22"/>
              </w:rPr>
              <w:t>上海产业发展水平</w:t>
            </w:r>
          </w:p>
        </w:tc>
        <w:tc>
          <w:tcPr>
            <w:tcW w:w="1521" w:type="dxa"/>
            <w:vAlign w:val="center"/>
          </w:tcPr>
          <w:p w14:paraId="6C183434">
            <w:pPr>
              <w:pStyle w:val="137"/>
              <w:widowControl w:val="0"/>
              <w:spacing w:line="276" w:lineRule="auto"/>
              <w:jc w:val="center"/>
              <w:rPr>
                <w:rFonts w:eastAsia="宋体" w:cs="宋体"/>
                <w:sz w:val="22"/>
                <w:szCs w:val="22"/>
              </w:rPr>
            </w:pPr>
            <w:r>
              <w:rPr>
                <w:rFonts w:hint="eastAsia" w:eastAsia="宋体" w:cs="宋体"/>
                <w:sz w:val="22"/>
                <w:szCs w:val="22"/>
              </w:rPr>
              <w:t>提升</w:t>
            </w:r>
          </w:p>
        </w:tc>
      </w:tr>
    </w:tbl>
    <w:p w14:paraId="0CACF0F1">
      <w:pPr>
        <w:spacing w:line="560" w:lineRule="exact"/>
        <w:ind w:firstLine="0" w:firstLineChars="0"/>
        <w:jc w:val="center"/>
        <w:rPr>
          <w:rFonts w:ascii="Times New Roman" w:hAnsi="Times New Roman"/>
        </w:rPr>
      </w:pPr>
    </w:p>
    <w:p w14:paraId="61A3FE2D">
      <w:pPr>
        <w:pStyle w:val="2"/>
        <w:rPr>
          <w:rFonts w:ascii="Times New Roman" w:hAnsi="Times New Roman"/>
        </w:rPr>
      </w:pPr>
      <w:bookmarkStart w:id="13" w:name="_Toc47532923"/>
      <w:bookmarkEnd w:id="13"/>
      <w:bookmarkStart w:id="14" w:name="_Toc47537166"/>
      <w:bookmarkEnd w:id="14"/>
      <w:bookmarkStart w:id="15" w:name="_Toc47536304"/>
      <w:bookmarkEnd w:id="15"/>
      <w:bookmarkStart w:id="16" w:name="_Toc47533288"/>
      <w:bookmarkEnd w:id="16"/>
      <w:bookmarkStart w:id="17" w:name="_Toc47539102"/>
      <w:bookmarkEnd w:id="17"/>
      <w:bookmarkStart w:id="18" w:name="_Toc47536676"/>
      <w:bookmarkEnd w:id="18"/>
      <w:r>
        <w:rPr>
          <w:rFonts w:hint="eastAsia" w:ascii="Times New Roman" w:hAnsi="Times New Roman"/>
        </w:rPr>
        <w:t>项目建设内容</w:t>
      </w:r>
    </w:p>
    <w:p w14:paraId="6B5B0020">
      <w:pPr>
        <w:pStyle w:val="3"/>
        <w:rPr>
          <w:rFonts w:ascii="Times New Roman" w:hAnsi="Times New Roman"/>
        </w:rPr>
      </w:pPr>
      <w:r>
        <w:rPr>
          <w:rFonts w:hint="eastAsia" w:ascii="Times New Roman" w:hAnsi="Times New Roman"/>
        </w:rPr>
        <w:t>建设内容概述</w:t>
      </w:r>
    </w:p>
    <w:p w14:paraId="1D20CE87">
      <w:pPr>
        <w:pStyle w:val="138"/>
        <w:spacing w:line="500" w:lineRule="exact"/>
        <w:rPr>
          <w:rFonts w:ascii="Times New Roman" w:hAnsi="Times New Roman" w:cs="宋体"/>
          <w:lang w:eastAsia="zh-CN"/>
        </w:rPr>
      </w:pPr>
      <w:r>
        <w:rPr>
          <w:rFonts w:hint="eastAsia" w:ascii="Times New Roman" w:hAnsi="Times New Roman" w:cs="宋体"/>
          <w:lang w:eastAsia="zh-CN"/>
        </w:rPr>
        <w:t>本次项目基于一屏观产业决策分析系统已有的两期建设基础，以数据赋能经信委转型升级、夯实全域数据底座为核心，全面提升经济数据处理能力建设主线，通过策划构建全委产业经济相关数据底座，打通数据壁垒、破解数据分散等突出问题，全面提升产业治理数字化、智能化、精准化水平。建设内容包括：数据底座、业务应用及密码应用建设。</w:t>
      </w:r>
    </w:p>
    <w:p w14:paraId="0E9FD11C">
      <w:pPr>
        <w:pStyle w:val="3"/>
        <w:rPr>
          <w:rFonts w:ascii="Times New Roman" w:hAnsi="Times New Roman"/>
        </w:rPr>
      </w:pPr>
      <w:r>
        <w:rPr>
          <w:rFonts w:hint="eastAsia" w:ascii="Times New Roman" w:hAnsi="Times New Roman"/>
        </w:rPr>
        <w:t>技术路线要求</w:t>
      </w:r>
    </w:p>
    <w:p w14:paraId="2425DE43">
      <w:pPr>
        <w:pStyle w:val="138"/>
        <w:spacing w:line="500" w:lineRule="exact"/>
        <w:rPr>
          <w:rFonts w:ascii="Times New Roman" w:hAnsi="Times New Roman" w:cs="宋体"/>
          <w:lang w:eastAsia="zh-CN"/>
        </w:rPr>
      </w:pPr>
      <w:r>
        <w:rPr>
          <w:rFonts w:hint="eastAsia" w:ascii="Times New Roman" w:hAnsi="Times New Roman" w:cs="宋体"/>
          <w:lang w:eastAsia="zh-CN"/>
        </w:rPr>
        <w:t>（1）数据底座建设能力：依托市经信委现有数据中台基础能力，统一开展数据采集、清洗、标准化治理工作，加工形成业务专题数据集，支撑大屏主题可视化展示。</w:t>
      </w:r>
    </w:p>
    <w:p w14:paraId="5BCC87EE">
      <w:pPr>
        <w:pStyle w:val="138"/>
        <w:spacing w:line="500" w:lineRule="exact"/>
        <w:rPr>
          <w:rFonts w:ascii="Times New Roman" w:hAnsi="Times New Roman" w:cs="宋体"/>
          <w:lang w:eastAsia="zh-CN"/>
        </w:rPr>
      </w:pPr>
      <w:r>
        <w:rPr>
          <w:rFonts w:hint="eastAsia" w:ascii="Times New Roman" w:hAnsi="Times New Roman" w:cs="宋体"/>
          <w:lang w:eastAsia="zh-CN"/>
        </w:rPr>
        <w:t>（2）业务应用建设：按照市级信息技术创新相关规范要求实施建设，系统采用前后端分离微服务 B/S 架构；系统部署、安装严格遵循政务云统一技术路线与资源管理要求落地实施。</w:t>
      </w:r>
    </w:p>
    <w:p w14:paraId="50879C43">
      <w:pPr>
        <w:pStyle w:val="3"/>
        <w:rPr>
          <w:rFonts w:ascii="Times New Roman" w:hAnsi="Times New Roman"/>
        </w:rPr>
      </w:pPr>
      <w:r>
        <w:rPr>
          <w:rFonts w:hint="eastAsia" w:ascii="Times New Roman" w:hAnsi="Times New Roman"/>
        </w:rPr>
        <w:t>部署环境要求</w:t>
      </w:r>
    </w:p>
    <w:p w14:paraId="7D829845">
      <w:pPr>
        <w:pStyle w:val="138"/>
        <w:spacing w:line="500" w:lineRule="exact"/>
        <w:rPr>
          <w:rFonts w:ascii="Times New Roman" w:hAnsi="Times New Roman" w:cs="宋体"/>
          <w:lang w:eastAsia="zh-CN"/>
        </w:rPr>
      </w:pPr>
      <w:r>
        <w:rPr>
          <w:rFonts w:hint="eastAsia" w:ascii="Times New Roman" w:hAnsi="Times New Roman" w:cs="宋体"/>
          <w:lang w:eastAsia="zh-CN"/>
        </w:rPr>
        <w:t>本项目要求能适配国产化环境，系统需满足能在XC环境下运行。Web应用服务器、关系型数据库服务器部署在上海市电子政务云平台政务外网区，代理和负载均衡服务器部署于上海市电子政务云平台互联网区。</w:t>
      </w:r>
    </w:p>
    <w:p w14:paraId="1618786B">
      <w:pPr>
        <w:pStyle w:val="3"/>
        <w:rPr>
          <w:rFonts w:ascii="Times New Roman" w:hAnsi="Times New Roman"/>
        </w:rPr>
      </w:pPr>
      <w:r>
        <w:rPr>
          <w:rFonts w:hint="eastAsia" w:ascii="Times New Roman" w:hAnsi="Times New Roman"/>
        </w:rPr>
        <w:t>软件开发及数据服务清单</w:t>
      </w:r>
    </w:p>
    <w:p w14:paraId="2C7F9224">
      <w:pPr>
        <w:numPr>
          <w:ilvl w:val="0"/>
          <w:numId w:val="3"/>
        </w:numPr>
        <w:rPr>
          <w:rFonts w:ascii="Times New Roman" w:hAnsi="Times New Roman"/>
        </w:rPr>
      </w:pPr>
      <w:r>
        <w:rPr>
          <w:rFonts w:ascii="Times New Roman" w:hAnsi="Times New Roman"/>
        </w:rPr>
        <w:t>软件开发清单</w:t>
      </w:r>
    </w:p>
    <w:tbl>
      <w:tblPr>
        <w:tblStyle w:val="37"/>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552"/>
        <w:gridCol w:w="1438"/>
        <w:gridCol w:w="4667"/>
      </w:tblGrid>
      <w:tr w14:paraId="7626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51635E3">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序号</w:t>
            </w:r>
          </w:p>
        </w:tc>
        <w:tc>
          <w:tcPr>
            <w:tcW w:w="0" w:type="auto"/>
            <w:vAlign w:val="center"/>
          </w:tcPr>
          <w:p w14:paraId="301E11E5">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功能名称</w:t>
            </w:r>
          </w:p>
        </w:tc>
        <w:tc>
          <w:tcPr>
            <w:tcW w:w="0" w:type="auto"/>
            <w:vAlign w:val="center"/>
          </w:tcPr>
          <w:p w14:paraId="0CA13C29">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模块名称</w:t>
            </w:r>
          </w:p>
        </w:tc>
        <w:tc>
          <w:tcPr>
            <w:tcW w:w="4667" w:type="dxa"/>
            <w:vAlign w:val="center"/>
          </w:tcPr>
          <w:p w14:paraId="208DACB1">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模块描述</w:t>
            </w:r>
          </w:p>
        </w:tc>
      </w:tr>
      <w:tr w14:paraId="669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5CDA85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w:t>
            </w:r>
          </w:p>
        </w:tc>
        <w:tc>
          <w:tcPr>
            <w:tcW w:w="0" w:type="auto"/>
            <w:vAlign w:val="center"/>
          </w:tcPr>
          <w:p w14:paraId="7DBF6FF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34371B3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企业库-企业基本信息数据库</w:t>
            </w:r>
          </w:p>
        </w:tc>
        <w:tc>
          <w:tcPr>
            <w:tcW w:w="4667" w:type="dxa"/>
            <w:vAlign w:val="center"/>
          </w:tcPr>
          <w:p w14:paraId="411BE7B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场监管局的企业工商登记备案信息、主要成员信息、企业登记变更信息以及经信委自有业务部门沉淀数据，实现全市企业主体身份建档、基础信息溯源，并且结合经信委自有的企业填报数据进行信息补全，实现企业基本信息的全量归集、标准化存储、统一溯源,构建以企业主体身份作为唯一标识的企业基本信息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冗余去重：以统一社会信用代码为唯一主键，剔除跨部门重复报送的同一企业记录，清理已注销、吊销、迁出企业的无效存量数据。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异常校验：核对企业统一社会信用代码有效性，剔除工商主体不存在的错误数据；修正注册地址、行业代码、注册资本等明显错误或逻辑矛盾的字段，清理关键字段空白残缺记录。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行业分类标准化：严格按照国标《国民经济行业分类》对企业所属行业进行编码映射，统一市场监管局与经信委的行业口径。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字段字典标准化：统一所有制性质、企业规模、经营状态、登记变更类型等字段的编码规则，规范企业名称、注册地址、注册资本等字段的格式标准。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主键唯一性管理：建立以统一社会信用代码为核心的企业主数据主键，确保全市企业主体唯一标识，避免“一企多档”问题。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唯一关联键，将市场监管局法定工商数据与经信委业务数据进行关联融合，构建“法定基础信息+业务归口信息”的企业全维度基础画像，实现工商信息与经信业务数据的交叉验证与互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分档分级存储：将企业登记历史变更信息归档存储，企业当前基础信息动态分区存储。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常态化更新机制：按月同步市场监管局工商登记变更数据，按季度更新经信委重点企业名录及补充信息，实现企业基础信息动态维护，确保数据时效性与准确性。</w:t>
            </w:r>
          </w:p>
        </w:tc>
      </w:tr>
      <w:tr w14:paraId="3B2A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A20C87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w:t>
            </w:r>
          </w:p>
        </w:tc>
        <w:tc>
          <w:tcPr>
            <w:tcW w:w="0" w:type="auto"/>
            <w:vAlign w:val="center"/>
          </w:tcPr>
          <w:p w14:paraId="26B6902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44C4569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企业库-企业经营数据库</w:t>
            </w:r>
          </w:p>
        </w:tc>
        <w:tc>
          <w:tcPr>
            <w:tcW w:w="4667" w:type="dxa"/>
            <w:vAlign w:val="center"/>
          </w:tcPr>
          <w:p w14:paraId="3B3A004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整合委内中小企业经营数据（包括：创新型中小企业、专精特新中小企业、专精特新小巨人、重点小巨人、市级单项冠军、高成长企业等认定信息），结合大数据中心汇聚税务、财政、统计、市场监管局，归集企业经营数据；其中创新型中小企业申报企业数量约2.5万家，每家约130项指标，以企业统一社会信用代码为纽带，将企业基础信息、各类资质认定标签与多源经营数据开展融合治理，实现企业生产经营核心指标、企业资质认定信息的全量归集、分类存储，建成覆盖企业经营状况、资质身份标签的全维度企业专题数据库。汇集税务局、财政局、统计局、市场监管局以及经信委自有业务部门沉淀数据，实现企业经营数据收集，通过企业基础信息与企业经营数据的融合治理，建设企业生产经营核心指标的全量归集、分类存储，实现企业全维度的经营状况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冗余去重：以企业统一社会信用代码和统计期别为唯一主键，剔除跨部门重复报送的同一企业同期经营数据；清理已注销、吊销企业的无效存量经营数据。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异常校验：对营业收入、利润、税收、资产负债率等指标的异常极值，联动统计、税务、经信部门溯源复核，修正错报、漏报、逻辑矛盾数据，剔除关键字段空白残缺记录。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2、经营数据标准化治理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指标口径标准化：统一税务、统计、经信部门的营业收入、利润、成本费用、出口交货值等指标统计口径，规范月度 / 季度 / 年度统计周期，统一计量单位与计价规则。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字段字典标准化：规范利润率、资产负债率、市场占有率等衍生指标的计算规则，统一数据类型、精度、空值处理标准。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以企业统一社会信用代码为关联键，将税务、统计、财政、市场监管、经信委的多源经营数据进行融合匹配，构建“企业主体—全口径经营指标”的经营画像，实现不同部门数据交叉验证与互补，消除数据孤岛。</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分档分级存储：历史年度已终审经营数据归档存储，当期快报、在审月度统计数据分区动态存储。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常态化更新机制：按月同步税务局纳税数据、统计局工业统计数据，按季度归集经信委企业直报经营数据，年度开展全库经营数据稽核校准，确保数据时效性与准确性。</w:t>
            </w:r>
          </w:p>
        </w:tc>
      </w:tr>
      <w:tr w14:paraId="409E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D3105B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w:t>
            </w:r>
          </w:p>
        </w:tc>
        <w:tc>
          <w:tcPr>
            <w:tcW w:w="0" w:type="auto"/>
            <w:vAlign w:val="center"/>
          </w:tcPr>
          <w:p w14:paraId="3CB4E41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029E4EE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企业库-企业资质数据库</w:t>
            </w:r>
          </w:p>
        </w:tc>
        <w:tc>
          <w:tcPr>
            <w:tcW w:w="4667" w:type="dxa"/>
            <w:vAlign w:val="center"/>
          </w:tcPr>
          <w:p w14:paraId="0E46790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汇集市场监管局、统计局、税务局、人社局以及经信委自有业务部门沉淀数据，实现全市企业行业生产经营许可资质信息、准入备案资质信息、能力认定资质信息的全量归集、分类存储，实现企业资质数据库。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冗余去重：以企业统一社会信用代码和资质编号为唯一主键，剔除跨部门重复报送的同一企业同类资质数据；清理已注销、吊销、企业迁出的无效资质记录。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异常校验：核对企业统一社会信用代码与资质编号有效性，剔除主体不存在、资质编号错误的无效数据；修正资质有效期、许可范围等明显错误字段，清理关键字段空白残缺记录。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2、资质数据标准化治理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资质类目标准化：建立行业许可类、准入备案类、能力认定类三大一级类目，统一各部门资质分类编码规则，规范不同行业资质的命名与分级标准。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字段字典标准化：统一资质编号、许可事项、发证机关、有效期、许可范围等字段的格式与数据类型，规范资质状态（有效/失效/注销/撤销）的编码规则。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以企业统一社会信用代码为关联键，将市场监管、统计、税务、人社、经信委的多源资质数据进行融合匹配，构建 “企业主体—全维度资质信息” 的资质画像，实现不同部门资质数据交叉验证与互补。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分档分级存储：已失效、注销的历史资质数据归档存储，当前有效资质数据分区动态存储。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常态化更新机制：按月同步各监管部门新增许可、资质变更与注销数据，按季度更新经信委认定资质信息，定期开展全库资质有效期校验与清理，确保数据时效性与准确性。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5、数据更新维护治理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建立“部门共享同步+系统自动更新+人工审核补录”三位一体的更新机制，定时同步各部门最新资质数据，自动更新资质到期、续期、注销等动态信息。针对企业自主申报数据建立审核入库机制，经核验无误后纳入数据库管理，保障资质数据动态鲜活、实时有效。</w:t>
            </w:r>
          </w:p>
        </w:tc>
      </w:tr>
      <w:tr w14:paraId="4BC9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A0EFD4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w:t>
            </w:r>
          </w:p>
        </w:tc>
        <w:tc>
          <w:tcPr>
            <w:tcW w:w="0" w:type="auto"/>
            <w:vAlign w:val="center"/>
          </w:tcPr>
          <w:p w14:paraId="4C16783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50E820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企业库-企业用工数据库</w:t>
            </w:r>
          </w:p>
        </w:tc>
        <w:tc>
          <w:tcPr>
            <w:tcW w:w="4667" w:type="dxa"/>
            <w:vAlign w:val="center"/>
          </w:tcPr>
          <w:p w14:paraId="689F8BFA">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以企业统一社会信用代码为唯一关联主键，汇聚市大数据中心社保参保人数数据，整合委内中小企业办、综合规划处、经济运行处沉淀业务数据，归集全市企业用工总人数、研发人员数量及占比、高技能与产业人才规模、月度用工异动、稳岗就业、社保参保、人才引育留用、经信委 U35 青年设计人才、校企合作培养、人才获奖等信息，建设企业用工数据库，支撑就业贡献分析、人才结构诊断与用工风险预警。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委内支撑数据来源涵盖：中小企业办的中小企业运行监测月度问卷（企业填报，包含从业人员变化、招工需求满足度、人均薪酬变化、成本压力等约 40 个字段）、中小企业申报信息、企业认定数据中的从业人员台账；综合规划处企业标签指标、产业集群评价体系及 “年度集群新增就业人数” 指标；经济运行处工业企业基本情况调查表与月度问卷调查数据。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冗余去重：以企业统一社会信用代码和统计期别为唯一主键，剔除跨部门重复报送的同一企业同期用工数据；清理已注销、吊销企业的无效用工记录。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异常校验：对用工人数、研发人员占比、社保参保人数等指标的异常极值，联动人社、科技、经信为业务部门复核校验，修正错报、漏报数据，剔除关键字段空白残缺记录。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2、用工数据标准化治理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指标口径标准化：统一人社、科技、经信委业务部门收集的业务数据/企业申报数据的用工总人数、研发人员、高技能人才等指标统计口径，规范月度 / 年度统计周期，统一计量单位与人才分类标准。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字段字典标准化：规范用工异动、稳岗就业、人才引育、校企合作等字段的编码规则，统一数据类型、精度与空值处理标准。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以企业统一社会信用代码为关联键，将人社、科技、经信委的多源用工数据进行融合匹配，构建“企业主体—用工规模—人才结构 — 引育情况”的用工画像，实现不同部门数据交叉验证与互补，消除数据孤岛。</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分档分级存储：历史年度已终审用工数据归档存储，当期月度用工快报、社保参保数据分区动态存储。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常态化更新机制：按月同步人社局社保参保与用工异动数据，按季度归集科技部门研发人才数据、人才引育记录，年度开展全库用工数据稽核校准，确保数据时效性与准确性。</w:t>
            </w:r>
          </w:p>
        </w:tc>
      </w:tr>
      <w:tr w14:paraId="00FF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BC54ED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w:t>
            </w:r>
          </w:p>
        </w:tc>
        <w:tc>
          <w:tcPr>
            <w:tcW w:w="0" w:type="auto"/>
            <w:vAlign w:val="center"/>
          </w:tcPr>
          <w:p w14:paraId="7B6D50A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2BBD429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企业库-企业信用数据库</w:t>
            </w:r>
          </w:p>
        </w:tc>
        <w:tc>
          <w:tcPr>
            <w:tcW w:w="4667" w:type="dxa"/>
            <w:vAlign w:val="center"/>
          </w:tcPr>
          <w:p w14:paraId="16B0357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法院、行政执法局、征信中心以及经信委内自有业务部门收集企业信用数据，实现全市企业司法涉诉、失信记录、行政处罚、信用评级、履约情况等信用相关数据的全量归集、分类存储，实现企业信用数据库构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冗余去重：以企业统一社会信用代码+信用事件编号为唯一主键，剔除跨部门重复报送的同一企业同类信用记录；清理已履行、已撤销、企业注销后的无效信用记录。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异常校验：核对企业统一社会信用代码与信用记录编号有效性，剔除主体不存在、记录编号错误的无效数据；修正处罚金额、欠税金额、信用评级等明显错误字段，清理关键字段空白残缺记录。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格式与文本清洗：统一日期、金额格式与单位换算，去除企业名称、事件类型等文本中的空格、全半角、繁简体差异，保证跨部门文本可比。</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2、信用数据标准化治理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信用类目标准化：建立司法信用、行政信用、金融信用、行业信用四大一级类目，统一各部门信用记录分类编码规则，规范失信/处罚/评级的命名与分级标准。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字段字典标准化：统一记录编号、事件类型、发生日期、有效期、处理机关、信用状态等字段的格式与数据类型，规范信用状态（有效/已履行/已撤销/已修复）的编码规则。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键，将法院、行政执法局、征信中心、经信委的多源信用数据进行融合匹配，构建“企业主体—司法信用—行政信用—金融信用—行业信用”的全维度信用画像，实现不同部门数据交叉验证与互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分档分级存储：已履行、已修复的历史信用记录归档存储，当前有效信用记录分区动态存储。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常态化更新机制：按月同步法院、行政执法部门新增司法文书、行政处罚与失信记录，按季度更新征信中心与经信委信用数据，定期开展全库信用记录有效期校验与清理，确保数据时效性与准确性。</w:t>
            </w:r>
          </w:p>
        </w:tc>
      </w:tr>
      <w:tr w14:paraId="5A04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7307AE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w:t>
            </w:r>
          </w:p>
        </w:tc>
        <w:tc>
          <w:tcPr>
            <w:tcW w:w="0" w:type="auto"/>
            <w:vAlign w:val="center"/>
          </w:tcPr>
          <w:p w14:paraId="49E827F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6A51320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企业库-企业产业链数据库</w:t>
            </w:r>
          </w:p>
        </w:tc>
        <w:tc>
          <w:tcPr>
            <w:tcW w:w="4667" w:type="dxa"/>
            <w:vAlign w:val="center"/>
          </w:tcPr>
          <w:p w14:paraId="47F9ECF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汇集市发改委、市统计局、经信委委内业务部门及委内产业链相关数据，围绕 “十五五” 重点产业链以及各区主导产业、特色赛道，归集产业规模、集群规模、集群结构、集群效应、集群生态、产业图谱、场景供需、项目载体等信息，构建产业</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集群</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园区</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企业” 四级关联的产业链数据库，支撑产业图谱可视化展示、产业集群评价、生态要素分析以及产业链穿透式查询。委内相关数据源包括综合规划处提供集群评价体系、产业生态要素、企业标签算法模型、月度进度报告等数据资源；经济运行处提供分集团、分区域汇总统计报表、行业利润及产值表；产业园区处提供各产业园区统计数据；以及委内提供产业树形结构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冗余剔除：对多部门重复报送的同一企业、同一产业条目去重，删除无效空值、错误填报的异常数据。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异常修正：针对统计口径偏差、填报错误的产值、规模类数值，联动发改、统计、经信业务部门校核修正。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2、产业链数据标准化治理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统一分类标准：参照十五五重点产业链目录，统一产业链、细分赛道、产业门类编码规则，将发改委、统计局、经信委不同口径的产业名称、行业分类做标准化映射。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统一指标口径：对产业规模、集群规模、集群效应等指标制定统一统计口径，协调各主管部门明确指标统计范围、统计周期，消除跨部门数据统计规则差异。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3、多源数据融合治理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依托企业统一社会信用代码、产业园区编码、产业链分类编码三大主键，将分散在不同部门的企业数据、产业数据做关联匹配：打通单户企业归属产业链、归属区县赛道、归属产业集群的关联关系，构建 “产业-集群-园区-企业”四级数据关联模型，实现从宏观产业规模到微观企业经营数据的穿透关联。</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4、分级存储与动态更新治理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分级存储：区分基础档案类静态数据（产业目录、园区规划）、月度动态统计数据（产值、营收）、实时企业经营数据库，采用分级存储架构分类入库。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动态更新治理：建立月度政务数据归集更新、季度数据迭代更新制度，同步配套常态化数据巡检治理，定期校验存量数据准确性，保障数据库随产业链发展动态迭代。</w:t>
            </w:r>
          </w:p>
        </w:tc>
      </w:tr>
      <w:tr w14:paraId="1A01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65A81E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7</w:t>
            </w:r>
          </w:p>
        </w:tc>
        <w:tc>
          <w:tcPr>
            <w:tcW w:w="0" w:type="auto"/>
            <w:vAlign w:val="center"/>
          </w:tcPr>
          <w:p w14:paraId="5937727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3F2EDB0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企业库-企业投融资数据库</w:t>
            </w:r>
          </w:p>
        </w:tc>
        <w:tc>
          <w:tcPr>
            <w:tcW w:w="4667" w:type="dxa"/>
            <w:vAlign w:val="center"/>
          </w:tcPr>
          <w:p w14:paraId="0395844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企业基础库、金融局、银行以及经信委自有业务部门收集数据，建设企业股权融资、银行授信、债券发行、产业基金投资、项目融资、纾困资金使用等投融资相关数据的归集、治理、存储，实现企业投融资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冗余去重：对跨部门重复报送的同一企业、同一笔融资业务条目批量去重，剔除空字段、无效填报、过期作废的融资记录。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异常校验：针对授信额度、融资到账金额、纾困资金拨付数额等数值类异常数据，反向联动报送单位（银行、金融局、经信委）逐项核对修正，剔除逻辑矛盾数据。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2、投融资数据标准化治理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统一分类编码：制定投融资业务分类标准，对股权融资、债券、授信、产业基金、纾困资金等融资类型统一编码规则，解决不同机构同类业务命名、分类不一致问题。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统一指标口径：规范融资发生时间、融资额度、资金用途、资金使用周期等关键字段统计标准，协调各数据源单位统一统计规则，消除跨部门统计口径差异。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3、主体关联融合治理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主键，将分散在企业基础信息数据库、金融局、银行、经信委内自有业务部门收集信息及企业申报信息的多源融资数据，和企业主体档案精准匹配，构建单个企业-多笔融资-融资类型-资金来源的结构化关联模型，实现一键调取单户企业投融资全景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分级分类存储：区分静态档案数据（企业基础信息、上市筹备档案）、动态周期数据（月度授信支用、普惠放款）、项目周期数据（技改融资、纾困资金使用台账），分库分区存储。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常态化更新机制：建立月度银行信贷数据同步、季度产业基金与纾困资金台账更新、年度上市及股权融资信息迭代的更新制度，配套月度数据巡检治理，动态修正存量数据错漏，实时同步新增投融资业务信息。</w:t>
            </w:r>
          </w:p>
        </w:tc>
      </w:tr>
      <w:tr w14:paraId="35D6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4B1611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8</w:t>
            </w:r>
          </w:p>
        </w:tc>
        <w:tc>
          <w:tcPr>
            <w:tcW w:w="0" w:type="auto"/>
            <w:vAlign w:val="center"/>
          </w:tcPr>
          <w:p w14:paraId="13E56ED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63DAFC2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企业库-企业股改数据库</w:t>
            </w:r>
          </w:p>
        </w:tc>
        <w:tc>
          <w:tcPr>
            <w:tcW w:w="4667" w:type="dxa"/>
            <w:vAlign w:val="center"/>
          </w:tcPr>
          <w:p w14:paraId="63079B1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汇集市场监管局、金融局、证监会以及经信委自有业务部门收集数据，建设企业股份制改造、挂牌辅导、IPO 筹备、股权结构变更、上市培育梯队等股改相关数据的全量归集、治理、存储，实现企业股改数据库。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冗余去重处理：剔除多部门重复报送的同一家企业、同一阶段股改记录，清理空字段、作废终止的股改项目数据。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异常数据校核：针对股改完成时间、股权变更比例、辅导阶段等异常矛盾字段，反向对接市场监管局、金融局、证监、经信委等数据源单位逐项核验修正，剔除逻辑错误数据。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2、股改数据标准化治理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业务分类标准化：统一股改阶段编码规则，将股改筹备、股改完成、挂牌辅导、新三板挂牌、IPO 申报、上市成功等节点标准化分类编码，消除各部门业务命名口径差异。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关键字段标准化：统一股改备案日期、变更出资比例、培育层级、辅导周期等指标统计规范，明确各字段填报标准。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3、跨源数据关联融合治理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作为关联主键，将分散在市场监管、金融局、证监、经信委的股改、股权变动、上市培育数据，与企业基础档案一一绑定，构建“企业主体—历次股改记录—股权变更轨迹—上市培育阶段”全链路关联数据模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分区分级存储：静态档案（企业基础信息、历史股改备案档案）归档存储，动态台账（在辅企业、IPO 在审、新增拟股改企业）分区实时存储。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常态化更新机制：按月同步市场监管局股权变更数据、按季度更新金融局上市梯队与股改培育台账、按证券申报节点同步证监辅导及 IPO 筹备数据，配套月度常态化数据巡检治理，动态更新存量企业股改进展。</w:t>
            </w:r>
          </w:p>
        </w:tc>
      </w:tr>
      <w:tr w14:paraId="208C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09B782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9</w:t>
            </w:r>
          </w:p>
        </w:tc>
        <w:tc>
          <w:tcPr>
            <w:tcW w:w="0" w:type="auto"/>
            <w:vAlign w:val="center"/>
          </w:tcPr>
          <w:p w14:paraId="675CE8D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25CC82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企业库-企业用地数据库</w:t>
            </w:r>
          </w:p>
        </w:tc>
        <w:tc>
          <w:tcPr>
            <w:tcW w:w="4667" w:type="dxa"/>
            <w:vAlign w:val="center"/>
          </w:tcPr>
          <w:p w14:paraId="6C76B1B7">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自然资源和规划局用地数据与委内产业园区处沉淀的项目申报、项目跟踪数据，归集企业用地面积、用地性质、厂房建筑面积、不动产登记、闲置土地、土地集约利用、新建项目用地审批、存量用地盘活、土地使用年限等用地全要素信息，建设企业用地专题数据库，支撑产业用地全生命周期管理、低效用地识别与项目进度跟踪。委内数据源支撑包含产业园区处多类业务数据表：预留区项目申报数据表（《规划产业区块外项目认定基本信息表（战略预留区</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增）》，涵盖投资主体基本情况、项目基本情况、项目用地情况、项目投资情况、技术先进性、环保能耗六大板块）；市统筹项目申报数据表（《上海市产业项目准入评审意见》，补充新增用地属性、项目类型、厂房所有者相关信息）；规划产业区块外零增地优质项目认定基本信息表；项目跟踪表，按照土地出让、项目审批、工程报建、建设投产四个阶段记录项目全周期建设进展；以及各产业园区统计月报 / 季报 / 年报、特色园区统计数据、智造空间项目统计数据。市大数据中心提供法人库企业登记信息表，输出企业注册地址，支撑用地信息与企业主体开展地址维度的关联校验。</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冗余数据去重：剔除跨部门重复上报的同一园区、同一企业用地记录，清理空值、作废撤销的用地信息。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异常数据校核：对用地面积、建筑面积、闲置认定面积等数值异常数据，反向对接自然资源和规划局、经信委逐项实地与档案校核修正，剔除逻辑矛盾数据。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文本与格式标准化：统一企业名称、地址、权属人等文本字段的规范写法，去除全半角、空格、繁简体差异；统一日期、面积、金额等数据格式与精度，消除两部门报送格式差异。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2、用地数据标准化治理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用地分类标准化：参照国土空间用地分类国标，统一工业用地、仓储用地等用地性质编码，统一闲置用地、集约用地、盘活用地分类标准，消除两部门分类口径差异。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指标口径标准化：规范宗地面积、建筑容积率、土地剩余使用年限等关键字段统计规则，统一计量单位与统计时点。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3、用地信息 - 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以企业统一社会信用代码和用地信息编码双主键，将自然资源部门用地得归属数据、经信委企业实际用地摸排数据与企业基础档案联动匹配，构建「企业主体 - 所属用地 - 地上建筑 - 用地全生命周期变动」关联模型，实现单户企业全宗用地信息一键溯源查询。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分档存储：静态档案（不动产确权档案、历史用地信息）归档存储；动态台账（新增用地信息、闲置土地整治、存量用地盘活）分区动态存储。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常态化更新机制：按月同步自然资源局新增用地审批与不动产变更数据、按季度更新经信委产业用地盘活台账，配套月度数据巡检治理，实时更新闲置土地盘活进度、土地使用年限到期预警信息。</w:t>
            </w:r>
          </w:p>
        </w:tc>
      </w:tr>
      <w:tr w14:paraId="0EA2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0B98BF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10</w:t>
            </w:r>
          </w:p>
        </w:tc>
        <w:tc>
          <w:tcPr>
            <w:tcW w:w="0" w:type="auto"/>
            <w:vAlign w:val="center"/>
          </w:tcPr>
          <w:p w14:paraId="793B2FF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6EACCBA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企业库-企业项目数据库</w:t>
            </w:r>
          </w:p>
        </w:tc>
        <w:tc>
          <w:tcPr>
            <w:tcW w:w="4667" w:type="dxa"/>
            <w:vAlign w:val="center"/>
          </w:tcPr>
          <w:p w14:paraId="760DE8A2">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汇集发改局以及经信委自有业务部门收集数据，建设技改项目数据、重大投资项目数据、项目立项备案数据、项目投资额等各类企业项目数据的全量归集、治理、存储，实现企业项目数据库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冗余去重：剔除跨部门重复报送的同一项目备案条目，清理作废撤销、终止立项的无效项目数据，去除关键字段全空的残缺记录。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异常校核：针对项目计划投资额、实际完成投资、建设周期等数值异常内容，反向对接发改局、经信委业务科室逐项核对修正，剔除逻辑矛盾数据。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2、项目数据标准化治理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项目分类标准化：统一技改项目、重大产业投资项目、一般性投资项目的分类编码规则，统一项目行业分类标准，消除两部门项目归类口径差异。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指标口径标准化：规范项目立项日期、计划总投资、本年完成投资、建设起止年限等关键字段填报标准，统一金额计量单位、统计周期。</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3、项目和企业关联融合治理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以企业统一社会信用代码和项目备案编号双主键，与企业基础档案关联匹配，构建“企业-在建/已完工项目-项目投资明细”关联数据模型，实现单户企业全口径投资项目一键查询。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分档存储：归档存储已竣工完结项目历史档案，分区动态存储在建、新立项项目台账数据。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常态化更新机制：按月同步新增立项备案与重大项目投资调度数据、按季度更新经信委技改项目落地及投资完成数据，配套月度巡检治理，动态更新项目竣工、延期、投资额变更等变动信息。</w:t>
            </w:r>
          </w:p>
        </w:tc>
      </w:tr>
      <w:tr w14:paraId="496E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DBE592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11</w:t>
            </w:r>
          </w:p>
        </w:tc>
        <w:tc>
          <w:tcPr>
            <w:tcW w:w="0" w:type="auto"/>
            <w:vAlign w:val="center"/>
          </w:tcPr>
          <w:p w14:paraId="5A6FF8C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4A8A81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企业库-企业产品数据库</w:t>
            </w:r>
          </w:p>
        </w:tc>
        <w:tc>
          <w:tcPr>
            <w:tcW w:w="4667" w:type="dxa"/>
            <w:vAlign w:val="center"/>
          </w:tcPr>
          <w:p w14:paraId="2544549E">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市监商标科以及经信委自有业务部门收集数据，建设企业主营产品清单、产品型号规格、设计产能、实际产销数据、注册商标、品牌归属、创新产品目录、专精特新产品、上海制造品牌产品、产品执行标准、产品碳足迹信息、产品市场占有率、在联合国教科文组织支持下，面向全球遴选推广优秀案例和年度创新产品、入选工信部生物制造标志性产品、本市新材料领域市场首发应用产品、在联合国教科文组织支持下，面向全球遴选推广优秀案例和年度创新产品等产品相关数据的全量归集、治理、存储，实现企业产品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冗余数据剔除：清理跨部门重复上报的同一产品条目，删除停产退市、作废注销的无效产品数据，剔除型号、产能、商标等关键字段全空的残缺记录。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异常数据校核：针对产品设计产能、实际产销额、市场占有率等数值异常数据，反向对接市监商标科、经信委业务处室逐项核验修正，剔除逻辑矛盾数据。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2、产品数据标准化治理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产品分类标准化：参照国民经济行业产品分类目录，统一通用产品、专精特新产品、上海制造品牌、新材料首发产品、国家级标志性产品等分类编码规则，消除两部门产品归类口径差异。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指标口径标准化：统一产品型号填报规范、产能计量单位、产销统计周期、品牌认定级别、碳足迹备案字段标准，统一优质产品认定层级标注规则。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3、产品和企业关联融合治理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产品编码双主键，将市监商标权属数据、经信委业务部门收集得认定数据与企业基础档案一一匹配，构建“企业-全品类产品-商标品牌-产品资质认定-产销经营”全链路关联模型，实现单户企业全产品信息一键检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分档分级存储：静态档案（注册商标档案、产品资质认定历史文件、退市产品档案）归档存储；动态台账（在产产品产销数据、新增创新产品、新增注册商标）分区实时存储。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市监局新增商标注册数据、按月更新经信委企业产销与在产产品变动数据，按年度同步各级新产品认定（专精特新、上海制造、工信部标志性产品、联合国遴选产品）台账，配套月度数据巡检治理，动态更新产品停产、技改升级、资质新增等变动信息。</w:t>
            </w:r>
          </w:p>
        </w:tc>
      </w:tr>
      <w:tr w14:paraId="447E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F85A91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12</w:t>
            </w:r>
          </w:p>
        </w:tc>
        <w:tc>
          <w:tcPr>
            <w:tcW w:w="0" w:type="auto"/>
            <w:vAlign w:val="center"/>
          </w:tcPr>
          <w:p w14:paraId="05B44CF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0F889D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企业库-企业服务数据库</w:t>
            </w:r>
          </w:p>
        </w:tc>
        <w:tc>
          <w:tcPr>
            <w:tcW w:w="4667" w:type="dxa"/>
            <w:vAlign w:val="center"/>
          </w:tcPr>
          <w:p w14:paraId="09CE256E">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经信委自有业务部门收集数据，建设数字化转型综合服务、中小企业融资服务、上市辅导专项服务、大中小企业融通专项服务、出海业务专项服务、外资企业服务、企业培育服务等相关数据的全量归集、治理、存储，实现企业服务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冗余数据去重：剔除跨重复报送的同一企业、同一服务项目记录，清理已作废终止、取消落地的无效服务条目，剔除服务对象、服务类型关键字段空白的残缺数据。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异常数据校核：针对服务补贴金额、服务落地数量、服务周期等异常数值，反向对接对应经信委相关业务科室逐项核对修正，剔除逻辑矛盾数据。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2、服务数据标准化治理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服务分类标准化：统一七大类涉企服务的分类编码规则，细化数字化转型、融资、上市辅导、融通发展、出海、外资、企业培育的子项分类标准，统一全委各科室服务命名口径。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指标口径标准化：规范服务开展日期、服务落地状态、服务扶持资金、服务覆盖企业数等关键字段填报规则，统一统计周期与计量单位。</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3、服务和企业关联融合治理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以企业统一社会信用代码和服务项目编号双主键，将经信委各条线分散的服务台账与企业基础档案联动匹配，构建“单户企业—全周期各类服务—服务落地明细—政策兑现记录”关联数据模型。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分档分级存储：归档存储已完结历史服务档案，分区动态存储在办、新增落地的实时服务台账。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常态化更新机制：按月归集经信委各业务处室新增服务台账，季度完成存量服务数据巡检治理，同步更新服务办结、项目延期、新增扶持服务等变动信息。</w:t>
            </w:r>
          </w:p>
        </w:tc>
      </w:tr>
      <w:tr w14:paraId="156F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6C152A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13</w:t>
            </w:r>
          </w:p>
        </w:tc>
        <w:tc>
          <w:tcPr>
            <w:tcW w:w="0" w:type="auto"/>
            <w:vAlign w:val="center"/>
          </w:tcPr>
          <w:p w14:paraId="018D715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2A42F7A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企业库-企业创新数据库</w:t>
            </w:r>
          </w:p>
        </w:tc>
        <w:tc>
          <w:tcPr>
            <w:tcW w:w="4667" w:type="dxa"/>
            <w:vAlign w:val="center"/>
          </w:tcPr>
          <w:p w14:paraId="662430C3">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科委、知识产权局以及经信委自有业务部门收集数据，建设企业发明专利、实用新型专利、外观设计专利、软件著作权数量及明细、年度研发投入金额及占营收比例、研发机构建设情况（企业技术中心、中试平台、重点实验室）、产学研合作项目、技术攻关项目、科创项目申报与立项情况、工业软件/人工智能创新成果、首套/首批次产品清单等创新相关数据的全量归集、治理、存储，实现企业创新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冗余数据剔除：清理跨部门重复报送的同一专利、同一科创项目记录，剔除已失效作废专利、终止结题的无效项目数据，删除专利号、立项编号、研发金额等关键字段空白的残缺记录。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异常数据校核：针对研发投入金额、研发营收占比、专利申请数量等异常数值，反向对接科委、知识产权局、经信委业务科室逐项档案核验修正，剔除逻辑矛盾数据。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2、创新数据标准化治理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创新类目标准化：统一专利（发明/实用新型/外观）、软著以及相关创新信息得分类编码规则，消除创新成果归类口径差异。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统计指标标准化：规范专利授权日期、研发统计年度、项目立项时间、研发费用统计口径、首套认定层级等关键字段填报规范，统一金额、数量计量单位。</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3、创新和企业关联融合治理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专利号/项目立项编号双主键，将知识产权权属信息、科委科创项目台账、经信委业务收集的企业创新数据与企业基础档案联动匹配，构建“企业主体—知识产权储备—企业创新数据”全链路关联模型，实现单户企业全创新资源一键溯源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分档分级存储：归档存储已终止专利、结题项目、历史认定创新成果等静态历史档案；分区动态存储在审专利、在研项目、新增研发机构、当年研发投入等动态台账数据。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知识产权局新增专利与软著登记数据、按季度更新科委科创项目立项/结题数据、年度归集经信委收集的企业创新数据，配套月度数据巡检治理，动态更新专利失效、项目变更、研发机构升级等变动信息。</w:t>
            </w:r>
          </w:p>
        </w:tc>
      </w:tr>
      <w:tr w14:paraId="03EF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737D24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14</w:t>
            </w:r>
          </w:p>
        </w:tc>
        <w:tc>
          <w:tcPr>
            <w:tcW w:w="0" w:type="auto"/>
            <w:vAlign w:val="center"/>
          </w:tcPr>
          <w:p w14:paraId="3389F75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4EE24B2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企业库-企业政策数据库</w:t>
            </w:r>
          </w:p>
        </w:tc>
        <w:tc>
          <w:tcPr>
            <w:tcW w:w="4667" w:type="dxa"/>
            <w:vAlign w:val="center"/>
          </w:tcPr>
          <w:p w14:paraId="5A68DCE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发改委、财政局、以及经信委自有业务部门收集数据，建设国家/上海市/区级经信领域惠企政策条目、政策解读、申报指南、企业申报名单、审核结果、补贴拨付金额与时间、政策兑现台账、资质准入政策、技改补贴、创新扶持、稳增长、纾困帮扶等专项政策、政策实施效果评估数据等相关数据的全量归集、治理、存储，实现企业政策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冗余数据剔除：清理跨部门重复录入的同一政策条目、同一企业同批次补贴记录，废止失效、已到期作废政策条目、作废撤销的补贴申报项目数据，剔除政策文号、补贴金额、申报企业等关键字段空白残缺数据。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异常数据校核：针对补贴拨付金额、拨付时间、政策兑现户数等异常数值，反向对接发改、财政、经信业务科室逐项档案核验修正，剔除逻辑矛盾数据。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2、政策数据标准化治理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政策类目标准化：按照国家/市级/区级层级和政策类型（资质准入/技改补贴/创新扶持/纾困帮扶/稳增长）统一分类编码规则，统一三部门政策命名、专项归类口径。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指标口径标准化：规范政策生效时间、申报周期、补贴核算规则、资金拨付统计时点、成效评估统计标准，统一补贴金额计量单位。</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3、政策和企业关联融合治理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政策文号以及项目申报编号复合主键，将发改政策文件、财政资金拨付台账、经信申报审核数据与企业基础档案联动匹配，构建“政策条目—申报企业—项目审核—补贴拨付—落地成效”全链路关联模型，实现单户企业全周期享受政策清单一键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分档分级存储：归档存储已废止到期政策、完结项目历史兑现档案；分区动态存储现行有效政策、在审申报项目、当月新增补贴拨付台账。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新出台政策与新增申报数据、按月归集财政局补贴拨付台账、按季度更新发改委产业政策与绩效评估数据，配套月度数据巡检治理，动态更新政策废止、项目驳回、补贴变更等变动信息。</w:t>
            </w:r>
          </w:p>
        </w:tc>
      </w:tr>
      <w:tr w14:paraId="3055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8DD025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15</w:t>
            </w:r>
          </w:p>
        </w:tc>
        <w:tc>
          <w:tcPr>
            <w:tcW w:w="0" w:type="auto"/>
            <w:vAlign w:val="center"/>
          </w:tcPr>
          <w:p w14:paraId="21B0057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8CDBC9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企业库-企业招商数据库</w:t>
            </w:r>
          </w:p>
        </w:tc>
        <w:tc>
          <w:tcPr>
            <w:tcW w:w="4667" w:type="dxa"/>
            <w:vAlign w:val="center"/>
          </w:tcPr>
          <w:p w14:paraId="07C875A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商务局、投促中心以及经信委自有业务部门收集数据，建设企业迁入迁出记录、招商引资签约项目清单、招商金额、项目建设进度、招商状态、招商载体（园区/厂房）信息、外资招商项目、产业链精准招商项目、招商对接活动记录、项目要素保障需求等招商相关数据的全量归集、治理、存储，实现企业招商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冗余去重处理：剔除跨部门重复报送的同一个招商签约项目记录，清理终止搁置、作废取消的无效招商项目，删除项目名称、签约金额、落地载体关键字段空白残缺数据。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异常数据校核：针对签约投资额、项目建设周期、厂房面积等异常数值，反向对接商务局、投促中心、经信委相关业务科室逐项档案核验修正，剔除逻辑矛盾数据。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2、招商数据标准化治理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项目分类标准化：统一外资招商、产业链精准招商、一般性产业招商分类编码，规范在谈、签约、在建、投产、终止五大项目状态划分标准，统一园区 / 厂房载体分类规则。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指标口径标准化：规范签约日期、投资额统计口径、建设周期、载体面积计量单位、要素需求填报规范，统一三部门统计周期标准。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3、招商项目、企业和产业链载体关联融合治理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 项目备案编号、产业链载体编码复合主键，将商务外资数据、投促项目与载体台账、企业迁徙及产业链招商数据和企业基础档案联动匹配，构建“招商项目—落地企业—落地载体—全周期建设进度—要素保障需求”全链路数据模型，实现单个项目全链条信息一键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分档分级存储：归档存储已竣工投产、终止作废项目历史档案；分区动态存储在谈、新签约、在建项目与闲置载体资源台账。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投促中心新增签约项目与载体变动数据、按月归集商务局外资项目及招商活动台账、季度更新经信委企业迁徙与产业链招商储备清单，配套月度巡检治理，实时更新项目投产、选址变更、载体出租盘活等变动信息。</w:t>
            </w:r>
          </w:p>
        </w:tc>
      </w:tr>
      <w:tr w14:paraId="3510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05F4AC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16</w:t>
            </w:r>
          </w:p>
        </w:tc>
        <w:tc>
          <w:tcPr>
            <w:tcW w:w="0" w:type="auto"/>
            <w:vAlign w:val="center"/>
          </w:tcPr>
          <w:p w14:paraId="72C59B9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21EE2EF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企业库-企业统计数据库</w:t>
            </w:r>
          </w:p>
        </w:tc>
        <w:tc>
          <w:tcPr>
            <w:tcW w:w="4667" w:type="dxa"/>
            <w:vAlign w:val="center"/>
          </w:tcPr>
          <w:p w14:paraId="498CAE8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统计局以及经信委自有业务部门收集数据，建设企业月度/年度财务报表、工业总产值、出口交货值、能源消费量、工业投资数据、信息通信领域、新型储能产业、绿色低碳、集成电路、人工智能、智能制造、高端装备、重大装备、汽车等相关企业统计数据的全量归集、治理、存储，实现企业统计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冗余数据去重：剔除跨部门重复报送的同一企业同期统计记录，清理关停注销企业无效存量统计数据，剔除产值、能耗、投资额等关键指标全空的残缺报表。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异常数据校核：针对工业总产值、能耗消费量、投资额、出口交货值等畸高畸低异常数值，反向对接统计局、经信委业务科室联动企业核验修正，剔除逻辑矛盾、错报漏报数据。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2、统计数据标准化治理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行业分类标准化：严格参照国标国民经济行业分类，统一信息通信、储能、集成电路、汽车、高端装备等细分产业编码，统一两部门行业归类口径。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统计指标标准化：统一月度/年报统计时点、产值计价规则、能耗统计计量单位、投资统计口径，规范财务科目填报标准，消除部门间指标统计规则差异。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3、统计数据和企业关联融合治理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统计报表期别双主键，将统计局常规统计报表、经信委重点产业专项统计数据与企业基础档案联动匹配，构建“企业主体—分月度/年度全维度经营指标—细分产业专项数据”全链路数据模型，实现单户企业历年统计指标一键溯源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分档分级存储：归档存储历年已终审年度统计历史档案；分区动态存储当月快报、在审月度统计报表、重点产业实时摸排数据。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统计局规上企业月度统计报表、按季度归集经信委新兴产业专项运行数据、年度更新全年决算统计数据，配套月度数据稽核治理，动态更新企业关停、升规入统、行业变更等主体变动信息。</w:t>
            </w:r>
          </w:p>
        </w:tc>
      </w:tr>
      <w:tr w14:paraId="2A7C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51A1D2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17</w:t>
            </w:r>
          </w:p>
        </w:tc>
        <w:tc>
          <w:tcPr>
            <w:tcW w:w="0" w:type="auto"/>
            <w:vAlign w:val="center"/>
          </w:tcPr>
          <w:p w14:paraId="35DCF67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8E763B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企业库-企业类型标签数据库</w:t>
            </w:r>
          </w:p>
        </w:tc>
        <w:tc>
          <w:tcPr>
            <w:tcW w:w="4667" w:type="dxa"/>
            <w:vAlign w:val="center"/>
          </w:tcPr>
          <w:p w14:paraId="5FE9E17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构建企业类型标签数据库，用于企业多维度标签的定义、归集、动态更新、分类管理与精准匹配，建设标签数据包括：规上工业/规下企业、专精特新/小巨人/单项冠军企业、高新技术企业、瞪羚/独角兽企业、上市/拟上市企业、国有企业/ 民营企业/外资企业、大中小微型企业、所属细分行业、所属园区、数字化转型等级、绿色制造等级、智能制造等级、重点监测企业、产业链核心企业、百强企业等，实现企业类型标签数据库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冗余清洗：剔除重复推送的同一企业同类标签，清理已失效（资质过期、企业注销、迁出）的无效标签。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异常校验：核对企业统一社会信用代码有效性，剔除主体不存在、标签分类明显错配的错误数据。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2、标签标准化治理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统一标签类目编码：对所有制、企业规模、科创资质、制造评级、园区、行业等建立国标统一编码字典，统一各部门标签命名与分级规则。</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规范标签生效规则：明确各类资质标签生效起止时间，区分永久标签、有效期动态标签（如高新、专精特新三年有效期标签）。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3、标签和企业关联融合治理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以企业统一社会信用代码为唯一关联键，将多来源分散标签统一挂载至对应企业主体，构建“一户企业+多维度全标签”结构化数据模型，实现单企业全标签一键查询、多标签组合筛选。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分层存储：固定基础属性标签（行业、所有制、园区）归档存储，有效期动态资质标签（高新、专精特新、各类评级）分区动态管理。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常态化更新：按月同步新增认定、资质到期、企业升规、企业改制、企业搬迁等标签变更数据，季度开展全库标签巡检校准，保证标签时效性。</w:t>
            </w:r>
          </w:p>
        </w:tc>
      </w:tr>
      <w:tr w14:paraId="24B2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D13427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18</w:t>
            </w:r>
          </w:p>
        </w:tc>
        <w:tc>
          <w:tcPr>
            <w:tcW w:w="0" w:type="auto"/>
            <w:vAlign w:val="center"/>
          </w:tcPr>
          <w:p w14:paraId="66E8BE3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09D73E9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企业库-企业低碳数据库</w:t>
            </w:r>
          </w:p>
        </w:tc>
        <w:tc>
          <w:tcPr>
            <w:tcW w:w="4667" w:type="dxa"/>
            <w:vAlign w:val="center"/>
          </w:tcPr>
          <w:p w14:paraId="2189208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自然资源和规划局以及经信委自有业务部门收集数据，建设企业企业年度综合能耗、单位产值能耗、碳排放核算数据、节能改造项目情况、绿电使用比例、环保排污许可信息、碳核查报告、产品碳足迹报告、绿色工厂/绿色供应链/绿色园区认定情况、无废企业/园区建设情况、双碳相关项目进展等相关数据的全量归集、治理、存储，实现企业低碳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冗余数据剔除：清理跨部门重复报送的同一企业同期能耗、碳排记录，剔除关停注销企业无效存量低碳数据，删除能耗数值、项目编号、认定资质等关键字段空白残缺数据。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异常数据校核：针对综合能耗、单位产值能耗、绿电占比、碳排放量等畸高畸低异常数值，反向对接自然资源规划局、经信委相关业务处室逐项核验修正，剔除错报漏报、逻辑矛盾数据。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2、低碳数据标准化治理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类目分类标准化：统一能耗类型、节能改造项目、绿色制造（绿色工厂/供应链）、无废主体、双碳项目分类编码规则，统一两部门绿色资质认定层级划分标准。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统计指标标准化：规范能耗统计年度、碳核算计价与计量单位、绿电统计口径、项目建设周期填报规则，统一环保许可有效期、绿色资质生效起止日期标准。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3、低碳数据和企业关联融合治理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统计年度双主键，将自然资源规划局环保与碳核查数据、经信委能耗及绿色项目台账与企业基础档案联动匹配，构建“企业主体—年度能耗碳排—环保资质—绿色认定—节能技改项目”全链路数据模型，实现单户企业历年低碳指标一键溯源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分档分级存储：归档存储已完结年度碳核查、历史绿色资质档案；分区动态存储当年实时能耗、在建节能项目、新增绿色认定台账。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经信委相关业务部门收集的能耗与绿电使用数据、按季度归集自然资源规划局排污及碳核查数据、年度更新绿色工厂/无废企业认定清单，配套月度数据巡检治理，动态更新企业技改完工、资质失效、能耗异常整改等变动信息。</w:t>
            </w:r>
          </w:p>
        </w:tc>
      </w:tr>
      <w:tr w14:paraId="4CB1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19D4E2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19</w:t>
            </w:r>
          </w:p>
        </w:tc>
        <w:tc>
          <w:tcPr>
            <w:tcW w:w="0" w:type="auto"/>
            <w:vAlign w:val="center"/>
          </w:tcPr>
          <w:p w14:paraId="6ACC754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40BB09D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企业库-企业制造数据库</w:t>
            </w:r>
          </w:p>
        </w:tc>
        <w:tc>
          <w:tcPr>
            <w:tcW w:w="4667" w:type="dxa"/>
            <w:vAlign w:val="center"/>
          </w:tcPr>
          <w:p w14:paraId="62756507">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统计局以及经信委自有业务部门收集数据，实现企业企业智能制造等级、智能工厂、工业企业机器人密度、高端装备、重大装备、汽车、机械工业、能源装备等相关企业制造数据的全量归集、治理、存储，实现企业制造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冗余数据剔除：清理跨部门重复报送的同一企业同期制造指标记录，剔除关停退出企业无效存量数据，删除机器人数量、智能制造等级、装备类型等关键字段空白残缺数据。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异常数据校核：针对机器人密度、装备投资额、细分产业产值等异常数值，联动统计局、经信委业务处室复核校验，修正错报、漏报数据。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2、制造数据标准化治理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产业类目标准化：参照国民经济行业分类，统一智能制造、高端装备、重大装备、汽车、机械工业、能源装备分类编码，统一智能工厂、智能制造等级划分标准。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统计口径标准化：规范机器人统计计量单位、智能制造评级生效时间、产值统计周期、装备项目填报规则，统一两部门统计核算标准。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3、制造数据和企业关联融合治理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以企业统一社会信用代码和统计年度双主键，将统计局行业统计报表、经信委智能制造及装备专项台账与企业基础档案匹配绑定，构建“企业主体 — 智能制造评级 — 机器人配置 — 细分装备产业运行指标”全链路数据模型，实现单户企业历年制造指标一键查询。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分档分级存储：归档存储历年已终审年度制造统计历史档案；分区动态存储当月快报、新增智能工厂认定、在建装备技改项目台账。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常态化更新机制：按月同步统计局规上制造企业统计数据、按季度归集经信委智能制造评定与装备产业摸排数据，年度完成全库数据巡检校准，动态更新企业技改完工、智能制造等级升级、行业变更等信息。</w:t>
            </w:r>
          </w:p>
        </w:tc>
      </w:tr>
      <w:tr w14:paraId="06E4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96A3E5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20</w:t>
            </w:r>
          </w:p>
        </w:tc>
        <w:tc>
          <w:tcPr>
            <w:tcW w:w="0" w:type="auto"/>
            <w:vAlign w:val="center"/>
          </w:tcPr>
          <w:p w14:paraId="5BE5E47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D79D1A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企业库-企业案例数据库</w:t>
            </w:r>
          </w:p>
        </w:tc>
        <w:tc>
          <w:tcPr>
            <w:tcW w:w="4667" w:type="dxa"/>
            <w:vAlign w:val="center"/>
          </w:tcPr>
          <w:p w14:paraId="656C4D74">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中国电子信息行业联合会发布以及经信委自有业务部门收集数据，建设本市AI+新材料应用示范案例、国家级原材料中试平台、国家新材料任务、案例、国家生物制造任务、案例、本市新材料首批次应用、化工行业生产型企业、时尚消费品领域数字化转型应用场景、“上海设计100+”入围情况、“上海制造品牌”等相关数据的全量归集、治理、存储，实现企业案例数据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1、原始数据清洗治理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冗余剔除：删除同一企业重复收录的同类示范案例、已废止失效（项目停产、平台撤销）无效案例。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异常校验：核验企业统一社会信用代码有效性，剔除主体注销、信息残缺、关键字段（案例名称、项目类型、认定年份）空白的无效数据。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2、案例标准化治理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分类标准化：统一案例类目编码，区分国家级/市级两级案例层级；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字段标准化：规范案例认定年度、项目落地周期、示范类型、应用领域填报格式，统一首批次、中试平台、示范项目的认定规则释义。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3、案例与企业关联融合治理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以企业统一社会信用代码为关联键，将案例数据统一挂载至对应企业，形成“一户企业+多领域全案例”结构化数据模型，支持按行业、案例类型、认定级别多条件筛选检索。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4、分级存储与常态化更新治理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分层存储：历史已完结案例归档存储，当年新增示范项目、新入围品牌案例分区动态管理。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常态化更新：按年度同步中国电子信息行业联合会国家级新立项任务案例，按月归集经信委新增首批次、示范场景、品牌入围清单，每年开展全库案例盘点清理。</w:t>
            </w:r>
          </w:p>
        </w:tc>
      </w:tr>
      <w:tr w14:paraId="1BB6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DE7FAC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21</w:t>
            </w:r>
          </w:p>
        </w:tc>
        <w:tc>
          <w:tcPr>
            <w:tcW w:w="0" w:type="auto"/>
            <w:vAlign w:val="center"/>
          </w:tcPr>
          <w:p w14:paraId="478D649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659A24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空间地理库-空间地理信息库</w:t>
            </w:r>
          </w:p>
        </w:tc>
        <w:tc>
          <w:tcPr>
            <w:tcW w:w="4667" w:type="dxa"/>
            <w:vAlign w:val="center"/>
          </w:tcPr>
          <w:p w14:paraId="07B3E72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汇集经信委自有业务部门收集数据，建设园区数据（工业园/文创园/软信园/科技园等各类园区、产业基地/产业社区边界），工业地块数据（现状和规划地块、工业供地计划），创新资源数据（研发机构、孵化器、加速器、中试平台、检验检测、试验验证、成果转化平台等类型，也可以是制造业创新中心、企业技术中心等，以及支撑产业发展的重大科技基础设施等），企业数据（产值/营收、从业人员、产业类型、企业资质标签等），产业结构数据（重点产业链的内涵及对应企业）等相关数据的全量归集、治理、存储，实现空间地理信息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源数据汇聚与整合：从市大数据中心、委内业务系统、多元主体填报等来源采集汇聚空间地理数据。对采集到的数据进行清洗，去除重复数据和错误信息，统一数据格式和编码标准；通过ID等唯一标识，关联不同来源的同一对象的空间地理数据，形成标准化的空间地理主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2、空间地理主数据管理：对有关空间地理的各类数据进行集中管理，建立数据索引，便于查询和管理。支持信息的查询、新增、编辑和删除，记录信息变更历史。</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3、数据管理与更新：支持工作人员对库内数据进行日常管理，包括新增空间地理信息、编辑已有数据、删除无效数据；系统定期同步各来源的更新数据，确保数据的时效性。</w:t>
            </w:r>
          </w:p>
        </w:tc>
      </w:tr>
      <w:tr w14:paraId="76ED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DEF11B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22</w:t>
            </w:r>
          </w:p>
        </w:tc>
        <w:tc>
          <w:tcPr>
            <w:tcW w:w="0" w:type="auto"/>
            <w:vAlign w:val="center"/>
          </w:tcPr>
          <w:p w14:paraId="1786761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C6C179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空间地理库-地理坐标与地图底层能力管理</w:t>
            </w:r>
          </w:p>
        </w:tc>
        <w:tc>
          <w:tcPr>
            <w:tcW w:w="4667" w:type="dxa"/>
            <w:vAlign w:val="center"/>
          </w:tcPr>
          <w:p w14:paraId="79D18BD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统一归集管理产业、项目、企业等各类业务要素的地图坐标与图层资源，提供地址</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坐标双向转换、坐标在线修正、多形态地图能力封装服务，为产业地图、项目落图、企业点位展示等前端可视化应用，提供统一可复用的底层地理能力底座。委内相关业务要素落图需求如下：①主导产业集聚区：展示范围、集聚区名称，实现空间范围面图层渲染，展示集聚区名称、主导产业领域、用地面积、域内可招商面积并开放场景调用；②企业要素：展示产业类别、企业名称，实现企业点位撒点，展示企业名称、企业类型（链主、高成长、核爆企业等）、所属产业领域、营业收入、就业人数、产业链定位；③高校科研院所：展示机构名称、机构类别、能级信息，实现机构点位展示，输出机构名称、机构类型（高等院校、研发机构）及产业领域；④创新平台：展示机构名称、类别、能级，完成平台点位落图，展示平台名称、平台分类（协会联盟包含行业协会、产业联盟；公共平台包含制造业创新中心、产业技术基础公共服务平台、企业技术中心、检验检测试验验证平台、重大科技基础设施、加速器服务器等）以及对应产业领域；⑤产业规划布局：覆盖总体布局、分片区分类型的区域布局、十大产业行业布局，从点、线、面多维度完成产业规划空间布局地图标注。坐标数据补充来源：企业注册地址取自市大数据中心法人库企业登记信息表；项目、地块坐标来源于产业园区处项目申报及项目跟踪业务数据，通过地址</w:t>
            </w:r>
            <w:r>
              <w:rPr>
                <w:rFonts w:hint="eastAsia" w:ascii="Times New Roman" w:hAnsi="Times New Roman" w:cs="宋体"/>
                <w:color w:val="000000"/>
                <w:kern w:val="0"/>
                <w:sz w:val="22"/>
                <w:szCs w:val="22"/>
                <w:lang w:bidi="ar"/>
              </w:rPr>
              <w:noBreakHyphen/>
            </w:r>
            <w:r>
              <w:rPr>
                <w:rFonts w:hint="eastAsia" w:ascii="Times New Roman" w:hAnsi="Times New Roman" w:cs="宋体"/>
                <w:color w:val="000000"/>
                <w:kern w:val="0"/>
                <w:sz w:val="22"/>
                <w:szCs w:val="22"/>
                <w:lang w:bidi="ar"/>
              </w:rPr>
              <w:t>坐标转换完成统一落图。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具体实现内容：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1、点位撒点与坐标管控：实现产业、项目、企业数据地图落图落点，提供图层调用管理、全量坐标数据统一管理；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2、地址 - 坐标双向转换：系统自动解析地址完成坐标转换，支持园区、新供地等特殊地块手动编辑、在线修正坐标；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3、多形态地图能力封装：封装 2D/2.5D 等不同类型地图调用接口，支撑前端可视化展示。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4、空间地理库基础数据按年度开展更新；对于实时性要求高的项目落图场景，依靠手动坐标修正、在线纠偏保障落图效果；高校科研院所、创新平台的 “能级” 字段，入库前需联合市大数据中心确认业务口径，固化标准字典；统一全局坐标体系，规避多源坐标标准混用造成点位落图偏移问题。</w:t>
            </w:r>
          </w:p>
        </w:tc>
      </w:tr>
      <w:tr w14:paraId="61D1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4F3E77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23</w:t>
            </w:r>
          </w:p>
        </w:tc>
        <w:tc>
          <w:tcPr>
            <w:tcW w:w="0" w:type="auto"/>
            <w:vAlign w:val="center"/>
          </w:tcPr>
          <w:p w14:paraId="6C02903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3963C10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空间地理库-空间绘图与图层运维管理</w:t>
            </w:r>
          </w:p>
        </w:tc>
        <w:tc>
          <w:tcPr>
            <w:tcW w:w="4667" w:type="dxa"/>
            <w:vAlign w:val="center"/>
          </w:tcPr>
          <w:p w14:paraId="42F23B1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1、电子围栏配置管理：支持点位闭合连线绘制围栏（首尾坐标重合），可自定义围栏名称、分类（新供地、产业园区等）与在线编辑；</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2、可视化专题数据封装：封装重点企业热力图数据源，支撑产业热力可视化；</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3、地图基础操作 + 图层生命周期管理：包含地图重置、清空撒点等快捷操作；提供图层台账展示、上下架审批管理能力。</w:t>
            </w:r>
          </w:p>
        </w:tc>
      </w:tr>
      <w:tr w14:paraId="7338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CE647F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24</w:t>
            </w:r>
          </w:p>
        </w:tc>
        <w:tc>
          <w:tcPr>
            <w:tcW w:w="0" w:type="auto"/>
            <w:vAlign w:val="center"/>
          </w:tcPr>
          <w:p w14:paraId="6964280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42603EB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空间地理库-产业地图-调用管理</w:t>
            </w:r>
          </w:p>
        </w:tc>
        <w:tc>
          <w:tcPr>
            <w:tcW w:w="4667" w:type="dxa"/>
            <w:vAlign w:val="center"/>
          </w:tcPr>
          <w:p w14:paraId="01534987">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支持调用资源配置及权限控制，形成经信委地图资源管理支撑能力，可赋能委内其他信息化平台。</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1.支持调用密钥管理；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2.支持配置调用数据权限及范围（如园区数据、供地数据、企业数据等）；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3.支持调用类型分类管理；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4.支持调用分析，包括调用次数、调用服务器等；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5.支持对地图能力调用关闭及开启操作。</w:t>
            </w:r>
          </w:p>
        </w:tc>
      </w:tr>
      <w:tr w14:paraId="71E0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97AB28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25</w:t>
            </w:r>
          </w:p>
        </w:tc>
        <w:tc>
          <w:tcPr>
            <w:tcW w:w="0" w:type="auto"/>
            <w:vAlign w:val="center"/>
          </w:tcPr>
          <w:p w14:paraId="5320D79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2DFA915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主题数据库-经济运行主题库</w:t>
            </w:r>
          </w:p>
        </w:tc>
        <w:tc>
          <w:tcPr>
            <w:tcW w:w="4667" w:type="dxa"/>
            <w:vAlign w:val="center"/>
          </w:tcPr>
          <w:p w14:paraId="00A5C0BF">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基于企业库、空间地理基础数据，聚焦经济运行分析业务需求，汇聚梳理全市经济运行的相关数据，包括市规上工业总产值、全市规上工业总产值增速、全市规上工业月度产值、全市规上工业月度产值增速、全市规上工业增加值月度增速全市规上工业增加值累计增速、17个重点集团总产值、17个重点集团总产值增速、17个重点集团月度产值、17个重点集团月度产值增速、16个区、临港新片区管委会、化工区管委会总产值、16个区、临港新片区管委会、化工区管委会总产值增速、16个区、临港新片区管委会、化工区管委会月度产值、16个区、临港新片区管委会、化工区管委会月度产值增速、三大先导产业累计产值、三大先导产业累计产值增速、战略性新兴产业累计产值、战略性新兴产业累计产值增速等数据，进行数据收集、融合治理、存储，形成经济运行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经济运行主题库数据来源包括：企业经营库明细、企业基本信息库明细和空间地理信息明细库，根据统计口径差异处理不同部门对 “总产值、增速、增加值” 的统计口径、计算规则、时间周期，建立一套统一的业务规则，完成口径对齐与偏差修正，确保数据可比、可汇总。</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企业宏观维度映射维护要把单企业数据，映射到 “区域、集团、产业” 等宏观维度上，维护企业与集团归属、产业分类、区域归属的动态关系，确保汇总数据可向下溯源至企业明细。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2、多维度指标体系构建与复杂计算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多维度指标建模要构建覆盖“全市—区域—集团—产业”的多维度指标体系，每个维度都要维护总量、增速、月度/累计、同比/环比等衍生指标，工作量远大于企业库的单条记录存储。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复杂指标计算逻辑开发 增速、累计值、占比、贡献率等指标需要开发自动计算逻辑，还要处理企业入库/退库、统计口径调整、数据修正等历史数据回溯问题，保证指标的准确性和连续性。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时间序列数据管理需要建立完整的时间序列模型，维护月度、年度数据的连续性，处理跨期数据修正、口径变更带来的历史数据重算，这是基础库不涉及的工作。</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多轮数据校验规则开发 除了企业明细的基础校验，还要增加宏观层面的校验：</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总量校验：分区域 / 分产业数据加总，需与全市总量数据保持一致；逻辑校验：增速、增加值率等指标需在合理区间内，异常数据自动预警；交叉校验：企业库明细、统计快报、集团报送数据三方比对，发现并修正数据偏差。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数据修正与回溯机制 建立数据错误修正、口径调整、企业变更后的回溯重算流程，保证历史数据的一致性，这是一个持续的维护性工作量。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面向分析场景的数据模型设计 为月度简报、趋势分析、区域对标、重点集团监测等业务场景，设计专门的数据模型，优化查询效率，支撑多维度下钻分析。</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标准化数据接口与服务封装 为可视化大屏、报表系统、业务分析工具提供统一的数据服务，包括接口开发、权限控制、数据缓存、并发处理等，确保多应用同时调用时的稳定性。</w:t>
            </w:r>
          </w:p>
        </w:tc>
      </w:tr>
      <w:tr w14:paraId="3731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DDB877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26</w:t>
            </w:r>
          </w:p>
        </w:tc>
        <w:tc>
          <w:tcPr>
            <w:tcW w:w="0" w:type="auto"/>
            <w:vAlign w:val="center"/>
          </w:tcPr>
          <w:p w14:paraId="29E8B76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5FCF9AD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主题数据库-企业培育主题库</w:t>
            </w:r>
          </w:p>
        </w:tc>
        <w:tc>
          <w:tcPr>
            <w:tcW w:w="4667" w:type="dxa"/>
            <w:vAlign w:val="center"/>
          </w:tcPr>
          <w:p w14:paraId="3A750AF2">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基于企业库、空间地理基础数据，聚焦企业培育工作的业务需求，汇聚梳理全市企业培育的相关数据，包括梯度企业发展现状及培育情况数据（创新型中小企业、专精特新中小企业、专精特新“小巨人”企业、瞪羚、独角兽、单项冠军等）、潜力企业识别情况、企业走访调研和诉求办理情况、中小企业投资、融资、订单、用工等趋势情况、中小企业特色产业集群、“小快轻准”数字化产品情况、中小企业服务机构情况、各区企业服务工作站点情况等数据，进行数据收集、融合治理、存储，形成企业培育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企业培育主题库的数据源跨多个基础库：企业基本信息数据库、企业服务数据库、企业产业链数据库、企业产品数据库、企业投融资库和空间地理信息库，需要完成跨库数据对接。数据类型多样：包含资质类（专精特新、小巨人、瞪羚、独角兽、单项冠军）、业务类（走访调研、诉求办理、服务包）、经营类（投资、融资、订单、用工）、产业类（特色产业集群、“小快轻准” 产品）、空间类（各区企业服务站点、区域分布）等多种数据，需统一接入并关联到企业主体。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2、多维度指标体系构建与复杂计算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企业培育主题库需面向培育业务场景，构建多层级、多维度的指标体系，而非简单存储明细数据。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企业培育数据来源分散、业务场景复杂，需建立多层级数据校验规则，保障数据质量。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企业培育主题库需直接支撑业务部门的培育工作，需面向具体业务场景进行数据模型设计与服务封装。</w:t>
            </w:r>
          </w:p>
        </w:tc>
      </w:tr>
      <w:tr w14:paraId="179B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6D32C1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27</w:t>
            </w:r>
          </w:p>
        </w:tc>
        <w:tc>
          <w:tcPr>
            <w:tcW w:w="0" w:type="auto"/>
            <w:vAlign w:val="center"/>
          </w:tcPr>
          <w:p w14:paraId="6E50070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0F2ACE7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主题数据库-市区协同主题库</w:t>
            </w:r>
          </w:p>
        </w:tc>
        <w:tc>
          <w:tcPr>
            <w:tcW w:w="4667" w:type="dxa"/>
            <w:vAlign w:val="center"/>
          </w:tcPr>
          <w:p w14:paraId="783EADB9">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基于企业库、空间地理基础数据，聚焦市区协同产业发展的业务需求，汇聚梳理市区产业链发展的相关数据，包括产业规划信息、产业链结构树信息、十五五重点产业链数据、各区主导企业特色赛道产业数据、产业集群评估数据、企业所属产业链信息等，进行数据收集、融合治理、存储，形成市区协同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市区协同主题库的核心是打通三大基础库：企业基本信息库、企业产业链数据库、空间地理信息库，需完成跨库数据接入、权限申请与数据整合。数据类型多样：涵盖市级/区级产业规划、产业链节点与层级、企业产业链归属、产业集群信息、空间地理数据，需将规划、企业、空间三类数据统一关联，形成“规划-产业-企业-空间”的全链条数据模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2、多维度指标体系构建与复杂计算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市区协同主题库需面向市区两级产业协同业务，构建多维度、多层级的指标体系，而非简单存储明细数据。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市区协同数据跨部门、跨层级，需建立多层级数据校验规则，保障数据一致性与准确性。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市区协同主题库需直接支撑市区两级产业协同业务，需面向具体场景进行数据模型设计与服务封装。</w:t>
            </w:r>
          </w:p>
        </w:tc>
      </w:tr>
      <w:tr w14:paraId="398A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4DF883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28</w:t>
            </w:r>
          </w:p>
        </w:tc>
        <w:tc>
          <w:tcPr>
            <w:tcW w:w="0" w:type="auto"/>
            <w:vAlign w:val="center"/>
          </w:tcPr>
          <w:p w14:paraId="4E7A7E3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4C4855E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主题数据库-产业载体主题库</w:t>
            </w:r>
          </w:p>
        </w:tc>
        <w:tc>
          <w:tcPr>
            <w:tcW w:w="4667" w:type="dxa"/>
            <w:vAlign w:val="center"/>
          </w:tcPr>
          <w:p w14:paraId="0E143D9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基于企业库、空间地理基础数据，聚焦产业载体发展工作的业务需求，汇聚梳理产业园区等载体的相关数据，包括全市重点项目和园区考核的相关数据，包括园区信息、园区考核数据、项目数据（智造空间项目、区新供地项目、战略预留区新增地项目、市统筹新增建设用地指标项目）等，进行数据收集、融合治理、存储，形成产业载体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产业载体主题库的核心是打通“园区-项目-企业-空间”的数据链路，数据来源跨部门、跨业务，口径差异大，是建设中最核心的基础工作。</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2、多维度指标体系构建与复杂计算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产业载体主题库需面向园区管理、项目调度、载体统筹等业务场景，构建多维度、多层级的指标体系，而非简单存储明细数据。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产业载体数据跨部门、跨层级、跨业务，需建立多层级数据校验规则，保障数据一致性与准确性。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产业载体主题库需直接支撑园区管理、项目调度、载体统筹等业务，需面向具体场景进行数据模型设计与服务封装。</w:t>
            </w:r>
          </w:p>
        </w:tc>
      </w:tr>
      <w:tr w14:paraId="424A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E3B50E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29</w:t>
            </w:r>
          </w:p>
        </w:tc>
        <w:tc>
          <w:tcPr>
            <w:tcW w:w="0" w:type="auto"/>
            <w:vAlign w:val="center"/>
          </w:tcPr>
          <w:p w14:paraId="149ACDC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1D5702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主题数据库-智能制造主题库</w:t>
            </w:r>
          </w:p>
        </w:tc>
        <w:tc>
          <w:tcPr>
            <w:tcW w:w="4667" w:type="dxa"/>
            <w:vAlign w:val="center"/>
          </w:tcPr>
          <w:p w14:paraId="443BB991">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要包括：智能工厂、重大装备、工业服务全链条业务数据，涵盖各级智能工厂名录、工业机器人保有量、航空船舶航天国产装备交付清单、多类型工业服务业营收、产业互联网平台经营、市级质检中心台账等信息，开展多源数据归集、清洗、治理、存储，形成智能制造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智能制造数据跨委办、企业库、行业协会多源头接入，产业链层级、业务场景口径差异大，以 “企业 - 装备 - 服务” 数据链路打通为核心，统一数据标准，完成多源数据融合归一。</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2、多维度指标体系构建与复合计算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面向智能工厂培育、重大装备交付、工业服务配套三大可视化场景，搭建分层分级指标体系，支持智能化改造、装备国产化、生产性服务业发展各类衍生指标复合运算。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覆盖工厂名录、装备交付、企业营收全量数据，建立多层级数据校验规则，完成字段完整性、逻辑一致性、数值合理性校验，保障展示数据准确可靠。</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主题库支撑智能制造主题屏可视化展示、产业分析、政策研判等业务场景，面向大屏展示需求完成数据模型适配、标准化接口封装，保障前端指标高效调取。</w:t>
            </w:r>
          </w:p>
        </w:tc>
      </w:tr>
      <w:tr w14:paraId="1A2C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CC5203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30</w:t>
            </w:r>
          </w:p>
        </w:tc>
        <w:tc>
          <w:tcPr>
            <w:tcW w:w="0" w:type="auto"/>
            <w:vAlign w:val="center"/>
          </w:tcPr>
          <w:p w14:paraId="41726DD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5DEBEAD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主题数据库-人工智能主题库</w:t>
            </w:r>
          </w:p>
        </w:tc>
        <w:tc>
          <w:tcPr>
            <w:tcW w:w="4667" w:type="dxa"/>
            <w:vAlign w:val="center"/>
          </w:tcPr>
          <w:p w14:paraId="3E9CA32E">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主要包括：规上 AI 企业、具身智能产业产值、备案大模型、算力基础设施、语料供给、AI 人才、行业组织、OPC 产业社区、模速 / 模力集聚园区企业产值等全维度数据，开展多源数据归集、清洗、治理、存储，形成人工智能主题库。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人工智能数据来源覆盖统计局、网信办、人社局、第三方平台、载体上报，跨部门、跨场景数据标准不统一，核心打通 “算力 - 数据 - 算法 - 企业 - 人才” 数据链路，统一统计口径完成融合治理。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2、多维度指标体系构建与复合计算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面向 AI 产业规模、三要素资源、产业生态集聚三大可视化展示场景，搭建多层级指标体系，支撑产业产值、算力规模、人才数量、园区集聚规模等复合指标自动计算。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针对企业产值、算力台账、人才信息、园区经营数据建立分层校验规则，校验数据完整性、逻辑匹配性、时序连续性，保障上屏展示数据稳定准确。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主题库支撑人工智能主题屏可视化展示、产业生态监测、园区载体分析等业务场景，面向大屏展示需求定制数据模型、封装标准化数据服务接口，保障指标快速渲染展示。</w:t>
            </w:r>
          </w:p>
        </w:tc>
      </w:tr>
      <w:tr w14:paraId="091A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67C5A6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31</w:t>
            </w:r>
          </w:p>
        </w:tc>
        <w:tc>
          <w:tcPr>
            <w:tcW w:w="0" w:type="auto"/>
            <w:vAlign w:val="center"/>
          </w:tcPr>
          <w:p w14:paraId="2BA62E2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2145D2E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主题数据库-新兴产业主题库</w:t>
            </w:r>
          </w:p>
        </w:tc>
        <w:tc>
          <w:tcPr>
            <w:tcW w:w="4667" w:type="dxa"/>
            <w:vAlign w:val="center"/>
          </w:tcPr>
          <w:p w14:paraId="0EB9CDD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主要包括：新一代电子信息、智能网联新能源汽车、高端装备、先进材料、新能源及绿色低碳、时尚消费品六大新兴产业全产业数据，开展多源数据归集、清洗、治理、存储，形成新兴产业主题库。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1、数据融合与统计口径一致性治理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新兴产业数据跨统计局、各业务条线、企业库、第三方平台多源头汇聚，六大新兴产业统计口径、数据维度差异较大，以 “产业 - 企业 - 项目 - 载体” 全域数据链路为核心，统一数据标准完成跨赛道数据融合归一。</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2、多维度指标体系构建与复合计算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面向六大新兴产业细分主题屏可视化展示需求，分赛道搭建多维度、多层级指标体系，覆盖产业规模、产能产量、创新项目、绿色转型、品牌培育等各类业务场景，支持多类型复合指标自动运算。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覆盖电子信息、汽车、装备、新材料、绿色低碳、时尚消费品全赛道明细数据，建立分行业多层级数据校验规则，校验字段完整性、数值逻辑、时序一致性，保障各主题屏展示数据统一准确。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主题库支撑六大新兴产业主题大屏可视化、产业运行分析、项目调度、园区管理等业务场景，按细分赛道分别封装适配大屏展示的数据模型与标准化服务接口，实现各主题屏指标独立、高效调取渲染。</w:t>
            </w:r>
          </w:p>
        </w:tc>
      </w:tr>
      <w:tr w14:paraId="3B1B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9D2E4F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32</w:t>
            </w:r>
          </w:p>
        </w:tc>
        <w:tc>
          <w:tcPr>
            <w:tcW w:w="0" w:type="auto"/>
            <w:vAlign w:val="center"/>
          </w:tcPr>
          <w:p w14:paraId="5AA789E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6861AA5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主题数据库-产业风险主题库</w:t>
            </w:r>
          </w:p>
        </w:tc>
        <w:tc>
          <w:tcPr>
            <w:tcW w:w="4667" w:type="dxa"/>
            <w:vAlign w:val="center"/>
          </w:tcPr>
          <w:p w14:paraId="05D0ECD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基于企业信用数据库、经营数据库、用工数据库、统计数据库、资质数据库、招商数据库与产业链数据库，构建产业风险数据资产，形成企业风险画像、分级预警与产业链风险传导分析能力，支撑产业安全监测与重点企业稳企帮扶。</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数据范围：司法涉诉与失信记录、行政处罚与经营异常、月度营收与纳税异动、订单与产能大幅波动、社保参保与用工骤减、资质有效期与到期未复核、企业迁出与注销、重点产业链关键环节企业分布与替代关系、重点用能及外贸依存企业的外部风险敞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1、多源融合与统计口径一致性治理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打通企业信用库、经营库、用工库、统计库、资质库、招商库与产业链库，以统一社会信用代码为统一主键，建立风险事件唯一标识与跨库去重规则，避免同一风险事件多源重复计入风险企业清单。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统一风险事件分类编码（司法类/行政类/经营类/用工类/信用类/外迁类）、异动判定阈值口径与统计周期，支持按行业、规模、区域差异化配置阈值；明确产业链关键环节企业认定口径与风险传导关系计算规则，消除多部门风险信息口径差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2、多维度指标体系构建与复合计算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构建“企业—区域—行业—产业链”四维度风险指标体系，包含风险企业数量与分级分布、风险发生率、营收下滑幅度、用工骤减比例、新增失信与处罚记录数、资质到期未复核数、外迁与注销企业数等基础指标，以及企业风险综合评分、区域风险指数、行业风险集中度、产业链风险传导度等复合指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开发风险评分模型与分级规则（一般提醒/重点关注/高风险），支持阈值可配置、实时重算与名单动态更新；处理企业状态变更、风险事件修复撤销后的历史留痕与评分回溯，形成连续可比的月度风险时间序列。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3、数据校验与质量保障体系建设</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风险事件有效性校验：已履行、已撤销、已修复记录及时更新与标注；主体有效性校验：企业注销、迁出后风险记录的归属与停更处理；逻辑校验：异动幅度需在合理区间，排除季节性因素与统计口径调整造成的伪异动；重复校验：同一风险事件跨部门重复报送的合并去重。</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配套预警误报反馈与规则迭代优化机制，持续提升预警准确率，避免预警泛化。</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4、业务场景适配与数据服务封装</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封装风险企业查询、预警推送、帮扶任务生成、风险态势统计等标准化接口</w:t>
            </w:r>
          </w:p>
        </w:tc>
      </w:tr>
      <w:tr w14:paraId="4019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EF9CF3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33</w:t>
            </w:r>
          </w:p>
        </w:tc>
        <w:tc>
          <w:tcPr>
            <w:tcW w:w="0" w:type="auto"/>
            <w:vAlign w:val="center"/>
          </w:tcPr>
          <w:p w14:paraId="708E180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163DFD6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共性支撑能力-数据源管理</w:t>
            </w:r>
          </w:p>
        </w:tc>
        <w:tc>
          <w:tcPr>
            <w:tcW w:w="4667" w:type="dxa"/>
            <w:vAlign w:val="center"/>
          </w:tcPr>
          <w:p w14:paraId="632FE961">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 xml:space="preserve">1.提供企业库、空间地理库、主题库等数据管理。 </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2.数据源更新频率维护，提供数据源更新频率的台账查看。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3.数据批量操作与快速检索：支持多库数据批量导入/导出（Excel 格式）、批量修改基础属性；提供 “库类 + 数据类型 + 更新时间 + 关键字” 多维度检索，支持结果筛选与导出。</w:t>
            </w:r>
          </w:p>
        </w:tc>
      </w:tr>
      <w:tr w14:paraId="72A9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F76A97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34</w:t>
            </w:r>
          </w:p>
        </w:tc>
        <w:tc>
          <w:tcPr>
            <w:tcW w:w="0" w:type="auto"/>
            <w:vAlign w:val="center"/>
          </w:tcPr>
          <w:p w14:paraId="2650767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7DCFE6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共性支撑能力-产业数据报告</w:t>
            </w:r>
          </w:p>
        </w:tc>
        <w:tc>
          <w:tcPr>
            <w:tcW w:w="4667" w:type="dxa"/>
            <w:vAlign w:val="center"/>
          </w:tcPr>
          <w:p w14:paraId="7418B372">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 指标分析与对比</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自动执行关键指标的同比、环比、区域间对比运算。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报告生成与管理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模板化报告生成：内置月度、季度、专项报告模板，支持一键生成涵盖“中小企业运行监测月报”、“专精特新培育情况汇报”、“各区主导产业集群评估报告”、“产业园区发展报告”等多类专题报告。</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内容可调整：系统生成报告初稿后，支持业务人员在线补充、修改文字内容与分析结论。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便捷导出：调整完成后，可一键导出为排版规范的 Word 或 PDF 格式汇报文件。</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报告查询：所有生成报告自动归档，支持按时间、类型等条件进行便捷查询与复用。</w:t>
            </w:r>
          </w:p>
        </w:tc>
      </w:tr>
      <w:tr w14:paraId="4EC8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9FE4AB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35</w:t>
            </w:r>
          </w:p>
        </w:tc>
        <w:tc>
          <w:tcPr>
            <w:tcW w:w="0" w:type="auto"/>
            <w:vAlign w:val="center"/>
          </w:tcPr>
          <w:p w14:paraId="0B849D8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数据底座</w:t>
            </w:r>
          </w:p>
        </w:tc>
        <w:tc>
          <w:tcPr>
            <w:tcW w:w="0" w:type="auto"/>
            <w:vAlign w:val="center"/>
          </w:tcPr>
          <w:p w14:paraId="799D12F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共性支撑能力-标签管理</w:t>
            </w:r>
          </w:p>
        </w:tc>
        <w:tc>
          <w:tcPr>
            <w:tcW w:w="4667" w:type="dxa"/>
            <w:vAlign w:val="center"/>
          </w:tcPr>
          <w:p w14:paraId="19EDB1C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支持标签分类的新增（支持手动新增和模板导入，支持配置是否允许标签分类重名）、删除、修改、查询。支持标签在标签体系分类下进行调整（支持单个调整，批量调整）。面向企业、园区、产业集聚区、产业集群、产业链等，支持标签自定义、标签配置管理、标签规则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标签创建，创建信息包括，标签名称、更新周期、失效时间、标签类型、标签分类、标签值类型、规则依赖指标、具体规则、业务口径、宽表名称、需求人。其中枚举型标签需要额外选择依赖的维表，页面提供选择的维表查看详情功能；</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3.复合标签新增时，需要选择依赖的纵表，能够设置复合标签的列顺序及列的基本类型、包括指标、文本、枚举、日期。</w:t>
            </w:r>
          </w:p>
        </w:tc>
      </w:tr>
      <w:tr w14:paraId="01A8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AF0082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36</w:t>
            </w:r>
          </w:p>
        </w:tc>
        <w:tc>
          <w:tcPr>
            <w:tcW w:w="0" w:type="auto"/>
            <w:vAlign w:val="center"/>
          </w:tcPr>
          <w:p w14:paraId="3574E41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05ECA6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主题屏展示-首屏</w:t>
            </w:r>
          </w:p>
        </w:tc>
        <w:tc>
          <w:tcPr>
            <w:tcW w:w="4667" w:type="dxa"/>
            <w:vAlign w:val="center"/>
          </w:tcPr>
          <w:p w14:paraId="2F87A3EA">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1.统筹展示领导关注的产业经济面上数据指标；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2.专题导航区：设置主题屏快捷访问入口，可一键切换跳转对应业务页面。</w:t>
            </w:r>
          </w:p>
        </w:tc>
      </w:tr>
      <w:tr w14:paraId="1DCA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2A13346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37</w:t>
            </w:r>
          </w:p>
        </w:tc>
        <w:tc>
          <w:tcPr>
            <w:tcW w:w="0" w:type="auto"/>
            <w:vAlign w:val="center"/>
          </w:tcPr>
          <w:p w14:paraId="3DCE700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33AC46E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主题屏展示-企业培育主题屏</w:t>
            </w:r>
          </w:p>
        </w:tc>
        <w:tc>
          <w:tcPr>
            <w:tcW w:w="4667" w:type="dxa"/>
            <w:vAlign w:val="center"/>
          </w:tcPr>
          <w:p w14:paraId="7329987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聚焦企业梯度培育，展示相关工作情况：</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1.以可视化方式展示企业培育相关指标，包括梯度企业具体情况（创新型中小企业、专精特新中小企业、专精特新 “小巨人” 企业，瞪羚企业、独角兽企业、单项冠军的数量和分布）、培育企业情况（数量、产业分布、年度趋势、发展阶段）、潜力企业识别情况等。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2.借助“一张图”能力，实现对培育企业撒点并展示企业信息。</w:t>
            </w:r>
          </w:p>
        </w:tc>
      </w:tr>
      <w:tr w14:paraId="4E3C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64FB18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38</w:t>
            </w:r>
          </w:p>
        </w:tc>
        <w:tc>
          <w:tcPr>
            <w:tcW w:w="0" w:type="auto"/>
            <w:vAlign w:val="center"/>
          </w:tcPr>
          <w:p w14:paraId="3A595BD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1125D10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主题屏展示-市区协同主题屏</w:t>
            </w:r>
          </w:p>
        </w:tc>
        <w:tc>
          <w:tcPr>
            <w:tcW w:w="4667" w:type="dxa"/>
            <w:vAlign w:val="center"/>
          </w:tcPr>
          <w:p w14:paraId="72D0C5A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聚焦市区产业布局与产业链协同发展，以产业规划与产业链结构数据为核心，直观展现全市及各区产业发展格局。</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1.通过产业结构树展示十五五重点产业链、各区主导产业特色赛道产业链，挂载关联企业。展示各产业链的产业规模、产业增长趋势、企业数量等统计信息。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2.提供产业链的关联企业地图撒点和企业信息展示；提供重点产业承载区域图层展示及关联企业统计信息展示。</w:t>
            </w:r>
          </w:p>
        </w:tc>
      </w:tr>
      <w:tr w14:paraId="5F39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3A22CE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39</w:t>
            </w:r>
          </w:p>
        </w:tc>
        <w:tc>
          <w:tcPr>
            <w:tcW w:w="0" w:type="auto"/>
            <w:vAlign w:val="center"/>
          </w:tcPr>
          <w:p w14:paraId="2FA1774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069C53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主题屏展示-产业载体主题屏</w:t>
            </w:r>
          </w:p>
        </w:tc>
        <w:tc>
          <w:tcPr>
            <w:tcW w:w="4667" w:type="dxa"/>
            <w:vAlign w:val="center"/>
          </w:tcPr>
          <w:p w14:paraId="54BFDAC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可视化展示园区、用地项目等数据指标内容：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1.各产业园区考核情况展示。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2.项目数据（智造空间项目、区新供地项目、战略预留区新增地项目、市统筹新增建设用地指标项目）展示。</w:t>
            </w:r>
          </w:p>
        </w:tc>
      </w:tr>
      <w:tr w14:paraId="67DF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01708D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40</w:t>
            </w:r>
          </w:p>
        </w:tc>
        <w:tc>
          <w:tcPr>
            <w:tcW w:w="0" w:type="auto"/>
            <w:vAlign w:val="center"/>
          </w:tcPr>
          <w:p w14:paraId="4EBA8EF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60AC34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主题屏展示-智能制造主题屏</w:t>
            </w:r>
          </w:p>
        </w:tc>
        <w:tc>
          <w:tcPr>
            <w:tcW w:w="4667" w:type="dxa"/>
            <w:vAlign w:val="center"/>
          </w:tcPr>
          <w:p w14:paraId="45F1CA04">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依托智能制造主题库多维度业务数据，划分两大功能模块搭建可视化展示体系，实现智能制造发展态势直观呈现。</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 智能工厂可视化监测功能，依托委办共享、企业库、委内业务沉淀数据，归集各级智能工厂、工业机器人及用工基础台账，直观展示领航 / 卓越 / 市级智能工厂数量、每万人机器人台套数，量化呈现制造业智能化改造与标杆培育成效。</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重大装备交付动态展示功能，对接企业上报清单数据，汇总航空、船舶、商业航天领域国产装备交付明细，实时展示 C919 飞机、LNG 船、商业火箭卫星等国之重器交付量，直观体现高端装备产业国产化发展实力。</w:t>
            </w:r>
          </w:p>
        </w:tc>
      </w:tr>
      <w:tr w14:paraId="0176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F99605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41</w:t>
            </w:r>
          </w:p>
        </w:tc>
        <w:tc>
          <w:tcPr>
            <w:tcW w:w="0" w:type="auto"/>
            <w:vAlign w:val="center"/>
          </w:tcPr>
          <w:p w14:paraId="0A11DBA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A24345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主题屏展示-人工智能主题屏</w:t>
            </w:r>
          </w:p>
        </w:tc>
        <w:tc>
          <w:tcPr>
            <w:tcW w:w="4667" w:type="dxa"/>
            <w:vAlign w:val="center"/>
          </w:tcPr>
          <w:p w14:paraId="09F7C612">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 智能经济产业规模监测功能，依托统计局、企业库共享数据，归集规上 AI、具身智能企业清单与季度产值数据，直观展示人工智能产业整体营收规模、细分赛道企业发展体量，量化呈现智能经济产业发展能级。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AI 核心三要素全景展示功能，整合网信办、委内沉淀、外部第三方多源数据，汇聚备案大模型、算力基础设施、语料供给三类核心资源台账，可视化呈现算法、算力、数据供给配套资源储备情况，完整展现人工智能底层支撑能力。</w:t>
            </w:r>
          </w:p>
        </w:tc>
      </w:tr>
      <w:tr w14:paraId="5D2D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2A778F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42</w:t>
            </w:r>
          </w:p>
        </w:tc>
        <w:tc>
          <w:tcPr>
            <w:tcW w:w="0" w:type="auto"/>
            <w:vAlign w:val="center"/>
          </w:tcPr>
          <w:p w14:paraId="5DD8085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3C43BC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主题屏展示-新兴产业主题屏-新一代电子信息主题屏</w:t>
            </w:r>
          </w:p>
        </w:tc>
        <w:tc>
          <w:tcPr>
            <w:tcW w:w="4667" w:type="dxa"/>
            <w:vAlign w:val="center"/>
          </w:tcPr>
          <w:p w14:paraId="5A35CE0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 电子制造产业产值监测功能，整合统计局、行业协会、企业库多源共享数据，归集计算机、通信、电子元器件等细分领域规上企业产值台账，直观展示各细分赛道产业规模，清晰呈现电子制造整体发展情况。</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核心终端产品产能展示功能，依托委内业务沉淀与企业上报数据，汇总手机、计算机、服务器等核心电子产品产量数据，动态呈现终端制造产能供给实力，展示终端产品生产规模。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 龙头企业梯队可视化功能，汇聚行业企业清单数据，展示全国电子百强企业分布与数量，直观反映区域龙头企业培育成效，体现电子信息产业头部企业的优势情况。</w:t>
            </w:r>
          </w:p>
        </w:tc>
      </w:tr>
      <w:tr w14:paraId="73E0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54ED76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43</w:t>
            </w:r>
          </w:p>
        </w:tc>
        <w:tc>
          <w:tcPr>
            <w:tcW w:w="0" w:type="auto"/>
            <w:vAlign w:val="center"/>
          </w:tcPr>
          <w:p w14:paraId="3CA9C4C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57F01CD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主题屏展示-产业风险主题屏</w:t>
            </w:r>
          </w:p>
        </w:tc>
        <w:tc>
          <w:tcPr>
            <w:tcW w:w="4667" w:type="dxa"/>
            <w:vAlign w:val="center"/>
          </w:tcPr>
          <w:p w14:paraId="318FC75D">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依托产业风险主题库多维业务数据，搭建可视化展示体系，实现全市产业风险态势直观呈现。</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风险态势总览功能，整合企业信用库、经营库、用工库与统计库数据，归集风险企业清单与分级结果，直观展示风险企业总数、分级分布（一般提醒/重点关注/高风险）与风险类型构成（经营类、信用类、用工类、合规类、外迁类），按区域、行业展示风险分布热力，量化呈现全市产业安全总体形势。</w:t>
            </w:r>
          </w:p>
        </w:tc>
      </w:tr>
      <w:tr w14:paraId="201A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608755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44</w:t>
            </w:r>
          </w:p>
        </w:tc>
        <w:tc>
          <w:tcPr>
            <w:tcW w:w="0" w:type="auto"/>
            <w:vAlign w:val="center"/>
          </w:tcPr>
          <w:p w14:paraId="3D8B154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1BBC09F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主题屏展示-移动端展示</w:t>
            </w:r>
          </w:p>
        </w:tc>
        <w:tc>
          <w:tcPr>
            <w:tcW w:w="4667" w:type="dxa"/>
            <w:vAlign w:val="center"/>
          </w:tcPr>
          <w:p w14:paraId="17D6A23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移动端建设以"小屏浏览、外出办公"为核心使用场景，围绕全市产业经济发展的关键业务领域。移动端覆盖企业培育主题屏（培育态势速览）、市区协同主题屏（产业链速览）、产业载体主题屏（园区考核速览）、智能制造主题屏（智能工厂速览）、人工智能主题屏（产业规模速览）五大基础主题；并针对新兴产业方向搭建新一代电子信息（产业产值速览）专屏；同时配套建设产业风险主题屏（风险态势速览）。</w:t>
            </w:r>
          </w:p>
        </w:tc>
      </w:tr>
      <w:tr w14:paraId="03EC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2207ECC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45</w:t>
            </w:r>
          </w:p>
        </w:tc>
        <w:tc>
          <w:tcPr>
            <w:tcW w:w="0" w:type="auto"/>
            <w:vAlign w:val="center"/>
          </w:tcPr>
          <w:p w14:paraId="25144D1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16DF26C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市区产业协同-区级主导产业特色赛道月度进展报告</w:t>
            </w:r>
          </w:p>
        </w:tc>
        <w:tc>
          <w:tcPr>
            <w:tcW w:w="4667" w:type="dxa"/>
            <w:vAlign w:val="center"/>
          </w:tcPr>
          <w:p w14:paraId="09E07B7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建立区级主导产业特色赛道进展常态化监测与报告机制，支撑市级统筹调度与区级工作闭环管理。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数据填报：支持各区按月填报主导产业特色赛道中市区两级专班工作、各区主要进展（发展水平、重大项目、平台载体等），集群动态建设、相关政策措施、专项活动（资金扶持、企业服务等）、变化趋势等内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2.月度进展报告自动生成：基于填报数据自动生成标准化月度进展报告，包含产业运行分析、重点项目进展、存在问题、下一步计划等内容，支持导出 PDF/Word 格式。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3.进度跟踪与督办：报告填报进度跟踪、逾期提醒、市级督办指令下发、区级整改反馈闭环管理。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4.支持月度进展报告收集信息在区级主导产业特色赛道专题分析业务上的数据分析和展示。</w:t>
            </w:r>
          </w:p>
        </w:tc>
      </w:tr>
      <w:tr w14:paraId="45E5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95CF81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46</w:t>
            </w:r>
          </w:p>
        </w:tc>
        <w:tc>
          <w:tcPr>
            <w:tcW w:w="0" w:type="auto"/>
            <w:vAlign w:val="center"/>
          </w:tcPr>
          <w:p w14:paraId="1EA7069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08B3AB9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市区产业协同-产业场景供需对接</w:t>
            </w:r>
          </w:p>
        </w:tc>
        <w:tc>
          <w:tcPr>
            <w:tcW w:w="4667" w:type="dxa"/>
            <w:vAlign w:val="center"/>
          </w:tcPr>
          <w:p w14:paraId="6FCA7B32">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 产业场景需求填报：面向各企业主体提供产业场景需求填报功能，区分链主企业、中小企业不同填报视图；支持附件批量上传、大附件分片断点续传、模板导入、导出等功能；支持各产业场景月报收集任务下发，可指定收集范围、时间、要求，可配置填报截止时间、逾期提醒策略，支持任务预览、批量召回已下发任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产业场景供给能力填报：面向各企业主体提供产业场景供给能力填报功能，支持附件批量上传、模板导入、导出等功能；支持产业场景能力报告收集需求下发，可选择下发范围，如行政区、重点产业承载区、园区等；支持填报草稿保存、中途退出恢复，必填项校验、格式校验，填报操作全程留痕审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 支持需求及供给能力发布审核，区分草稿、待审核、已发布、已驳回状态；审核页面支持批量审核发布、批量驳回，驳回时必须填写驳回理由；支持审核操作日志留存，记录审核人、审核时间、审核意见。</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 支持管理端查看、筛选、导出等操作；支持多条件组合筛选，按行业、区域、发布时间、对接状态筛选；支持单条详情查看、批量台账导出，导出做权限控制，记录导出操作日志；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 基于产业链需求标准化解析、上下游配套企业自动检索、融通合作清单自动生成，实现需求与供给的对接。通过计算需求描述与供给能力的文本相似度等方面进行系统自动匹配推荐。例如，标准化梳理链主企业零部件采购、技术攻关需求，依托文本相似度匹配规则自动检索具备配套能力的中小企业；中小企业发布设备、原材料、技术需求后，系统快速匹配对应创新成果与供给企业；匹配结果仅作为推荐参考，不做业务强制判定，匹配规则支持后台可配置调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 基于自动生成的供需对接清单，同步推送产业融通专项活动报名渠道；支持一键向匹配企业发送站内信 + 短信通知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 跟踪合作洽谈、签约落地全流程，自动统计对接成效，沉淀产业链融通典型案例，确保供需对接闭环。定义匹配生命周期状态：已匹配、洽谈中、已签约、已交付、已评价。供应方上传交付凭证，需求方确认后状态更新；支持需求供给详细详情进展查看，全流程业务操作记录审计日志；支持对接成效多维度统计图表展示，可导出对接分析台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8、实现填报模板版本化管理，后台可维护多版本需求 / 供给填报模板，支持模板生效时间管控，旧模板自动下线归档；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9、增加供需对接业务统计看板，统计需求 / 供给发布数量、匹配成功数量、签约转化率，指标支持下钻至企业明细台账，实现数据溯源；</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10、支持匹配规则模拟快照运算，修改匹配参数后可运行模拟匹配，模拟结果不影响正式业务数据，用于业务人员调参评估；</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11、业务全量快照归档，对已完结的供需对接案例按季度生成业务快照归档，支持历史快照查询回溯；处理重复提交、凭证缺失、状态异常跳转等边界异常场景，完成接口联调、业务场景测试。</w:t>
            </w:r>
          </w:p>
        </w:tc>
      </w:tr>
      <w:tr w14:paraId="410C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33B4A3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47</w:t>
            </w:r>
          </w:p>
        </w:tc>
        <w:tc>
          <w:tcPr>
            <w:tcW w:w="0" w:type="auto"/>
            <w:vAlign w:val="center"/>
          </w:tcPr>
          <w:p w14:paraId="149AA96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0C6269B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企业培育及服务-企业专题调查问卷管理</w:t>
            </w:r>
          </w:p>
        </w:tc>
        <w:tc>
          <w:tcPr>
            <w:tcW w:w="4667" w:type="dxa"/>
            <w:vAlign w:val="center"/>
          </w:tcPr>
          <w:p w14:paraId="367EFF14">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搭建企业诉求与发展情况线上调研平台，支持业务处室根据需求定制专题调查问卷，精准获取企业实际信息，掌握企业经营痛点、政策需求、发展动态等业务所需信息。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1.问卷模板管理：支持创建、编辑、发布企业专题调查问卷，配置不同行业、规模企业的差异化问卷，支持单选、多选、填空、量表等多种题型。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2.企业填报入口：企业通过账号登录或链接扫码方式填写问卷，支持分批次推送、填写进度保存、提交校验。</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3.数据统计分析：自动汇总问卷数据，生成统计报表、图表分析，支持按行业、区县、企业类型筛选分析，识别高频问题与共性需求。</w:t>
            </w:r>
          </w:p>
        </w:tc>
      </w:tr>
      <w:tr w14:paraId="6AD0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6E80AA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48</w:t>
            </w:r>
          </w:p>
        </w:tc>
        <w:tc>
          <w:tcPr>
            <w:tcW w:w="0" w:type="auto"/>
            <w:vAlign w:val="center"/>
          </w:tcPr>
          <w:p w14:paraId="5EED340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CF2EE4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企业培育及服务-优质企业梯度培育-创新型中小企业潜力企业识别</w:t>
            </w:r>
          </w:p>
        </w:tc>
        <w:tc>
          <w:tcPr>
            <w:tcW w:w="4667" w:type="dxa"/>
            <w:vAlign w:val="center"/>
          </w:tcPr>
          <w:p w14:paraId="1EACEB6C">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1.根据《创新型中小企业评价标准》建立创新型中小企业潜力企业识别算法，通过认定标准寻找潜力创新型中小企业。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2.支持管理端查看、筛选、导出等操作潜力企业。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创新型中小企业指标配置及管理：根据《创新型中小企业评价标准》，开发结构化的指标认定标准，主要包括：企业主导产品相关的有效知识产权数量、研发费用总额占营业收入总额比重、主营业务收入增长率、资产负债率、主导产品所属领域、主营业务收入总额占营业收入总额比重等，并提供各指标权重设置，支持根据设定的指标字段自动调整其指标配置。支持对认定标准的各项指标关闭、开启等功能；支持对评定标准启用、关闭操作。</w:t>
            </w:r>
          </w:p>
        </w:tc>
      </w:tr>
      <w:tr w14:paraId="00C9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52D557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49</w:t>
            </w:r>
          </w:p>
        </w:tc>
        <w:tc>
          <w:tcPr>
            <w:tcW w:w="0" w:type="auto"/>
            <w:vAlign w:val="center"/>
          </w:tcPr>
          <w:p w14:paraId="47359C5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EBA853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企业培育及服务-优质企业梯度培育-创新型中小企业全过程管理</w:t>
            </w:r>
          </w:p>
        </w:tc>
        <w:tc>
          <w:tcPr>
            <w:tcW w:w="4667" w:type="dxa"/>
            <w:vAlign w:val="center"/>
          </w:tcPr>
          <w:p w14:paraId="0495C596">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1、区市两级分级线上审核评定：搭建区级初审、市级终审两级专属线上审核操作平台，完全替代线下纸质评审流转。</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标准化智能打分辅助评审：严格对标国家及上海创新型中小企业认定规则，搭建结构化客观打分算法模型。围绕创新投入、研发占比、知识产权数量质量、营收成长性、产业赛道匹配度、合规经营状况等核心指标设置量化计分规则，系统自动抓取企业填报数据完成自动核算打分，生成标准化得分报表。</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企业信息自动交叉数据校验：打通平台内部存量企业数据库，构建填报信息全自动比对校验机制。企业提交参评资料后，系统自动将企业基础资质、经营营收、知识产权、人员规模等填报内容与库内历史备案数据逐项比对，自动标记信息矛盾、数值异常、资料缺失、疑似虚报等异常条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入库企业动态信息管护与到期复核预警：建立入库创新型中小企业长效全周期动态管理机制。企业可自主线上提交经营数据、专利成果、人员、经营地址、联系方式等信息变更申请；变更材料经区、市逐级审核核验无误后，同步更新培育库内企业档案，确保库内信息实时贴合企业实际经营现状。系统内置有效期计时管控，在企业认定资质到期前 60 天自动触发复核提醒；</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5、全流程进度追踪、筛选与操作日志归档；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6、报表导出。</w:t>
            </w:r>
          </w:p>
        </w:tc>
      </w:tr>
      <w:tr w14:paraId="3783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4BBD84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50</w:t>
            </w:r>
          </w:p>
        </w:tc>
        <w:tc>
          <w:tcPr>
            <w:tcW w:w="0" w:type="auto"/>
            <w:vAlign w:val="center"/>
          </w:tcPr>
          <w:p w14:paraId="45649C9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3FD93EA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企业培育及服务-优质企业梯度培育-专精特新中小企业潜力企业识别</w:t>
            </w:r>
          </w:p>
        </w:tc>
        <w:tc>
          <w:tcPr>
            <w:tcW w:w="4667" w:type="dxa"/>
            <w:vAlign w:val="center"/>
          </w:tcPr>
          <w:p w14:paraId="0C44692E">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1.根据《专精特新中小企业认定标准》专精特新中小企业潜力企业识别算法，通过认定标准寻找潜力专精特新企业。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2.支持管理端查看、筛选、导出等操作潜力企业。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3.专精特新中小企业指标配置及管理：根据《专精特新中小企业认定标准》，开发结构化的指标认定标准，主要包括：企近 2 年主营业务收入平均增长率、从事特定细分市场年限、主导产品所属领域情况、数字化水平、质量管理水平、上年度净利润率、资产负债率、所属领域符合本市产业导向、细分市场领先地位、实施特色化经营、主导产品相关的有效知识产权数量、研发费用投入等，并提供各指标权重设置，支持根据设定的指标字段自动调整其指标配置。支持对认定标准的各项指标关闭、开启等功能；支持对评定标准启用、关闭操作。</w:t>
            </w:r>
          </w:p>
        </w:tc>
      </w:tr>
      <w:tr w14:paraId="125F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209829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51</w:t>
            </w:r>
          </w:p>
        </w:tc>
        <w:tc>
          <w:tcPr>
            <w:tcW w:w="0" w:type="auto"/>
            <w:vAlign w:val="center"/>
          </w:tcPr>
          <w:p w14:paraId="51E48E9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83EEA4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企业培育及服务-优质企业梯度培育-专精特新中小企业全过程管理</w:t>
            </w:r>
          </w:p>
        </w:tc>
        <w:tc>
          <w:tcPr>
            <w:tcW w:w="4667" w:type="dxa"/>
            <w:vAlign w:val="center"/>
          </w:tcPr>
          <w:p w14:paraId="30ADB0AE">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面向已认定入库的专精特新中小企业打造全生命周期数字化管控体系，兼顾存量企业动态管护、资质到期复核、市区两级分级核验、专家评审协同、智能打分校验、信息动态更新、台账归档与工信部数据对接能力</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1)分级审核：搭建区级初审、市级复审双层标准化审核流程，适配上海全域各区业务体量，支持单户精细审核、批量集中审核两种操作模式。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资质到期复核与存量数据复用更新：搭建有效期全周期动态监测机制，在企业资质到期前自动提前预警提醒，引导按时发起复核流程。为减轻企业填报压力，复核环节自动复用库内历史备案基础信息、资质、知识产权等存量数据，企业仅补充当年营收、新增专利、研发投入、荣誉奖项等增量材料，杜绝重复填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3）智能数据校验与人机协同核查：建立跨库数据协同校验机制，系统自动比对企业填报内容与平台存量备案数据，对异常数值、信息矛盾、资料缺失自动标记并推送管理人员核查。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 xml:space="preserve">4）市级专家评审协同闭环管理：支撑市级集中评审全流程线上化管控，管理员可自主新建评审批次、划分评审分组、绑定行业专家资源，实现评审任务规范化分配。 </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5）客观评分精细化管控：市级管理员可对企业客观得分进行精细化运维，覆盖营收、利润、专利数量、研发占比等硬性核心指标。支持 Excel 模板批量下载得分台账、人工微调修正、批量回传更新分数；</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6）管理端多维度查询筛选、导出与档案归档：管理后台支持多条件组合检索，可按申报 / 复核批次、所属区域、行业赛道、审核状态、评审得分、资质等级快速筛选企业台账。 支持批量导出企业档案、打分明细、全流程审核记录。</w:t>
            </w:r>
          </w:p>
        </w:tc>
      </w:tr>
      <w:tr w14:paraId="314C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33CE71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52</w:t>
            </w:r>
          </w:p>
        </w:tc>
        <w:tc>
          <w:tcPr>
            <w:tcW w:w="0" w:type="auto"/>
            <w:vAlign w:val="center"/>
          </w:tcPr>
          <w:p w14:paraId="5278F9B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06110EC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企业培育及服务-优质企业梯度培育-专精特新“小巨人”潜力企业识别</w:t>
            </w:r>
          </w:p>
        </w:tc>
        <w:tc>
          <w:tcPr>
            <w:tcW w:w="4667" w:type="dxa"/>
            <w:vAlign w:val="center"/>
          </w:tcPr>
          <w:p w14:paraId="5771516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1.根据《专精特新小巨人企业认定标准》专精特新小巨人企业潜力识别算法，通过认定标准寻找潜力专精特新重点“小巨人”企业。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2.支持管理端查看、筛选、导出等操作潜力企业。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专精特新“小巨人”潜力企业指标配置及管理：根据《专精特新小巨人认定标准》，开发结构化的指标标准认定标准，主要包括：从事特定细分市场时间是否达到3年以上、主营业务收入占营业收入比重是否不低于70%、近2年主营业务收入平均增长率是否不低于5%、主导产品在全国细分市场占有率是否达10%以上、是否拥有直接面向市场并具有竞争优势的自主品牌、是否位于产业链关键环节，发挥“补短板”“锻长板”“填空白”等重要作用、是否已获得省级专精特新中小企业认定（有效期内）等，并提供各指标权重设置，支持根据设定的指标字段自动调整其指标配置。支持对认定标准的各项指标关闭、开启等功能；支持对评定标准启用、关闭操作。</w:t>
            </w:r>
          </w:p>
        </w:tc>
      </w:tr>
      <w:tr w14:paraId="0A3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BF4F28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53</w:t>
            </w:r>
          </w:p>
        </w:tc>
        <w:tc>
          <w:tcPr>
            <w:tcW w:w="0" w:type="auto"/>
            <w:vAlign w:val="center"/>
          </w:tcPr>
          <w:p w14:paraId="5F0899F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80703F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企业培育及服务-优质企业梯度培育-专精特新重点“小巨人”全过程管理</w:t>
            </w:r>
          </w:p>
        </w:tc>
        <w:tc>
          <w:tcPr>
            <w:tcW w:w="4667" w:type="dxa"/>
            <w:vAlign w:val="center"/>
          </w:tcPr>
          <w:p w14:paraId="70305B9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标准化申报与数据复用功能：模块面向全市中小企业开放专精特新重点“小巨人”线上申报通道，配套完善的认定标准查阅、自主自我评价工具，帮助企业提前研判申报资质、排查申报短板，减少无效申报、错报漏报问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多维度智能预审校验功能：系统内置专精特新重点“小巨人”专属智能预审打分算法，对标官方认定指标体系，实现申报材料全方位、自动化合规预审与量化打分，为市区两级工作人员开展企业申报辅导、审核研判提供客观参考依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3、市区两级分级审核与动态通知功能：模块搭建区级遴选推荐、市级汇总备案的两级标准化线上审核流程，完全适配上海市小巨人企业分级培育、逐级上报的业务管理模式。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专家协同评审管理功能：面向市级高阶评审业务场景，系统搭建全流程专家协同评审体系，支持市级管理端自主发起评审批次、创建评审任务，可按照产业链领域、企业规模、细分赛道等维度进行企业分组，精准匹配行业专家开展专项评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潜力企业动态储备与复核全流程管理：系统深度对接专精特新重点“小巨人”潜力企业识别模块结果，实现潜力企业动态挖掘、分层储备、长效管控。管理端可按知识产权储备量、研发投入占比、产业链匹配度、经营成长性等核心维度，精准筛选高阶潜力后备企业，查看企业核心指标得分、综合潜力评级，批量导出潜力企业台账，为常态化培育、靶向赋能提供数据支撑。</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6、管理端运维与标准化归档报表功能：管理端支持全方位、多维度查询、筛选、统计、导出企业申报及入库信息，可按申报批次、所属区域、产业链领域、审核状态、潜力等级、入库时间等多条件组合检索。</w:t>
            </w:r>
          </w:p>
        </w:tc>
      </w:tr>
      <w:tr w14:paraId="1A27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22C1D3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54</w:t>
            </w:r>
          </w:p>
        </w:tc>
        <w:tc>
          <w:tcPr>
            <w:tcW w:w="0" w:type="auto"/>
            <w:vAlign w:val="center"/>
          </w:tcPr>
          <w:p w14:paraId="216AB92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164CE62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企业培育及服务-优质企业梯度培育-市级单项冠军企业全过程管理</w:t>
            </w:r>
          </w:p>
        </w:tc>
        <w:tc>
          <w:tcPr>
            <w:tcW w:w="4667" w:type="dxa"/>
            <w:vAlign w:val="center"/>
          </w:tcPr>
          <w:p w14:paraId="1F2644B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1、标准化线上申报与数据减负功能：面向全市中小企业开放市级单项冠军企业专属线上申报通道，配套完整的申报指南、认定标准、填报规范，支持企业自主查阅对标、前置自查研判，精准匹配申报资质要求。</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市区两级分级审核与批次管理功能：全面适配上海市16+3个区（含金山化工区、临港新片区、长兴岛）区域培育管理架构，搭建区级初审推荐、市级批次终审的两级标准化审核流程，实现权责清晰、逐级上报、分级管控。区级管理端可对辖区内企业申报材料开展完整性、合规性初审，支持通过、不通过、退回补材料等审核操作，退回修改需强制标注具体整改原因，审核通过后可批量上报至市级管理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专家分组协同评审闭环功能：系统搭建市级标准化专家评审协同体系，支撑单项冠军高阶评审业务闭环管理。市级管理员支持批量导入专家资源、赋予专项评审权限，可结合申报批次、细分产业领域创建评审分组，实现企业与专家精准匹配、分赛道专项评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4、到期复核与动态信息更新功能：系统建立市级单项冠军企业有效期动态管控机制，自动记录企业认定有效期、复核周期，在资质到期前自动推送复核提醒，引导企业按期发起复核申报。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潜力企业挖掘与动态储备功能：系统依托企业申报数据、历年审核结果、细分产品市场占有率、技术创新能力、营收成长性、专业化发展水平等多维度指标，构建市级单项冠军潜力企业筛选模型，实现细分赛道优质潜力企业常态化挖掘、分层储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多维度查询、统计与全流程归档功能：管理端支持多条件组合查询、筛选、统计、导出企业申报及入库信息，可按企业名称、统一社会信用代码、申报批次、所属区域、产业领域、审核状态、入库时间、有效期状态、复核周期等维度精准检索，快速定位目标企业。</w:t>
            </w:r>
          </w:p>
        </w:tc>
      </w:tr>
      <w:tr w14:paraId="5BFF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6F0578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55</w:t>
            </w:r>
          </w:p>
        </w:tc>
        <w:tc>
          <w:tcPr>
            <w:tcW w:w="0" w:type="auto"/>
            <w:vAlign w:val="center"/>
          </w:tcPr>
          <w:p w14:paraId="7D5BC869">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5245EA7">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企业培育及服务-优质企业梯度培育-高成长企业潜力企业识别</w:t>
            </w:r>
          </w:p>
        </w:tc>
        <w:tc>
          <w:tcPr>
            <w:tcW w:w="4667" w:type="dxa"/>
            <w:vAlign w:val="center"/>
          </w:tcPr>
          <w:p w14:paraId="1F5005E9">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 根据《高成长企业认定标准》建立高成长企业识别算法，通过认定标准寻找潜力独角兽和瞪羚企业。包括 4 类潜力企业：潜力瞪羚、瞪羚企业、潜力独角兽、独角兽企业；对原始源数据做前置异常过滤，对缺失关键字段、数值逻辑矛盾企业做标记隔离，不参与潜力计算；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 支持管理端查看、筛选、导出等操作潜力企业；支持多维度复合条件筛选，支持单户企业识别详情查看；导出权限做角色管控，记录导出操作审计日志；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 高成长企业潜力企业指标配置及管理：根据《上海市高成长企业认定标准》，结合企业基本数据、经营数据等开发结构化的指标认定标准，主要包括 4 类：潜力瞪羚企业、瞪羚企业、潜力独角兽企业、独角兽企业。</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1）潜力瞪羚企业：是否已被评价认定为创新型中小企业、成立时间大于 3 年、不超过 8 年的非上市企业、从业人数达 50 人以上、近三年营业收入均超过 1000 万元、近三年年均营业收入或利润复合增长率不低于 10% 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2）瞪羚企业：是否已被评价认定为创新型中小企业、从业人数达 50 人以上、近三年营业收入均超过 1000 万元、近三年年均营业收入或利润复合增长率不低于 10%、企业近 3 年研发费用总额占营业收入总额比重均不低于 5% 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3）潜力独角兽企业：成立时间不超过 10 年、是否获得过专业投资机构的私募投资、且尚未上市、最近一轮融资的投后估值超过（含）7 亿元人民币且累计融资额（实缴）超过 3500 万元人民币等。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4）独角兽企业：成立时间不超过 10 年、是否获得过专业投资机构的私募投资、且尚未上市、最近一轮融资的投后估值超过（含）70 亿元人民币且累计融资额（实缴）超过 5000 万元人民币等。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并提供各指标权重设置，支持根据设定的指标字段自动调整其指标配置。支持对认定标准的各项指标关闭、开启等功能；支持对评定标准启用、关闭操作；指标配置修改全程留痕，记录修改人、修改时间，防止误配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 为调整不同指标的权重占比或微调阈值提供实时重新计算并展示新标准下的潜力企业名单；支持模拟演算模式，模拟演算结果不写入正式业务库，仅用于管理人员预评估，区分正式计算与模拟演算两套数据隔离；</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 提供按版本号归档历史各版本的认定标准，并提供不同版本之间的差异对比分析；版本归档后禁止随意修改历史版本，支持不同版本下潜力企业结果回溯比对；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 为管理端提供清晰的可视化看板，支持查看、筛选、导出等基础操作，并提供查看每家企业的 “识别路径”（即每一项指标的得分与达标情况）；支持识别明细台账导出；区分市级、区级角色数据访问权限，区级仅可查看本辖区企业；处理源数据缺失、指标计算异常边界场景，完成规则联调、业务案例测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7.新增潜力企业前置筛查批量任务，支持管理人员手动触发批量重新识别任务，大数量采用后台异步调度执行，避免页面超时。</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8.支持选定历史版本，一键复算历史时刻潜力企业名单，复算结果可导出留存。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9.增加高成长潜力企业统计看板，分区域、分产业统计四类潜力企业数量占比，指标可下钻明细企业，支持溯源查看每家企业原始指标来源。</w:t>
            </w:r>
          </w:p>
        </w:tc>
      </w:tr>
      <w:tr w14:paraId="60D1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34253D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56</w:t>
            </w:r>
          </w:p>
        </w:tc>
        <w:tc>
          <w:tcPr>
            <w:tcW w:w="0" w:type="auto"/>
            <w:vAlign w:val="center"/>
          </w:tcPr>
          <w:p w14:paraId="52966A8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F8131E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企业培育及服务-优质企业梯度培育-独角兽企业全过程管理</w:t>
            </w:r>
          </w:p>
        </w:tc>
        <w:tc>
          <w:tcPr>
            <w:tcW w:w="4667" w:type="dxa"/>
            <w:vAlign w:val="center"/>
          </w:tcPr>
          <w:p w14:paraId="4A635C1B">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标准化认定标准查阅与智能自评功能：面向全市中小企业开放独角兽高成长企业专属对标服务，系统化展示官方认定标准、准入条件、量化指标、申报规范，覆盖企业基础资质、财务成长性、研发创新能力等全维度要求，通过文字说明、标准化表格、指标释义等形式直观呈现申报条件，方便企业精准对标研判。</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2、全流程线上自主申报功能：系统搭建独角兽企业全流程线上申报体系，企业完成自评达标后，可通过专属申报入口完成线上申报填报、佐证材料上传、申报提交全流程操作。</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3、三级联动分级审核评定功能：搭建初审、专业评审、复核审批三级标准化线上审核流程，适配市区两级管理职责，实现审核工作分层推进、权责清晰、流程闭环。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4、状态追踪与双渠道智能推送功能：系统建立全流程申报状态动态追踪机制，覆盖待提交、待初审、初审通过、初审驳回、待专业评审、待复核审批、待补充材料、认定成功、认定失败等全场景状态。</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认定公示与异议闭环处置功能：针对终审通过的独角兽高成长企业，系统支持批量生成公示名单、配置公示周期、发布官方公示公告，公示内容包含企业名称、统一社会信用代码、所属行业、认定编号、申报类型等标准化信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6、全流程日志归档与溯源功能</w:t>
            </w:r>
          </w:p>
        </w:tc>
      </w:tr>
      <w:tr w14:paraId="7263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1" w:type="dxa"/>
            <w:vAlign w:val="center"/>
          </w:tcPr>
          <w:p w14:paraId="580B2C6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57</w:t>
            </w:r>
          </w:p>
        </w:tc>
        <w:tc>
          <w:tcPr>
            <w:tcW w:w="0" w:type="auto"/>
            <w:vAlign w:val="center"/>
          </w:tcPr>
          <w:p w14:paraId="3FB4319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7EDEEEC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企业培育及服务-中小企业服务机构管理-中小企业服务机构申报及审核评定</w:t>
            </w:r>
          </w:p>
        </w:tc>
        <w:tc>
          <w:tcPr>
            <w:tcW w:w="4667" w:type="dxa"/>
            <w:vAlign w:val="center"/>
          </w:tcPr>
          <w:p w14:paraId="497A42D8">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标准化机构信息在线填报功能：系统搭建标准化、模块化的服务机构申报填报体系，面向全市合规运营的中小企业服务机构开放线上申报入口；表单内置字段格式校验、必填项校验，支持填报草稿自动保存，支持附件批量上传、格式大小校验；区分机构管理员、机构经办人账号权限；</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全周期机构信息动态维护功能：系统支持已申报、已入库备案的服务机构开展常态化信息动态更新维护，实现机构信息全生命周期管控；信息变更需要提交变更申请，变更记录全程留痕，记录变更前后内容、操作人、变更时间；</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申报进度全流程查询功能：系统搭建可视化申报进度管控体系，服务机构可实时登录系统查询自身申报全流程状态，覆盖草稿待提交、待区级审核、区级审核不通过、区级审核通过、待市级审核、市级审核通过、市级审核不通过等全场景状态；每个状态节点附带状态说明与时间轴展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申报状态智能推送提醒功能：系统建立申报状态全节点动态监测机制，实时捕捉申报提交、审核流转、结果出具、驳回整改等节点变更信息；支持站内信、短信双通道推送提醒，消息模板后台可维护，推送记录完整留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区级初审核查管理功能：系统设置区级专属审核端口，辖区内所有服务机构申报任务自动归集至区级管理后台，形成统一审核台账。区级管理人员可批量查看待审核申报清单，一键查阅机构全量填报信息；支持单条审核、批量审核，驳回强制填写驳回原因；区级账号做行级数据隔离，仅能操作本辖区机构申报数据，审核操作全部审计留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市级终审评定管理功能：市级管理端统一接收全区初审通过的服务机构申报项目，可完整查阅机构申报全量资料、信用信息、区级审核记录及审核意见，实现多级审核数据联动溯源；支持查看区级审核日志，支持批量筛选、导出申报台账；支持审核意见录入、批量导出评审材料；处理附件缺失、状态跳转异常、重复申报等边界场景，完成多级流程联调、业务测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7、申报填报模板版本化管理，后台维护多套申报模板，可设置生效时间，模板变更记录留痕；支持机构申报材料批量模板导入填报，减少手工录入工作量。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8、机构信息变更触发异动标记，发生关键信息变更后提醒管理人员复核确认。</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9、增加服务机构业务统计视图，统计入库机构数量、申报通过率，可下钻查看机构明细；支持按季度对机构申报业务进行台账快照归档；</w:t>
            </w:r>
          </w:p>
        </w:tc>
      </w:tr>
      <w:tr w14:paraId="49B1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56DB14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58</w:t>
            </w:r>
          </w:p>
        </w:tc>
        <w:tc>
          <w:tcPr>
            <w:tcW w:w="0" w:type="auto"/>
            <w:vAlign w:val="center"/>
          </w:tcPr>
          <w:p w14:paraId="3C36441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08DDE2C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企业培育及服务-中小企业服务机构星级评定全过程管理</w:t>
            </w:r>
          </w:p>
        </w:tc>
        <w:tc>
          <w:tcPr>
            <w:tcW w:w="4667" w:type="dxa"/>
            <w:vAlign w:val="center"/>
          </w:tcPr>
          <w:p w14:paraId="43525C70">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星级评定指标体系配置管理功能：模块依据市级《服务机构星级评定标准》，搭建结构化、可配置、可迭代的星级评定指标库，覆盖机构运营条件、服务能力、服务成效、企业满意度四大一级指标，细分企业规模、团队配置、办公条件、服务案例、研发赋能、服务营收、用户评价等二级量化指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2、入库机构自动评分与智能入围功能：系统联动全市中小企业服务机构入库数据库，依托预设评分算法与指标规则，实现全量入库机构数据自动抓取、智能核算、综合打分，无需人工干预。</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机构自评与全流程线上申报功能：系统搭建规范化星级评定线上申报体系，仅入库备案且自评达标机构可参与申报，设置三星级及以上自评准入门槛，未达标机构无法发起申报。系统提供标准化星级自评工具，支持机构在线完成全维度自评，自动生成、导出、打印《星级自评报告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4、市区两级分级审核与专家评审功能：系统搭建区级初审抽查、市级专家评审、现场核验复核的三级标准化评定流程，适配全市服务机构分级管理体系。</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5、星级机构动态常态化管理功能：系统建立星级机构全周期动态管控机制，明确星级评定一年有效周期，到期前60天自动推送复核提醒，引导机构按期发起年度复核申报。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信用筛查与星级退出闭环功能：系统常态化对接上海市公共信用信息服务平台，建立星级机构信用动态筛查机制，自动识别机构经营异常、严重失信、重大违法违规、行政处罚等不良信息，实时触发系统预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7、典</w:t>
            </w:r>
            <w:commentRangeStart w:id="0"/>
            <w:r>
              <w:rPr>
                <w:rFonts w:hint="eastAsia" w:ascii="Times New Roman" w:hAnsi="Times New Roman" w:cs="宋体"/>
                <w:color w:val="000000"/>
                <w:kern w:val="0"/>
                <w:sz w:val="22"/>
                <w:szCs w:val="22"/>
                <w:lang w:bidi="ar"/>
              </w:rPr>
              <w:t>型案例</w:t>
            </w:r>
            <w:commentRangeEnd w:id="0"/>
            <w:r>
              <w:rPr>
                <w:rStyle w:val="43"/>
                <w:rFonts w:hint="eastAsia" w:ascii="Times New Roman" w:hAnsi="Times New Roman" w:cs="宋体"/>
                <w:color w:val="000000"/>
                <w:kern w:val="0"/>
                <w:sz w:val="22"/>
                <w:szCs w:val="22"/>
                <w:lang w:bidi="ar"/>
              </w:rPr>
              <w:commentReference w:id="0"/>
            </w:r>
            <w:r>
              <w:rPr>
                <w:rFonts w:hint="eastAsia" w:ascii="Times New Roman" w:hAnsi="Times New Roman" w:cs="宋体"/>
                <w:color w:val="000000"/>
                <w:kern w:val="0"/>
                <w:sz w:val="22"/>
                <w:szCs w:val="22"/>
                <w:lang w:bidi="ar"/>
              </w:rPr>
              <w:t>沉淀与资源库建设功能：系统增设服务案例专项管理模块，支持申报机构上传1-3则优质典型服务案例，完整填报服务场景、服务内容、落地成效、企业反馈、数据成果等信息，作为评审打分核心依据。</w:t>
            </w:r>
          </w:p>
        </w:tc>
      </w:tr>
      <w:tr w14:paraId="2C0E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296FF83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59</w:t>
            </w:r>
          </w:p>
        </w:tc>
        <w:tc>
          <w:tcPr>
            <w:tcW w:w="0" w:type="auto"/>
            <w:vAlign w:val="center"/>
          </w:tcPr>
          <w:p w14:paraId="4793210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72665CA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企业培育及服务-中小企业特色产业集群申报及审核评定</w:t>
            </w:r>
          </w:p>
        </w:tc>
        <w:tc>
          <w:tcPr>
            <w:tcW w:w="4667" w:type="dxa"/>
            <w:vAlign w:val="center"/>
          </w:tcPr>
          <w:p w14:paraId="5BFDA0CD">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集群自主申报功能：面向全市符合条件的中小企业特色产业集群申报单位，提供标准化线上申报服务，涵盖集群基础信息、产业特色优势、产业链配套情况、创新发展能力、运营规模、发展规划等全维度填报模块；表单内置字段校验、必填项校验；支持草稿自动保存，支持附件批量上传、分片上传、格式大小校验；支持填报中途退出恢复草稿，区分集群填报账号权限；</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标准化材料上传与合规校验功能：系统梳理固化中小企业特色产业集群申报全套材料清单，明确各类佐证材料的格式、大小、清晰度、完整性要求，统一全市申报材料标准；提交申报前做材料完整性预校验，缺失材料给出明确提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区级初审审核管理功能：系统搭建区级初审专属管理端口，辖区内所有集群申报任务自动归集至区级管理后台；区级账号行级权限隔离，仅处理本辖区集群申报；支持单条审核、批量审核操作，驳回必须填写整改意见，审核操作全程留痕审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市级终审评定管理功能：市级管理端统一接收全区审核通过的集群申报项目，可完整查阅企业申报资料、佐证材料、区级审核意见及审核记录，实现多级审核信息联动溯源；支持查阅区级全部审核操作日志；支持申报材料批量导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全流程状态追踪与智能推送功能：系统搭建申报全生命周期状态动态管控机制，覆盖申报草稿、待区级审核、区级审核驳回、区级审核通过、待市级审核、市级审核驳回、市级审核通过等全场景状态；状态变更触发站内信、短信双通道通知，消息发送记录留存归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管理端多维查询筛选与数据导出功能：管理端支持按申报时间段、申报主体、所属区域、审核状态、审核批次等多条件组合筛选申报项目，快速精准定位目标申报台账；支持台账条件筛选导出，导出操作日志留存；区分市、区两级查看权限；</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新增特色产业集群业务统计看板，统计申报数量、通过数量、区域分布，指标支持明细下钻；支持按申报批次生成业务快照归档，便于后续复盘评估；处理重复申报、附件异常、状态异常流转边界场景，完成多级流程联调、业务场景测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8、申报模板版本管理，后台维护多版集群申报模板，支持生效时间管控；支持集群申报数据模板批量导入。</w:t>
            </w:r>
          </w:p>
        </w:tc>
      </w:tr>
      <w:tr w14:paraId="2F73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B9EEFF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60</w:t>
            </w:r>
          </w:p>
        </w:tc>
        <w:tc>
          <w:tcPr>
            <w:tcW w:w="0" w:type="auto"/>
            <w:vAlign w:val="center"/>
          </w:tcPr>
          <w:p w14:paraId="2B67BE41">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5FA84F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企业培育及服务-“小快轻准”数字化产品申报及审核评定</w:t>
            </w:r>
          </w:p>
        </w:tc>
        <w:tc>
          <w:tcPr>
            <w:tcW w:w="4667" w:type="dxa"/>
            <w:vAlign w:val="center"/>
          </w:tcPr>
          <w:p w14:paraId="36CB471A">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市外企业简易注册申报功能：系统面向市外数字化产品服务商开放简易注册申报通道，实行免资质核验、轻量化注册模式。市外企业无需上传营业执照、经营资质等佐证材料，仅需在线填写企业名称、联系人、联系电话、电子邮箱、登录账号密码等基础信息，申报信息可通过企业基础信息数据库带出，减少输入，完成信息合规校验后即可注册成功、激活申报权限；注册信息做格式校验，重复账号拦截，注册操作留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市内企业合规化实名申报功能：市内企业严格依托上海市政务服务规范，通过法人一证通实现一键实名登录，自动关联企业备案主体信息，保障申报主体真实合规、权责清晰；做登录身份鉴权校验，禁止非本企业账号提交申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3、标准化数字化产品线上申报功能：系统搭建统一标准化的 “小快轻准” 数字化产品申报体系，为所有申报企业提供规范化产品填报端口；表单内置字段校验、必填项校验，支持草稿保存，支持多份附件上传、格式大小校验；提交前预校验材料完整性；</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专家在线评审评定功能：系统搭建专属专家评审端口，实现数字化产品申报项目线上专业化评审闭环；实现评审任务分配、专家打分录入、评审意见填写；配置专家回避规则；评审记录全部归档留痕，专家只能查看分配给自己的评审项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审核状态短信智能推送功能：系统建立评审全流程状态动态监测机制，实时捕捉申报提交、待评审、评审通过、评审驳回等节点状态变更信息。每当产品审核状态发生变更时，系统自动调取企业预留联系电话，触发短信推送机制；同步站内信通知，完整记录消息发送日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管理端全量信息查看管控功能：市级管理端拥有全量申报数据查看权限，可实时查阅全市所有市内、市外企业的数字化产品申报台账，完整展示企业基础信息、企业类型、申报时间、产品详细信息、评审专家、审核意见、审核状态等全维度数据；区分市、区权限，区级仅查看本辖区企业申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7、多维度智能筛选检索功能：支持按产品类型、申报时间、申报主体、评审状态多条件组合筛选检索，支持模糊检索、精确检索。</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8、批量数据导出与统计归档功能：支持多条件筛选后批量导出申报台账、评审记录；导出操作记录审计日志；申报全套材料按批次自动归档；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9、新增 “小快轻准” 产品业务统计看板，统计申报、入库产品数量、服务商分布，指标下钻明细；支持评审批次业务快照归档留存；处理账号重复注册、附件超大、评审任务异常边界场景，完成注册 申报 评审全链路联调与业务测试。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10、服务商注册信息快照留存，记录注册时原始信息，支持历史注册信息回溯查看。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11、申报模板版本管理，后台维护多版产品申报模板，管控模板生效周期。</w:t>
            </w:r>
          </w:p>
        </w:tc>
      </w:tr>
      <w:tr w14:paraId="5B10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F367C8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61</w:t>
            </w:r>
          </w:p>
        </w:tc>
        <w:tc>
          <w:tcPr>
            <w:tcW w:w="0" w:type="auto"/>
            <w:vAlign w:val="center"/>
          </w:tcPr>
          <w:p w14:paraId="68556CB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303972F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企业培育及服务-区域培育水平评价</w:t>
            </w:r>
          </w:p>
        </w:tc>
        <w:tc>
          <w:tcPr>
            <w:tcW w:w="4667" w:type="dxa"/>
            <w:vAlign w:val="center"/>
          </w:tcPr>
          <w:p w14:paraId="26FD3611">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可视化评价指标算法配置功能：系统搭建高灵活度、可自定义的评价指标算法配置体系，支持管理人员按需搭建、迭代优化区域培育评价指标体系，适配不同年度、不同阶段全市中小企业培育工作重点调整需求；指标配置支持开启 / 关闭、权重调整，配置变更全程留痕，记录修改人、修改时间，配置修改后支持模拟预演算，预演算数据与正式评价数据隔离；</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全自动区域培育成效量化评价功能：系统基于已配置的标准化指标算法，自动归集全市各区中小企业培育全量业务数据；评价计算过程完整溯源，每一项指标可下钻至底层业务明细数据；对源数据缺失、异常数值做标记隔离，不直接参与评价计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差异化评价成果分级推送功能：系统搭建分级分权的评价成果推送体系，基于区域权限实现评价报告精准定向推送，严格保障数据分级保密、属地专属查看；市级可查看全部区域评价结果，区级仅查看本区域评价结果；评价报告支持站内信定向下发，记录报告查看、下载日志。</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评价数据导出与台账归档功能：系统支持管理人员一键导出全量评价台账、区域排名数据、单项指标明细、计算公式说明、趋势变化数据等内容，生成标准化、可溯源的评价报表，完整留存评价核算依据，满足工作汇报、专项考核、台账归档、复盘分析等业务需求；评价任务支持手动触发、定时自动执行；评价历史版本完整归档保存，支持历史评价结果回溯比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5、支持不同评价版本结果横向对比，自动输出版本差异对比报表，便于考核规则调整效果评估；评价快照自动归档，保存每一次完整评价原始结果；处理源数据缺失、指标计算异常场景，完成指标配置 计算 报告输出全链路联调、业务测试。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6、评价指标模板版本化管理，支持多套评价方案模板保存、切换、归档，适配每年考核规则变化。</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7、支持异步批量重算评价任务，大计算量后台调度执行，防止页面超时，支持任务进度查看。</w:t>
            </w:r>
          </w:p>
        </w:tc>
      </w:tr>
      <w:tr w14:paraId="5277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02C227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62</w:t>
            </w:r>
          </w:p>
        </w:tc>
        <w:tc>
          <w:tcPr>
            <w:tcW w:w="0" w:type="auto"/>
            <w:vAlign w:val="center"/>
          </w:tcPr>
          <w:p w14:paraId="0833E6D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A2C4A6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企业培育及服务-专项服务-数字化转型综合服务</w:t>
            </w:r>
          </w:p>
        </w:tc>
        <w:tc>
          <w:tcPr>
            <w:tcW w:w="4667" w:type="dxa"/>
            <w:vAlign w:val="center"/>
          </w:tcPr>
          <w:p w14:paraId="202F525F">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1、汇聚数字化转型服务商、“小快轻准” 数字化产品资源池，搭建线上产品智能匹配推荐入口，企业填报转型需求后依托标签算法自动推送适配方案，对企业培育及服务中审核通过的“小快轻准”数字化产品进行优中选优并集中展示，产品全景展示包括适用场景、功能模块、价格区间、服务商信息及客户案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2、线上发布数字化示范沙龙、服务商走访活动，支持企业在线报名、活动成效沉淀入库形成转型案例知识库；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3、融合企业经营、知识产权、政策标签多源数据构建企业数字化画像，自动识别转型短板并推送适配补贴政策；</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4、搭建全渠道企业诉求受理通道，智能分流转型咨询工单，形成 “接收 - 处置 - 回访” 闭环；</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5、内置办事材料自动校验规则，减少企业线下材料补正；</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6、按月汇总区域数字化转型诉求痛点台账，动态优化转型服务供给。</w:t>
            </w:r>
          </w:p>
        </w:tc>
      </w:tr>
      <w:tr w14:paraId="2D2D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99F289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63</w:t>
            </w:r>
          </w:p>
        </w:tc>
        <w:tc>
          <w:tcPr>
            <w:tcW w:w="0" w:type="auto"/>
            <w:vAlign w:val="center"/>
          </w:tcPr>
          <w:p w14:paraId="49E62DBC">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1E75543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企业培育及服务-专项服务-中小企业融资服务对接</w:t>
            </w:r>
          </w:p>
        </w:tc>
        <w:tc>
          <w:tcPr>
            <w:tcW w:w="4667" w:type="dxa"/>
            <w:vAlign w:val="center"/>
          </w:tcPr>
          <w:p w14:paraId="162BE64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1、线上金融产品集市与融资需求采集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搭建线上金融产品集市，归集专精特新贷、信用担保、知识产权质押贷、科创贷等各类政策性信贷产品；通过标准化表单采集企业融资需求（额度、周期、资金用途、抵质押条件），系统自动结构化梳理需求要素，简化企业申报填报工作量。</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2、金融产品精准匹配</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建立信贷产品匹配运算规则，结合企业科创资质、绿色标签、信用记录等维度，自动筛选适配信用贷、知识产权质押贷、专精特新专项贷等金融产品，提升供需对接精准度。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3、优质企业担保"白名单"管理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建立优质企业担保"白名单"数字化管理机制，自动更新名录并同步推送合作银行、担保基金，便于金融机构快速识别优质客户。</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4、线上银企对接融资专场</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线上举办银企对接融资专场活动，支持企业在线提交融资需求，会前批量分发需求清单，提升现场对接意向达成率。</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5、跨部门数据核验与风险筛查</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对接法人公共信用数据库，通过固定风险筛查规则前置识别失信、欠税、经营异常等企业风险信息，自动生成企业融资资质画像并同步推送金融机构参考。</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6、融资对接材料生成与全流程跟踪</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自动整合适配产品申请条件、贴息政策、办理流程，生成标准化企业融资对接方案；全程跟踪融资申请、审批、放款全流程，自动推送材料补正、进度提醒，形成融资帮扶闭环。</w:t>
            </w:r>
          </w:p>
        </w:tc>
      </w:tr>
      <w:tr w14:paraId="6F7C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D1EB1A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64</w:t>
            </w:r>
          </w:p>
        </w:tc>
        <w:tc>
          <w:tcPr>
            <w:tcW w:w="0" w:type="auto"/>
            <w:vAlign w:val="center"/>
          </w:tcPr>
          <w:p w14:paraId="2D933B6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045A9412">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企业培育及服务-专项服务-上市辅导专项服务</w:t>
            </w:r>
          </w:p>
        </w:tc>
        <w:tc>
          <w:tcPr>
            <w:tcW w:w="4667" w:type="dxa"/>
            <w:vAlign w:val="center"/>
          </w:tcPr>
          <w:p w14:paraId="21EF2C1D">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1、搭建线上拟上市企业数字化培育台账，按改制、辅导、申报阶段划分企业培育梯队，实现分层分类精细化管理；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2、为每家拟上市企业建立 “一企一档” 数字档案，完整归集培训参与记录、财务指标、融资历程、诉求办理全轨迹数据；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3、线上发布上市辅导培训活动，支持企业在线报名、课后线上测评，全程留存培育活动数据；</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4、联动梯度培育企业库，自动筛选专精特新、独角兽等高潜力后备上市企业纳入培育池；</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5、匹配上市阶段性扶持政策，自动推送申报提醒、材料模板，降低企业政策申报成本；</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6、动态监测拟上市企业经营、资质到期风险，提前推送复核、辅导办理提示。</w:t>
            </w:r>
          </w:p>
        </w:tc>
      </w:tr>
      <w:tr w14:paraId="4BF6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1" w:type="dxa"/>
            <w:vAlign w:val="center"/>
          </w:tcPr>
          <w:p w14:paraId="095112F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65</w:t>
            </w:r>
          </w:p>
        </w:tc>
        <w:tc>
          <w:tcPr>
            <w:tcW w:w="0" w:type="auto"/>
            <w:vAlign w:val="center"/>
          </w:tcPr>
          <w:p w14:paraId="0650F36F">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6A97A62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企业培育及服务-专项服务-大中小企业融通专项服务</w:t>
            </w:r>
          </w:p>
        </w:tc>
        <w:tc>
          <w:tcPr>
            <w:tcW w:w="4667" w:type="dxa"/>
            <w:vAlign w:val="center"/>
          </w:tcPr>
          <w:p w14:paraId="56CE85FA">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1、覆盖融通活动预告、线上报名、会后合作意向登记全流程线上运营，自动统计每场活动参与企业、意向签约数据并生成可视化看板；</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2、搭建产业链供需线上对接平台，大企业发布技术攻关、配套采购等发榜需求，中小企业在线揭榜投递配套方案；</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3、依托产业链图谱、企业产品标签智能匹配供需双方，促进龙头企业与中小配套企业协同合作；</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4、沉淀产业链对接签约落地案例，形成可检索的产业融通案例资源库；</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5、联动梯度培育引擎，精准推送专精特新配套中小企业至产业链龙头；</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6、按月汇总产业链供需对接成效台账，定位产业链配套堵点，优化产业融通活动策划。</w:t>
            </w:r>
          </w:p>
        </w:tc>
      </w:tr>
      <w:tr w14:paraId="43EA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52DD9CF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66</w:t>
            </w:r>
          </w:p>
        </w:tc>
        <w:tc>
          <w:tcPr>
            <w:tcW w:w="0" w:type="auto"/>
            <w:vAlign w:val="center"/>
          </w:tcPr>
          <w:p w14:paraId="1ADAF63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5D23561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企业培育及服务-专项服务-出海业务专项服务</w:t>
            </w:r>
          </w:p>
        </w:tc>
        <w:tc>
          <w:tcPr>
            <w:tcW w:w="4667" w:type="dxa"/>
            <w:vAlign w:val="center"/>
          </w:tcPr>
          <w:p w14:paraId="2FAABB93">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1、实现重点展会线上一站式服务，支持企业线上完成展会报名、资质审核、参会确认，替代传统线下纸质招募流程；</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2、搭建出海服务商资源池，归集物流、法务、财税、海外营销等专业服务机构，企业按需检索、标签智能匹配服务商；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3、上线专精特新企业 AEO 认证线上培育通道，企业线上提交材料建立出海资质培育清单；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4、归集各国出海政策、市场风险、贸易合规知识，面向企业自动推送对应区域出海风险预警；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5、线上举办出海沙龙、跨境对接专场，支持外资制造、软信企业分类施策专项活动线上报名与诉求收集；</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6、沉淀企业出海服务案例，按行业、出海区域分类归档，为后续企业出海提供参考范本。</w:t>
            </w:r>
          </w:p>
        </w:tc>
      </w:tr>
      <w:tr w14:paraId="5E27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1F528E1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67</w:t>
            </w:r>
          </w:p>
        </w:tc>
        <w:tc>
          <w:tcPr>
            <w:tcW w:w="0" w:type="auto"/>
            <w:vAlign w:val="center"/>
          </w:tcPr>
          <w:p w14:paraId="3D21743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4773A7B0">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企业培育及服务-重点企业风险监测</w:t>
            </w:r>
          </w:p>
        </w:tc>
        <w:tc>
          <w:tcPr>
            <w:tcW w:w="4667" w:type="dxa"/>
            <w:vAlign w:val="center"/>
          </w:tcPr>
          <w:p w14:paraId="3AF4D8A4">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搭建围绕重点培育企业的全周期动态监测预警体系，内置经营异动识别规则，基于月度营收、月度纳税、用工、司法处罚、YQ、资质台账信息，自动捕捉营收大幅下滑、用工骤减、新增失信处罚等经营风险信号，自动发现企业经营异动并进行提示告警；</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2、按风险等级划分一般提醒、重点关注、高风险三类预警信息，定向推送属地企业服务专员；</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3、对专精特新、绿色工厂、高新技术等有效期资质，提前 60/90 天推送复核申报提醒与办事指引；</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4、针对触发经营风险预警的企业，系统自动匹配纾困补贴、融资支持、用工帮扶资源，生成走访帮扶任务；</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5、按月自动汇总区域企业经营风险台账，形成产业发展痛点分析材料。</w:t>
            </w:r>
          </w:p>
        </w:tc>
      </w:tr>
      <w:tr w14:paraId="73E0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7ED15D5">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68</w:t>
            </w:r>
          </w:p>
        </w:tc>
        <w:tc>
          <w:tcPr>
            <w:tcW w:w="0" w:type="auto"/>
            <w:vAlign w:val="center"/>
          </w:tcPr>
          <w:p w14:paraId="1D6B6AA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业务应用</w:t>
            </w:r>
          </w:p>
        </w:tc>
        <w:tc>
          <w:tcPr>
            <w:tcW w:w="0" w:type="auto"/>
            <w:vAlign w:val="center"/>
          </w:tcPr>
          <w:p w14:paraId="3CE6DC63">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企业培育及服务-重点企业培育方案推荐</w:t>
            </w:r>
          </w:p>
        </w:tc>
        <w:tc>
          <w:tcPr>
            <w:tcW w:w="4667" w:type="dxa"/>
            <w:vAlign w:val="center"/>
          </w:tcPr>
          <w:p w14:paraId="7FA18E63">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1、系统比对重点培育企业现有发展状态指标，分析梳理研发投入、专利、营收增速等短板项；</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2、结合短板指标匹配对应扶持政策、数字化改造服务、产学研对接、融资资源，生成个性化培育提升方案建议。</w:t>
            </w:r>
          </w:p>
        </w:tc>
      </w:tr>
      <w:tr w14:paraId="05A3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534ED44">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69</w:t>
            </w:r>
          </w:p>
        </w:tc>
        <w:tc>
          <w:tcPr>
            <w:tcW w:w="0" w:type="auto"/>
            <w:noWrap/>
            <w:vAlign w:val="center"/>
          </w:tcPr>
          <w:p w14:paraId="5A7F024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密码应用建设</w:t>
            </w:r>
          </w:p>
        </w:tc>
        <w:tc>
          <w:tcPr>
            <w:tcW w:w="0" w:type="auto"/>
            <w:vAlign w:val="center"/>
          </w:tcPr>
          <w:p w14:paraId="55871696">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用户身份认证机制及业务应用日志/访问日志完整性</w:t>
            </w:r>
          </w:p>
        </w:tc>
        <w:tc>
          <w:tcPr>
            <w:tcW w:w="4667" w:type="dxa"/>
            <w:vAlign w:val="center"/>
          </w:tcPr>
          <w:p w14:paraId="3A7A6C8F">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1.用户身份认证机制模块：对接用户身份认证机制安全接口</w:t>
            </w:r>
            <w:r>
              <w:rPr>
                <w:rStyle w:val="43"/>
                <w:rFonts w:hint="eastAsia" w:ascii="Times New Roman" w:hAnsi="Times New Roman" w:cs="宋体"/>
                <w:color w:val="000000"/>
                <w:kern w:val="0"/>
                <w:sz w:val="22"/>
                <w:szCs w:val="22"/>
                <w:lang w:bidi="ar"/>
              </w:rPr>
              <w:commentReference w:id="1"/>
            </w:r>
            <w:r>
              <w:rPr>
                <w:rFonts w:hint="eastAsia" w:ascii="Times New Roman" w:hAnsi="Times New Roman" w:cs="宋体"/>
                <w:color w:val="000000"/>
                <w:kern w:val="0"/>
                <w:sz w:val="22"/>
                <w:szCs w:val="22"/>
                <w:lang w:bidi="ar"/>
              </w:rPr>
              <w:t>，包括签名、验签等。</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2.业务应用日志/访问日志完整性模块：完整记录用户操作路径及关键动作，如访问页面、修改数据、触发业务流程节点（如提交、账户变动等），需保留操作前后的数据状态。</w:t>
            </w:r>
          </w:p>
        </w:tc>
      </w:tr>
      <w:tr w14:paraId="0D31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6957B858">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70</w:t>
            </w:r>
          </w:p>
        </w:tc>
        <w:tc>
          <w:tcPr>
            <w:tcW w:w="1552" w:type="dxa"/>
            <w:noWrap/>
            <w:vAlign w:val="center"/>
          </w:tcPr>
          <w:p w14:paraId="6547E63A">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密码应用建设</w:t>
            </w:r>
          </w:p>
        </w:tc>
        <w:tc>
          <w:tcPr>
            <w:tcW w:w="1438" w:type="dxa"/>
            <w:vAlign w:val="center"/>
          </w:tcPr>
          <w:p w14:paraId="12582C3E">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业务重要数据安全传输及应用系统重要数据加解密</w:t>
            </w:r>
          </w:p>
        </w:tc>
        <w:tc>
          <w:tcPr>
            <w:tcW w:w="4667" w:type="dxa"/>
            <w:vAlign w:val="center"/>
          </w:tcPr>
          <w:p w14:paraId="5BA612F3">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1.业务重要数据安全传输模块：采用加密技术对传输数据进行加密处理，确保数据在传输过程中的机密性。接收方需通过密钥或特定算法完成解密，防止数据被非法获取。</w:t>
            </w:r>
            <w:r>
              <w:rPr>
                <w:rFonts w:hint="eastAsia" w:ascii="Times New Roman" w:hAnsi="Times New Roman" w:cs="宋体"/>
                <w:color w:val="000000"/>
                <w:kern w:val="0"/>
                <w:sz w:val="22"/>
                <w:szCs w:val="22"/>
                <w:lang w:bidi="ar"/>
              </w:rPr>
              <w:br w:type="textWrapping"/>
            </w:r>
            <w:r>
              <w:rPr>
                <w:rFonts w:hint="eastAsia" w:ascii="Times New Roman" w:hAnsi="Times New Roman" w:cs="宋体"/>
                <w:color w:val="000000"/>
                <w:kern w:val="0"/>
                <w:sz w:val="22"/>
                <w:szCs w:val="22"/>
                <w:lang w:bidi="ar"/>
              </w:rPr>
              <w:t>2.应用系统重要数据加解密模块：提供对称加密、非对称加密及哈希算法的实现，支持数据加密、解密及完整性验证。</w:t>
            </w:r>
          </w:p>
        </w:tc>
      </w:tr>
    </w:tbl>
    <w:p w14:paraId="4C4F9477">
      <w:pPr>
        <w:rPr>
          <w:rFonts w:ascii="Times New Roman" w:hAnsi="Times New Roman"/>
        </w:rPr>
      </w:pPr>
      <w:r>
        <w:rPr>
          <w:rFonts w:hint="eastAsia" w:ascii="Times New Roman" w:hAnsi="Times New Roman"/>
        </w:rPr>
        <w:br w:type="page"/>
      </w:r>
    </w:p>
    <w:p w14:paraId="23FF7120">
      <w:pPr>
        <w:numPr>
          <w:ilvl w:val="0"/>
          <w:numId w:val="3"/>
        </w:numPr>
        <w:spacing w:before="326" w:beforeLines="100"/>
        <w:rPr>
          <w:rFonts w:ascii="Times New Roman" w:hAnsi="Times New Roman"/>
        </w:rPr>
      </w:pPr>
      <w:r>
        <w:rPr>
          <w:rFonts w:hint="eastAsia" w:ascii="Times New Roman" w:hAnsi="Times New Roman"/>
        </w:rPr>
        <w:t>数据服务清单</w:t>
      </w:r>
    </w:p>
    <w:tbl>
      <w:tblPr>
        <w:tblStyle w:val="37"/>
        <w:tblW w:w="76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050"/>
        <w:gridCol w:w="4888"/>
      </w:tblGrid>
      <w:tr w14:paraId="3A17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19A38E93">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序号</w:t>
            </w:r>
          </w:p>
        </w:tc>
        <w:tc>
          <w:tcPr>
            <w:tcW w:w="2050" w:type="dxa"/>
            <w:vAlign w:val="center"/>
          </w:tcPr>
          <w:p w14:paraId="32A16EDA">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科目名称</w:t>
            </w:r>
          </w:p>
        </w:tc>
        <w:tc>
          <w:tcPr>
            <w:tcW w:w="4888" w:type="dxa"/>
            <w:vAlign w:val="center"/>
          </w:tcPr>
          <w:p w14:paraId="762665AD">
            <w:pPr>
              <w:keepNext/>
              <w:widowControl/>
              <w:snapToGrid w:val="0"/>
              <w:spacing w:line="264" w:lineRule="auto"/>
              <w:ind w:firstLine="0" w:firstLineChars="0"/>
              <w:jc w:val="center"/>
              <w:textAlignment w:val="center"/>
              <w:rPr>
                <w:rFonts w:ascii="Times New Roman" w:hAnsi="Times New Roman" w:cs="宋体"/>
                <w:b/>
                <w:bCs/>
                <w:color w:val="000000"/>
                <w:sz w:val="22"/>
                <w:szCs w:val="22"/>
              </w:rPr>
            </w:pPr>
            <w:r>
              <w:rPr>
                <w:rFonts w:hint="eastAsia" w:ascii="Times New Roman" w:hAnsi="Times New Roman" w:cs="宋体"/>
                <w:b/>
                <w:bCs/>
                <w:color w:val="000000"/>
                <w:kern w:val="0"/>
                <w:sz w:val="22"/>
                <w:szCs w:val="22"/>
                <w:lang w:bidi="ar"/>
              </w:rPr>
              <w:t>数据描述</w:t>
            </w:r>
          </w:p>
        </w:tc>
      </w:tr>
      <w:tr w14:paraId="53E8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733E92D">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1</w:t>
            </w:r>
          </w:p>
        </w:tc>
        <w:tc>
          <w:tcPr>
            <w:tcW w:w="2050" w:type="dxa"/>
            <w:vAlign w:val="center"/>
          </w:tcPr>
          <w:p w14:paraId="5D8540DB">
            <w:pPr>
              <w:keepNext/>
              <w:widowControl/>
              <w:snapToGrid w:val="0"/>
              <w:spacing w:line="264" w:lineRule="auto"/>
              <w:ind w:firstLine="0" w:firstLineChars="0"/>
              <w:jc w:val="center"/>
              <w:textAlignment w:val="center"/>
              <w:rPr>
                <w:rFonts w:ascii="Times New Roman" w:hAnsi="Times New Roman" w:cs="宋体"/>
                <w:color w:val="000000"/>
                <w:sz w:val="22"/>
                <w:szCs w:val="22"/>
              </w:rPr>
            </w:pPr>
            <w:r>
              <w:rPr>
                <w:rFonts w:hint="eastAsia" w:ascii="Times New Roman" w:hAnsi="Times New Roman" w:cs="宋体"/>
                <w:color w:val="000000"/>
                <w:kern w:val="0"/>
                <w:sz w:val="22"/>
                <w:szCs w:val="22"/>
                <w:lang w:bidi="ar"/>
              </w:rPr>
              <w:t>数据服务</w:t>
            </w:r>
          </w:p>
        </w:tc>
        <w:tc>
          <w:tcPr>
            <w:tcW w:w="4888" w:type="dxa"/>
            <w:vAlign w:val="center"/>
          </w:tcPr>
          <w:p w14:paraId="5C1605C5">
            <w:pPr>
              <w:keepNext/>
              <w:widowControl/>
              <w:snapToGrid w:val="0"/>
              <w:spacing w:line="264" w:lineRule="auto"/>
              <w:ind w:firstLine="0" w:firstLineChars="0"/>
              <w:jc w:val="left"/>
              <w:textAlignment w:val="center"/>
              <w:rPr>
                <w:rFonts w:ascii="Times New Roman" w:hAnsi="Times New Roman" w:cs="宋体"/>
                <w:color w:val="000000"/>
                <w:sz w:val="22"/>
                <w:szCs w:val="22"/>
              </w:rPr>
            </w:pPr>
            <w:r>
              <w:rPr>
                <w:rFonts w:ascii="Times New Roman" w:hAnsi="Times New Roman" w:cs="宋体"/>
                <w:color w:val="000000"/>
                <w:kern w:val="0"/>
                <w:sz w:val="22"/>
                <w:szCs w:val="22"/>
                <w:lang w:bidi="ar"/>
              </w:rPr>
              <w:t>产业链数据服务。采购覆盖上海市产业体系的全产业链商业数据服务，用于重点产业链企业的精准画像、上下游关联分析及优质中小企业梯度培育支撑，并且补充企业及产业链的关联关系数据。</w:t>
            </w:r>
          </w:p>
        </w:tc>
      </w:tr>
    </w:tbl>
    <w:p w14:paraId="11C0477A">
      <w:pPr>
        <w:pStyle w:val="108"/>
        <w:snapToGrid w:val="0"/>
        <w:spacing w:line="360" w:lineRule="auto"/>
        <w:ind w:firstLine="0" w:firstLineChars="0"/>
        <w:jc w:val="center"/>
        <w:rPr>
          <w:sz w:val="24"/>
          <w:szCs w:val="24"/>
        </w:rPr>
      </w:pPr>
    </w:p>
    <w:p w14:paraId="1882CBF8">
      <w:pPr>
        <w:pStyle w:val="2"/>
        <w:rPr>
          <w:rFonts w:ascii="Times New Roman" w:hAnsi="Times New Roman"/>
        </w:rPr>
      </w:pPr>
      <w:bookmarkStart w:id="19" w:name="_Toc63785503"/>
      <w:r>
        <w:rPr>
          <w:rFonts w:hint="eastAsia" w:ascii="Times New Roman" w:hAnsi="Times New Roman"/>
        </w:rPr>
        <w:t>其他工作要求</w:t>
      </w:r>
      <w:bookmarkEnd w:id="19"/>
    </w:p>
    <w:p w14:paraId="6CD7A8DB">
      <w:pPr>
        <w:keepNext/>
        <w:keepLines/>
        <w:numPr>
          <w:ilvl w:val="1"/>
          <w:numId w:val="4"/>
        </w:numPr>
        <w:tabs>
          <w:tab w:val="left" w:pos="360"/>
        </w:tabs>
        <w:spacing w:before="120" w:line="240" w:lineRule="auto"/>
        <w:ind w:left="0" w:firstLine="0" w:firstLineChars="0"/>
        <w:outlineLvl w:val="1"/>
        <w:rPr>
          <w:rFonts w:ascii="Times New Roman" w:hAnsi="Times New Roman" w:eastAsia="仿宋"/>
          <w:b/>
          <w:vanish/>
          <w:color w:val="000000"/>
          <w:sz w:val="28"/>
          <w:szCs w:val="20"/>
        </w:rPr>
      </w:pPr>
      <w:bookmarkStart w:id="20" w:name="_Toc61968111"/>
      <w:bookmarkEnd w:id="20"/>
      <w:bookmarkStart w:id="21" w:name="_Toc63585480"/>
      <w:bookmarkEnd w:id="21"/>
      <w:bookmarkStart w:id="22" w:name="_Toc63785504"/>
      <w:bookmarkEnd w:id="22"/>
      <w:bookmarkStart w:id="23" w:name="_Toc63151871"/>
      <w:bookmarkEnd w:id="23"/>
      <w:bookmarkStart w:id="24" w:name="_Toc62219358"/>
      <w:bookmarkEnd w:id="24"/>
      <w:bookmarkStart w:id="25" w:name="_Toc62209488"/>
      <w:bookmarkEnd w:id="25"/>
      <w:bookmarkStart w:id="26" w:name="_Toc63785439"/>
      <w:bookmarkEnd w:id="26"/>
      <w:bookmarkStart w:id="27" w:name="_Toc63762370"/>
      <w:bookmarkEnd w:id="27"/>
    </w:p>
    <w:p w14:paraId="2875C981">
      <w:pPr>
        <w:pStyle w:val="3"/>
        <w:rPr>
          <w:rFonts w:ascii="Times New Roman" w:hAnsi="Times New Roman"/>
        </w:rPr>
      </w:pPr>
      <w:bookmarkStart w:id="28" w:name="_Toc63785505"/>
      <w:r>
        <w:rPr>
          <w:rFonts w:hint="eastAsia" w:ascii="Times New Roman" w:hAnsi="Times New Roman"/>
        </w:rPr>
        <w:t>售后服务要求</w:t>
      </w:r>
      <w:bookmarkEnd w:id="28"/>
    </w:p>
    <w:p w14:paraId="49C01BBA">
      <w:pPr>
        <w:pStyle w:val="108"/>
        <w:snapToGrid w:val="0"/>
        <w:spacing w:line="360" w:lineRule="auto"/>
        <w:ind w:firstLine="480"/>
        <w:rPr>
          <w:sz w:val="24"/>
          <w:szCs w:val="24"/>
        </w:rPr>
      </w:pPr>
      <w:r>
        <w:rPr>
          <w:rFonts w:hint="eastAsia"/>
          <w:sz w:val="24"/>
          <w:szCs w:val="24"/>
        </w:rPr>
        <w:t>本项目从系统验收通过之日起1年内提供7*24小时免费技术支持和售后服务，1年后进入有偿维护期。</w:t>
      </w:r>
    </w:p>
    <w:p w14:paraId="69F47B72">
      <w:pPr>
        <w:pStyle w:val="108"/>
        <w:snapToGrid w:val="0"/>
        <w:spacing w:line="360" w:lineRule="auto"/>
        <w:ind w:firstLine="480"/>
        <w:rPr>
          <w:sz w:val="24"/>
          <w:szCs w:val="24"/>
        </w:rPr>
      </w:pPr>
      <w:r>
        <w:rPr>
          <w:rFonts w:hint="eastAsia"/>
          <w:sz w:val="24"/>
          <w:szCs w:val="24"/>
        </w:rPr>
        <w:t>在质量保证期内，供应商将按照售后服务的承诺提供保修和运行维护服务。</w:t>
      </w:r>
    </w:p>
    <w:p w14:paraId="6330AC30">
      <w:pPr>
        <w:pStyle w:val="108"/>
        <w:snapToGrid w:val="0"/>
        <w:spacing w:line="360" w:lineRule="auto"/>
        <w:ind w:firstLine="480"/>
        <w:rPr>
          <w:sz w:val="24"/>
          <w:szCs w:val="24"/>
        </w:rPr>
      </w:pPr>
      <w:r>
        <w:rPr>
          <w:rFonts w:hint="eastAsia"/>
          <w:sz w:val="24"/>
          <w:szCs w:val="24"/>
        </w:rPr>
        <w:t>在质量保证期内，供应商负责信息系统的运行维护工作，确保信息系统安全、稳定、可靠地运行。本项目涉及的运行维护工作范围为：数据底座、业务应用及密码应用建设。</w:t>
      </w:r>
    </w:p>
    <w:p w14:paraId="5D4A9D3B">
      <w:pPr>
        <w:pStyle w:val="3"/>
        <w:rPr>
          <w:rFonts w:ascii="Times New Roman" w:hAnsi="Times New Roman"/>
        </w:rPr>
      </w:pPr>
      <w:bookmarkStart w:id="29" w:name="_Toc63785506"/>
      <w:r>
        <w:rPr>
          <w:rFonts w:hint="eastAsia" w:ascii="Times New Roman" w:hAnsi="Times New Roman"/>
        </w:rPr>
        <w:t>应急响应要求</w:t>
      </w:r>
      <w:bookmarkEnd w:id="29"/>
    </w:p>
    <w:p w14:paraId="127EBA93">
      <w:pPr>
        <w:rPr>
          <w:rFonts w:ascii="Times New Roman" w:hAnsi="Times New Roman"/>
        </w:rPr>
      </w:pPr>
      <w:r>
        <w:rPr>
          <w:rFonts w:hint="eastAsia" w:ascii="Times New Roman" w:hAnsi="Times New Roman"/>
        </w:rPr>
        <w:t>供应商对系统故障应能够实时响应，若系统发生故障，接到通知后30分钟之内响应，专业工程师2小时内到达现场。特殊故障与采购人沟通协商后，按照协商的方式制定解决方案并进行处理。</w:t>
      </w:r>
    </w:p>
    <w:p w14:paraId="22C86096">
      <w:pPr>
        <w:rPr>
          <w:rFonts w:ascii="Times New Roman" w:hAnsi="Times New Roman"/>
        </w:rPr>
      </w:pPr>
      <w:r>
        <w:rPr>
          <w:rFonts w:hint="eastAsia" w:ascii="Times New Roman" w:hAnsi="Times New Roman"/>
        </w:rPr>
        <w:t>具体故障级别及对应的应急响应要求如下：</w:t>
      </w:r>
    </w:p>
    <w:p w14:paraId="7C2E2365">
      <w:pPr>
        <w:rPr>
          <w:rFonts w:ascii="Times New Roman" w:hAnsi="Times New Roman"/>
        </w:rPr>
      </w:pPr>
      <w:r>
        <w:rPr>
          <w:rFonts w:hint="eastAsia" w:ascii="Times New Roman" w:hAnsi="Times New Roman"/>
        </w:rPr>
        <w:t>一级故障：在1小时内确诊，总故障解决时间不超过4小时。</w:t>
      </w:r>
    </w:p>
    <w:p w14:paraId="1110CFC8">
      <w:pPr>
        <w:rPr>
          <w:rFonts w:ascii="Times New Roman" w:hAnsi="Times New Roman"/>
        </w:rPr>
      </w:pPr>
      <w:r>
        <w:rPr>
          <w:rFonts w:hint="eastAsia" w:ascii="Times New Roman" w:hAnsi="Times New Roman"/>
        </w:rPr>
        <w:t>二级故障：在2小时内确诊，并在4小时内由专家到达现场确诊并解决，总故障解决时间不超过8小时；</w:t>
      </w:r>
    </w:p>
    <w:p w14:paraId="4CFFE952">
      <w:pPr>
        <w:rPr>
          <w:rFonts w:ascii="Times New Roman" w:hAnsi="Times New Roman"/>
        </w:rPr>
      </w:pPr>
      <w:r>
        <w:rPr>
          <w:rFonts w:hint="eastAsia" w:ascii="Times New Roman" w:hAnsi="Times New Roman"/>
        </w:rPr>
        <w:t>三、四级故障：在4小时内确诊故障，总故障解决时间不超过16小时。</w:t>
      </w:r>
    </w:p>
    <w:p w14:paraId="10A6DB70">
      <w:pPr>
        <w:rPr>
          <w:rFonts w:ascii="Times New Roman" w:hAnsi="Times New Roman"/>
        </w:rPr>
      </w:pPr>
      <w:r>
        <w:rPr>
          <w:rFonts w:hint="eastAsia" w:ascii="Times New Roman" w:hAnsi="Times New Roman"/>
        </w:rPr>
        <w:t>依据故障时间及故障范围划分故障级别，故障级别分为四级，依次为Ⅰ级（紧急）、Ⅱ级（严重）、Ⅲ级（较大）和Ⅳ级（一般），分别定义如下：</w:t>
      </w:r>
    </w:p>
    <w:p w14:paraId="6C3D19B2">
      <w:pPr>
        <w:rPr>
          <w:rFonts w:ascii="Times New Roman" w:hAnsi="Times New Roman"/>
        </w:rPr>
      </w:pPr>
      <w:r>
        <w:rPr>
          <w:rFonts w:hint="eastAsia" w:ascii="Times New Roman" w:hAnsi="Times New Roman"/>
        </w:rPr>
        <w:t>Ⅰ级（紧急）故障为工作时间段（8:30——17:30）内大范围故障；</w:t>
      </w:r>
    </w:p>
    <w:p w14:paraId="7F0FC2D6">
      <w:pPr>
        <w:rPr>
          <w:rFonts w:ascii="Times New Roman" w:hAnsi="Times New Roman"/>
        </w:rPr>
      </w:pPr>
      <w:r>
        <w:rPr>
          <w:rFonts w:hint="eastAsia" w:ascii="Times New Roman" w:hAnsi="Times New Roman"/>
        </w:rPr>
        <w:t>Ⅱ级（严重）故障为非工作时间段（17:30——次日8:30）内大范围故障；</w:t>
      </w:r>
    </w:p>
    <w:p w14:paraId="1AB291A4">
      <w:pPr>
        <w:rPr>
          <w:rFonts w:ascii="Times New Roman" w:hAnsi="Times New Roman"/>
        </w:rPr>
      </w:pPr>
      <w:r>
        <w:rPr>
          <w:rFonts w:hint="eastAsia" w:ascii="Times New Roman" w:hAnsi="Times New Roman"/>
        </w:rPr>
        <w:t>Ⅲ级（较大）故障为工作时间段（8:30——17:30）内小范围故障；</w:t>
      </w:r>
    </w:p>
    <w:p w14:paraId="4F8A0AD5">
      <w:pPr>
        <w:rPr>
          <w:rFonts w:ascii="Times New Roman" w:hAnsi="Times New Roman"/>
        </w:rPr>
      </w:pPr>
      <w:r>
        <w:rPr>
          <w:rFonts w:hint="eastAsia" w:ascii="Times New Roman" w:hAnsi="Times New Roman"/>
        </w:rPr>
        <w:t>Ⅳ级（一般）故障为非工作时间段（17:30——次日8:30）内小范围故障；</w:t>
      </w:r>
    </w:p>
    <w:p w14:paraId="7DCE6770">
      <w:pPr>
        <w:pStyle w:val="3"/>
        <w:rPr>
          <w:rFonts w:ascii="Times New Roman" w:hAnsi="Times New Roman"/>
        </w:rPr>
      </w:pPr>
      <w:r>
        <w:rPr>
          <w:rFonts w:hint="eastAsia" w:ascii="Times New Roman" w:hAnsi="Times New Roman"/>
        </w:rPr>
        <w:t>网络与数据安全</w:t>
      </w:r>
    </w:p>
    <w:p w14:paraId="726340A0">
      <w:pPr>
        <w:numPr>
          <w:ilvl w:val="0"/>
          <w:numId w:val="5"/>
        </w:numPr>
        <w:rPr>
          <w:rFonts w:ascii="Times New Roman" w:hAnsi="Times New Roman"/>
        </w:rPr>
      </w:pPr>
      <w:r>
        <w:rPr>
          <w:rFonts w:hint="eastAsia" w:ascii="Times New Roman" w:hAnsi="Times New Roman"/>
        </w:rPr>
        <w:t>供应商应在项目深化设计阶段，应开展安全需求调研和数据分类分级工作，制定网络和数据安全设计方案，制定总体安全技术架构，明确边界防护、访问控制、权限管理、系统安全配置、身份鉴别、入侵防范等系统安全防护措施，制定差异化的数据安全防护手段，确保数据全生命周期安全。</w:t>
      </w:r>
    </w:p>
    <w:p w14:paraId="64B32D96">
      <w:pPr>
        <w:numPr>
          <w:ilvl w:val="0"/>
          <w:numId w:val="5"/>
        </w:numPr>
        <w:rPr>
          <w:rFonts w:ascii="Times New Roman" w:hAnsi="Times New Roman"/>
        </w:rPr>
      </w:pPr>
      <w:r>
        <w:rPr>
          <w:rFonts w:hint="eastAsia" w:ascii="Times New Roman" w:hAnsi="Times New Roman"/>
        </w:rPr>
        <w:t>供应商应配合采购人开展相关安全制度和规范的制定，并根据项目实际，制定项目实施过程安全管理方案。</w:t>
      </w:r>
    </w:p>
    <w:p w14:paraId="48E8D03F">
      <w:pPr>
        <w:numPr>
          <w:ilvl w:val="0"/>
          <w:numId w:val="5"/>
        </w:numPr>
        <w:rPr>
          <w:rFonts w:ascii="Times New Roman" w:hAnsi="Times New Roman"/>
        </w:rPr>
      </w:pPr>
      <w:r>
        <w:rPr>
          <w:rFonts w:hint="eastAsia" w:ascii="Times New Roman" w:hAnsi="Times New Roman"/>
        </w:rPr>
        <w:t>供应商应确保所提供的定制开发内容所涉及的供应链满足采购人的管理要求，提供供应链物料清单，落实供应链安全控制措施，包括代码安全检测和质量评估、漏洞扫描、第三方组件评估等工作，并于系统上线前，完成信息化资产的梳理。</w:t>
      </w:r>
    </w:p>
    <w:p w14:paraId="2689EB49">
      <w:pPr>
        <w:numPr>
          <w:ilvl w:val="0"/>
          <w:numId w:val="5"/>
        </w:numPr>
        <w:rPr>
          <w:rFonts w:ascii="Times New Roman" w:hAnsi="Times New Roman"/>
        </w:rPr>
      </w:pPr>
      <w:r>
        <w:rPr>
          <w:rFonts w:hint="eastAsia" w:ascii="Times New Roman" w:hAnsi="Times New Roman"/>
        </w:rPr>
        <w:t>供应商应在项目实施过程中，推动安全开发控制工作的实施，按照安全设计方案和采购人安全开发要求，落实安全开发规范，确保代码质量和安全性。供应商应确保系统开发及生产环境安全，落实安全管理策略及安全配置。</w:t>
      </w:r>
    </w:p>
    <w:p w14:paraId="141426AA">
      <w:pPr>
        <w:numPr>
          <w:ilvl w:val="0"/>
          <w:numId w:val="5"/>
        </w:numPr>
        <w:rPr>
          <w:rFonts w:ascii="Times New Roman" w:hAnsi="Times New Roman"/>
        </w:rPr>
      </w:pPr>
      <w:r>
        <w:rPr>
          <w:rFonts w:hint="eastAsia" w:ascii="Times New Roman" w:hAnsi="Times New Roman"/>
        </w:rPr>
        <w:t>供应商应在项目实施过程中，按照数据差异化安全防护策略，根据系统需要采取数据加密、数据访问控制、日志记录、流转监测等防护能力及相关管理流程，切实保障数据安全。</w:t>
      </w:r>
    </w:p>
    <w:p w14:paraId="641C04BF">
      <w:pPr>
        <w:numPr>
          <w:ilvl w:val="0"/>
          <w:numId w:val="5"/>
        </w:numPr>
        <w:rPr>
          <w:rFonts w:ascii="Times New Roman" w:hAnsi="Times New Roman"/>
        </w:rPr>
      </w:pPr>
      <w:r>
        <w:rPr>
          <w:rFonts w:hint="eastAsia" w:ascii="Times New Roman" w:hAnsi="Times New Roman"/>
        </w:rPr>
        <w:t>供应商应按照采购人场地及人员安全管理制度，加强人员管理，配合采购人落实人员背调、入离场、终端管理、网络限制、数据权限最小化等管控措施。</w:t>
      </w:r>
    </w:p>
    <w:p w14:paraId="21EF0E0C">
      <w:pPr>
        <w:numPr>
          <w:ilvl w:val="0"/>
          <w:numId w:val="5"/>
        </w:numPr>
        <w:rPr>
          <w:rFonts w:ascii="Times New Roman" w:hAnsi="Times New Roman"/>
        </w:rPr>
      </w:pPr>
      <w:r>
        <w:rPr>
          <w:rFonts w:hint="eastAsia" w:ascii="Times New Roman" w:hAnsi="Times New Roman"/>
        </w:rPr>
        <w:t>供应商应配合采购人开展系统安全事件（含业务故障）级别划分，制定应急预案，并落实应急预案中规定的应急响应要求。</w:t>
      </w:r>
    </w:p>
    <w:p w14:paraId="6AFAA318">
      <w:pPr>
        <w:numPr>
          <w:ilvl w:val="0"/>
          <w:numId w:val="5"/>
        </w:numPr>
        <w:rPr>
          <w:rFonts w:ascii="Times New Roman" w:hAnsi="Times New Roman"/>
        </w:rPr>
      </w:pPr>
      <w:r>
        <w:rPr>
          <w:rFonts w:hint="eastAsia" w:ascii="Times New Roman" w:hAnsi="Times New Roman"/>
        </w:rPr>
        <w:t>供应商应于系统上线部署前对系统运行环境、应用软件等开展安全自查，并于项目初验及系统试运行阶段，配合采购人开展安测、密测、等保、密评、数据安全风险评估等系列安全测试、评估工作，针对发现的问题及时完成整改，确保系统上线安全。</w:t>
      </w:r>
    </w:p>
    <w:p w14:paraId="2C4FCD86">
      <w:pPr>
        <w:numPr>
          <w:ilvl w:val="0"/>
          <w:numId w:val="5"/>
        </w:numPr>
        <w:rPr>
          <w:rFonts w:ascii="Times New Roman" w:hAnsi="Times New Roman"/>
        </w:rPr>
      </w:pPr>
      <w:r>
        <w:rPr>
          <w:rFonts w:hint="eastAsia" w:ascii="Times New Roman" w:hAnsi="Times New Roman"/>
        </w:rPr>
        <w:t>供应商应在系统免维期内承担系统安全运维管理责任，落实安全管理保障措施，包括但不限于制度修订、风险排查、应急响应、漏洞修复、重保等工作。</w:t>
      </w:r>
    </w:p>
    <w:p w14:paraId="0C8C669F">
      <w:pPr>
        <w:pStyle w:val="3"/>
        <w:rPr>
          <w:rFonts w:ascii="Times New Roman" w:hAnsi="Times New Roman"/>
        </w:rPr>
      </w:pPr>
      <w:bookmarkStart w:id="30" w:name="_Toc63785507"/>
      <w:r>
        <w:rPr>
          <w:rFonts w:hint="eastAsia" w:ascii="Times New Roman" w:hAnsi="Times New Roman"/>
        </w:rPr>
        <w:t>培训要求</w:t>
      </w:r>
      <w:bookmarkEnd w:id="30"/>
    </w:p>
    <w:p w14:paraId="0149AC8B">
      <w:pPr>
        <w:rPr>
          <w:rFonts w:ascii="Times New Roman" w:hAnsi="Times New Roman"/>
        </w:rPr>
      </w:pPr>
      <w:r>
        <w:rPr>
          <w:rFonts w:hint="eastAsia" w:ascii="Times New Roman" w:hAnsi="Times New Roman"/>
        </w:rPr>
        <w:t>对系统使用单位提供业务操作培训，应提供详细培训方案。</w:t>
      </w:r>
    </w:p>
    <w:p w14:paraId="026D0E9E">
      <w:pPr>
        <w:numPr>
          <w:ilvl w:val="0"/>
          <w:numId w:val="6"/>
        </w:numPr>
        <w:rPr>
          <w:rFonts w:ascii="Times New Roman" w:hAnsi="Times New Roman"/>
        </w:rPr>
      </w:pPr>
      <w:r>
        <w:rPr>
          <w:rFonts w:hint="eastAsia" w:ascii="Times New Roman" w:hAnsi="Times New Roman"/>
        </w:rPr>
        <w:t>在12个月的质量保证期内，提供2次与项目相关的必要培训。</w:t>
      </w:r>
    </w:p>
    <w:p w14:paraId="2CD666C4">
      <w:pPr>
        <w:numPr>
          <w:ilvl w:val="0"/>
          <w:numId w:val="6"/>
        </w:numPr>
        <w:rPr>
          <w:rFonts w:ascii="Times New Roman" w:hAnsi="Times New Roman"/>
        </w:rPr>
      </w:pPr>
      <w:r>
        <w:rPr>
          <w:rFonts w:hint="eastAsia" w:ascii="Times New Roman" w:hAnsi="Times New Roman"/>
        </w:rPr>
        <w:t>供应商需要开展分层次的人员培训工作，每次培训后应对参加培训人员进行测试，评估培训成果。培训应具有培训教材、培训环境和高水平的培训讲师。</w:t>
      </w:r>
    </w:p>
    <w:p w14:paraId="3831485A">
      <w:pPr>
        <w:numPr>
          <w:ilvl w:val="0"/>
          <w:numId w:val="6"/>
        </w:numPr>
        <w:rPr>
          <w:rFonts w:ascii="Times New Roman" w:hAnsi="Times New Roman"/>
        </w:rPr>
      </w:pPr>
      <w:r>
        <w:rPr>
          <w:rFonts w:hint="eastAsia" w:ascii="Times New Roman" w:hAnsi="Times New Roman"/>
        </w:rPr>
        <w:t>供应商应提供一般用户的基础操作培训和部门信息管理员的日常应用维护的培训，确保用户对象能够掌握对应的操作技能。</w:t>
      </w:r>
    </w:p>
    <w:p w14:paraId="55B17967">
      <w:pPr>
        <w:pStyle w:val="3"/>
        <w:rPr>
          <w:rFonts w:ascii="Times New Roman" w:hAnsi="Times New Roman"/>
        </w:rPr>
      </w:pPr>
      <w:bookmarkStart w:id="31" w:name="_Toc63785508"/>
      <w:r>
        <w:rPr>
          <w:rFonts w:hint="eastAsia" w:ascii="Times New Roman" w:hAnsi="Times New Roman"/>
        </w:rPr>
        <w:t>验收要求</w:t>
      </w:r>
      <w:bookmarkEnd w:id="31"/>
    </w:p>
    <w:p w14:paraId="148B3857">
      <w:pPr>
        <w:rPr>
          <w:rFonts w:ascii="Times New Roman" w:hAnsi="Times New Roman"/>
        </w:rPr>
      </w:pPr>
      <w:r>
        <w:rPr>
          <w:rFonts w:hint="eastAsia" w:ascii="Times New Roman" w:hAnsi="Times New Roman"/>
        </w:rPr>
        <w:t>关于本项目的验收：</w:t>
      </w:r>
    </w:p>
    <w:p w14:paraId="3BFD25DE">
      <w:pPr>
        <w:rPr>
          <w:rFonts w:ascii="Times New Roman" w:hAnsi="Times New Roman"/>
        </w:rPr>
      </w:pPr>
      <w:r>
        <w:rPr>
          <w:rFonts w:hint="eastAsia" w:ascii="Times New Roman" w:hAnsi="Times New Roman"/>
        </w:rPr>
        <w:t>供应商须完成软件开发和信息系统的调试等，并对本项目进行功能和运行检测，确保所有信息系统功能模块能够正常运行且已达到本项目约定的各类标准要求；</w:t>
      </w:r>
    </w:p>
    <w:p w14:paraId="79A27B54">
      <w:pPr>
        <w:rPr>
          <w:rFonts w:ascii="Times New Roman" w:hAnsi="Times New Roman"/>
        </w:rPr>
      </w:pPr>
      <w:r>
        <w:rPr>
          <w:rFonts w:hint="eastAsia" w:ascii="Times New Roman" w:hAnsi="Times New Roman"/>
        </w:rPr>
        <w:t>供应商还应提供软件文档包括《用户需求说明书》、《系统概要设计说明书》、《系统详细设计说明书》、《三方功能需求确认单》、《测试报告》《用户使用手册》《系统部署文档》等及可安装的程序运行文件，所交付的文档与文件应当是可供自然人阅读的书面和电子文档；</w:t>
      </w:r>
    </w:p>
    <w:p w14:paraId="696242DE">
      <w:pPr>
        <w:rPr>
          <w:rFonts w:ascii="Times New Roman" w:hAnsi="Times New Roman"/>
        </w:rPr>
      </w:pPr>
      <w:r>
        <w:rPr>
          <w:rFonts w:hint="eastAsia" w:ascii="Times New Roman" w:hAnsi="Times New Roman"/>
        </w:rPr>
        <w:t>采购人享有供应商免费提供的 30 天的信息系统试运行现场驻场服务期。该期间内，供应商应当按照采购人的要求提供现场技术支持服务，解决信息系统试运行期间可能出现的各类问题或进一步提高与完善信息系统运行水平。</w:t>
      </w:r>
    </w:p>
    <w:p w14:paraId="79AC3A80">
      <w:pPr>
        <w:rPr>
          <w:rFonts w:ascii="Times New Roman" w:hAnsi="Times New Roman"/>
        </w:rPr>
      </w:pPr>
      <w:r>
        <w:rPr>
          <w:rFonts w:hint="eastAsia" w:ascii="Times New Roman" w:hAnsi="Times New Roman"/>
        </w:rPr>
        <w:t>信息系统试运行期已经达到本项目约定的时间，经供应商确认信息系统具备正常运行条件，且信息系统通过运行测试，供应商应以书面形式通知采购人信息系统已准备就绪等待项目验收。采购人在收到验收通知后的 5 个工作日内发起组织专家验收会。</w:t>
      </w:r>
    </w:p>
    <w:p w14:paraId="5F4D4A5E">
      <w:pPr>
        <w:rPr>
          <w:rFonts w:ascii="Times New Roman" w:hAnsi="Times New Roman"/>
        </w:rPr>
      </w:pPr>
      <w:r>
        <w:rPr>
          <w:rFonts w:hint="eastAsia" w:ascii="Times New Roman" w:hAnsi="Times New Roman"/>
        </w:rPr>
        <w:t>如果属于供应商原因致使本项目未能通过验收，供应商应当排除缺陷，直至本项目完全符合验收标准，由上述情形而产生的相关费用应由供应商自行承担；</w:t>
      </w:r>
    </w:p>
    <w:p w14:paraId="332ADA61">
      <w:pPr>
        <w:rPr>
          <w:rFonts w:ascii="Times New Roman" w:hAnsi="Times New Roman"/>
        </w:rPr>
      </w:pPr>
      <w:r>
        <w:rPr>
          <w:rFonts w:hint="eastAsia" w:ascii="Times New Roman" w:hAnsi="Times New Roman"/>
        </w:rPr>
        <w:t>如果由于采购人原因导致本项目在验收通过前出现故障或问题，供应商应及时配合排除该方面的故障或问题。如本项目连续2次验收未通过，采购人有权解除项目，并有权依照本项目约定的违约条款追究供应商的违约责任。</w:t>
      </w:r>
    </w:p>
    <w:p w14:paraId="0E089A1A">
      <w:pPr>
        <w:pStyle w:val="3"/>
        <w:rPr>
          <w:rFonts w:ascii="Times New Roman" w:hAnsi="Times New Roman"/>
        </w:rPr>
      </w:pPr>
      <w:bookmarkStart w:id="32" w:name="_Toc63785509"/>
      <w:r>
        <w:rPr>
          <w:rFonts w:hint="eastAsia" w:ascii="Times New Roman" w:hAnsi="Times New Roman"/>
        </w:rPr>
        <w:t>进度要求</w:t>
      </w:r>
      <w:bookmarkEnd w:id="32"/>
    </w:p>
    <w:p w14:paraId="7B0C8945">
      <w:pPr>
        <w:rPr>
          <w:rFonts w:ascii="Times New Roman" w:hAnsi="Times New Roman"/>
        </w:rPr>
      </w:pPr>
      <w:r>
        <w:rPr>
          <w:rFonts w:hint="eastAsia" w:ascii="Times New Roman" w:hAnsi="Times New Roman"/>
        </w:rPr>
        <w:t>供应商应根据建设内容，分阶段制定合理的时间进度，应根据采购方要求进行调整和细化，并于</w:t>
      </w:r>
      <w:r>
        <w:rPr>
          <w:rFonts w:hint="eastAsia" w:ascii="Times New Roman" w:hAnsi="Times New Roman"/>
          <w:lang w:eastAsia="zh-CN"/>
        </w:rPr>
        <w:t>合同签订后</w:t>
      </w:r>
      <w:r>
        <w:rPr>
          <w:rFonts w:hint="eastAsia" w:ascii="Times New Roman" w:hAnsi="Times New Roman"/>
          <w:lang w:val="en-US" w:eastAsia="zh-CN"/>
        </w:rPr>
        <w:t>10个月内</w:t>
      </w:r>
      <w:r>
        <w:rPr>
          <w:rFonts w:hint="eastAsia" w:ascii="Times New Roman" w:hAnsi="Times New Roman"/>
        </w:rPr>
        <w:t>完成项目建设。</w:t>
      </w:r>
    </w:p>
    <w:p w14:paraId="2AFB1441">
      <w:pPr>
        <w:pStyle w:val="3"/>
        <w:rPr>
          <w:rFonts w:ascii="Times New Roman" w:hAnsi="Times New Roman"/>
        </w:rPr>
      </w:pPr>
      <w:bookmarkStart w:id="33" w:name="_Toc63785510"/>
      <w:r>
        <w:rPr>
          <w:rFonts w:hint="eastAsia" w:ascii="Times New Roman" w:hAnsi="Times New Roman"/>
        </w:rPr>
        <w:t>项目团队及驻场人员要求</w:t>
      </w:r>
      <w:bookmarkEnd w:id="33"/>
    </w:p>
    <w:p w14:paraId="7D44C293">
      <w:pPr>
        <w:rPr>
          <w:rFonts w:ascii="Times New Roman" w:hAnsi="Times New Roman"/>
        </w:rPr>
      </w:pPr>
      <w:r>
        <w:rPr>
          <w:rFonts w:ascii="Times New Roman" w:hAnsi="Times New Roman"/>
        </w:rPr>
        <w:t>1）</w:t>
      </w:r>
      <w:r>
        <w:rPr>
          <w:rFonts w:hint="eastAsia" w:ascii="Times New Roman" w:hAnsi="Times New Roman"/>
        </w:rPr>
        <w:t>供应商</w:t>
      </w:r>
      <w:r>
        <w:rPr>
          <w:rFonts w:ascii="Times New Roman" w:hAnsi="Times New Roman"/>
        </w:rPr>
        <w:t>须具有稳定的在职技术保障力量，能够提供及时的技术支援或服务，应针对本项目提供不少于1</w:t>
      </w:r>
      <w:r>
        <w:rPr>
          <w:rFonts w:hint="eastAsia" w:ascii="Times New Roman" w:hAnsi="Times New Roman"/>
        </w:rPr>
        <w:t>5</w:t>
      </w:r>
      <w:r>
        <w:rPr>
          <w:rFonts w:ascii="Times New Roman" w:hAnsi="Times New Roman"/>
        </w:rPr>
        <w:t>人的项目服务团队（包括项目</w:t>
      </w:r>
      <w:r>
        <w:rPr>
          <w:rFonts w:hint="eastAsia" w:ascii="Times New Roman" w:hAnsi="Times New Roman"/>
        </w:rPr>
        <w:t>负责人</w:t>
      </w:r>
      <w:r>
        <w:rPr>
          <w:rFonts w:ascii="Times New Roman" w:hAnsi="Times New Roman"/>
        </w:rPr>
        <w:t>、</w:t>
      </w:r>
      <w:r>
        <w:rPr>
          <w:rFonts w:hint="eastAsia" w:ascii="Times New Roman" w:hAnsi="Times New Roman"/>
        </w:rPr>
        <w:t>需求分析师</w:t>
      </w:r>
      <w:r>
        <w:rPr>
          <w:rFonts w:ascii="Times New Roman" w:hAnsi="Times New Roman"/>
        </w:rPr>
        <w:t>、研发</w:t>
      </w:r>
      <w:r>
        <w:rPr>
          <w:rFonts w:hint="eastAsia" w:ascii="Times New Roman" w:hAnsi="Times New Roman"/>
        </w:rPr>
        <w:t>工程师</w:t>
      </w:r>
      <w:r>
        <w:rPr>
          <w:rFonts w:ascii="Times New Roman" w:hAnsi="Times New Roman"/>
        </w:rPr>
        <w:t>等），单位的相关服务人员需具备相应的服务能力，需提供相关证明。</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2692"/>
        <w:gridCol w:w="1100"/>
        <w:gridCol w:w="2320"/>
        <w:gridCol w:w="1100"/>
      </w:tblGrid>
      <w:tr w14:paraId="3EE9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51E96DBF">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角色</w:t>
            </w:r>
          </w:p>
        </w:tc>
        <w:tc>
          <w:tcPr>
            <w:tcW w:w="0" w:type="auto"/>
            <w:noWrap/>
            <w:vAlign w:val="center"/>
          </w:tcPr>
          <w:p w14:paraId="03242B68">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主要职责</w:t>
            </w:r>
          </w:p>
        </w:tc>
        <w:tc>
          <w:tcPr>
            <w:tcW w:w="0" w:type="auto"/>
            <w:noWrap/>
            <w:vAlign w:val="center"/>
          </w:tcPr>
          <w:p w14:paraId="1DA1E14B">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人员数量</w:t>
            </w:r>
          </w:p>
        </w:tc>
        <w:tc>
          <w:tcPr>
            <w:tcW w:w="0" w:type="auto"/>
            <w:vAlign w:val="center"/>
          </w:tcPr>
          <w:p w14:paraId="664CA9AD">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人员要求</w:t>
            </w:r>
          </w:p>
        </w:tc>
        <w:tc>
          <w:tcPr>
            <w:tcW w:w="0" w:type="auto"/>
            <w:noWrap/>
            <w:vAlign w:val="center"/>
          </w:tcPr>
          <w:p w14:paraId="261641DE">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驻场要求</w:t>
            </w:r>
          </w:p>
        </w:tc>
      </w:tr>
      <w:tr w14:paraId="11A3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253839B3">
            <w:pPr>
              <w:widowControl/>
              <w:spacing w:line="240" w:lineRule="auto"/>
              <w:ind w:firstLine="0" w:firstLineChars="0"/>
              <w:jc w:val="center"/>
              <w:rPr>
                <w:rFonts w:hint="eastAsia" w:ascii="Times New Roman" w:hAnsi="Times New Roman" w:eastAsia="宋体"/>
                <w:sz w:val="22"/>
                <w:szCs w:val="22"/>
                <w:lang w:eastAsia="zh-CN"/>
              </w:rPr>
            </w:pPr>
            <w:r>
              <w:rPr>
                <w:rFonts w:hint="eastAsia" w:ascii="Times New Roman" w:hAnsi="Times New Roman"/>
                <w:sz w:val="22"/>
                <w:szCs w:val="22"/>
              </w:rPr>
              <w:t>项目</w:t>
            </w:r>
            <w:r>
              <w:rPr>
                <w:rFonts w:hint="eastAsia" w:ascii="Times New Roman" w:hAnsi="Times New Roman"/>
                <w:sz w:val="22"/>
                <w:szCs w:val="22"/>
                <w:lang w:eastAsia="zh-CN"/>
              </w:rPr>
              <w:t>负责人</w:t>
            </w:r>
          </w:p>
        </w:tc>
        <w:tc>
          <w:tcPr>
            <w:tcW w:w="0" w:type="auto"/>
            <w:vAlign w:val="center"/>
          </w:tcPr>
          <w:p w14:paraId="790A520E">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负责项目质量和进度控制</w:t>
            </w:r>
          </w:p>
        </w:tc>
        <w:tc>
          <w:tcPr>
            <w:tcW w:w="0" w:type="auto"/>
            <w:noWrap/>
            <w:vAlign w:val="center"/>
          </w:tcPr>
          <w:p w14:paraId="1BFACE9C">
            <w:pPr>
              <w:widowControl/>
              <w:spacing w:line="240" w:lineRule="auto"/>
              <w:ind w:firstLine="0" w:firstLineChars="0"/>
              <w:jc w:val="center"/>
              <w:rPr>
                <w:rFonts w:ascii="Times New Roman" w:hAnsi="Times New Roman"/>
                <w:sz w:val="22"/>
                <w:szCs w:val="22"/>
              </w:rPr>
            </w:pPr>
            <w:r>
              <w:rPr>
                <w:rFonts w:ascii="Times New Roman" w:hAnsi="Times New Roman"/>
                <w:sz w:val="22"/>
                <w:szCs w:val="22"/>
              </w:rPr>
              <w:t>1</w:t>
            </w:r>
            <w:r>
              <w:rPr>
                <w:rFonts w:hint="eastAsia" w:ascii="Times New Roman" w:hAnsi="Times New Roman"/>
                <w:sz w:val="22"/>
                <w:szCs w:val="22"/>
              </w:rPr>
              <w:t>人</w:t>
            </w:r>
          </w:p>
        </w:tc>
        <w:tc>
          <w:tcPr>
            <w:tcW w:w="0" w:type="auto"/>
            <w:vAlign w:val="center"/>
          </w:tcPr>
          <w:p w14:paraId="7FD50352">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本科及以上学历，具有不少于五年的类似项目工作经验，具备工信部和人社部颁发的信息系统项目管理师证书</w:t>
            </w:r>
          </w:p>
        </w:tc>
        <w:tc>
          <w:tcPr>
            <w:tcW w:w="0" w:type="auto"/>
            <w:noWrap/>
            <w:vAlign w:val="center"/>
          </w:tcPr>
          <w:p w14:paraId="29ED5A06">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按需驻场</w:t>
            </w:r>
          </w:p>
        </w:tc>
      </w:tr>
      <w:tr w14:paraId="69CF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45C48237">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需求分析师</w:t>
            </w:r>
          </w:p>
        </w:tc>
        <w:tc>
          <w:tcPr>
            <w:tcW w:w="0" w:type="auto"/>
            <w:vAlign w:val="center"/>
          </w:tcPr>
          <w:p w14:paraId="1EC4417D">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负责项目需求评估与产品设计</w:t>
            </w:r>
          </w:p>
        </w:tc>
        <w:tc>
          <w:tcPr>
            <w:tcW w:w="0" w:type="auto"/>
            <w:noWrap/>
            <w:vAlign w:val="center"/>
          </w:tcPr>
          <w:p w14:paraId="6A111327">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1人</w:t>
            </w:r>
          </w:p>
        </w:tc>
        <w:tc>
          <w:tcPr>
            <w:tcW w:w="0" w:type="auto"/>
            <w:vAlign w:val="center"/>
          </w:tcPr>
          <w:p w14:paraId="2C18A898">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w:t>
            </w:r>
          </w:p>
        </w:tc>
        <w:tc>
          <w:tcPr>
            <w:tcW w:w="0" w:type="auto"/>
            <w:noWrap/>
            <w:vAlign w:val="center"/>
          </w:tcPr>
          <w:p w14:paraId="49089880">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不驻场</w:t>
            </w:r>
          </w:p>
        </w:tc>
      </w:tr>
      <w:tr w14:paraId="25C9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0" w:type="auto"/>
            <w:noWrap/>
            <w:vAlign w:val="center"/>
          </w:tcPr>
          <w:p w14:paraId="4CD8F2D0">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研发工程师</w:t>
            </w:r>
          </w:p>
        </w:tc>
        <w:tc>
          <w:tcPr>
            <w:tcW w:w="0" w:type="auto"/>
            <w:noWrap/>
            <w:vAlign w:val="center"/>
          </w:tcPr>
          <w:p w14:paraId="39E80415">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负责项目具体开发与实施</w:t>
            </w:r>
          </w:p>
        </w:tc>
        <w:tc>
          <w:tcPr>
            <w:tcW w:w="0" w:type="auto"/>
            <w:noWrap/>
            <w:vAlign w:val="center"/>
          </w:tcPr>
          <w:p w14:paraId="14F17066">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13人</w:t>
            </w:r>
          </w:p>
        </w:tc>
        <w:tc>
          <w:tcPr>
            <w:tcW w:w="0" w:type="auto"/>
            <w:vAlign w:val="center"/>
          </w:tcPr>
          <w:p w14:paraId="0D71B992">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至少2人具备</w:t>
            </w:r>
            <w:r>
              <w:rPr>
                <w:rFonts w:ascii="Times New Roman" w:hAnsi="Times New Roman"/>
                <w:spacing w:val="-8"/>
                <w:sz w:val="22"/>
                <w:szCs w:val="22"/>
              </w:rPr>
              <w:t>注册信息安全工程师（CISP）</w:t>
            </w:r>
            <w:r>
              <w:rPr>
                <w:rFonts w:hint="eastAsia" w:ascii="Times New Roman" w:hAnsi="Times New Roman"/>
                <w:spacing w:val="-8"/>
                <w:sz w:val="22"/>
                <w:szCs w:val="22"/>
              </w:rPr>
              <w:t>证书</w:t>
            </w:r>
          </w:p>
        </w:tc>
        <w:tc>
          <w:tcPr>
            <w:tcW w:w="0" w:type="auto"/>
            <w:noWrap/>
            <w:vAlign w:val="center"/>
          </w:tcPr>
          <w:p w14:paraId="5EE8D893">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不驻场</w:t>
            </w:r>
          </w:p>
        </w:tc>
      </w:tr>
    </w:tbl>
    <w:p w14:paraId="3A265D8A">
      <w:pPr>
        <w:rPr>
          <w:rFonts w:ascii="Times New Roman" w:hAnsi="Times New Roman"/>
        </w:rPr>
      </w:pPr>
      <w:r>
        <w:rPr>
          <w:rFonts w:ascii="Times New Roman" w:hAnsi="Times New Roman"/>
        </w:rPr>
        <w:t>2）</w:t>
      </w:r>
      <w:r>
        <w:rPr>
          <w:rFonts w:hint="eastAsia" w:ascii="Times New Roman" w:hAnsi="Times New Roman"/>
        </w:rPr>
        <w:t>供应商</w:t>
      </w:r>
      <w:r>
        <w:rPr>
          <w:rFonts w:ascii="Times New Roman" w:hAnsi="Times New Roman"/>
        </w:rPr>
        <w:t>应针对本项目提供不少于3人的质保期间支撑团队（其中技术</w:t>
      </w:r>
      <w:r>
        <w:rPr>
          <w:rFonts w:hint="eastAsia" w:ascii="Times New Roman" w:hAnsi="Times New Roman"/>
          <w:lang w:eastAsia="zh-CN"/>
        </w:rPr>
        <w:t>负责人</w:t>
      </w:r>
      <w:r>
        <w:rPr>
          <w:rFonts w:hint="eastAsia" w:ascii="Times New Roman" w:hAnsi="Times New Roman"/>
        </w:rPr>
        <w:t>1</w:t>
      </w:r>
      <w:r>
        <w:rPr>
          <w:rFonts w:ascii="Times New Roman" w:hAnsi="Times New Roman"/>
        </w:rPr>
        <w:t>人，</w:t>
      </w:r>
      <w:r>
        <w:rPr>
          <w:rFonts w:hint="eastAsia" w:ascii="Times New Roman" w:hAnsi="Times New Roman"/>
        </w:rPr>
        <w:t>需求分析师1</w:t>
      </w:r>
      <w:r>
        <w:rPr>
          <w:rFonts w:ascii="Times New Roman" w:hAnsi="Times New Roman"/>
        </w:rPr>
        <w:t>人，技术工程师</w:t>
      </w:r>
      <w:r>
        <w:rPr>
          <w:rFonts w:hint="eastAsia" w:ascii="Times New Roman" w:hAnsi="Times New Roman"/>
        </w:rPr>
        <w:t>1</w:t>
      </w:r>
      <w:r>
        <w:rPr>
          <w:rFonts w:ascii="Times New Roman" w:hAnsi="Times New Roman"/>
        </w:rPr>
        <w:t>人）；</w:t>
      </w:r>
      <w:r>
        <w:rPr>
          <w:rFonts w:hint="eastAsia" w:ascii="Times New Roman" w:hAnsi="Times New Roman"/>
        </w:rPr>
        <w:t>供应商</w:t>
      </w:r>
      <w:r>
        <w:rPr>
          <w:rFonts w:ascii="Times New Roman" w:hAnsi="Times New Roman"/>
        </w:rPr>
        <w:t>的相关服务人员需具备相应的服务能力，需提供相关证明</w:t>
      </w:r>
      <w:r>
        <w:rPr>
          <w:rFonts w:hint="eastAsia" w:ascii="Times New Roman" w:hAnsi="Times New Roman"/>
        </w:rPr>
        <w:t>。</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2741"/>
        <w:gridCol w:w="1100"/>
        <w:gridCol w:w="2271"/>
        <w:gridCol w:w="1100"/>
      </w:tblGrid>
      <w:tr w14:paraId="344D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6CDF43EF">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角色</w:t>
            </w:r>
          </w:p>
        </w:tc>
        <w:tc>
          <w:tcPr>
            <w:tcW w:w="0" w:type="auto"/>
            <w:noWrap/>
            <w:vAlign w:val="center"/>
          </w:tcPr>
          <w:p w14:paraId="4C3E08A2">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主要职责</w:t>
            </w:r>
          </w:p>
        </w:tc>
        <w:tc>
          <w:tcPr>
            <w:tcW w:w="0" w:type="auto"/>
            <w:noWrap/>
            <w:vAlign w:val="center"/>
          </w:tcPr>
          <w:p w14:paraId="02DDFC68">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人员数量</w:t>
            </w:r>
          </w:p>
        </w:tc>
        <w:tc>
          <w:tcPr>
            <w:tcW w:w="0" w:type="auto"/>
            <w:vAlign w:val="center"/>
          </w:tcPr>
          <w:p w14:paraId="1928D52F">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人员要求</w:t>
            </w:r>
          </w:p>
        </w:tc>
        <w:tc>
          <w:tcPr>
            <w:tcW w:w="0" w:type="auto"/>
            <w:noWrap/>
            <w:vAlign w:val="center"/>
          </w:tcPr>
          <w:p w14:paraId="4E8736C8">
            <w:pPr>
              <w:widowControl/>
              <w:spacing w:line="240" w:lineRule="auto"/>
              <w:ind w:firstLine="0" w:firstLineChars="0"/>
              <w:jc w:val="center"/>
              <w:rPr>
                <w:rFonts w:ascii="Times New Roman" w:hAnsi="Times New Roman"/>
                <w:b/>
                <w:sz w:val="22"/>
                <w:szCs w:val="22"/>
              </w:rPr>
            </w:pPr>
            <w:r>
              <w:rPr>
                <w:rFonts w:hint="eastAsia" w:ascii="Times New Roman" w:hAnsi="Times New Roman"/>
                <w:b/>
                <w:sz w:val="22"/>
                <w:szCs w:val="22"/>
              </w:rPr>
              <w:t>驻场要求</w:t>
            </w:r>
          </w:p>
        </w:tc>
      </w:tr>
      <w:tr w14:paraId="5820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18211DFC">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项目负责人</w:t>
            </w:r>
          </w:p>
        </w:tc>
        <w:tc>
          <w:tcPr>
            <w:tcW w:w="0" w:type="auto"/>
            <w:vAlign w:val="center"/>
          </w:tcPr>
          <w:p w14:paraId="49881CA5">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负责项目质量和进度控制</w:t>
            </w:r>
          </w:p>
        </w:tc>
        <w:tc>
          <w:tcPr>
            <w:tcW w:w="0" w:type="auto"/>
            <w:noWrap/>
            <w:vAlign w:val="center"/>
          </w:tcPr>
          <w:p w14:paraId="05BFC674">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1人</w:t>
            </w:r>
          </w:p>
        </w:tc>
        <w:tc>
          <w:tcPr>
            <w:tcW w:w="0" w:type="auto"/>
            <w:vAlign w:val="center"/>
          </w:tcPr>
          <w:p w14:paraId="292D01D2">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具备信息系统项目管理师证书</w:t>
            </w:r>
          </w:p>
        </w:tc>
        <w:tc>
          <w:tcPr>
            <w:tcW w:w="0" w:type="auto"/>
            <w:noWrap/>
            <w:vAlign w:val="center"/>
          </w:tcPr>
          <w:p w14:paraId="3EAB992D">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不驻场</w:t>
            </w:r>
          </w:p>
        </w:tc>
      </w:tr>
      <w:tr w14:paraId="699F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62F438D1">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需求分析师</w:t>
            </w:r>
          </w:p>
        </w:tc>
        <w:tc>
          <w:tcPr>
            <w:tcW w:w="0" w:type="auto"/>
            <w:vAlign w:val="center"/>
          </w:tcPr>
          <w:p w14:paraId="4E34A3D5">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负责项目需求评估与产品设计</w:t>
            </w:r>
          </w:p>
        </w:tc>
        <w:tc>
          <w:tcPr>
            <w:tcW w:w="0" w:type="auto"/>
            <w:noWrap/>
            <w:vAlign w:val="center"/>
          </w:tcPr>
          <w:p w14:paraId="547E1086">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1人</w:t>
            </w:r>
          </w:p>
        </w:tc>
        <w:tc>
          <w:tcPr>
            <w:tcW w:w="0" w:type="auto"/>
            <w:vAlign w:val="center"/>
          </w:tcPr>
          <w:p w14:paraId="034CBEF9">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w:t>
            </w:r>
          </w:p>
        </w:tc>
        <w:tc>
          <w:tcPr>
            <w:tcW w:w="0" w:type="auto"/>
            <w:noWrap/>
            <w:vAlign w:val="center"/>
          </w:tcPr>
          <w:p w14:paraId="32470537">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不驻场</w:t>
            </w:r>
          </w:p>
        </w:tc>
      </w:tr>
      <w:tr w14:paraId="7E21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32EDD46B">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技术工程师</w:t>
            </w:r>
          </w:p>
        </w:tc>
        <w:tc>
          <w:tcPr>
            <w:tcW w:w="0" w:type="auto"/>
            <w:noWrap/>
            <w:vAlign w:val="center"/>
          </w:tcPr>
          <w:p w14:paraId="68FAE0CA">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负责项目运行维护</w:t>
            </w:r>
          </w:p>
        </w:tc>
        <w:tc>
          <w:tcPr>
            <w:tcW w:w="0" w:type="auto"/>
            <w:noWrap/>
            <w:vAlign w:val="center"/>
          </w:tcPr>
          <w:p w14:paraId="7B8E9001">
            <w:pPr>
              <w:widowControl/>
              <w:spacing w:line="240" w:lineRule="auto"/>
              <w:ind w:firstLine="0" w:firstLineChars="0"/>
              <w:jc w:val="center"/>
              <w:rPr>
                <w:rFonts w:ascii="Times New Roman" w:hAnsi="Times New Roman"/>
                <w:sz w:val="22"/>
                <w:szCs w:val="22"/>
              </w:rPr>
            </w:pPr>
            <w:r>
              <w:rPr>
                <w:rFonts w:ascii="Times New Roman" w:hAnsi="Times New Roman"/>
                <w:sz w:val="22"/>
                <w:szCs w:val="22"/>
              </w:rPr>
              <w:t>1</w:t>
            </w:r>
            <w:r>
              <w:rPr>
                <w:rFonts w:hint="eastAsia" w:ascii="Times New Roman" w:hAnsi="Times New Roman"/>
                <w:sz w:val="22"/>
                <w:szCs w:val="22"/>
              </w:rPr>
              <w:t>人</w:t>
            </w:r>
          </w:p>
        </w:tc>
        <w:tc>
          <w:tcPr>
            <w:tcW w:w="0" w:type="auto"/>
            <w:vAlign w:val="center"/>
          </w:tcPr>
          <w:p w14:paraId="27376269">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w:t>
            </w:r>
          </w:p>
        </w:tc>
        <w:tc>
          <w:tcPr>
            <w:tcW w:w="0" w:type="auto"/>
            <w:noWrap/>
            <w:vAlign w:val="center"/>
          </w:tcPr>
          <w:p w14:paraId="12C72D4A">
            <w:pPr>
              <w:widowControl/>
              <w:spacing w:line="240" w:lineRule="auto"/>
              <w:ind w:firstLine="0" w:firstLineChars="0"/>
              <w:jc w:val="center"/>
              <w:rPr>
                <w:rFonts w:ascii="Times New Roman" w:hAnsi="Times New Roman"/>
                <w:sz w:val="22"/>
                <w:szCs w:val="22"/>
              </w:rPr>
            </w:pPr>
            <w:r>
              <w:rPr>
                <w:rFonts w:hint="eastAsia" w:ascii="Times New Roman" w:hAnsi="Times New Roman"/>
                <w:sz w:val="22"/>
                <w:szCs w:val="22"/>
              </w:rPr>
              <w:t>不驻场</w:t>
            </w:r>
          </w:p>
        </w:tc>
      </w:tr>
    </w:tbl>
    <w:p w14:paraId="59C361AB">
      <w:pPr>
        <w:pStyle w:val="3"/>
        <w:rPr>
          <w:rFonts w:ascii="Times New Roman" w:hAnsi="Times New Roman"/>
        </w:rPr>
      </w:pPr>
      <w:bookmarkStart w:id="34" w:name="_Toc63785511"/>
      <w:r>
        <w:rPr>
          <w:rFonts w:ascii="Times New Roman" w:hAnsi="Times New Roman"/>
        </w:rPr>
        <w:t>等级保护要求</w:t>
      </w:r>
      <w:bookmarkEnd w:id="34"/>
    </w:p>
    <w:p w14:paraId="3786C44C">
      <w:pPr>
        <w:rPr>
          <w:rFonts w:ascii="Times New Roman" w:hAnsi="Times New Roman"/>
        </w:rPr>
      </w:pPr>
      <w:r>
        <w:rPr>
          <w:rFonts w:hint="eastAsia" w:ascii="Times New Roman" w:hAnsi="Times New Roman"/>
        </w:rPr>
        <w:t>本系统依托市政务云平台建设，其网络安全保障依托市政务云平台现有安全措施实现，需要按照满足二级等级保护要求建设本项目。</w:t>
      </w:r>
    </w:p>
    <w:p w14:paraId="48257605">
      <w:pPr>
        <w:pStyle w:val="3"/>
        <w:rPr>
          <w:rFonts w:ascii="Times New Roman" w:hAnsi="Times New Roman"/>
        </w:rPr>
      </w:pPr>
      <w:r>
        <w:rPr>
          <w:rFonts w:hint="eastAsia" w:ascii="Times New Roman" w:hAnsi="Times New Roman"/>
        </w:rPr>
        <w:t>商用密码应用需求</w:t>
      </w:r>
    </w:p>
    <w:p w14:paraId="602D728F">
      <w:pPr>
        <w:rPr>
          <w:rFonts w:ascii="Times New Roman" w:hAnsi="Times New Roman"/>
        </w:rPr>
      </w:pPr>
      <w:r>
        <w:rPr>
          <w:rFonts w:hint="eastAsia" w:ascii="Times New Roman" w:hAnsi="Times New Roman"/>
        </w:rPr>
        <w:t>依据GB/T39786—2021《信息安全技术信息系统密码应用基本要求》，结合本系统风险控制需求分析结果，本系统的主要密码应用需求包括：</w:t>
      </w:r>
    </w:p>
    <w:p w14:paraId="4A90C27F">
      <w:pPr>
        <w:ind w:firstLine="0" w:firstLineChars="0"/>
        <w:jc w:val="center"/>
        <w:rPr>
          <w:rFonts w:ascii="Times New Roman" w:hAnsi="Times New Roman"/>
        </w:rPr>
      </w:pPr>
      <w:r>
        <w:rPr>
          <w:rFonts w:ascii="Times New Roman" w:hAnsi="Times New Roman"/>
        </w:rPr>
        <w:t>系统密码应用需求清单</w:t>
      </w:r>
    </w:p>
    <w:tbl>
      <w:tblPr>
        <w:tblStyle w:val="37"/>
        <w:tblW w:w="88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2"/>
        <w:gridCol w:w="815"/>
        <w:gridCol w:w="2170"/>
        <w:gridCol w:w="3527"/>
        <w:gridCol w:w="1493"/>
      </w:tblGrid>
      <w:tr w14:paraId="5A412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tblHeader/>
          <w:jc w:val="center"/>
        </w:trPr>
        <w:tc>
          <w:tcPr>
            <w:tcW w:w="1627" w:type="dxa"/>
            <w:gridSpan w:val="2"/>
            <w:vAlign w:val="center"/>
          </w:tcPr>
          <w:p w14:paraId="2E826737">
            <w:pPr>
              <w:pStyle w:val="16"/>
              <w:jc w:val="center"/>
              <w:rPr>
                <w:b/>
                <w:bCs/>
                <w:sz w:val="22"/>
                <w:szCs w:val="22"/>
              </w:rPr>
            </w:pPr>
            <w:r>
              <w:rPr>
                <w:rFonts w:hint="eastAsia"/>
                <w:b/>
                <w:bCs/>
                <w:sz w:val="22"/>
                <w:szCs w:val="22"/>
              </w:rPr>
              <w:t>安全层面</w:t>
            </w:r>
          </w:p>
        </w:tc>
        <w:tc>
          <w:tcPr>
            <w:tcW w:w="2170" w:type="dxa"/>
            <w:vAlign w:val="center"/>
          </w:tcPr>
          <w:p w14:paraId="5BBE8418">
            <w:pPr>
              <w:pStyle w:val="16"/>
              <w:jc w:val="center"/>
              <w:rPr>
                <w:b/>
                <w:bCs/>
                <w:sz w:val="22"/>
                <w:szCs w:val="22"/>
              </w:rPr>
            </w:pPr>
            <w:r>
              <w:rPr>
                <w:rFonts w:hint="eastAsia"/>
                <w:b/>
                <w:bCs/>
                <w:sz w:val="22"/>
                <w:szCs w:val="22"/>
              </w:rPr>
              <w:t>指标要求</w:t>
            </w:r>
          </w:p>
        </w:tc>
        <w:tc>
          <w:tcPr>
            <w:tcW w:w="3527" w:type="dxa"/>
            <w:vAlign w:val="center"/>
          </w:tcPr>
          <w:p w14:paraId="36DE61C3">
            <w:pPr>
              <w:pStyle w:val="16"/>
              <w:jc w:val="center"/>
              <w:rPr>
                <w:b/>
                <w:bCs/>
                <w:sz w:val="22"/>
                <w:szCs w:val="22"/>
              </w:rPr>
            </w:pPr>
            <w:r>
              <w:rPr>
                <w:rFonts w:hint="eastAsia"/>
                <w:b/>
                <w:bCs/>
                <w:sz w:val="22"/>
                <w:szCs w:val="22"/>
              </w:rPr>
              <w:t>系统密码应用需求</w:t>
            </w:r>
          </w:p>
        </w:tc>
        <w:tc>
          <w:tcPr>
            <w:tcW w:w="1493" w:type="dxa"/>
            <w:vAlign w:val="center"/>
          </w:tcPr>
          <w:p w14:paraId="0C5955E7">
            <w:pPr>
              <w:pStyle w:val="16"/>
              <w:jc w:val="center"/>
              <w:rPr>
                <w:b/>
                <w:bCs/>
                <w:sz w:val="22"/>
                <w:szCs w:val="22"/>
              </w:rPr>
            </w:pPr>
            <w:r>
              <w:rPr>
                <w:rFonts w:hint="eastAsia"/>
                <w:b/>
                <w:bCs/>
                <w:sz w:val="22"/>
                <w:szCs w:val="22"/>
              </w:rPr>
              <w:t>不适用说明</w:t>
            </w:r>
          </w:p>
        </w:tc>
      </w:tr>
      <w:tr w14:paraId="77EF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restart"/>
            <w:vAlign w:val="center"/>
          </w:tcPr>
          <w:p w14:paraId="116DE76B">
            <w:pPr>
              <w:pStyle w:val="16"/>
              <w:rPr>
                <w:sz w:val="22"/>
                <w:szCs w:val="22"/>
              </w:rPr>
            </w:pPr>
            <w:r>
              <w:rPr>
                <w:rFonts w:hint="eastAsia"/>
                <w:sz w:val="22"/>
                <w:szCs w:val="22"/>
              </w:rPr>
              <w:t>计算平台安全</w:t>
            </w:r>
          </w:p>
        </w:tc>
        <w:tc>
          <w:tcPr>
            <w:tcW w:w="815" w:type="dxa"/>
            <w:vMerge w:val="restart"/>
            <w:vAlign w:val="center"/>
          </w:tcPr>
          <w:p w14:paraId="4053BAD4">
            <w:pPr>
              <w:pStyle w:val="16"/>
              <w:rPr>
                <w:sz w:val="22"/>
                <w:szCs w:val="22"/>
              </w:rPr>
            </w:pPr>
            <w:r>
              <w:rPr>
                <w:rFonts w:hint="eastAsia"/>
                <w:sz w:val="22"/>
                <w:szCs w:val="22"/>
              </w:rPr>
              <w:t>物理和环境安全</w:t>
            </w:r>
          </w:p>
        </w:tc>
        <w:tc>
          <w:tcPr>
            <w:tcW w:w="2170" w:type="dxa"/>
            <w:vAlign w:val="center"/>
          </w:tcPr>
          <w:p w14:paraId="67333161">
            <w:pPr>
              <w:pStyle w:val="16"/>
              <w:rPr>
                <w:sz w:val="22"/>
                <w:szCs w:val="22"/>
              </w:rPr>
            </w:pPr>
            <w:r>
              <w:rPr>
                <w:rFonts w:hint="eastAsia"/>
                <w:sz w:val="22"/>
                <w:szCs w:val="22"/>
              </w:rPr>
              <w:t>身份鉴别</w:t>
            </w:r>
          </w:p>
        </w:tc>
        <w:tc>
          <w:tcPr>
            <w:tcW w:w="3527" w:type="dxa"/>
            <w:vAlign w:val="center"/>
          </w:tcPr>
          <w:p w14:paraId="31FA3254">
            <w:pPr>
              <w:pStyle w:val="16"/>
              <w:rPr>
                <w:sz w:val="22"/>
                <w:szCs w:val="22"/>
              </w:rPr>
            </w:pPr>
            <w:r>
              <w:rPr>
                <w:rFonts w:hint="eastAsia"/>
                <w:sz w:val="22"/>
                <w:szCs w:val="22"/>
              </w:rPr>
              <w:t>已符合密码应用要求。</w:t>
            </w:r>
          </w:p>
        </w:tc>
        <w:tc>
          <w:tcPr>
            <w:tcW w:w="1493" w:type="dxa"/>
            <w:vAlign w:val="center"/>
          </w:tcPr>
          <w:p w14:paraId="66697D0E">
            <w:pPr>
              <w:pStyle w:val="16"/>
              <w:rPr>
                <w:sz w:val="22"/>
                <w:szCs w:val="22"/>
              </w:rPr>
            </w:pPr>
            <w:r>
              <w:rPr>
                <w:rFonts w:hint="eastAsia"/>
                <w:sz w:val="22"/>
                <w:szCs w:val="22"/>
              </w:rPr>
              <w:t>无</w:t>
            </w:r>
          </w:p>
        </w:tc>
      </w:tr>
      <w:tr w14:paraId="000C7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390D3213">
            <w:pPr>
              <w:pStyle w:val="16"/>
              <w:rPr>
                <w:sz w:val="22"/>
                <w:szCs w:val="22"/>
              </w:rPr>
            </w:pPr>
          </w:p>
        </w:tc>
        <w:tc>
          <w:tcPr>
            <w:tcW w:w="815" w:type="dxa"/>
            <w:vMerge w:val="continue"/>
            <w:vAlign w:val="center"/>
          </w:tcPr>
          <w:p w14:paraId="4A46D83F">
            <w:pPr>
              <w:pStyle w:val="16"/>
              <w:rPr>
                <w:sz w:val="22"/>
                <w:szCs w:val="22"/>
              </w:rPr>
            </w:pPr>
          </w:p>
        </w:tc>
        <w:tc>
          <w:tcPr>
            <w:tcW w:w="2170" w:type="dxa"/>
            <w:vAlign w:val="center"/>
          </w:tcPr>
          <w:p w14:paraId="1AE2BE75">
            <w:pPr>
              <w:pStyle w:val="16"/>
              <w:rPr>
                <w:sz w:val="22"/>
                <w:szCs w:val="22"/>
              </w:rPr>
            </w:pPr>
            <w:r>
              <w:rPr>
                <w:rFonts w:hint="eastAsia"/>
                <w:sz w:val="22"/>
                <w:szCs w:val="22"/>
              </w:rPr>
              <w:t>电子门禁记录数据完整性</w:t>
            </w:r>
          </w:p>
        </w:tc>
        <w:tc>
          <w:tcPr>
            <w:tcW w:w="3527" w:type="dxa"/>
            <w:vAlign w:val="center"/>
          </w:tcPr>
          <w:p w14:paraId="07B1529E">
            <w:pPr>
              <w:pStyle w:val="16"/>
              <w:rPr>
                <w:sz w:val="22"/>
                <w:szCs w:val="22"/>
              </w:rPr>
            </w:pPr>
            <w:r>
              <w:rPr>
                <w:rFonts w:hint="eastAsia"/>
                <w:sz w:val="22"/>
                <w:szCs w:val="22"/>
              </w:rPr>
              <w:t>已符合密码应用要求。</w:t>
            </w:r>
          </w:p>
        </w:tc>
        <w:tc>
          <w:tcPr>
            <w:tcW w:w="1493" w:type="dxa"/>
            <w:vAlign w:val="center"/>
          </w:tcPr>
          <w:p w14:paraId="38BB2F25">
            <w:pPr>
              <w:pStyle w:val="16"/>
              <w:rPr>
                <w:sz w:val="22"/>
                <w:szCs w:val="22"/>
              </w:rPr>
            </w:pPr>
            <w:r>
              <w:rPr>
                <w:rFonts w:hint="eastAsia"/>
                <w:sz w:val="22"/>
                <w:szCs w:val="22"/>
              </w:rPr>
              <w:t>无</w:t>
            </w:r>
          </w:p>
        </w:tc>
      </w:tr>
      <w:tr w14:paraId="2590A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7A3E2A83">
            <w:pPr>
              <w:pStyle w:val="16"/>
              <w:rPr>
                <w:sz w:val="22"/>
                <w:szCs w:val="22"/>
              </w:rPr>
            </w:pPr>
          </w:p>
        </w:tc>
        <w:tc>
          <w:tcPr>
            <w:tcW w:w="815" w:type="dxa"/>
            <w:vMerge w:val="continue"/>
            <w:vAlign w:val="center"/>
          </w:tcPr>
          <w:p w14:paraId="3DF1ED89">
            <w:pPr>
              <w:pStyle w:val="16"/>
              <w:rPr>
                <w:sz w:val="22"/>
                <w:szCs w:val="22"/>
              </w:rPr>
            </w:pPr>
          </w:p>
        </w:tc>
        <w:tc>
          <w:tcPr>
            <w:tcW w:w="2170" w:type="dxa"/>
            <w:vAlign w:val="center"/>
          </w:tcPr>
          <w:p w14:paraId="05327152">
            <w:pPr>
              <w:pStyle w:val="16"/>
              <w:rPr>
                <w:sz w:val="22"/>
                <w:szCs w:val="22"/>
              </w:rPr>
            </w:pPr>
            <w:r>
              <w:rPr>
                <w:rFonts w:hint="eastAsia"/>
                <w:sz w:val="22"/>
                <w:szCs w:val="22"/>
              </w:rPr>
              <w:t>密码服务</w:t>
            </w:r>
          </w:p>
        </w:tc>
        <w:tc>
          <w:tcPr>
            <w:tcW w:w="3527" w:type="dxa"/>
            <w:vAlign w:val="center"/>
          </w:tcPr>
          <w:p w14:paraId="7B321460">
            <w:pPr>
              <w:pStyle w:val="16"/>
              <w:rPr>
                <w:sz w:val="22"/>
                <w:szCs w:val="22"/>
              </w:rPr>
            </w:pPr>
            <w:r>
              <w:rPr>
                <w:rFonts w:hint="eastAsia"/>
                <w:sz w:val="22"/>
                <w:szCs w:val="22"/>
              </w:rPr>
              <w:t>不适用。</w:t>
            </w:r>
          </w:p>
        </w:tc>
        <w:tc>
          <w:tcPr>
            <w:tcW w:w="1493" w:type="dxa"/>
            <w:vAlign w:val="center"/>
          </w:tcPr>
          <w:p w14:paraId="4B44B2EA">
            <w:pPr>
              <w:pStyle w:val="16"/>
              <w:rPr>
                <w:sz w:val="22"/>
                <w:szCs w:val="22"/>
              </w:rPr>
            </w:pPr>
            <w:r>
              <w:rPr>
                <w:rFonts w:hint="eastAsia"/>
                <w:sz w:val="22"/>
                <w:szCs w:val="22"/>
              </w:rPr>
              <w:t>无密码服务需求</w:t>
            </w:r>
          </w:p>
        </w:tc>
      </w:tr>
      <w:tr w14:paraId="42E2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3979BA2C">
            <w:pPr>
              <w:pStyle w:val="16"/>
              <w:rPr>
                <w:sz w:val="22"/>
                <w:szCs w:val="22"/>
              </w:rPr>
            </w:pPr>
          </w:p>
        </w:tc>
        <w:tc>
          <w:tcPr>
            <w:tcW w:w="815" w:type="dxa"/>
            <w:vMerge w:val="continue"/>
            <w:vAlign w:val="center"/>
          </w:tcPr>
          <w:p w14:paraId="0DE808EC">
            <w:pPr>
              <w:pStyle w:val="16"/>
              <w:rPr>
                <w:sz w:val="22"/>
                <w:szCs w:val="22"/>
              </w:rPr>
            </w:pPr>
          </w:p>
        </w:tc>
        <w:tc>
          <w:tcPr>
            <w:tcW w:w="2170" w:type="dxa"/>
            <w:vAlign w:val="center"/>
          </w:tcPr>
          <w:p w14:paraId="19AAFE88">
            <w:pPr>
              <w:pStyle w:val="16"/>
              <w:rPr>
                <w:sz w:val="22"/>
                <w:szCs w:val="22"/>
              </w:rPr>
            </w:pPr>
            <w:r>
              <w:rPr>
                <w:rFonts w:hint="eastAsia"/>
                <w:sz w:val="22"/>
                <w:szCs w:val="22"/>
              </w:rPr>
              <w:t>密码产品</w:t>
            </w:r>
          </w:p>
        </w:tc>
        <w:tc>
          <w:tcPr>
            <w:tcW w:w="3527" w:type="dxa"/>
            <w:vAlign w:val="center"/>
          </w:tcPr>
          <w:p w14:paraId="4FF3751B">
            <w:pPr>
              <w:pStyle w:val="16"/>
              <w:rPr>
                <w:sz w:val="22"/>
                <w:szCs w:val="22"/>
              </w:rPr>
            </w:pPr>
            <w:r>
              <w:rPr>
                <w:rFonts w:hint="eastAsia"/>
                <w:sz w:val="22"/>
                <w:szCs w:val="22"/>
              </w:rPr>
              <w:t>采用的密码产品应达到</w:t>
            </w:r>
            <w:r>
              <w:rPr>
                <w:sz w:val="22"/>
                <w:szCs w:val="22"/>
              </w:rPr>
              <w:t>GB/T 37092</w:t>
            </w:r>
            <w:r>
              <w:rPr>
                <w:rFonts w:hint="eastAsia"/>
                <w:sz w:val="22"/>
                <w:szCs w:val="22"/>
              </w:rPr>
              <w:t>-2018一级及以上安全要求。</w:t>
            </w:r>
          </w:p>
        </w:tc>
        <w:tc>
          <w:tcPr>
            <w:tcW w:w="1493" w:type="dxa"/>
            <w:vAlign w:val="center"/>
          </w:tcPr>
          <w:p w14:paraId="49E07482">
            <w:pPr>
              <w:pStyle w:val="16"/>
              <w:rPr>
                <w:sz w:val="22"/>
                <w:szCs w:val="22"/>
              </w:rPr>
            </w:pPr>
            <w:r>
              <w:rPr>
                <w:rFonts w:hint="eastAsia"/>
                <w:sz w:val="22"/>
                <w:szCs w:val="22"/>
              </w:rPr>
              <w:t>无</w:t>
            </w:r>
          </w:p>
        </w:tc>
      </w:tr>
      <w:tr w14:paraId="5059C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078A38FC">
            <w:pPr>
              <w:pStyle w:val="16"/>
              <w:rPr>
                <w:sz w:val="22"/>
                <w:szCs w:val="22"/>
              </w:rPr>
            </w:pPr>
          </w:p>
        </w:tc>
        <w:tc>
          <w:tcPr>
            <w:tcW w:w="815" w:type="dxa"/>
            <w:vMerge w:val="restart"/>
            <w:vAlign w:val="center"/>
          </w:tcPr>
          <w:p w14:paraId="5CB8E25A">
            <w:pPr>
              <w:pStyle w:val="16"/>
              <w:rPr>
                <w:sz w:val="22"/>
                <w:szCs w:val="22"/>
              </w:rPr>
            </w:pPr>
            <w:r>
              <w:rPr>
                <w:rFonts w:hint="eastAsia"/>
                <w:sz w:val="22"/>
                <w:szCs w:val="22"/>
              </w:rPr>
              <w:t>网络和通信安全</w:t>
            </w:r>
          </w:p>
        </w:tc>
        <w:tc>
          <w:tcPr>
            <w:tcW w:w="2170" w:type="dxa"/>
            <w:vAlign w:val="center"/>
          </w:tcPr>
          <w:p w14:paraId="3BD0897C">
            <w:pPr>
              <w:pStyle w:val="16"/>
              <w:rPr>
                <w:sz w:val="22"/>
                <w:szCs w:val="22"/>
              </w:rPr>
            </w:pPr>
            <w:r>
              <w:rPr>
                <w:rFonts w:hint="eastAsia"/>
                <w:sz w:val="22"/>
                <w:szCs w:val="22"/>
              </w:rPr>
              <w:t>身份鉴别</w:t>
            </w:r>
          </w:p>
        </w:tc>
        <w:tc>
          <w:tcPr>
            <w:tcW w:w="3527" w:type="dxa"/>
            <w:vAlign w:val="center"/>
          </w:tcPr>
          <w:p w14:paraId="4A373E60">
            <w:pPr>
              <w:pStyle w:val="16"/>
              <w:rPr>
                <w:sz w:val="22"/>
                <w:szCs w:val="22"/>
              </w:rPr>
            </w:pPr>
            <w:r>
              <w:rPr>
                <w:rFonts w:hint="eastAsia"/>
                <w:sz w:val="22"/>
                <w:szCs w:val="22"/>
              </w:rPr>
              <w:t>已符合密码应用要求。</w:t>
            </w:r>
          </w:p>
        </w:tc>
        <w:tc>
          <w:tcPr>
            <w:tcW w:w="1493" w:type="dxa"/>
            <w:vAlign w:val="center"/>
          </w:tcPr>
          <w:p w14:paraId="4460CB08">
            <w:pPr>
              <w:pStyle w:val="16"/>
              <w:rPr>
                <w:sz w:val="22"/>
                <w:szCs w:val="22"/>
              </w:rPr>
            </w:pPr>
            <w:r>
              <w:rPr>
                <w:rFonts w:hint="eastAsia"/>
                <w:sz w:val="22"/>
                <w:szCs w:val="22"/>
              </w:rPr>
              <w:t>无</w:t>
            </w:r>
          </w:p>
        </w:tc>
      </w:tr>
      <w:tr w14:paraId="0842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1F9F736C">
            <w:pPr>
              <w:pStyle w:val="16"/>
              <w:rPr>
                <w:sz w:val="22"/>
                <w:szCs w:val="22"/>
              </w:rPr>
            </w:pPr>
          </w:p>
        </w:tc>
        <w:tc>
          <w:tcPr>
            <w:tcW w:w="815" w:type="dxa"/>
            <w:vMerge w:val="continue"/>
            <w:vAlign w:val="center"/>
          </w:tcPr>
          <w:p w14:paraId="431BC7AE">
            <w:pPr>
              <w:pStyle w:val="16"/>
              <w:rPr>
                <w:sz w:val="22"/>
                <w:szCs w:val="22"/>
              </w:rPr>
            </w:pPr>
          </w:p>
        </w:tc>
        <w:tc>
          <w:tcPr>
            <w:tcW w:w="2170" w:type="dxa"/>
            <w:vAlign w:val="center"/>
          </w:tcPr>
          <w:p w14:paraId="1BC84910">
            <w:pPr>
              <w:pStyle w:val="16"/>
              <w:rPr>
                <w:sz w:val="22"/>
                <w:szCs w:val="22"/>
              </w:rPr>
            </w:pPr>
            <w:r>
              <w:rPr>
                <w:rFonts w:hint="eastAsia"/>
                <w:sz w:val="22"/>
                <w:szCs w:val="22"/>
              </w:rPr>
              <w:t>通信数据完整性</w:t>
            </w:r>
          </w:p>
        </w:tc>
        <w:tc>
          <w:tcPr>
            <w:tcW w:w="3527" w:type="dxa"/>
            <w:vMerge w:val="restart"/>
            <w:vAlign w:val="center"/>
          </w:tcPr>
          <w:p w14:paraId="6DA79F09">
            <w:pPr>
              <w:pStyle w:val="16"/>
              <w:rPr>
                <w:sz w:val="22"/>
                <w:szCs w:val="22"/>
              </w:rPr>
            </w:pPr>
            <w:r>
              <w:rPr>
                <w:rFonts w:hint="eastAsia"/>
                <w:sz w:val="22"/>
                <w:szCs w:val="22"/>
              </w:rPr>
              <w:t>保护通信过程中重要业务数据的完整性和机密性，防止数据被非授权篡改，防止重要数据泄露。</w:t>
            </w:r>
          </w:p>
        </w:tc>
        <w:tc>
          <w:tcPr>
            <w:tcW w:w="1493" w:type="dxa"/>
            <w:vAlign w:val="center"/>
          </w:tcPr>
          <w:p w14:paraId="528D0D43">
            <w:pPr>
              <w:pStyle w:val="16"/>
              <w:rPr>
                <w:sz w:val="22"/>
                <w:szCs w:val="22"/>
              </w:rPr>
            </w:pPr>
            <w:r>
              <w:rPr>
                <w:rFonts w:hint="eastAsia"/>
                <w:sz w:val="22"/>
                <w:szCs w:val="22"/>
              </w:rPr>
              <w:t>无</w:t>
            </w:r>
          </w:p>
        </w:tc>
      </w:tr>
      <w:tr w14:paraId="46AB0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7E164512">
            <w:pPr>
              <w:pStyle w:val="16"/>
              <w:rPr>
                <w:sz w:val="22"/>
                <w:szCs w:val="22"/>
              </w:rPr>
            </w:pPr>
          </w:p>
        </w:tc>
        <w:tc>
          <w:tcPr>
            <w:tcW w:w="815" w:type="dxa"/>
            <w:vMerge w:val="continue"/>
            <w:vAlign w:val="center"/>
          </w:tcPr>
          <w:p w14:paraId="3764B8CD">
            <w:pPr>
              <w:pStyle w:val="16"/>
              <w:rPr>
                <w:sz w:val="22"/>
                <w:szCs w:val="22"/>
              </w:rPr>
            </w:pPr>
          </w:p>
        </w:tc>
        <w:tc>
          <w:tcPr>
            <w:tcW w:w="2170" w:type="dxa"/>
            <w:vAlign w:val="center"/>
          </w:tcPr>
          <w:p w14:paraId="2E1274A7">
            <w:pPr>
              <w:pStyle w:val="16"/>
              <w:rPr>
                <w:sz w:val="22"/>
                <w:szCs w:val="22"/>
              </w:rPr>
            </w:pPr>
            <w:r>
              <w:rPr>
                <w:rFonts w:hint="eastAsia"/>
                <w:sz w:val="22"/>
                <w:szCs w:val="22"/>
              </w:rPr>
              <w:t>通信过程中重要数据的机密性</w:t>
            </w:r>
          </w:p>
        </w:tc>
        <w:tc>
          <w:tcPr>
            <w:tcW w:w="3527" w:type="dxa"/>
            <w:vMerge w:val="continue"/>
            <w:vAlign w:val="center"/>
          </w:tcPr>
          <w:p w14:paraId="1511FEE4">
            <w:pPr>
              <w:pStyle w:val="16"/>
              <w:rPr>
                <w:sz w:val="22"/>
                <w:szCs w:val="22"/>
              </w:rPr>
            </w:pPr>
          </w:p>
        </w:tc>
        <w:tc>
          <w:tcPr>
            <w:tcW w:w="1493" w:type="dxa"/>
            <w:vAlign w:val="center"/>
          </w:tcPr>
          <w:p w14:paraId="6E6C2A98">
            <w:pPr>
              <w:pStyle w:val="16"/>
              <w:rPr>
                <w:sz w:val="22"/>
                <w:szCs w:val="22"/>
              </w:rPr>
            </w:pPr>
            <w:r>
              <w:rPr>
                <w:rFonts w:hint="eastAsia"/>
                <w:sz w:val="22"/>
                <w:szCs w:val="22"/>
              </w:rPr>
              <w:t>无</w:t>
            </w:r>
          </w:p>
        </w:tc>
      </w:tr>
      <w:tr w14:paraId="1EF47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2AD76315">
            <w:pPr>
              <w:pStyle w:val="16"/>
              <w:rPr>
                <w:sz w:val="22"/>
                <w:szCs w:val="22"/>
              </w:rPr>
            </w:pPr>
          </w:p>
        </w:tc>
        <w:tc>
          <w:tcPr>
            <w:tcW w:w="815" w:type="dxa"/>
            <w:vMerge w:val="continue"/>
            <w:vAlign w:val="center"/>
          </w:tcPr>
          <w:p w14:paraId="2400F1E6">
            <w:pPr>
              <w:pStyle w:val="16"/>
              <w:rPr>
                <w:sz w:val="22"/>
                <w:szCs w:val="22"/>
              </w:rPr>
            </w:pPr>
          </w:p>
        </w:tc>
        <w:tc>
          <w:tcPr>
            <w:tcW w:w="2170" w:type="dxa"/>
            <w:vAlign w:val="center"/>
          </w:tcPr>
          <w:p w14:paraId="534CD327">
            <w:pPr>
              <w:pStyle w:val="16"/>
              <w:rPr>
                <w:sz w:val="22"/>
                <w:szCs w:val="22"/>
              </w:rPr>
            </w:pPr>
            <w:r>
              <w:rPr>
                <w:rFonts w:hint="eastAsia"/>
                <w:sz w:val="22"/>
                <w:szCs w:val="22"/>
              </w:rPr>
              <w:t>网络边界访问控制信息的完整性</w:t>
            </w:r>
            <w:r>
              <w:rPr>
                <w:sz w:val="22"/>
                <w:szCs w:val="22"/>
              </w:rPr>
              <w:t xml:space="preserve"> </w:t>
            </w:r>
          </w:p>
        </w:tc>
        <w:tc>
          <w:tcPr>
            <w:tcW w:w="3527" w:type="dxa"/>
            <w:vAlign w:val="center"/>
          </w:tcPr>
          <w:p w14:paraId="454D6DC3">
            <w:pPr>
              <w:pStyle w:val="16"/>
              <w:rPr>
                <w:sz w:val="22"/>
                <w:szCs w:val="22"/>
              </w:rPr>
            </w:pPr>
            <w:r>
              <w:rPr>
                <w:rFonts w:hint="eastAsia"/>
                <w:sz w:val="22"/>
                <w:szCs w:val="22"/>
              </w:rPr>
              <w:t>保护访问应用系统的网络边界访问控制信息的完整性，防止被非授权篡改。</w:t>
            </w:r>
          </w:p>
        </w:tc>
        <w:tc>
          <w:tcPr>
            <w:tcW w:w="1493" w:type="dxa"/>
            <w:vAlign w:val="center"/>
          </w:tcPr>
          <w:p w14:paraId="4678AF93">
            <w:pPr>
              <w:pStyle w:val="16"/>
              <w:rPr>
                <w:sz w:val="22"/>
                <w:szCs w:val="22"/>
              </w:rPr>
            </w:pPr>
            <w:r>
              <w:rPr>
                <w:rFonts w:hint="eastAsia"/>
                <w:sz w:val="22"/>
                <w:szCs w:val="22"/>
              </w:rPr>
              <w:t>无</w:t>
            </w:r>
          </w:p>
        </w:tc>
      </w:tr>
      <w:tr w14:paraId="5300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247250CF">
            <w:pPr>
              <w:pStyle w:val="16"/>
              <w:rPr>
                <w:sz w:val="22"/>
                <w:szCs w:val="22"/>
              </w:rPr>
            </w:pPr>
          </w:p>
        </w:tc>
        <w:tc>
          <w:tcPr>
            <w:tcW w:w="815" w:type="dxa"/>
            <w:vMerge w:val="continue"/>
            <w:vAlign w:val="center"/>
          </w:tcPr>
          <w:p w14:paraId="5092D08B">
            <w:pPr>
              <w:pStyle w:val="16"/>
              <w:rPr>
                <w:sz w:val="22"/>
                <w:szCs w:val="22"/>
              </w:rPr>
            </w:pPr>
          </w:p>
        </w:tc>
        <w:tc>
          <w:tcPr>
            <w:tcW w:w="2170" w:type="dxa"/>
            <w:vAlign w:val="center"/>
          </w:tcPr>
          <w:p w14:paraId="2B5738F1">
            <w:pPr>
              <w:pStyle w:val="16"/>
              <w:rPr>
                <w:sz w:val="22"/>
                <w:szCs w:val="22"/>
              </w:rPr>
            </w:pPr>
            <w:r>
              <w:rPr>
                <w:rFonts w:hint="eastAsia"/>
                <w:sz w:val="22"/>
                <w:szCs w:val="22"/>
              </w:rPr>
              <w:t>密码服务</w:t>
            </w:r>
          </w:p>
        </w:tc>
        <w:tc>
          <w:tcPr>
            <w:tcW w:w="3527" w:type="dxa"/>
            <w:vAlign w:val="center"/>
          </w:tcPr>
          <w:p w14:paraId="4C30443A">
            <w:pPr>
              <w:pStyle w:val="16"/>
              <w:rPr>
                <w:sz w:val="22"/>
                <w:szCs w:val="22"/>
              </w:rPr>
            </w:pPr>
            <w:r>
              <w:rPr>
                <w:rFonts w:hint="eastAsia"/>
                <w:sz w:val="22"/>
                <w:szCs w:val="22"/>
              </w:rPr>
              <w:t>采用的数字证书由具有电子认证服务资质的机构签发。</w:t>
            </w:r>
          </w:p>
        </w:tc>
        <w:tc>
          <w:tcPr>
            <w:tcW w:w="1493" w:type="dxa"/>
            <w:vAlign w:val="center"/>
          </w:tcPr>
          <w:p w14:paraId="72B63444">
            <w:pPr>
              <w:pStyle w:val="16"/>
              <w:rPr>
                <w:sz w:val="22"/>
                <w:szCs w:val="22"/>
              </w:rPr>
            </w:pPr>
            <w:r>
              <w:rPr>
                <w:rFonts w:hint="eastAsia"/>
                <w:sz w:val="22"/>
                <w:szCs w:val="22"/>
              </w:rPr>
              <w:t>无</w:t>
            </w:r>
          </w:p>
        </w:tc>
      </w:tr>
      <w:tr w14:paraId="231B5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45263A57">
            <w:pPr>
              <w:pStyle w:val="16"/>
              <w:rPr>
                <w:sz w:val="22"/>
                <w:szCs w:val="22"/>
              </w:rPr>
            </w:pPr>
          </w:p>
        </w:tc>
        <w:tc>
          <w:tcPr>
            <w:tcW w:w="815" w:type="dxa"/>
            <w:vMerge w:val="continue"/>
            <w:vAlign w:val="center"/>
          </w:tcPr>
          <w:p w14:paraId="6699015B">
            <w:pPr>
              <w:pStyle w:val="16"/>
              <w:rPr>
                <w:sz w:val="22"/>
                <w:szCs w:val="22"/>
              </w:rPr>
            </w:pPr>
          </w:p>
        </w:tc>
        <w:tc>
          <w:tcPr>
            <w:tcW w:w="2170" w:type="dxa"/>
            <w:vAlign w:val="center"/>
          </w:tcPr>
          <w:p w14:paraId="16D5F387">
            <w:pPr>
              <w:pStyle w:val="16"/>
              <w:rPr>
                <w:sz w:val="22"/>
                <w:szCs w:val="22"/>
              </w:rPr>
            </w:pPr>
            <w:r>
              <w:rPr>
                <w:rFonts w:hint="eastAsia"/>
                <w:sz w:val="22"/>
                <w:szCs w:val="22"/>
              </w:rPr>
              <w:t>密码产品</w:t>
            </w:r>
          </w:p>
        </w:tc>
        <w:tc>
          <w:tcPr>
            <w:tcW w:w="3527" w:type="dxa"/>
            <w:vAlign w:val="center"/>
          </w:tcPr>
          <w:p w14:paraId="28EC3200">
            <w:pPr>
              <w:pStyle w:val="16"/>
              <w:rPr>
                <w:sz w:val="22"/>
                <w:szCs w:val="22"/>
              </w:rPr>
            </w:pPr>
            <w:r>
              <w:rPr>
                <w:rFonts w:hint="eastAsia"/>
                <w:sz w:val="22"/>
                <w:szCs w:val="22"/>
              </w:rPr>
              <w:t>采用的密码产品应达到</w:t>
            </w:r>
            <w:r>
              <w:rPr>
                <w:sz w:val="22"/>
                <w:szCs w:val="22"/>
              </w:rPr>
              <w:t>GB/T 37092</w:t>
            </w:r>
            <w:r>
              <w:rPr>
                <w:rFonts w:hint="eastAsia"/>
                <w:sz w:val="22"/>
                <w:szCs w:val="22"/>
              </w:rPr>
              <w:t>-2018一级及以上安全要求。</w:t>
            </w:r>
          </w:p>
        </w:tc>
        <w:tc>
          <w:tcPr>
            <w:tcW w:w="1493" w:type="dxa"/>
            <w:vAlign w:val="center"/>
          </w:tcPr>
          <w:p w14:paraId="0846E712">
            <w:pPr>
              <w:pStyle w:val="16"/>
              <w:rPr>
                <w:sz w:val="22"/>
                <w:szCs w:val="22"/>
              </w:rPr>
            </w:pPr>
            <w:r>
              <w:rPr>
                <w:rFonts w:hint="eastAsia"/>
                <w:sz w:val="22"/>
                <w:szCs w:val="22"/>
              </w:rPr>
              <w:t>无</w:t>
            </w:r>
          </w:p>
        </w:tc>
      </w:tr>
      <w:tr w14:paraId="34EF7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3" w:hRule="atLeast"/>
          <w:jc w:val="center"/>
        </w:trPr>
        <w:tc>
          <w:tcPr>
            <w:tcW w:w="812" w:type="dxa"/>
            <w:vMerge w:val="continue"/>
            <w:vAlign w:val="center"/>
          </w:tcPr>
          <w:p w14:paraId="6A3675AA">
            <w:pPr>
              <w:pStyle w:val="16"/>
              <w:rPr>
                <w:sz w:val="22"/>
                <w:szCs w:val="22"/>
              </w:rPr>
            </w:pPr>
          </w:p>
        </w:tc>
        <w:tc>
          <w:tcPr>
            <w:tcW w:w="815" w:type="dxa"/>
            <w:vMerge w:val="restart"/>
            <w:vAlign w:val="center"/>
          </w:tcPr>
          <w:p w14:paraId="464CF8F0">
            <w:pPr>
              <w:pStyle w:val="16"/>
              <w:rPr>
                <w:sz w:val="22"/>
                <w:szCs w:val="22"/>
              </w:rPr>
            </w:pPr>
            <w:r>
              <w:rPr>
                <w:rFonts w:hint="eastAsia"/>
                <w:sz w:val="22"/>
                <w:szCs w:val="22"/>
              </w:rPr>
              <w:t>设备和计算安全</w:t>
            </w:r>
          </w:p>
        </w:tc>
        <w:tc>
          <w:tcPr>
            <w:tcW w:w="2170" w:type="dxa"/>
            <w:vAlign w:val="center"/>
          </w:tcPr>
          <w:p w14:paraId="11F6E489">
            <w:pPr>
              <w:pStyle w:val="16"/>
              <w:rPr>
                <w:sz w:val="22"/>
                <w:szCs w:val="22"/>
              </w:rPr>
            </w:pPr>
            <w:r>
              <w:rPr>
                <w:rFonts w:hint="eastAsia"/>
                <w:sz w:val="22"/>
                <w:szCs w:val="22"/>
              </w:rPr>
              <w:t>身份鉴别</w:t>
            </w:r>
          </w:p>
        </w:tc>
        <w:tc>
          <w:tcPr>
            <w:tcW w:w="3527" w:type="dxa"/>
            <w:vAlign w:val="center"/>
          </w:tcPr>
          <w:p w14:paraId="47AA0AF9">
            <w:pPr>
              <w:pStyle w:val="16"/>
              <w:rPr>
                <w:sz w:val="22"/>
                <w:szCs w:val="22"/>
              </w:rPr>
            </w:pPr>
            <w:r>
              <w:rPr>
                <w:rFonts w:hint="eastAsia"/>
                <w:sz w:val="22"/>
                <w:szCs w:val="22"/>
              </w:rPr>
              <w:t>管理员通过远程运维管理终端访问堡垒机、服务器虚拟机、数据库、密码服务时，对其</w:t>
            </w:r>
            <w:r>
              <w:rPr>
                <w:sz w:val="22"/>
                <w:szCs w:val="22"/>
              </w:rPr>
              <w:t>身份真实性进行识别和确认，防止假冒人员登录</w:t>
            </w:r>
            <w:r>
              <w:rPr>
                <w:rFonts w:hint="eastAsia"/>
                <w:sz w:val="22"/>
                <w:szCs w:val="22"/>
              </w:rPr>
              <w:t>。</w:t>
            </w:r>
          </w:p>
        </w:tc>
        <w:tc>
          <w:tcPr>
            <w:tcW w:w="1493" w:type="dxa"/>
            <w:vAlign w:val="center"/>
          </w:tcPr>
          <w:p w14:paraId="6173DCEE">
            <w:pPr>
              <w:pStyle w:val="16"/>
              <w:rPr>
                <w:sz w:val="22"/>
                <w:szCs w:val="22"/>
              </w:rPr>
            </w:pPr>
            <w:r>
              <w:rPr>
                <w:sz w:val="22"/>
                <w:szCs w:val="22"/>
              </w:rPr>
              <w:t>无</w:t>
            </w:r>
          </w:p>
        </w:tc>
      </w:tr>
      <w:tr w14:paraId="7E135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8" w:hRule="atLeast"/>
          <w:jc w:val="center"/>
        </w:trPr>
        <w:tc>
          <w:tcPr>
            <w:tcW w:w="812" w:type="dxa"/>
            <w:vMerge w:val="continue"/>
            <w:vAlign w:val="center"/>
          </w:tcPr>
          <w:p w14:paraId="6157E445">
            <w:pPr>
              <w:pStyle w:val="16"/>
              <w:rPr>
                <w:sz w:val="22"/>
                <w:szCs w:val="22"/>
              </w:rPr>
            </w:pPr>
          </w:p>
        </w:tc>
        <w:tc>
          <w:tcPr>
            <w:tcW w:w="815" w:type="dxa"/>
            <w:vMerge w:val="continue"/>
            <w:vAlign w:val="center"/>
          </w:tcPr>
          <w:p w14:paraId="03DD261A">
            <w:pPr>
              <w:pStyle w:val="16"/>
              <w:rPr>
                <w:sz w:val="22"/>
                <w:szCs w:val="22"/>
              </w:rPr>
            </w:pPr>
          </w:p>
        </w:tc>
        <w:tc>
          <w:tcPr>
            <w:tcW w:w="2170" w:type="dxa"/>
            <w:vAlign w:val="center"/>
          </w:tcPr>
          <w:p w14:paraId="560B70A9">
            <w:pPr>
              <w:pStyle w:val="16"/>
              <w:rPr>
                <w:sz w:val="22"/>
                <w:szCs w:val="22"/>
              </w:rPr>
            </w:pPr>
            <w:r>
              <w:rPr>
                <w:rFonts w:hint="eastAsia"/>
                <w:sz w:val="22"/>
                <w:szCs w:val="22"/>
              </w:rPr>
              <w:t>系统资源访问控制信息完整性</w:t>
            </w:r>
          </w:p>
        </w:tc>
        <w:tc>
          <w:tcPr>
            <w:tcW w:w="3527" w:type="dxa"/>
            <w:vAlign w:val="center"/>
          </w:tcPr>
          <w:p w14:paraId="0FEDEC99">
            <w:pPr>
              <w:pStyle w:val="16"/>
              <w:rPr>
                <w:sz w:val="22"/>
                <w:szCs w:val="22"/>
              </w:rPr>
            </w:pPr>
            <w:r>
              <w:rPr>
                <w:sz w:val="22"/>
                <w:szCs w:val="22"/>
              </w:rPr>
              <w:t>保护系统中服务器</w:t>
            </w:r>
            <w:r>
              <w:rPr>
                <w:rFonts w:hint="eastAsia"/>
                <w:sz w:val="22"/>
                <w:szCs w:val="22"/>
              </w:rPr>
              <w:t>虚拟机、数据库、密码服务的</w:t>
            </w:r>
            <w:r>
              <w:rPr>
                <w:sz w:val="22"/>
                <w:szCs w:val="22"/>
              </w:rPr>
              <w:t>访问控制信息的完整性，防止被非授权篡改</w:t>
            </w:r>
            <w:r>
              <w:rPr>
                <w:rFonts w:hint="eastAsia"/>
                <w:sz w:val="22"/>
                <w:szCs w:val="22"/>
              </w:rPr>
              <w:t>。</w:t>
            </w:r>
          </w:p>
        </w:tc>
        <w:tc>
          <w:tcPr>
            <w:tcW w:w="1493" w:type="dxa"/>
            <w:vAlign w:val="center"/>
          </w:tcPr>
          <w:p w14:paraId="359A5DF5">
            <w:pPr>
              <w:pStyle w:val="16"/>
              <w:rPr>
                <w:sz w:val="22"/>
                <w:szCs w:val="22"/>
              </w:rPr>
            </w:pPr>
            <w:r>
              <w:rPr>
                <w:sz w:val="22"/>
                <w:szCs w:val="22"/>
              </w:rPr>
              <w:t>无</w:t>
            </w:r>
          </w:p>
        </w:tc>
      </w:tr>
      <w:tr w14:paraId="5C2E6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8" w:hRule="atLeast"/>
          <w:jc w:val="center"/>
        </w:trPr>
        <w:tc>
          <w:tcPr>
            <w:tcW w:w="812" w:type="dxa"/>
            <w:vMerge w:val="continue"/>
            <w:vAlign w:val="center"/>
          </w:tcPr>
          <w:p w14:paraId="4739A757">
            <w:pPr>
              <w:pStyle w:val="16"/>
              <w:rPr>
                <w:sz w:val="22"/>
                <w:szCs w:val="22"/>
              </w:rPr>
            </w:pPr>
          </w:p>
        </w:tc>
        <w:tc>
          <w:tcPr>
            <w:tcW w:w="815" w:type="dxa"/>
            <w:vMerge w:val="continue"/>
            <w:vAlign w:val="center"/>
          </w:tcPr>
          <w:p w14:paraId="09D58768">
            <w:pPr>
              <w:pStyle w:val="16"/>
              <w:rPr>
                <w:sz w:val="22"/>
                <w:szCs w:val="22"/>
              </w:rPr>
            </w:pPr>
          </w:p>
        </w:tc>
        <w:tc>
          <w:tcPr>
            <w:tcW w:w="2170" w:type="dxa"/>
            <w:vAlign w:val="center"/>
          </w:tcPr>
          <w:p w14:paraId="5FB8493E">
            <w:pPr>
              <w:pStyle w:val="16"/>
              <w:rPr>
                <w:sz w:val="22"/>
                <w:szCs w:val="22"/>
              </w:rPr>
            </w:pPr>
            <w:r>
              <w:rPr>
                <w:rFonts w:hint="eastAsia"/>
                <w:sz w:val="22"/>
                <w:szCs w:val="22"/>
              </w:rPr>
              <w:t>日志记录完整性</w:t>
            </w:r>
          </w:p>
        </w:tc>
        <w:tc>
          <w:tcPr>
            <w:tcW w:w="3527" w:type="dxa"/>
            <w:vAlign w:val="center"/>
          </w:tcPr>
          <w:p w14:paraId="3BDEACA9">
            <w:pPr>
              <w:pStyle w:val="16"/>
              <w:rPr>
                <w:sz w:val="22"/>
                <w:szCs w:val="22"/>
              </w:rPr>
            </w:pPr>
            <w:r>
              <w:rPr>
                <w:sz w:val="22"/>
                <w:szCs w:val="22"/>
              </w:rPr>
              <w:t>保护系统中服务器</w:t>
            </w:r>
            <w:r>
              <w:rPr>
                <w:rFonts w:hint="eastAsia"/>
                <w:sz w:val="22"/>
                <w:szCs w:val="22"/>
              </w:rPr>
              <w:t>虚拟机、数据库、密码服务的</w:t>
            </w:r>
            <w:r>
              <w:rPr>
                <w:sz w:val="22"/>
                <w:szCs w:val="22"/>
              </w:rPr>
              <w:t>日志记录的完整性，防止被非授权篡改</w:t>
            </w:r>
            <w:r>
              <w:rPr>
                <w:rFonts w:hint="eastAsia"/>
                <w:sz w:val="22"/>
                <w:szCs w:val="22"/>
              </w:rPr>
              <w:t>。</w:t>
            </w:r>
          </w:p>
        </w:tc>
        <w:tc>
          <w:tcPr>
            <w:tcW w:w="1493" w:type="dxa"/>
            <w:vAlign w:val="center"/>
          </w:tcPr>
          <w:p w14:paraId="6892A0C4">
            <w:pPr>
              <w:pStyle w:val="16"/>
              <w:rPr>
                <w:sz w:val="22"/>
                <w:szCs w:val="22"/>
              </w:rPr>
            </w:pPr>
            <w:r>
              <w:rPr>
                <w:sz w:val="22"/>
                <w:szCs w:val="22"/>
              </w:rPr>
              <w:t>无</w:t>
            </w:r>
          </w:p>
        </w:tc>
      </w:tr>
      <w:tr w14:paraId="4B98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7A9BFB56">
            <w:pPr>
              <w:pStyle w:val="16"/>
              <w:rPr>
                <w:sz w:val="22"/>
                <w:szCs w:val="22"/>
              </w:rPr>
            </w:pPr>
          </w:p>
        </w:tc>
        <w:tc>
          <w:tcPr>
            <w:tcW w:w="815" w:type="dxa"/>
            <w:vMerge w:val="continue"/>
            <w:vAlign w:val="center"/>
          </w:tcPr>
          <w:p w14:paraId="4D0602DC">
            <w:pPr>
              <w:pStyle w:val="16"/>
              <w:rPr>
                <w:sz w:val="22"/>
                <w:szCs w:val="22"/>
              </w:rPr>
            </w:pPr>
          </w:p>
        </w:tc>
        <w:tc>
          <w:tcPr>
            <w:tcW w:w="2170" w:type="dxa"/>
            <w:vAlign w:val="center"/>
          </w:tcPr>
          <w:p w14:paraId="7AA88C0F">
            <w:pPr>
              <w:pStyle w:val="16"/>
              <w:rPr>
                <w:sz w:val="22"/>
                <w:szCs w:val="22"/>
              </w:rPr>
            </w:pPr>
            <w:r>
              <w:rPr>
                <w:rFonts w:hint="eastAsia"/>
                <w:sz w:val="22"/>
                <w:szCs w:val="22"/>
              </w:rPr>
              <w:t>密码服务</w:t>
            </w:r>
          </w:p>
        </w:tc>
        <w:tc>
          <w:tcPr>
            <w:tcW w:w="3527" w:type="dxa"/>
            <w:vAlign w:val="center"/>
          </w:tcPr>
          <w:p w14:paraId="2F1208FF">
            <w:pPr>
              <w:pStyle w:val="16"/>
              <w:rPr>
                <w:sz w:val="22"/>
                <w:szCs w:val="22"/>
              </w:rPr>
            </w:pPr>
            <w:r>
              <w:rPr>
                <w:rFonts w:hint="eastAsia"/>
                <w:sz w:val="22"/>
                <w:szCs w:val="22"/>
              </w:rPr>
              <w:t>不适用。</w:t>
            </w:r>
          </w:p>
        </w:tc>
        <w:tc>
          <w:tcPr>
            <w:tcW w:w="1493" w:type="dxa"/>
            <w:vAlign w:val="center"/>
          </w:tcPr>
          <w:p w14:paraId="61EFE7B1">
            <w:pPr>
              <w:pStyle w:val="16"/>
              <w:rPr>
                <w:sz w:val="22"/>
                <w:szCs w:val="22"/>
              </w:rPr>
            </w:pPr>
            <w:r>
              <w:rPr>
                <w:rFonts w:hint="eastAsia"/>
                <w:sz w:val="22"/>
                <w:szCs w:val="22"/>
              </w:rPr>
              <w:t>无密码服务需求</w:t>
            </w:r>
          </w:p>
        </w:tc>
      </w:tr>
      <w:tr w14:paraId="0995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2D1A0F28">
            <w:pPr>
              <w:pStyle w:val="16"/>
              <w:rPr>
                <w:sz w:val="22"/>
                <w:szCs w:val="22"/>
              </w:rPr>
            </w:pPr>
          </w:p>
        </w:tc>
        <w:tc>
          <w:tcPr>
            <w:tcW w:w="815" w:type="dxa"/>
            <w:vMerge w:val="continue"/>
            <w:vAlign w:val="center"/>
          </w:tcPr>
          <w:p w14:paraId="5BC43890">
            <w:pPr>
              <w:pStyle w:val="16"/>
              <w:rPr>
                <w:sz w:val="22"/>
                <w:szCs w:val="22"/>
              </w:rPr>
            </w:pPr>
          </w:p>
        </w:tc>
        <w:tc>
          <w:tcPr>
            <w:tcW w:w="2170" w:type="dxa"/>
            <w:vAlign w:val="center"/>
          </w:tcPr>
          <w:p w14:paraId="11BACDA6">
            <w:pPr>
              <w:pStyle w:val="16"/>
              <w:rPr>
                <w:sz w:val="22"/>
                <w:szCs w:val="22"/>
              </w:rPr>
            </w:pPr>
            <w:r>
              <w:rPr>
                <w:rFonts w:hint="eastAsia"/>
                <w:sz w:val="22"/>
                <w:szCs w:val="22"/>
              </w:rPr>
              <w:t>密码产品</w:t>
            </w:r>
          </w:p>
        </w:tc>
        <w:tc>
          <w:tcPr>
            <w:tcW w:w="3527" w:type="dxa"/>
            <w:vAlign w:val="center"/>
          </w:tcPr>
          <w:p w14:paraId="46700AE8">
            <w:pPr>
              <w:pStyle w:val="16"/>
              <w:rPr>
                <w:sz w:val="22"/>
                <w:szCs w:val="22"/>
              </w:rPr>
            </w:pPr>
            <w:r>
              <w:rPr>
                <w:rFonts w:hint="eastAsia"/>
                <w:sz w:val="22"/>
                <w:szCs w:val="22"/>
              </w:rPr>
              <w:t>采用的密码产品应达到</w:t>
            </w:r>
            <w:r>
              <w:rPr>
                <w:sz w:val="22"/>
                <w:szCs w:val="22"/>
              </w:rPr>
              <w:t>GB/T 37092</w:t>
            </w:r>
            <w:r>
              <w:rPr>
                <w:rFonts w:hint="eastAsia"/>
                <w:sz w:val="22"/>
                <w:szCs w:val="22"/>
              </w:rPr>
              <w:t>-2018一级及以上安全要求。</w:t>
            </w:r>
          </w:p>
        </w:tc>
        <w:tc>
          <w:tcPr>
            <w:tcW w:w="1493" w:type="dxa"/>
            <w:vAlign w:val="center"/>
          </w:tcPr>
          <w:p w14:paraId="535F498F">
            <w:pPr>
              <w:pStyle w:val="16"/>
              <w:rPr>
                <w:sz w:val="22"/>
                <w:szCs w:val="22"/>
              </w:rPr>
            </w:pPr>
            <w:r>
              <w:rPr>
                <w:rFonts w:hint="eastAsia"/>
                <w:sz w:val="22"/>
                <w:szCs w:val="22"/>
              </w:rPr>
              <w:t>无</w:t>
            </w:r>
          </w:p>
        </w:tc>
      </w:tr>
      <w:tr w14:paraId="0DC11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restart"/>
            <w:vAlign w:val="center"/>
          </w:tcPr>
          <w:p w14:paraId="56BDE670">
            <w:pPr>
              <w:pStyle w:val="16"/>
              <w:rPr>
                <w:sz w:val="22"/>
                <w:szCs w:val="22"/>
              </w:rPr>
            </w:pPr>
            <w:r>
              <w:rPr>
                <w:rFonts w:hint="eastAsia"/>
                <w:sz w:val="22"/>
                <w:szCs w:val="22"/>
              </w:rPr>
              <w:t>业务应用安全</w:t>
            </w:r>
          </w:p>
        </w:tc>
        <w:tc>
          <w:tcPr>
            <w:tcW w:w="815" w:type="dxa"/>
            <w:vMerge w:val="restart"/>
            <w:vAlign w:val="center"/>
          </w:tcPr>
          <w:p w14:paraId="4E3E2DC1">
            <w:pPr>
              <w:pStyle w:val="16"/>
              <w:rPr>
                <w:sz w:val="22"/>
                <w:szCs w:val="22"/>
              </w:rPr>
            </w:pPr>
            <w:r>
              <w:rPr>
                <w:rFonts w:hint="eastAsia"/>
                <w:sz w:val="22"/>
                <w:szCs w:val="22"/>
              </w:rPr>
              <w:t>应用和数据安全</w:t>
            </w:r>
          </w:p>
        </w:tc>
        <w:tc>
          <w:tcPr>
            <w:tcW w:w="2170" w:type="dxa"/>
            <w:vAlign w:val="center"/>
          </w:tcPr>
          <w:p w14:paraId="426E2180">
            <w:pPr>
              <w:pStyle w:val="16"/>
              <w:rPr>
                <w:sz w:val="22"/>
                <w:szCs w:val="22"/>
              </w:rPr>
            </w:pPr>
            <w:r>
              <w:rPr>
                <w:rFonts w:hint="eastAsia"/>
                <w:sz w:val="22"/>
                <w:szCs w:val="22"/>
              </w:rPr>
              <w:t>身份鉴别</w:t>
            </w:r>
          </w:p>
        </w:tc>
        <w:tc>
          <w:tcPr>
            <w:tcW w:w="3527" w:type="dxa"/>
            <w:vAlign w:val="center"/>
          </w:tcPr>
          <w:p w14:paraId="160803EB">
            <w:pPr>
              <w:pStyle w:val="16"/>
              <w:rPr>
                <w:sz w:val="22"/>
                <w:szCs w:val="22"/>
              </w:rPr>
            </w:pPr>
            <w:r>
              <w:rPr>
                <w:sz w:val="22"/>
                <w:szCs w:val="22"/>
              </w:rPr>
              <w:t>确认</w:t>
            </w:r>
            <w:r>
              <w:rPr>
                <w:rFonts w:hint="eastAsia"/>
                <w:sz w:val="22"/>
                <w:szCs w:val="22"/>
              </w:rPr>
              <w:t>应用系统</w:t>
            </w:r>
            <w:r>
              <w:rPr>
                <w:sz w:val="22"/>
                <w:szCs w:val="22"/>
              </w:rPr>
              <w:t>用户身份的真实性，防止假冒人员登录</w:t>
            </w:r>
            <w:r>
              <w:rPr>
                <w:rFonts w:hint="eastAsia"/>
                <w:sz w:val="22"/>
                <w:szCs w:val="22"/>
              </w:rPr>
              <w:t>。</w:t>
            </w:r>
          </w:p>
        </w:tc>
        <w:tc>
          <w:tcPr>
            <w:tcW w:w="1493" w:type="dxa"/>
            <w:vAlign w:val="center"/>
          </w:tcPr>
          <w:p w14:paraId="4C8B0EBC">
            <w:pPr>
              <w:pStyle w:val="16"/>
              <w:rPr>
                <w:sz w:val="22"/>
                <w:szCs w:val="22"/>
              </w:rPr>
            </w:pPr>
            <w:r>
              <w:rPr>
                <w:sz w:val="22"/>
                <w:szCs w:val="22"/>
              </w:rPr>
              <w:t>无</w:t>
            </w:r>
          </w:p>
        </w:tc>
      </w:tr>
      <w:tr w14:paraId="22F7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448C5A72">
            <w:pPr>
              <w:pStyle w:val="16"/>
              <w:rPr>
                <w:sz w:val="22"/>
                <w:szCs w:val="22"/>
              </w:rPr>
            </w:pPr>
          </w:p>
        </w:tc>
        <w:tc>
          <w:tcPr>
            <w:tcW w:w="815" w:type="dxa"/>
            <w:vMerge w:val="continue"/>
            <w:vAlign w:val="center"/>
          </w:tcPr>
          <w:p w14:paraId="5776AFB7">
            <w:pPr>
              <w:pStyle w:val="16"/>
              <w:rPr>
                <w:sz w:val="22"/>
                <w:szCs w:val="22"/>
              </w:rPr>
            </w:pPr>
          </w:p>
        </w:tc>
        <w:tc>
          <w:tcPr>
            <w:tcW w:w="2170" w:type="dxa"/>
            <w:vAlign w:val="center"/>
          </w:tcPr>
          <w:p w14:paraId="7F3FD352">
            <w:pPr>
              <w:pStyle w:val="16"/>
              <w:rPr>
                <w:sz w:val="22"/>
                <w:szCs w:val="22"/>
              </w:rPr>
            </w:pPr>
            <w:r>
              <w:rPr>
                <w:rFonts w:hint="eastAsia"/>
                <w:sz w:val="22"/>
                <w:szCs w:val="22"/>
              </w:rPr>
              <w:t>访问控制信息完整性</w:t>
            </w:r>
          </w:p>
        </w:tc>
        <w:tc>
          <w:tcPr>
            <w:tcW w:w="3527" w:type="dxa"/>
            <w:vAlign w:val="center"/>
          </w:tcPr>
          <w:p w14:paraId="4E9AFACE">
            <w:pPr>
              <w:pStyle w:val="16"/>
              <w:rPr>
                <w:sz w:val="22"/>
                <w:szCs w:val="22"/>
              </w:rPr>
            </w:pPr>
            <w:r>
              <w:rPr>
                <w:sz w:val="22"/>
                <w:szCs w:val="22"/>
              </w:rPr>
              <w:t>对</w:t>
            </w:r>
            <w:r>
              <w:rPr>
                <w:rFonts w:hint="eastAsia"/>
                <w:sz w:val="22"/>
                <w:szCs w:val="22"/>
              </w:rPr>
              <w:t>应用系统</w:t>
            </w:r>
            <w:r>
              <w:rPr>
                <w:sz w:val="22"/>
                <w:szCs w:val="22"/>
              </w:rPr>
              <w:t>的访问权限控制列表进行完整性保护，防止被非授权篡改</w:t>
            </w:r>
            <w:r>
              <w:rPr>
                <w:rFonts w:hint="eastAsia"/>
                <w:sz w:val="22"/>
                <w:szCs w:val="22"/>
              </w:rPr>
              <w:t>。</w:t>
            </w:r>
          </w:p>
        </w:tc>
        <w:tc>
          <w:tcPr>
            <w:tcW w:w="1493" w:type="dxa"/>
            <w:vAlign w:val="center"/>
          </w:tcPr>
          <w:p w14:paraId="2A94A128">
            <w:pPr>
              <w:pStyle w:val="16"/>
              <w:rPr>
                <w:sz w:val="22"/>
                <w:szCs w:val="22"/>
              </w:rPr>
            </w:pPr>
            <w:r>
              <w:rPr>
                <w:sz w:val="22"/>
                <w:szCs w:val="22"/>
              </w:rPr>
              <w:t>无</w:t>
            </w:r>
          </w:p>
        </w:tc>
      </w:tr>
      <w:tr w14:paraId="756BB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2" w:type="dxa"/>
            <w:vMerge w:val="continue"/>
            <w:vAlign w:val="center"/>
          </w:tcPr>
          <w:p w14:paraId="016E3EE9">
            <w:pPr>
              <w:pStyle w:val="16"/>
              <w:rPr>
                <w:sz w:val="22"/>
                <w:szCs w:val="22"/>
              </w:rPr>
            </w:pPr>
          </w:p>
        </w:tc>
        <w:tc>
          <w:tcPr>
            <w:tcW w:w="815" w:type="dxa"/>
            <w:vMerge w:val="continue"/>
            <w:vAlign w:val="center"/>
          </w:tcPr>
          <w:p w14:paraId="7D7015CE">
            <w:pPr>
              <w:pStyle w:val="16"/>
              <w:rPr>
                <w:sz w:val="22"/>
                <w:szCs w:val="22"/>
              </w:rPr>
            </w:pPr>
          </w:p>
        </w:tc>
        <w:tc>
          <w:tcPr>
            <w:tcW w:w="2170" w:type="dxa"/>
            <w:vAlign w:val="center"/>
          </w:tcPr>
          <w:p w14:paraId="500183A3">
            <w:pPr>
              <w:pStyle w:val="16"/>
              <w:rPr>
                <w:sz w:val="22"/>
                <w:szCs w:val="22"/>
              </w:rPr>
            </w:pPr>
            <w:r>
              <w:rPr>
                <w:rFonts w:hint="eastAsia"/>
                <w:sz w:val="22"/>
                <w:szCs w:val="22"/>
              </w:rPr>
              <w:t>数据传输机密性</w:t>
            </w:r>
          </w:p>
        </w:tc>
        <w:tc>
          <w:tcPr>
            <w:tcW w:w="3527" w:type="dxa"/>
            <w:vMerge w:val="restart"/>
            <w:vAlign w:val="center"/>
          </w:tcPr>
          <w:p w14:paraId="6523D6B5">
            <w:pPr>
              <w:pStyle w:val="16"/>
              <w:rPr>
                <w:sz w:val="22"/>
                <w:szCs w:val="22"/>
              </w:rPr>
            </w:pPr>
            <w:r>
              <w:rPr>
                <w:rFonts w:hint="eastAsia"/>
                <w:sz w:val="22"/>
                <w:szCs w:val="22"/>
              </w:rPr>
              <w:t>保护用户登录口令（用户身份鉴别信息）、系统业务数据等重要数据的机密性和完整性，防止数据泄露给非授权的个人、进程等。保护系统业务日志数据的完整性，防止该数据被非授权篡改。</w:t>
            </w:r>
          </w:p>
        </w:tc>
        <w:tc>
          <w:tcPr>
            <w:tcW w:w="1493" w:type="dxa"/>
            <w:vMerge w:val="restart"/>
            <w:vAlign w:val="center"/>
          </w:tcPr>
          <w:p w14:paraId="2AF0DD6F">
            <w:pPr>
              <w:pStyle w:val="16"/>
              <w:rPr>
                <w:sz w:val="22"/>
                <w:szCs w:val="22"/>
              </w:rPr>
            </w:pPr>
            <w:r>
              <w:rPr>
                <w:rFonts w:hint="eastAsia"/>
                <w:sz w:val="22"/>
                <w:szCs w:val="22"/>
              </w:rPr>
              <w:t>无</w:t>
            </w:r>
          </w:p>
        </w:tc>
      </w:tr>
      <w:tr w14:paraId="6B84F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2" w:type="dxa"/>
            <w:vMerge w:val="continue"/>
            <w:vAlign w:val="center"/>
          </w:tcPr>
          <w:p w14:paraId="3FAECE01">
            <w:pPr>
              <w:pStyle w:val="16"/>
              <w:rPr>
                <w:sz w:val="22"/>
                <w:szCs w:val="22"/>
              </w:rPr>
            </w:pPr>
          </w:p>
        </w:tc>
        <w:tc>
          <w:tcPr>
            <w:tcW w:w="815" w:type="dxa"/>
            <w:vMerge w:val="continue"/>
            <w:vAlign w:val="center"/>
          </w:tcPr>
          <w:p w14:paraId="3021C81E">
            <w:pPr>
              <w:pStyle w:val="16"/>
              <w:rPr>
                <w:sz w:val="22"/>
                <w:szCs w:val="22"/>
              </w:rPr>
            </w:pPr>
          </w:p>
        </w:tc>
        <w:tc>
          <w:tcPr>
            <w:tcW w:w="2170" w:type="dxa"/>
            <w:vAlign w:val="center"/>
          </w:tcPr>
          <w:p w14:paraId="1B06F2E1">
            <w:pPr>
              <w:pStyle w:val="16"/>
              <w:rPr>
                <w:sz w:val="22"/>
                <w:szCs w:val="22"/>
              </w:rPr>
            </w:pPr>
            <w:r>
              <w:rPr>
                <w:rFonts w:hint="eastAsia"/>
                <w:sz w:val="22"/>
                <w:szCs w:val="22"/>
              </w:rPr>
              <w:t>数据存储机密性</w:t>
            </w:r>
          </w:p>
        </w:tc>
        <w:tc>
          <w:tcPr>
            <w:tcW w:w="3527" w:type="dxa"/>
            <w:vMerge w:val="continue"/>
            <w:vAlign w:val="center"/>
          </w:tcPr>
          <w:p w14:paraId="74A05C41">
            <w:pPr>
              <w:pStyle w:val="16"/>
              <w:rPr>
                <w:sz w:val="22"/>
                <w:szCs w:val="22"/>
              </w:rPr>
            </w:pPr>
          </w:p>
        </w:tc>
        <w:tc>
          <w:tcPr>
            <w:tcW w:w="1493" w:type="dxa"/>
            <w:vMerge w:val="continue"/>
            <w:vAlign w:val="center"/>
          </w:tcPr>
          <w:p w14:paraId="4700247F">
            <w:pPr>
              <w:pStyle w:val="16"/>
              <w:rPr>
                <w:sz w:val="22"/>
                <w:szCs w:val="22"/>
              </w:rPr>
            </w:pPr>
          </w:p>
        </w:tc>
      </w:tr>
      <w:tr w14:paraId="5743D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2" w:type="dxa"/>
            <w:vMerge w:val="continue"/>
            <w:vAlign w:val="center"/>
          </w:tcPr>
          <w:p w14:paraId="663C50BB">
            <w:pPr>
              <w:pStyle w:val="16"/>
              <w:rPr>
                <w:sz w:val="22"/>
                <w:szCs w:val="22"/>
              </w:rPr>
            </w:pPr>
          </w:p>
        </w:tc>
        <w:tc>
          <w:tcPr>
            <w:tcW w:w="815" w:type="dxa"/>
            <w:vMerge w:val="continue"/>
            <w:vAlign w:val="center"/>
          </w:tcPr>
          <w:p w14:paraId="32F21670">
            <w:pPr>
              <w:pStyle w:val="16"/>
              <w:rPr>
                <w:sz w:val="22"/>
                <w:szCs w:val="22"/>
              </w:rPr>
            </w:pPr>
          </w:p>
        </w:tc>
        <w:tc>
          <w:tcPr>
            <w:tcW w:w="2170" w:type="dxa"/>
            <w:vAlign w:val="center"/>
          </w:tcPr>
          <w:p w14:paraId="0C538DDF">
            <w:pPr>
              <w:pStyle w:val="16"/>
              <w:rPr>
                <w:sz w:val="22"/>
                <w:szCs w:val="22"/>
              </w:rPr>
            </w:pPr>
            <w:r>
              <w:rPr>
                <w:rFonts w:hint="eastAsia"/>
                <w:sz w:val="22"/>
                <w:szCs w:val="22"/>
              </w:rPr>
              <w:t>数据传输完整性</w:t>
            </w:r>
          </w:p>
        </w:tc>
        <w:tc>
          <w:tcPr>
            <w:tcW w:w="3527" w:type="dxa"/>
            <w:vMerge w:val="continue"/>
            <w:vAlign w:val="center"/>
          </w:tcPr>
          <w:p w14:paraId="7C766CEA">
            <w:pPr>
              <w:pStyle w:val="16"/>
              <w:rPr>
                <w:sz w:val="22"/>
                <w:szCs w:val="22"/>
              </w:rPr>
            </w:pPr>
          </w:p>
        </w:tc>
        <w:tc>
          <w:tcPr>
            <w:tcW w:w="1493" w:type="dxa"/>
            <w:vMerge w:val="continue"/>
            <w:vAlign w:val="center"/>
          </w:tcPr>
          <w:p w14:paraId="663D4318">
            <w:pPr>
              <w:pStyle w:val="16"/>
              <w:rPr>
                <w:sz w:val="22"/>
                <w:szCs w:val="22"/>
              </w:rPr>
            </w:pPr>
          </w:p>
        </w:tc>
      </w:tr>
      <w:tr w14:paraId="5386F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2" w:type="dxa"/>
            <w:vMerge w:val="continue"/>
            <w:vAlign w:val="center"/>
          </w:tcPr>
          <w:p w14:paraId="601F3308">
            <w:pPr>
              <w:pStyle w:val="16"/>
              <w:rPr>
                <w:sz w:val="22"/>
                <w:szCs w:val="22"/>
              </w:rPr>
            </w:pPr>
          </w:p>
        </w:tc>
        <w:tc>
          <w:tcPr>
            <w:tcW w:w="815" w:type="dxa"/>
            <w:vMerge w:val="continue"/>
            <w:vAlign w:val="center"/>
          </w:tcPr>
          <w:p w14:paraId="27F5A248">
            <w:pPr>
              <w:pStyle w:val="16"/>
              <w:rPr>
                <w:sz w:val="22"/>
                <w:szCs w:val="22"/>
              </w:rPr>
            </w:pPr>
          </w:p>
        </w:tc>
        <w:tc>
          <w:tcPr>
            <w:tcW w:w="2170" w:type="dxa"/>
            <w:vAlign w:val="center"/>
          </w:tcPr>
          <w:p w14:paraId="155F7EF9">
            <w:pPr>
              <w:pStyle w:val="16"/>
              <w:rPr>
                <w:sz w:val="22"/>
                <w:szCs w:val="22"/>
              </w:rPr>
            </w:pPr>
            <w:r>
              <w:rPr>
                <w:rFonts w:hint="eastAsia"/>
                <w:sz w:val="22"/>
                <w:szCs w:val="22"/>
              </w:rPr>
              <w:t>数据存储完整性</w:t>
            </w:r>
          </w:p>
        </w:tc>
        <w:tc>
          <w:tcPr>
            <w:tcW w:w="3527" w:type="dxa"/>
            <w:vMerge w:val="continue"/>
            <w:vAlign w:val="center"/>
          </w:tcPr>
          <w:p w14:paraId="0B96CFA1">
            <w:pPr>
              <w:pStyle w:val="16"/>
              <w:rPr>
                <w:sz w:val="22"/>
                <w:szCs w:val="22"/>
              </w:rPr>
            </w:pPr>
          </w:p>
        </w:tc>
        <w:tc>
          <w:tcPr>
            <w:tcW w:w="1493" w:type="dxa"/>
            <w:vMerge w:val="continue"/>
            <w:vAlign w:val="center"/>
          </w:tcPr>
          <w:p w14:paraId="33A81DAB">
            <w:pPr>
              <w:pStyle w:val="16"/>
              <w:rPr>
                <w:sz w:val="22"/>
                <w:szCs w:val="22"/>
              </w:rPr>
            </w:pPr>
          </w:p>
        </w:tc>
      </w:tr>
      <w:tr w14:paraId="5638F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8" w:hRule="atLeast"/>
          <w:jc w:val="center"/>
        </w:trPr>
        <w:tc>
          <w:tcPr>
            <w:tcW w:w="812" w:type="dxa"/>
            <w:vMerge w:val="continue"/>
            <w:vAlign w:val="center"/>
          </w:tcPr>
          <w:p w14:paraId="7C86B4AD">
            <w:pPr>
              <w:pStyle w:val="16"/>
              <w:rPr>
                <w:sz w:val="22"/>
                <w:szCs w:val="22"/>
              </w:rPr>
            </w:pPr>
          </w:p>
        </w:tc>
        <w:tc>
          <w:tcPr>
            <w:tcW w:w="815" w:type="dxa"/>
            <w:vMerge w:val="continue"/>
            <w:vAlign w:val="center"/>
          </w:tcPr>
          <w:p w14:paraId="56CE43DD">
            <w:pPr>
              <w:pStyle w:val="16"/>
              <w:rPr>
                <w:sz w:val="22"/>
                <w:szCs w:val="22"/>
              </w:rPr>
            </w:pPr>
          </w:p>
        </w:tc>
        <w:tc>
          <w:tcPr>
            <w:tcW w:w="2170" w:type="dxa"/>
            <w:vAlign w:val="center"/>
          </w:tcPr>
          <w:p w14:paraId="420E483B">
            <w:pPr>
              <w:pStyle w:val="16"/>
              <w:rPr>
                <w:sz w:val="22"/>
                <w:szCs w:val="22"/>
              </w:rPr>
            </w:pPr>
            <w:r>
              <w:rPr>
                <w:rFonts w:hint="eastAsia"/>
                <w:sz w:val="22"/>
                <w:szCs w:val="22"/>
              </w:rPr>
              <w:t>不可否认性</w:t>
            </w:r>
          </w:p>
        </w:tc>
        <w:tc>
          <w:tcPr>
            <w:tcW w:w="3527" w:type="dxa"/>
            <w:vAlign w:val="center"/>
          </w:tcPr>
          <w:p w14:paraId="38F5DC32">
            <w:pPr>
              <w:pStyle w:val="16"/>
              <w:rPr>
                <w:sz w:val="22"/>
                <w:szCs w:val="22"/>
              </w:rPr>
            </w:pPr>
            <w:r>
              <w:rPr>
                <w:rFonts w:hint="eastAsia"/>
                <w:sz w:val="22"/>
                <w:szCs w:val="22"/>
              </w:rPr>
              <w:t>保护系统中流转的电子公文数据的不可否认性，确保发送方对已经发生的操作行为无法否认。</w:t>
            </w:r>
          </w:p>
        </w:tc>
        <w:tc>
          <w:tcPr>
            <w:tcW w:w="1493" w:type="dxa"/>
            <w:vAlign w:val="center"/>
          </w:tcPr>
          <w:p w14:paraId="4B0D3F0F">
            <w:pPr>
              <w:pStyle w:val="16"/>
              <w:rPr>
                <w:sz w:val="22"/>
                <w:szCs w:val="22"/>
              </w:rPr>
            </w:pPr>
            <w:r>
              <w:rPr>
                <w:rFonts w:hint="eastAsia"/>
                <w:sz w:val="22"/>
                <w:szCs w:val="22"/>
              </w:rPr>
              <w:t>无</w:t>
            </w:r>
          </w:p>
        </w:tc>
      </w:tr>
      <w:tr w14:paraId="69787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812" w:type="dxa"/>
            <w:vMerge w:val="continue"/>
            <w:vAlign w:val="center"/>
          </w:tcPr>
          <w:p w14:paraId="620B61E0">
            <w:pPr>
              <w:pStyle w:val="16"/>
              <w:rPr>
                <w:sz w:val="22"/>
                <w:szCs w:val="22"/>
              </w:rPr>
            </w:pPr>
          </w:p>
        </w:tc>
        <w:tc>
          <w:tcPr>
            <w:tcW w:w="815" w:type="dxa"/>
            <w:vMerge w:val="continue"/>
            <w:vAlign w:val="center"/>
          </w:tcPr>
          <w:p w14:paraId="69B6AA3C">
            <w:pPr>
              <w:pStyle w:val="16"/>
              <w:rPr>
                <w:sz w:val="22"/>
                <w:szCs w:val="22"/>
              </w:rPr>
            </w:pPr>
          </w:p>
        </w:tc>
        <w:tc>
          <w:tcPr>
            <w:tcW w:w="2170" w:type="dxa"/>
            <w:vAlign w:val="center"/>
          </w:tcPr>
          <w:p w14:paraId="1FADB42A">
            <w:pPr>
              <w:pStyle w:val="16"/>
              <w:rPr>
                <w:sz w:val="22"/>
                <w:szCs w:val="22"/>
              </w:rPr>
            </w:pPr>
            <w:r>
              <w:rPr>
                <w:rFonts w:hint="eastAsia"/>
                <w:sz w:val="22"/>
                <w:szCs w:val="22"/>
              </w:rPr>
              <w:t>密码服务</w:t>
            </w:r>
          </w:p>
        </w:tc>
        <w:tc>
          <w:tcPr>
            <w:tcW w:w="3527" w:type="dxa"/>
            <w:vAlign w:val="center"/>
          </w:tcPr>
          <w:p w14:paraId="65E5661A">
            <w:pPr>
              <w:pStyle w:val="16"/>
              <w:rPr>
                <w:sz w:val="22"/>
                <w:szCs w:val="22"/>
              </w:rPr>
            </w:pPr>
            <w:r>
              <w:rPr>
                <w:rFonts w:hint="eastAsia"/>
                <w:sz w:val="22"/>
                <w:szCs w:val="22"/>
              </w:rPr>
              <w:t>采用的数字证书由具有电子认证服务资质的机构签发。</w:t>
            </w:r>
          </w:p>
        </w:tc>
        <w:tc>
          <w:tcPr>
            <w:tcW w:w="1493" w:type="dxa"/>
            <w:vAlign w:val="center"/>
          </w:tcPr>
          <w:p w14:paraId="2C8AF227">
            <w:pPr>
              <w:pStyle w:val="16"/>
              <w:rPr>
                <w:sz w:val="22"/>
                <w:szCs w:val="22"/>
              </w:rPr>
            </w:pPr>
            <w:r>
              <w:rPr>
                <w:rFonts w:hint="eastAsia"/>
                <w:sz w:val="22"/>
                <w:szCs w:val="22"/>
              </w:rPr>
              <w:t>无</w:t>
            </w:r>
          </w:p>
        </w:tc>
      </w:tr>
      <w:tr w14:paraId="6E4CE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4" w:hRule="atLeast"/>
          <w:jc w:val="center"/>
        </w:trPr>
        <w:tc>
          <w:tcPr>
            <w:tcW w:w="812" w:type="dxa"/>
            <w:vMerge w:val="continue"/>
            <w:vAlign w:val="center"/>
          </w:tcPr>
          <w:p w14:paraId="4E292265">
            <w:pPr>
              <w:pStyle w:val="16"/>
              <w:rPr>
                <w:sz w:val="22"/>
                <w:szCs w:val="22"/>
              </w:rPr>
            </w:pPr>
          </w:p>
        </w:tc>
        <w:tc>
          <w:tcPr>
            <w:tcW w:w="815" w:type="dxa"/>
            <w:vMerge w:val="continue"/>
            <w:vAlign w:val="center"/>
          </w:tcPr>
          <w:p w14:paraId="1B1969CA">
            <w:pPr>
              <w:pStyle w:val="16"/>
              <w:rPr>
                <w:sz w:val="22"/>
                <w:szCs w:val="22"/>
              </w:rPr>
            </w:pPr>
          </w:p>
        </w:tc>
        <w:tc>
          <w:tcPr>
            <w:tcW w:w="2170" w:type="dxa"/>
            <w:vAlign w:val="center"/>
          </w:tcPr>
          <w:p w14:paraId="38FC2FD8">
            <w:pPr>
              <w:pStyle w:val="16"/>
              <w:rPr>
                <w:sz w:val="22"/>
                <w:szCs w:val="22"/>
              </w:rPr>
            </w:pPr>
            <w:r>
              <w:rPr>
                <w:rFonts w:hint="eastAsia"/>
                <w:sz w:val="22"/>
                <w:szCs w:val="22"/>
              </w:rPr>
              <w:t>密码产品</w:t>
            </w:r>
          </w:p>
        </w:tc>
        <w:tc>
          <w:tcPr>
            <w:tcW w:w="3527" w:type="dxa"/>
            <w:vAlign w:val="center"/>
          </w:tcPr>
          <w:p w14:paraId="3DC4338E">
            <w:pPr>
              <w:pStyle w:val="16"/>
              <w:rPr>
                <w:sz w:val="22"/>
                <w:szCs w:val="22"/>
              </w:rPr>
            </w:pPr>
            <w:r>
              <w:rPr>
                <w:rFonts w:hint="eastAsia"/>
                <w:sz w:val="22"/>
                <w:szCs w:val="22"/>
              </w:rPr>
              <w:t>采用的密码产品，应达到</w:t>
            </w:r>
            <w:r>
              <w:rPr>
                <w:sz w:val="22"/>
                <w:szCs w:val="22"/>
              </w:rPr>
              <w:t>GB/T 37092</w:t>
            </w:r>
            <w:r>
              <w:rPr>
                <w:rFonts w:hint="eastAsia"/>
                <w:sz w:val="22"/>
                <w:szCs w:val="22"/>
              </w:rPr>
              <w:t>-2018一级及以上安全要求。</w:t>
            </w:r>
          </w:p>
        </w:tc>
        <w:tc>
          <w:tcPr>
            <w:tcW w:w="1493" w:type="dxa"/>
            <w:vAlign w:val="center"/>
          </w:tcPr>
          <w:p w14:paraId="2AFAB05E">
            <w:pPr>
              <w:pStyle w:val="16"/>
              <w:rPr>
                <w:sz w:val="22"/>
                <w:szCs w:val="22"/>
              </w:rPr>
            </w:pPr>
            <w:r>
              <w:rPr>
                <w:rFonts w:hint="eastAsia"/>
                <w:sz w:val="22"/>
                <w:szCs w:val="22"/>
              </w:rPr>
              <w:t>无</w:t>
            </w:r>
          </w:p>
        </w:tc>
      </w:tr>
    </w:tbl>
    <w:p w14:paraId="16761BDE">
      <w:pPr>
        <w:rPr>
          <w:rFonts w:ascii="Times New Roman" w:hAnsi="Times New Roman"/>
        </w:rPr>
      </w:pPr>
      <w:bookmarkStart w:id="35" w:name="_Toc63785512"/>
    </w:p>
    <w:p w14:paraId="4C17E34C">
      <w:pPr>
        <w:ind w:firstLine="0" w:firstLineChars="0"/>
        <w:jc w:val="center"/>
        <w:rPr>
          <w:rFonts w:ascii="Times New Roman" w:hAnsi="Times New Roman"/>
        </w:rPr>
      </w:pPr>
      <w:r>
        <w:rPr>
          <w:rFonts w:ascii="Times New Roman" w:hAnsi="Times New Roman"/>
        </w:rPr>
        <w:t>密码服务需求清单</w:t>
      </w:r>
    </w:p>
    <w:tbl>
      <w:tblPr>
        <w:tblStyle w:val="37"/>
        <w:tblW w:w="43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2428"/>
        <w:gridCol w:w="1689"/>
        <w:gridCol w:w="2715"/>
      </w:tblGrid>
      <w:tr w14:paraId="138D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4B77B7AC">
            <w:pPr>
              <w:pStyle w:val="16"/>
              <w:jc w:val="center"/>
              <w:rPr>
                <w:b/>
                <w:bCs/>
                <w:sz w:val="22"/>
                <w:szCs w:val="22"/>
              </w:rPr>
            </w:pPr>
            <w:r>
              <w:rPr>
                <w:b/>
                <w:bCs/>
                <w:sz w:val="22"/>
                <w:szCs w:val="22"/>
              </w:rPr>
              <w:t>序号</w:t>
            </w:r>
          </w:p>
        </w:tc>
        <w:tc>
          <w:tcPr>
            <w:tcW w:w="1620" w:type="pct"/>
            <w:tcBorders>
              <w:top w:val="single" w:color="auto" w:sz="4" w:space="0"/>
              <w:left w:val="single" w:color="auto" w:sz="4" w:space="0"/>
              <w:bottom w:val="single" w:color="auto" w:sz="4" w:space="0"/>
              <w:right w:val="single" w:color="auto" w:sz="4" w:space="0"/>
            </w:tcBorders>
            <w:vAlign w:val="center"/>
          </w:tcPr>
          <w:p w14:paraId="4ACE0BE3">
            <w:pPr>
              <w:ind w:firstLine="442"/>
              <w:jc w:val="center"/>
              <w:rPr>
                <w:rFonts w:ascii="Times New Roman" w:hAnsi="Times New Roman"/>
                <w:b/>
                <w:bCs/>
                <w:sz w:val="22"/>
                <w:szCs w:val="22"/>
              </w:rPr>
            </w:pPr>
            <w:r>
              <w:rPr>
                <w:rFonts w:ascii="Times New Roman" w:hAnsi="Times New Roman"/>
                <w:b/>
                <w:bCs/>
                <w:sz w:val="22"/>
                <w:szCs w:val="22"/>
              </w:rPr>
              <w:t>密码服务类型</w:t>
            </w:r>
          </w:p>
        </w:tc>
        <w:tc>
          <w:tcPr>
            <w:tcW w:w="1127" w:type="pct"/>
            <w:tcBorders>
              <w:top w:val="single" w:color="auto" w:sz="4" w:space="0"/>
              <w:left w:val="single" w:color="auto" w:sz="4" w:space="0"/>
              <w:bottom w:val="single" w:color="auto" w:sz="4" w:space="0"/>
              <w:right w:val="single" w:color="auto" w:sz="4" w:space="0"/>
            </w:tcBorders>
            <w:vAlign w:val="center"/>
          </w:tcPr>
          <w:p w14:paraId="5DAAEB77">
            <w:pPr>
              <w:ind w:firstLine="0" w:firstLineChars="0"/>
              <w:jc w:val="center"/>
              <w:rPr>
                <w:rFonts w:ascii="Times New Roman" w:hAnsi="Times New Roman"/>
                <w:b/>
                <w:bCs/>
                <w:sz w:val="22"/>
                <w:szCs w:val="22"/>
              </w:rPr>
            </w:pPr>
            <w:r>
              <w:rPr>
                <w:rFonts w:ascii="Times New Roman" w:hAnsi="Times New Roman"/>
                <w:b/>
                <w:bCs/>
                <w:sz w:val="22"/>
                <w:szCs w:val="22"/>
              </w:rPr>
              <w:t>数量</w:t>
            </w:r>
          </w:p>
        </w:tc>
        <w:tc>
          <w:tcPr>
            <w:tcW w:w="1811" w:type="pct"/>
            <w:tcBorders>
              <w:top w:val="single" w:color="auto" w:sz="4" w:space="0"/>
              <w:left w:val="single" w:color="auto" w:sz="4" w:space="0"/>
              <w:bottom w:val="single" w:color="auto" w:sz="4" w:space="0"/>
              <w:right w:val="single" w:color="auto" w:sz="4" w:space="0"/>
            </w:tcBorders>
            <w:vAlign w:val="center"/>
          </w:tcPr>
          <w:p w14:paraId="01181292">
            <w:pPr>
              <w:ind w:firstLine="442"/>
              <w:jc w:val="center"/>
              <w:rPr>
                <w:rFonts w:ascii="Times New Roman" w:hAnsi="Times New Roman"/>
                <w:b/>
                <w:bCs/>
                <w:sz w:val="22"/>
                <w:szCs w:val="22"/>
              </w:rPr>
            </w:pPr>
            <w:r>
              <w:rPr>
                <w:rFonts w:ascii="Times New Roman" w:hAnsi="Times New Roman"/>
                <w:b/>
                <w:bCs/>
                <w:sz w:val="22"/>
                <w:szCs w:val="22"/>
              </w:rPr>
              <w:t>备注说明</w:t>
            </w:r>
          </w:p>
        </w:tc>
      </w:tr>
      <w:tr w14:paraId="0D15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2609B473">
            <w:pPr>
              <w:pStyle w:val="16"/>
              <w:jc w:val="center"/>
              <w:rPr>
                <w:sz w:val="22"/>
                <w:szCs w:val="22"/>
              </w:rPr>
            </w:pPr>
            <w:r>
              <w:rPr>
                <w:sz w:val="22"/>
                <w:szCs w:val="22"/>
              </w:rPr>
              <w:t>1</w:t>
            </w:r>
          </w:p>
        </w:tc>
        <w:tc>
          <w:tcPr>
            <w:tcW w:w="1620" w:type="pct"/>
            <w:tcBorders>
              <w:top w:val="single" w:color="auto" w:sz="4" w:space="0"/>
              <w:left w:val="single" w:color="auto" w:sz="4" w:space="0"/>
              <w:bottom w:val="single" w:color="auto" w:sz="4" w:space="0"/>
              <w:right w:val="single" w:color="auto" w:sz="4" w:space="0"/>
            </w:tcBorders>
            <w:vAlign w:val="center"/>
          </w:tcPr>
          <w:p w14:paraId="5D5C699E">
            <w:pPr>
              <w:pStyle w:val="16"/>
              <w:jc w:val="center"/>
              <w:rPr>
                <w:sz w:val="22"/>
                <w:szCs w:val="22"/>
              </w:rPr>
            </w:pPr>
            <w:r>
              <w:rPr>
                <w:sz w:val="22"/>
                <w:szCs w:val="22"/>
              </w:rPr>
              <w:t>安全认证网关服务</w:t>
            </w:r>
          </w:p>
        </w:tc>
        <w:tc>
          <w:tcPr>
            <w:tcW w:w="1127" w:type="pct"/>
            <w:tcBorders>
              <w:top w:val="single" w:color="auto" w:sz="4" w:space="0"/>
              <w:left w:val="single" w:color="auto" w:sz="4" w:space="0"/>
              <w:bottom w:val="single" w:color="auto" w:sz="4" w:space="0"/>
              <w:right w:val="single" w:color="auto" w:sz="4" w:space="0"/>
            </w:tcBorders>
            <w:vAlign w:val="center"/>
          </w:tcPr>
          <w:p w14:paraId="3D4CBFAF">
            <w:pPr>
              <w:pStyle w:val="16"/>
              <w:jc w:val="center"/>
              <w:rPr>
                <w:sz w:val="22"/>
                <w:szCs w:val="22"/>
              </w:rPr>
            </w:pPr>
            <w:r>
              <w:rPr>
                <w:sz w:val="22"/>
                <w:szCs w:val="22"/>
              </w:rPr>
              <w:t>3</w:t>
            </w:r>
          </w:p>
        </w:tc>
        <w:tc>
          <w:tcPr>
            <w:tcW w:w="1811" w:type="pct"/>
            <w:tcBorders>
              <w:top w:val="single" w:color="auto" w:sz="4" w:space="0"/>
              <w:left w:val="single" w:color="auto" w:sz="4" w:space="0"/>
              <w:bottom w:val="single" w:color="auto" w:sz="4" w:space="0"/>
              <w:right w:val="single" w:color="auto" w:sz="4" w:space="0"/>
            </w:tcBorders>
            <w:vAlign w:val="center"/>
          </w:tcPr>
          <w:p w14:paraId="4462604F">
            <w:pPr>
              <w:pStyle w:val="16"/>
              <w:jc w:val="center"/>
              <w:rPr>
                <w:sz w:val="22"/>
                <w:szCs w:val="22"/>
              </w:rPr>
            </w:pPr>
            <w:r>
              <w:rPr>
                <w:sz w:val="22"/>
                <w:szCs w:val="22"/>
              </w:rPr>
              <w:t>新增</w:t>
            </w:r>
          </w:p>
        </w:tc>
      </w:tr>
      <w:tr w14:paraId="01CF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1081C25C">
            <w:pPr>
              <w:pStyle w:val="16"/>
              <w:jc w:val="center"/>
              <w:rPr>
                <w:sz w:val="22"/>
                <w:szCs w:val="22"/>
              </w:rPr>
            </w:pPr>
            <w:r>
              <w:rPr>
                <w:sz w:val="22"/>
                <w:szCs w:val="22"/>
              </w:rPr>
              <w:t>2</w:t>
            </w:r>
          </w:p>
        </w:tc>
        <w:tc>
          <w:tcPr>
            <w:tcW w:w="1620" w:type="pct"/>
            <w:tcBorders>
              <w:top w:val="single" w:color="auto" w:sz="4" w:space="0"/>
              <w:left w:val="single" w:color="auto" w:sz="4" w:space="0"/>
              <w:bottom w:val="single" w:color="auto" w:sz="4" w:space="0"/>
              <w:right w:val="single" w:color="auto" w:sz="4" w:space="0"/>
            </w:tcBorders>
            <w:vAlign w:val="center"/>
          </w:tcPr>
          <w:p w14:paraId="5D09EFDA">
            <w:pPr>
              <w:pStyle w:val="16"/>
              <w:jc w:val="center"/>
              <w:rPr>
                <w:sz w:val="22"/>
                <w:szCs w:val="22"/>
              </w:rPr>
            </w:pPr>
            <w:r>
              <w:rPr>
                <w:sz w:val="22"/>
                <w:szCs w:val="22"/>
              </w:rPr>
              <w:t>签名验签服务</w:t>
            </w:r>
          </w:p>
        </w:tc>
        <w:tc>
          <w:tcPr>
            <w:tcW w:w="1127" w:type="pct"/>
            <w:tcBorders>
              <w:top w:val="single" w:color="auto" w:sz="4" w:space="0"/>
              <w:left w:val="single" w:color="auto" w:sz="4" w:space="0"/>
              <w:bottom w:val="single" w:color="auto" w:sz="4" w:space="0"/>
              <w:right w:val="single" w:color="auto" w:sz="4" w:space="0"/>
            </w:tcBorders>
            <w:vAlign w:val="center"/>
          </w:tcPr>
          <w:p w14:paraId="61437362">
            <w:pPr>
              <w:pStyle w:val="16"/>
              <w:jc w:val="center"/>
              <w:rPr>
                <w:sz w:val="22"/>
                <w:szCs w:val="22"/>
              </w:rPr>
            </w:pPr>
            <w:r>
              <w:rPr>
                <w:sz w:val="22"/>
                <w:szCs w:val="22"/>
              </w:rPr>
              <w:t>2</w:t>
            </w:r>
          </w:p>
        </w:tc>
        <w:tc>
          <w:tcPr>
            <w:tcW w:w="1811" w:type="pct"/>
            <w:tcBorders>
              <w:top w:val="single" w:color="auto" w:sz="4" w:space="0"/>
              <w:left w:val="single" w:color="auto" w:sz="4" w:space="0"/>
              <w:bottom w:val="single" w:color="auto" w:sz="4" w:space="0"/>
              <w:right w:val="single" w:color="auto" w:sz="4" w:space="0"/>
            </w:tcBorders>
            <w:vAlign w:val="center"/>
          </w:tcPr>
          <w:p w14:paraId="73AE53BC">
            <w:pPr>
              <w:pStyle w:val="16"/>
              <w:jc w:val="center"/>
              <w:rPr>
                <w:sz w:val="22"/>
                <w:szCs w:val="22"/>
              </w:rPr>
            </w:pPr>
            <w:r>
              <w:rPr>
                <w:sz w:val="22"/>
                <w:szCs w:val="22"/>
              </w:rPr>
              <w:t>新增</w:t>
            </w:r>
          </w:p>
        </w:tc>
      </w:tr>
      <w:tr w14:paraId="5569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087E55F0">
            <w:pPr>
              <w:pStyle w:val="16"/>
              <w:jc w:val="center"/>
              <w:rPr>
                <w:sz w:val="22"/>
                <w:szCs w:val="22"/>
              </w:rPr>
            </w:pPr>
            <w:r>
              <w:rPr>
                <w:sz w:val="22"/>
                <w:szCs w:val="22"/>
              </w:rPr>
              <w:t>3</w:t>
            </w:r>
          </w:p>
        </w:tc>
        <w:tc>
          <w:tcPr>
            <w:tcW w:w="1620" w:type="pct"/>
            <w:tcBorders>
              <w:top w:val="single" w:color="auto" w:sz="4" w:space="0"/>
              <w:left w:val="single" w:color="auto" w:sz="4" w:space="0"/>
              <w:bottom w:val="single" w:color="auto" w:sz="4" w:space="0"/>
              <w:right w:val="single" w:color="auto" w:sz="4" w:space="0"/>
            </w:tcBorders>
            <w:vAlign w:val="center"/>
          </w:tcPr>
          <w:p w14:paraId="71B39E78">
            <w:pPr>
              <w:pStyle w:val="16"/>
              <w:jc w:val="center"/>
              <w:rPr>
                <w:sz w:val="22"/>
                <w:szCs w:val="22"/>
              </w:rPr>
            </w:pPr>
            <w:r>
              <w:rPr>
                <w:sz w:val="22"/>
                <w:szCs w:val="22"/>
              </w:rPr>
              <w:t>数据加解密服务</w:t>
            </w:r>
          </w:p>
        </w:tc>
        <w:tc>
          <w:tcPr>
            <w:tcW w:w="1127" w:type="pct"/>
            <w:tcBorders>
              <w:top w:val="single" w:color="auto" w:sz="4" w:space="0"/>
              <w:left w:val="single" w:color="auto" w:sz="4" w:space="0"/>
              <w:bottom w:val="single" w:color="auto" w:sz="4" w:space="0"/>
              <w:right w:val="single" w:color="auto" w:sz="4" w:space="0"/>
            </w:tcBorders>
            <w:vAlign w:val="center"/>
          </w:tcPr>
          <w:p w14:paraId="12D360F7">
            <w:pPr>
              <w:pStyle w:val="16"/>
              <w:jc w:val="center"/>
              <w:rPr>
                <w:sz w:val="22"/>
                <w:szCs w:val="22"/>
              </w:rPr>
            </w:pPr>
            <w:r>
              <w:rPr>
                <w:sz w:val="22"/>
                <w:szCs w:val="22"/>
              </w:rPr>
              <w:t>2</w:t>
            </w:r>
          </w:p>
        </w:tc>
        <w:tc>
          <w:tcPr>
            <w:tcW w:w="1811" w:type="pct"/>
            <w:tcBorders>
              <w:top w:val="single" w:color="auto" w:sz="4" w:space="0"/>
              <w:left w:val="single" w:color="auto" w:sz="4" w:space="0"/>
              <w:bottom w:val="single" w:color="auto" w:sz="4" w:space="0"/>
              <w:right w:val="single" w:color="auto" w:sz="4" w:space="0"/>
            </w:tcBorders>
            <w:vAlign w:val="center"/>
          </w:tcPr>
          <w:p w14:paraId="523BA657">
            <w:pPr>
              <w:pStyle w:val="16"/>
              <w:jc w:val="center"/>
              <w:rPr>
                <w:sz w:val="22"/>
                <w:szCs w:val="22"/>
              </w:rPr>
            </w:pPr>
            <w:r>
              <w:rPr>
                <w:sz w:val="22"/>
                <w:szCs w:val="22"/>
              </w:rPr>
              <w:t>新增</w:t>
            </w:r>
          </w:p>
        </w:tc>
      </w:tr>
      <w:tr w14:paraId="0768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425AF467">
            <w:pPr>
              <w:pStyle w:val="16"/>
              <w:jc w:val="center"/>
              <w:rPr>
                <w:sz w:val="22"/>
                <w:szCs w:val="22"/>
              </w:rPr>
            </w:pPr>
            <w:r>
              <w:rPr>
                <w:sz w:val="22"/>
                <w:szCs w:val="22"/>
              </w:rPr>
              <w:t>4</w:t>
            </w:r>
          </w:p>
        </w:tc>
        <w:tc>
          <w:tcPr>
            <w:tcW w:w="1620" w:type="pct"/>
            <w:tcBorders>
              <w:top w:val="single" w:color="auto" w:sz="4" w:space="0"/>
              <w:left w:val="single" w:color="auto" w:sz="4" w:space="0"/>
              <w:bottom w:val="single" w:color="auto" w:sz="4" w:space="0"/>
              <w:right w:val="single" w:color="auto" w:sz="4" w:space="0"/>
            </w:tcBorders>
            <w:vAlign w:val="center"/>
          </w:tcPr>
          <w:p w14:paraId="365EE098">
            <w:pPr>
              <w:pStyle w:val="16"/>
              <w:jc w:val="center"/>
              <w:rPr>
                <w:sz w:val="22"/>
                <w:szCs w:val="22"/>
              </w:rPr>
            </w:pPr>
            <w:r>
              <w:rPr>
                <w:sz w:val="22"/>
                <w:szCs w:val="22"/>
              </w:rPr>
              <w:t>时间戳服务</w:t>
            </w:r>
          </w:p>
        </w:tc>
        <w:tc>
          <w:tcPr>
            <w:tcW w:w="1127" w:type="pct"/>
            <w:tcBorders>
              <w:top w:val="single" w:color="auto" w:sz="4" w:space="0"/>
              <w:left w:val="single" w:color="auto" w:sz="4" w:space="0"/>
              <w:bottom w:val="single" w:color="auto" w:sz="4" w:space="0"/>
              <w:right w:val="single" w:color="auto" w:sz="4" w:space="0"/>
            </w:tcBorders>
            <w:vAlign w:val="center"/>
          </w:tcPr>
          <w:p w14:paraId="70DB0480">
            <w:pPr>
              <w:pStyle w:val="16"/>
              <w:jc w:val="center"/>
              <w:rPr>
                <w:sz w:val="22"/>
                <w:szCs w:val="22"/>
              </w:rPr>
            </w:pPr>
            <w:r>
              <w:rPr>
                <w:sz w:val="22"/>
                <w:szCs w:val="22"/>
              </w:rPr>
              <w:t>2</w:t>
            </w:r>
          </w:p>
        </w:tc>
        <w:tc>
          <w:tcPr>
            <w:tcW w:w="1811" w:type="pct"/>
            <w:tcBorders>
              <w:top w:val="single" w:color="auto" w:sz="4" w:space="0"/>
              <w:left w:val="single" w:color="auto" w:sz="4" w:space="0"/>
              <w:bottom w:val="single" w:color="auto" w:sz="4" w:space="0"/>
              <w:right w:val="single" w:color="auto" w:sz="4" w:space="0"/>
            </w:tcBorders>
            <w:vAlign w:val="center"/>
          </w:tcPr>
          <w:p w14:paraId="1D48A82D">
            <w:pPr>
              <w:pStyle w:val="16"/>
              <w:jc w:val="center"/>
              <w:rPr>
                <w:sz w:val="22"/>
                <w:szCs w:val="22"/>
              </w:rPr>
            </w:pPr>
            <w:r>
              <w:rPr>
                <w:sz w:val="22"/>
                <w:szCs w:val="22"/>
              </w:rPr>
              <w:t>新增</w:t>
            </w:r>
          </w:p>
        </w:tc>
      </w:tr>
      <w:tr w14:paraId="1C8B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4E5B6238">
            <w:pPr>
              <w:pStyle w:val="16"/>
              <w:jc w:val="center"/>
              <w:rPr>
                <w:sz w:val="22"/>
                <w:szCs w:val="22"/>
              </w:rPr>
            </w:pPr>
            <w:r>
              <w:rPr>
                <w:sz w:val="22"/>
                <w:szCs w:val="22"/>
              </w:rPr>
              <w:t>5</w:t>
            </w:r>
          </w:p>
        </w:tc>
        <w:tc>
          <w:tcPr>
            <w:tcW w:w="1620" w:type="pct"/>
            <w:tcBorders>
              <w:top w:val="single" w:color="auto" w:sz="4" w:space="0"/>
              <w:left w:val="single" w:color="auto" w:sz="4" w:space="0"/>
              <w:bottom w:val="single" w:color="auto" w:sz="4" w:space="0"/>
              <w:right w:val="single" w:color="auto" w:sz="4" w:space="0"/>
            </w:tcBorders>
            <w:vAlign w:val="center"/>
          </w:tcPr>
          <w:p w14:paraId="22D3E7EB">
            <w:pPr>
              <w:pStyle w:val="16"/>
              <w:jc w:val="center"/>
              <w:rPr>
                <w:sz w:val="22"/>
                <w:szCs w:val="22"/>
              </w:rPr>
            </w:pPr>
            <w:r>
              <w:rPr>
                <w:sz w:val="22"/>
                <w:szCs w:val="22"/>
              </w:rPr>
              <w:t>电子签章服务</w:t>
            </w:r>
          </w:p>
        </w:tc>
        <w:tc>
          <w:tcPr>
            <w:tcW w:w="1127" w:type="pct"/>
            <w:tcBorders>
              <w:top w:val="single" w:color="auto" w:sz="4" w:space="0"/>
              <w:left w:val="single" w:color="auto" w:sz="4" w:space="0"/>
              <w:bottom w:val="single" w:color="auto" w:sz="4" w:space="0"/>
              <w:right w:val="single" w:color="auto" w:sz="4" w:space="0"/>
            </w:tcBorders>
            <w:vAlign w:val="center"/>
          </w:tcPr>
          <w:p w14:paraId="3674F997">
            <w:pPr>
              <w:pStyle w:val="16"/>
              <w:jc w:val="center"/>
              <w:rPr>
                <w:sz w:val="22"/>
                <w:szCs w:val="22"/>
              </w:rPr>
            </w:pPr>
            <w:r>
              <w:rPr>
                <w:sz w:val="22"/>
                <w:szCs w:val="22"/>
              </w:rPr>
              <w:t>1</w:t>
            </w:r>
          </w:p>
        </w:tc>
        <w:tc>
          <w:tcPr>
            <w:tcW w:w="1811" w:type="pct"/>
            <w:tcBorders>
              <w:top w:val="single" w:color="auto" w:sz="4" w:space="0"/>
              <w:left w:val="single" w:color="auto" w:sz="4" w:space="0"/>
              <w:bottom w:val="single" w:color="auto" w:sz="4" w:space="0"/>
              <w:right w:val="single" w:color="auto" w:sz="4" w:space="0"/>
            </w:tcBorders>
            <w:vAlign w:val="center"/>
          </w:tcPr>
          <w:p w14:paraId="4097D9D1">
            <w:pPr>
              <w:pStyle w:val="16"/>
              <w:jc w:val="center"/>
              <w:rPr>
                <w:sz w:val="22"/>
                <w:szCs w:val="22"/>
              </w:rPr>
            </w:pPr>
            <w:r>
              <w:rPr>
                <w:sz w:val="22"/>
                <w:szCs w:val="22"/>
              </w:rPr>
              <w:t>利旧</w:t>
            </w:r>
          </w:p>
        </w:tc>
      </w:tr>
      <w:tr w14:paraId="34C6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4093618F">
            <w:pPr>
              <w:pStyle w:val="16"/>
              <w:jc w:val="center"/>
              <w:rPr>
                <w:sz w:val="22"/>
                <w:szCs w:val="22"/>
              </w:rPr>
            </w:pPr>
            <w:r>
              <w:rPr>
                <w:sz w:val="22"/>
                <w:szCs w:val="22"/>
              </w:rPr>
              <w:t>6</w:t>
            </w:r>
          </w:p>
        </w:tc>
        <w:tc>
          <w:tcPr>
            <w:tcW w:w="1620" w:type="pct"/>
            <w:tcBorders>
              <w:top w:val="single" w:color="auto" w:sz="4" w:space="0"/>
              <w:left w:val="single" w:color="auto" w:sz="4" w:space="0"/>
              <w:bottom w:val="single" w:color="auto" w:sz="4" w:space="0"/>
              <w:right w:val="single" w:color="auto" w:sz="4" w:space="0"/>
            </w:tcBorders>
            <w:vAlign w:val="center"/>
          </w:tcPr>
          <w:p w14:paraId="71127EDE">
            <w:pPr>
              <w:pStyle w:val="16"/>
              <w:jc w:val="center"/>
              <w:rPr>
                <w:sz w:val="22"/>
                <w:szCs w:val="22"/>
              </w:rPr>
            </w:pPr>
            <w:r>
              <w:rPr>
                <w:sz w:val="22"/>
                <w:szCs w:val="22"/>
              </w:rPr>
              <w:t>电子认证服务</w:t>
            </w:r>
          </w:p>
          <w:p w14:paraId="6D99F545">
            <w:pPr>
              <w:pStyle w:val="16"/>
              <w:jc w:val="center"/>
              <w:rPr>
                <w:sz w:val="22"/>
                <w:szCs w:val="22"/>
              </w:rPr>
            </w:pPr>
            <w:r>
              <w:rPr>
                <w:sz w:val="22"/>
                <w:szCs w:val="22"/>
              </w:rPr>
              <w:t>（域名证书）</w:t>
            </w:r>
          </w:p>
        </w:tc>
        <w:tc>
          <w:tcPr>
            <w:tcW w:w="1127" w:type="pct"/>
            <w:tcBorders>
              <w:top w:val="single" w:color="auto" w:sz="4" w:space="0"/>
              <w:left w:val="single" w:color="auto" w:sz="4" w:space="0"/>
              <w:bottom w:val="single" w:color="auto" w:sz="4" w:space="0"/>
              <w:right w:val="single" w:color="auto" w:sz="4" w:space="0"/>
            </w:tcBorders>
            <w:vAlign w:val="center"/>
          </w:tcPr>
          <w:p w14:paraId="46634430">
            <w:pPr>
              <w:pStyle w:val="16"/>
              <w:jc w:val="center"/>
              <w:rPr>
                <w:sz w:val="22"/>
                <w:szCs w:val="22"/>
              </w:rPr>
            </w:pPr>
            <w:r>
              <w:rPr>
                <w:sz w:val="22"/>
                <w:szCs w:val="22"/>
              </w:rPr>
              <w:t>3</w:t>
            </w:r>
          </w:p>
        </w:tc>
        <w:tc>
          <w:tcPr>
            <w:tcW w:w="1811" w:type="pct"/>
            <w:tcBorders>
              <w:top w:val="single" w:color="auto" w:sz="4" w:space="0"/>
              <w:left w:val="single" w:color="auto" w:sz="4" w:space="0"/>
              <w:bottom w:val="single" w:color="auto" w:sz="4" w:space="0"/>
              <w:right w:val="single" w:color="auto" w:sz="4" w:space="0"/>
            </w:tcBorders>
            <w:vAlign w:val="center"/>
          </w:tcPr>
          <w:p w14:paraId="693BC378">
            <w:pPr>
              <w:pStyle w:val="16"/>
              <w:jc w:val="center"/>
              <w:rPr>
                <w:sz w:val="22"/>
                <w:szCs w:val="22"/>
              </w:rPr>
            </w:pPr>
            <w:r>
              <w:rPr>
                <w:sz w:val="22"/>
                <w:szCs w:val="22"/>
              </w:rPr>
              <w:t>RSA算法站点证书2张、SM2算法站点证书1张</w:t>
            </w:r>
          </w:p>
        </w:tc>
      </w:tr>
      <w:tr w14:paraId="59CB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4A55507F">
            <w:pPr>
              <w:pStyle w:val="16"/>
              <w:jc w:val="center"/>
              <w:rPr>
                <w:sz w:val="22"/>
                <w:szCs w:val="22"/>
              </w:rPr>
            </w:pPr>
            <w:r>
              <w:rPr>
                <w:sz w:val="22"/>
                <w:szCs w:val="22"/>
              </w:rPr>
              <w:t>7</w:t>
            </w:r>
          </w:p>
        </w:tc>
        <w:tc>
          <w:tcPr>
            <w:tcW w:w="1620" w:type="pct"/>
            <w:tcBorders>
              <w:top w:val="single" w:color="auto" w:sz="4" w:space="0"/>
              <w:left w:val="single" w:color="auto" w:sz="4" w:space="0"/>
              <w:bottom w:val="single" w:color="auto" w:sz="4" w:space="0"/>
              <w:right w:val="single" w:color="auto" w:sz="4" w:space="0"/>
            </w:tcBorders>
            <w:vAlign w:val="center"/>
          </w:tcPr>
          <w:p w14:paraId="45FDFB57">
            <w:pPr>
              <w:pStyle w:val="16"/>
              <w:jc w:val="center"/>
              <w:rPr>
                <w:sz w:val="22"/>
                <w:szCs w:val="22"/>
              </w:rPr>
            </w:pPr>
            <w:r>
              <w:rPr>
                <w:sz w:val="22"/>
                <w:szCs w:val="22"/>
              </w:rPr>
              <w:t>电子认证服务</w:t>
            </w:r>
          </w:p>
          <w:p w14:paraId="3BA02554">
            <w:pPr>
              <w:pStyle w:val="16"/>
              <w:jc w:val="center"/>
              <w:rPr>
                <w:sz w:val="22"/>
                <w:szCs w:val="22"/>
              </w:rPr>
            </w:pPr>
            <w:r>
              <w:rPr>
                <w:sz w:val="22"/>
                <w:szCs w:val="22"/>
              </w:rPr>
              <w:t>（设备证书）</w:t>
            </w:r>
          </w:p>
        </w:tc>
        <w:tc>
          <w:tcPr>
            <w:tcW w:w="1127" w:type="pct"/>
            <w:tcBorders>
              <w:top w:val="single" w:color="auto" w:sz="4" w:space="0"/>
              <w:left w:val="single" w:color="auto" w:sz="4" w:space="0"/>
              <w:bottom w:val="single" w:color="auto" w:sz="4" w:space="0"/>
              <w:right w:val="single" w:color="auto" w:sz="4" w:space="0"/>
            </w:tcBorders>
            <w:vAlign w:val="center"/>
          </w:tcPr>
          <w:p w14:paraId="09C4D080">
            <w:pPr>
              <w:pStyle w:val="16"/>
              <w:jc w:val="center"/>
              <w:rPr>
                <w:sz w:val="22"/>
                <w:szCs w:val="22"/>
              </w:rPr>
            </w:pPr>
            <w:r>
              <w:rPr>
                <w:sz w:val="22"/>
                <w:szCs w:val="22"/>
              </w:rPr>
              <w:t>2</w:t>
            </w:r>
          </w:p>
        </w:tc>
        <w:tc>
          <w:tcPr>
            <w:tcW w:w="1811" w:type="pct"/>
            <w:tcBorders>
              <w:top w:val="single" w:color="auto" w:sz="4" w:space="0"/>
              <w:left w:val="single" w:color="auto" w:sz="4" w:space="0"/>
              <w:bottom w:val="single" w:color="auto" w:sz="4" w:space="0"/>
              <w:right w:val="single" w:color="auto" w:sz="4" w:space="0"/>
            </w:tcBorders>
            <w:vAlign w:val="center"/>
          </w:tcPr>
          <w:p w14:paraId="5E7F6ED4">
            <w:pPr>
              <w:pStyle w:val="16"/>
              <w:jc w:val="center"/>
              <w:rPr>
                <w:sz w:val="22"/>
                <w:szCs w:val="22"/>
              </w:rPr>
            </w:pPr>
            <w:r>
              <w:rPr>
                <w:sz w:val="22"/>
                <w:szCs w:val="22"/>
              </w:rPr>
              <w:t>利旧</w:t>
            </w:r>
          </w:p>
        </w:tc>
      </w:tr>
      <w:tr w14:paraId="2B96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73033CC1">
            <w:pPr>
              <w:pStyle w:val="16"/>
              <w:jc w:val="center"/>
              <w:rPr>
                <w:sz w:val="22"/>
                <w:szCs w:val="22"/>
              </w:rPr>
            </w:pPr>
            <w:r>
              <w:rPr>
                <w:sz w:val="22"/>
                <w:szCs w:val="22"/>
              </w:rPr>
              <w:t>8</w:t>
            </w:r>
          </w:p>
        </w:tc>
        <w:tc>
          <w:tcPr>
            <w:tcW w:w="1620" w:type="pct"/>
            <w:tcBorders>
              <w:top w:val="single" w:color="auto" w:sz="4" w:space="0"/>
              <w:left w:val="single" w:color="auto" w:sz="4" w:space="0"/>
              <w:bottom w:val="single" w:color="auto" w:sz="4" w:space="0"/>
              <w:right w:val="single" w:color="auto" w:sz="4" w:space="0"/>
            </w:tcBorders>
            <w:vAlign w:val="center"/>
          </w:tcPr>
          <w:p w14:paraId="5E3E9CF7">
            <w:pPr>
              <w:pStyle w:val="16"/>
              <w:jc w:val="center"/>
              <w:rPr>
                <w:sz w:val="22"/>
                <w:szCs w:val="22"/>
              </w:rPr>
            </w:pPr>
            <w:r>
              <w:rPr>
                <w:sz w:val="22"/>
                <w:szCs w:val="22"/>
              </w:rPr>
              <w:t>安全浏览器</w:t>
            </w:r>
          </w:p>
          <w:p w14:paraId="23189C74">
            <w:pPr>
              <w:pStyle w:val="16"/>
              <w:jc w:val="center"/>
              <w:rPr>
                <w:sz w:val="22"/>
                <w:szCs w:val="22"/>
              </w:rPr>
            </w:pPr>
            <w:r>
              <w:rPr>
                <w:sz w:val="22"/>
                <w:szCs w:val="22"/>
              </w:rPr>
              <w:t>（含密码模块）</w:t>
            </w:r>
          </w:p>
        </w:tc>
        <w:tc>
          <w:tcPr>
            <w:tcW w:w="1127" w:type="pct"/>
            <w:tcBorders>
              <w:top w:val="single" w:color="auto" w:sz="4" w:space="0"/>
              <w:left w:val="single" w:color="auto" w:sz="4" w:space="0"/>
              <w:bottom w:val="single" w:color="auto" w:sz="4" w:space="0"/>
              <w:right w:val="single" w:color="auto" w:sz="4" w:space="0"/>
            </w:tcBorders>
            <w:vAlign w:val="center"/>
          </w:tcPr>
          <w:p w14:paraId="0236D720">
            <w:pPr>
              <w:pStyle w:val="16"/>
              <w:jc w:val="center"/>
              <w:rPr>
                <w:sz w:val="22"/>
                <w:szCs w:val="22"/>
              </w:rPr>
            </w:pPr>
            <w:r>
              <w:rPr>
                <w:sz w:val="22"/>
                <w:szCs w:val="22"/>
              </w:rPr>
              <w:t>/</w:t>
            </w:r>
          </w:p>
        </w:tc>
        <w:tc>
          <w:tcPr>
            <w:tcW w:w="1811" w:type="pct"/>
            <w:tcBorders>
              <w:top w:val="single" w:color="auto" w:sz="4" w:space="0"/>
              <w:left w:val="single" w:color="auto" w:sz="4" w:space="0"/>
              <w:bottom w:val="single" w:color="auto" w:sz="4" w:space="0"/>
              <w:right w:val="single" w:color="auto" w:sz="4" w:space="0"/>
            </w:tcBorders>
            <w:vAlign w:val="center"/>
          </w:tcPr>
          <w:p w14:paraId="0CE796F5">
            <w:pPr>
              <w:pStyle w:val="16"/>
              <w:jc w:val="center"/>
              <w:rPr>
                <w:sz w:val="22"/>
                <w:szCs w:val="22"/>
              </w:rPr>
            </w:pPr>
            <w:r>
              <w:rPr>
                <w:sz w:val="22"/>
                <w:szCs w:val="22"/>
              </w:rPr>
              <w:t>按需配备。</w:t>
            </w:r>
          </w:p>
        </w:tc>
      </w:tr>
      <w:tr w14:paraId="5D15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42" w:type="pct"/>
            <w:tcBorders>
              <w:top w:val="single" w:color="auto" w:sz="4" w:space="0"/>
              <w:left w:val="single" w:color="auto" w:sz="4" w:space="0"/>
              <w:bottom w:val="single" w:color="auto" w:sz="4" w:space="0"/>
              <w:right w:val="single" w:color="auto" w:sz="4" w:space="0"/>
            </w:tcBorders>
            <w:vAlign w:val="center"/>
          </w:tcPr>
          <w:p w14:paraId="584A74DF">
            <w:pPr>
              <w:pStyle w:val="16"/>
              <w:jc w:val="center"/>
              <w:rPr>
                <w:sz w:val="22"/>
                <w:szCs w:val="22"/>
              </w:rPr>
            </w:pPr>
            <w:r>
              <w:rPr>
                <w:sz w:val="22"/>
                <w:szCs w:val="22"/>
              </w:rPr>
              <w:t>9</w:t>
            </w:r>
          </w:p>
        </w:tc>
        <w:tc>
          <w:tcPr>
            <w:tcW w:w="1620" w:type="pct"/>
            <w:tcBorders>
              <w:top w:val="single" w:color="auto" w:sz="4" w:space="0"/>
              <w:left w:val="single" w:color="auto" w:sz="4" w:space="0"/>
              <w:bottom w:val="single" w:color="auto" w:sz="4" w:space="0"/>
              <w:right w:val="single" w:color="auto" w:sz="4" w:space="0"/>
            </w:tcBorders>
            <w:vAlign w:val="center"/>
          </w:tcPr>
          <w:p w14:paraId="3B7281EA">
            <w:pPr>
              <w:pStyle w:val="16"/>
              <w:jc w:val="center"/>
              <w:rPr>
                <w:sz w:val="22"/>
                <w:szCs w:val="22"/>
              </w:rPr>
            </w:pPr>
            <w:r>
              <w:rPr>
                <w:sz w:val="22"/>
                <w:szCs w:val="22"/>
              </w:rPr>
              <w:t>智能密码钥匙</w:t>
            </w:r>
          </w:p>
        </w:tc>
        <w:tc>
          <w:tcPr>
            <w:tcW w:w="1127" w:type="pct"/>
            <w:tcBorders>
              <w:top w:val="single" w:color="auto" w:sz="4" w:space="0"/>
              <w:left w:val="single" w:color="auto" w:sz="4" w:space="0"/>
              <w:bottom w:val="single" w:color="auto" w:sz="4" w:space="0"/>
              <w:right w:val="single" w:color="auto" w:sz="4" w:space="0"/>
            </w:tcBorders>
            <w:vAlign w:val="center"/>
          </w:tcPr>
          <w:p w14:paraId="32EEC992">
            <w:pPr>
              <w:pStyle w:val="16"/>
              <w:jc w:val="center"/>
              <w:rPr>
                <w:sz w:val="22"/>
                <w:szCs w:val="22"/>
              </w:rPr>
            </w:pPr>
            <w:r>
              <w:rPr>
                <w:sz w:val="22"/>
                <w:szCs w:val="22"/>
              </w:rPr>
              <w:t>/</w:t>
            </w:r>
          </w:p>
        </w:tc>
        <w:tc>
          <w:tcPr>
            <w:tcW w:w="1811" w:type="pct"/>
            <w:tcBorders>
              <w:top w:val="single" w:color="auto" w:sz="4" w:space="0"/>
              <w:left w:val="single" w:color="auto" w:sz="4" w:space="0"/>
              <w:bottom w:val="single" w:color="auto" w:sz="4" w:space="0"/>
              <w:right w:val="single" w:color="auto" w:sz="4" w:space="0"/>
            </w:tcBorders>
            <w:vAlign w:val="center"/>
          </w:tcPr>
          <w:p w14:paraId="0DB7BE88">
            <w:pPr>
              <w:pStyle w:val="16"/>
              <w:jc w:val="center"/>
              <w:rPr>
                <w:sz w:val="22"/>
                <w:szCs w:val="22"/>
              </w:rPr>
            </w:pPr>
            <w:r>
              <w:rPr>
                <w:sz w:val="22"/>
                <w:szCs w:val="22"/>
              </w:rPr>
              <w:t>按需配备。</w:t>
            </w:r>
          </w:p>
        </w:tc>
      </w:tr>
    </w:tbl>
    <w:p w14:paraId="10AEDF81">
      <w:pPr>
        <w:pStyle w:val="3"/>
        <w:rPr>
          <w:rFonts w:ascii="Times New Roman" w:hAnsi="Times New Roman"/>
        </w:rPr>
      </w:pPr>
      <w:r>
        <w:rPr>
          <w:rFonts w:hint="eastAsia" w:ascii="Times New Roman" w:hAnsi="Times New Roman"/>
        </w:rPr>
        <w:t>技术文件要求</w:t>
      </w:r>
    </w:p>
    <w:p w14:paraId="1FC11F59">
      <w:pPr>
        <w:rPr>
          <w:rFonts w:ascii="Times New Roman" w:hAnsi="Times New Roman"/>
        </w:rPr>
      </w:pPr>
      <w:r>
        <w:rPr>
          <w:rFonts w:hint="eastAsia" w:ascii="Times New Roman" w:hAnsi="Times New Roman"/>
        </w:rPr>
        <w:t>供应商提供的书面技术资料应能确保系统正常运行所需的管理、运营及维护有关的全套文件。技术文件应该全面、完整、详细。供应商提供的技术文件至少应包括：</w:t>
      </w:r>
    </w:p>
    <w:p w14:paraId="4EDC57BF">
      <w:pPr>
        <w:rPr>
          <w:rFonts w:ascii="Times New Roman" w:hAnsi="Times New Roman"/>
        </w:rPr>
      </w:pPr>
      <w:r>
        <w:rPr>
          <w:rFonts w:hint="eastAsia" w:ascii="Times New Roman" w:hAnsi="Times New Roman"/>
        </w:rPr>
        <w:t>－</w:t>
      </w:r>
      <w:r>
        <w:rPr>
          <w:rFonts w:ascii="Times New Roman" w:hAnsi="Times New Roman"/>
        </w:rPr>
        <w:t>系统说明文件</w:t>
      </w:r>
      <w:r>
        <w:rPr>
          <w:rFonts w:hint="eastAsia" w:ascii="Times New Roman" w:hAnsi="Times New Roman"/>
        </w:rPr>
        <w:t>；</w:t>
      </w:r>
    </w:p>
    <w:p w14:paraId="761F1FFD">
      <w:pPr>
        <w:rPr>
          <w:rFonts w:ascii="Times New Roman" w:hAnsi="Times New Roman"/>
        </w:rPr>
      </w:pPr>
      <w:r>
        <w:rPr>
          <w:rFonts w:hint="eastAsia" w:ascii="Times New Roman" w:hAnsi="Times New Roman"/>
        </w:rPr>
        <w:t>－</w:t>
      </w:r>
      <w:r>
        <w:rPr>
          <w:rFonts w:ascii="Times New Roman" w:hAnsi="Times New Roman"/>
        </w:rPr>
        <w:t>技术手册</w:t>
      </w:r>
      <w:r>
        <w:rPr>
          <w:rFonts w:hint="eastAsia" w:ascii="Times New Roman" w:hAnsi="Times New Roman"/>
        </w:rPr>
        <w:t>（</w:t>
      </w:r>
      <w:r>
        <w:rPr>
          <w:rFonts w:ascii="Times New Roman" w:hAnsi="Times New Roman"/>
        </w:rPr>
        <w:t>安装、测试、操作、维护、故障排除等</w:t>
      </w:r>
      <w:r>
        <w:rPr>
          <w:rFonts w:hint="eastAsia" w:ascii="Times New Roman" w:hAnsi="Times New Roman"/>
        </w:rPr>
        <w:t>）；</w:t>
      </w:r>
    </w:p>
    <w:p w14:paraId="231B1271">
      <w:pPr>
        <w:rPr>
          <w:rFonts w:ascii="Times New Roman" w:hAnsi="Times New Roman"/>
        </w:rPr>
      </w:pPr>
      <w:r>
        <w:rPr>
          <w:rFonts w:hint="eastAsia" w:ascii="Times New Roman" w:hAnsi="Times New Roman"/>
        </w:rPr>
        <w:t>－</w:t>
      </w:r>
      <w:r>
        <w:rPr>
          <w:rFonts w:ascii="Times New Roman" w:hAnsi="Times New Roman"/>
        </w:rPr>
        <w:t>项目文档，应该包括：</w:t>
      </w:r>
    </w:p>
    <w:p w14:paraId="609F3152">
      <w:pPr>
        <w:numPr>
          <w:ilvl w:val="0"/>
          <w:numId w:val="7"/>
        </w:numPr>
        <w:ind w:left="363" w:firstLine="0" w:firstLineChars="0"/>
        <w:rPr>
          <w:rFonts w:ascii="Times New Roman" w:hAnsi="Times New Roman"/>
        </w:rPr>
      </w:pPr>
      <w:r>
        <w:rPr>
          <w:rFonts w:ascii="Times New Roman" w:hAnsi="Times New Roman"/>
        </w:rPr>
        <w:t>软件需求说明书</w:t>
      </w:r>
    </w:p>
    <w:p w14:paraId="56340070">
      <w:pPr>
        <w:numPr>
          <w:ilvl w:val="0"/>
          <w:numId w:val="7"/>
        </w:numPr>
        <w:ind w:left="363" w:firstLine="0" w:firstLineChars="0"/>
        <w:rPr>
          <w:rFonts w:ascii="Times New Roman" w:hAnsi="Times New Roman"/>
        </w:rPr>
      </w:pPr>
      <w:r>
        <w:rPr>
          <w:rFonts w:ascii="Times New Roman" w:hAnsi="Times New Roman"/>
        </w:rPr>
        <w:t>系统总体设计说明书</w:t>
      </w:r>
    </w:p>
    <w:p w14:paraId="2401A6E0">
      <w:pPr>
        <w:numPr>
          <w:ilvl w:val="0"/>
          <w:numId w:val="7"/>
        </w:numPr>
        <w:ind w:left="363" w:firstLine="0" w:firstLineChars="0"/>
        <w:rPr>
          <w:rFonts w:ascii="Times New Roman" w:hAnsi="Times New Roman"/>
        </w:rPr>
      </w:pPr>
      <w:r>
        <w:rPr>
          <w:rFonts w:ascii="Times New Roman" w:hAnsi="Times New Roman"/>
        </w:rPr>
        <w:t>应用软件功能清单</w:t>
      </w:r>
    </w:p>
    <w:p w14:paraId="6E6B9F36">
      <w:pPr>
        <w:rPr>
          <w:rFonts w:ascii="Times New Roman" w:hAnsi="Times New Roman"/>
        </w:rPr>
      </w:pPr>
      <w:r>
        <w:rPr>
          <w:rFonts w:hint="eastAsia" w:ascii="Times New Roman" w:hAnsi="Times New Roman"/>
        </w:rPr>
        <w:t>提供全套技术文件纸介质</w:t>
      </w:r>
      <w:r>
        <w:rPr>
          <w:rFonts w:ascii="Times New Roman" w:hAnsi="Times New Roman"/>
        </w:rPr>
        <w:t>3套以及电子文件1套。</w:t>
      </w:r>
    </w:p>
    <w:p w14:paraId="31C7D188">
      <w:pPr>
        <w:pStyle w:val="2"/>
        <w:rPr>
          <w:rFonts w:ascii="Times New Roman" w:hAnsi="Times New Roman"/>
        </w:rPr>
      </w:pPr>
      <w:r>
        <w:rPr>
          <w:rFonts w:hint="eastAsia" w:ascii="Times New Roman" w:hAnsi="Times New Roman"/>
        </w:rPr>
        <w:t>供应商资质要求</w:t>
      </w:r>
    </w:p>
    <w:p w14:paraId="59BE0C12">
      <w:pPr>
        <w:rPr>
          <w:rFonts w:ascii="Times New Roman" w:hAnsi="Times New Roman"/>
        </w:rPr>
      </w:pPr>
      <w:r>
        <w:rPr>
          <w:rFonts w:ascii="Times New Roman" w:hAnsi="Times New Roman"/>
        </w:rPr>
        <w:t>1、符合《中华人民共和国政府采购法》第二十二条规定的供应商。</w:t>
      </w:r>
    </w:p>
    <w:p w14:paraId="6AE1FB2F">
      <w:pPr>
        <w:rPr>
          <w:rFonts w:ascii="Times New Roman" w:hAnsi="Times New Roman"/>
        </w:rPr>
      </w:pPr>
      <w:r>
        <w:rPr>
          <w:rFonts w:ascii="Times New Roman" w:hAnsi="Times New Roman"/>
        </w:rPr>
        <w:t>2、根据《上海市政府采购供应商登记及诚信管理办法》已登记入库的供应商。</w:t>
      </w:r>
    </w:p>
    <w:p w14:paraId="7A6E2272">
      <w:pPr>
        <w:rPr>
          <w:rFonts w:ascii="Times New Roman" w:hAnsi="Times New Roman"/>
        </w:rPr>
      </w:pPr>
      <w:r>
        <w:rPr>
          <w:rFonts w:ascii="Times New Roman" w:hAnsi="Times New Roman"/>
        </w:rPr>
        <w:t>3、其他资格要求：</w:t>
      </w:r>
    </w:p>
    <w:p w14:paraId="6E2C70AA">
      <w:pPr>
        <w:rPr>
          <w:rFonts w:ascii="Times New Roman" w:hAnsi="Times New Roman"/>
        </w:rPr>
      </w:pPr>
      <w:r>
        <w:rPr>
          <w:rFonts w:ascii="Times New Roman" w:hAnsi="Times New Roman"/>
        </w:rPr>
        <w:t>3.</w:t>
      </w:r>
      <w:r>
        <w:rPr>
          <w:rFonts w:hint="eastAsia" w:ascii="Times New Roman" w:hAnsi="Times New Roman"/>
        </w:rPr>
        <w:t>1</w:t>
      </w:r>
      <w:r>
        <w:rPr>
          <w:rFonts w:ascii="Times New Roman" w:hAnsi="Times New Roman"/>
        </w:rPr>
        <w:t>本项目面向大、中、小、微型等各类供应商采购。</w:t>
      </w:r>
    </w:p>
    <w:p w14:paraId="39EB1056">
      <w:pPr>
        <w:rPr>
          <w:rFonts w:ascii="Times New Roman" w:hAnsi="Times New Roman"/>
        </w:rPr>
      </w:pPr>
      <w:r>
        <w:rPr>
          <w:rFonts w:ascii="Times New Roman" w:hAnsi="Times New Roman"/>
        </w:rPr>
        <w:t>3.</w:t>
      </w:r>
      <w:r>
        <w:rPr>
          <w:rFonts w:hint="eastAsia" w:ascii="Times New Roman" w:hAnsi="Times New Roman"/>
        </w:rPr>
        <w:t>2</w:t>
      </w:r>
      <w:r>
        <w:rPr>
          <w:rFonts w:ascii="Times New Roman" w:hAnsi="Times New Roman"/>
        </w:rPr>
        <w:t>未被列入“信用中国”网站(www.creditchina.gov.cn)失信被执行人名单、重大税收违法案件当事人名单和中国政府采购网(www.ccgp.gov.cn)政府采购严重违法失信行为记录名单。</w:t>
      </w:r>
    </w:p>
    <w:p w14:paraId="09DE8059">
      <w:pPr>
        <w:pStyle w:val="2"/>
        <w:rPr>
          <w:rFonts w:ascii="Times New Roman" w:hAnsi="Times New Roman"/>
        </w:rPr>
      </w:pPr>
      <w:r>
        <w:rPr>
          <w:rFonts w:hint="eastAsia" w:ascii="Times New Roman" w:hAnsi="Times New Roman"/>
        </w:rPr>
        <w:t>供应商管理要求</w:t>
      </w:r>
      <w:bookmarkEnd w:id="35"/>
    </w:p>
    <w:p w14:paraId="37EE8649">
      <w:pPr>
        <w:pStyle w:val="82"/>
        <w:ind w:firstLine="480"/>
        <w:rPr>
          <w:rFonts w:ascii="Times New Roman" w:hAnsi="Times New Roman"/>
          <w:sz w:val="24"/>
          <w:szCs w:val="24"/>
        </w:rPr>
      </w:pPr>
      <w:r>
        <w:rPr>
          <w:rFonts w:hint="eastAsia" w:ascii="Times New Roman" w:hAnsi="Times New Roman"/>
          <w:sz w:val="24"/>
          <w:szCs w:val="24"/>
        </w:rPr>
        <w:t>1、在项目实施期间，</w:t>
      </w:r>
      <w:r>
        <w:rPr>
          <w:rFonts w:hint="eastAsia" w:ascii="Times New Roman" w:hAnsi="Times New Roman"/>
          <w:sz w:val="24"/>
          <w:szCs w:val="24"/>
          <w:lang w:eastAsia="zh-CN"/>
        </w:rPr>
        <w:t>供应商</w:t>
      </w:r>
      <w:r>
        <w:rPr>
          <w:rFonts w:hint="eastAsia" w:ascii="Times New Roman" w:hAnsi="Times New Roman"/>
          <w:sz w:val="24"/>
          <w:szCs w:val="24"/>
        </w:rPr>
        <w:t>应严格执行国家、地方、行业有关本项目业务管理和安全作业的法律、法规和制度并按规定承担相应的费用。</w:t>
      </w:r>
      <w:r>
        <w:rPr>
          <w:rFonts w:hint="eastAsia" w:ascii="Times New Roman" w:hAnsi="Times New Roman"/>
          <w:sz w:val="24"/>
          <w:szCs w:val="24"/>
          <w:lang w:eastAsia="zh-CN"/>
        </w:rPr>
        <w:t>供应商</w:t>
      </w:r>
      <w:r>
        <w:rPr>
          <w:rFonts w:hint="eastAsia" w:ascii="Times New Roman" w:hAnsi="Times New Roman"/>
          <w:sz w:val="24"/>
          <w:szCs w:val="24"/>
        </w:rPr>
        <w:t>因违反规定等原因造成的一切损失和责任由</w:t>
      </w:r>
      <w:r>
        <w:rPr>
          <w:rFonts w:hint="eastAsia" w:ascii="Times New Roman" w:hAnsi="Times New Roman"/>
          <w:sz w:val="24"/>
          <w:szCs w:val="24"/>
          <w:lang w:eastAsia="zh-CN"/>
        </w:rPr>
        <w:t>供应商</w:t>
      </w:r>
      <w:r>
        <w:rPr>
          <w:rFonts w:hint="eastAsia" w:ascii="Times New Roman" w:hAnsi="Times New Roman"/>
          <w:sz w:val="24"/>
          <w:szCs w:val="24"/>
        </w:rPr>
        <w:t>自行承担。</w:t>
      </w:r>
    </w:p>
    <w:p w14:paraId="54A281F3">
      <w:pPr>
        <w:pStyle w:val="82"/>
        <w:ind w:firstLine="480"/>
        <w:rPr>
          <w:rFonts w:ascii="Times New Roman" w:hAnsi="Times New Roman"/>
          <w:sz w:val="24"/>
          <w:szCs w:val="24"/>
        </w:rPr>
      </w:pPr>
      <w:r>
        <w:rPr>
          <w:rFonts w:hint="eastAsia" w:ascii="Times New Roman" w:hAnsi="Times New Roman"/>
          <w:sz w:val="24"/>
          <w:szCs w:val="24"/>
        </w:rPr>
        <w:t>2、</w:t>
      </w:r>
      <w:r>
        <w:rPr>
          <w:rFonts w:hint="eastAsia" w:ascii="Times New Roman" w:hAnsi="Times New Roman"/>
          <w:sz w:val="24"/>
          <w:szCs w:val="24"/>
          <w:lang w:eastAsia="zh-CN"/>
        </w:rPr>
        <w:t>供应商</w:t>
      </w:r>
      <w:r>
        <w:rPr>
          <w:rFonts w:hint="eastAsia" w:ascii="Times New Roman" w:hAnsi="Times New Roman"/>
          <w:sz w:val="24"/>
          <w:szCs w:val="24"/>
        </w:rPr>
        <w:t>在</w:t>
      </w:r>
      <w:r>
        <w:rPr>
          <w:rFonts w:hint="eastAsia" w:ascii="Times New Roman" w:hAnsi="Times New Roman"/>
          <w:sz w:val="24"/>
          <w:szCs w:val="24"/>
          <w:lang w:eastAsia="zh-CN"/>
        </w:rPr>
        <w:t>响应文件</w:t>
      </w:r>
      <w:r>
        <w:rPr>
          <w:rFonts w:hint="eastAsia" w:ascii="Times New Roman" w:hAnsi="Times New Roman"/>
          <w:sz w:val="24"/>
          <w:szCs w:val="24"/>
        </w:rPr>
        <w:t>中承诺并经采购人认定的项目负责人及专业技术人员必须是本单位职工（在本单位缴纳社会保障金）和该项目实施现场的实际操作者，应具有类似本项目的实施经验，并应在软件应用调研、安装、试运行等期间常驻项目现场。未经采购人同意，</w:t>
      </w:r>
      <w:r>
        <w:rPr>
          <w:rFonts w:hint="eastAsia" w:ascii="Times New Roman" w:hAnsi="Times New Roman"/>
          <w:sz w:val="24"/>
          <w:szCs w:val="24"/>
          <w:lang w:eastAsia="zh-CN"/>
        </w:rPr>
        <w:t>供应商</w:t>
      </w:r>
      <w:r>
        <w:rPr>
          <w:rFonts w:hint="eastAsia" w:ascii="Times New Roman" w:hAnsi="Times New Roman"/>
          <w:sz w:val="24"/>
          <w:szCs w:val="24"/>
        </w:rPr>
        <w:t>不得调换或撤离上述人员。如采购人认为有必要，可要求</w:t>
      </w:r>
      <w:r>
        <w:rPr>
          <w:rFonts w:hint="eastAsia" w:ascii="Times New Roman" w:hAnsi="Times New Roman"/>
          <w:sz w:val="24"/>
          <w:szCs w:val="24"/>
          <w:lang w:eastAsia="zh-CN"/>
        </w:rPr>
        <w:t>供应商</w:t>
      </w:r>
      <w:r>
        <w:rPr>
          <w:rFonts w:hint="eastAsia" w:ascii="Times New Roman" w:hAnsi="Times New Roman"/>
          <w:sz w:val="24"/>
          <w:szCs w:val="24"/>
        </w:rPr>
        <w:t>对上述人员中的部分人员作出更好的调整。</w:t>
      </w:r>
    </w:p>
    <w:p w14:paraId="79602289">
      <w:pPr>
        <w:pStyle w:val="82"/>
        <w:ind w:firstLine="480"/>
        <w:rPr>
          <w:rFonts w:ascii="Times New Roman" w:hAnsi="Times New Roman"/>
          <w:sz w:val="24"/>
          <w:szCs w:val="24"/>
        </w:rPr>
      </w:pPr>
      <w:r>
        <w:rPr>
          <w:rFonts w:hint="eastAsia" w:ascii="Times New Roman" w:hAnsi="Times New Roman"/>
          <w:sz w:val="24"/>
          <w:szCs w:val="24"/>
        </w:rPr>
        <w:t>3、</w:t>
      </w:r>
      <w:r>
        <w:rPr>
          <w:rFonts w:hint="eastAsia" w:ascii="Times New Roman" w:hAnsi="Times New Roman"/>
          <w:sz w:val="24"/>
          <w:szCs w:val="24"/>
          <w:lang w:eastAsia="zh-CN"/>
        </w:rPr>
        <w:t>供应商</w:t>
      </w:r>
      <w:r>
        <w:rPr>
          <w:rFonts w:hint="eastAsia" w:ascii="Times New Roman" w:hAnsi="Times New Roman"/>
          <w:sz w:val="24"/>
          <w:szCs w:val="24"/>
        </w:rPr>
        <w:t>在项目实施期间，应按项目实际进度与环节落实所对应项目整体及各环节管理工作，按照规范做好项目实施期间相关管理与实施记录。</w:t>
      </w:r>
    </w:p>
    <w:p w14:paraId="7819EB1C">
      <w:pPr>
        <w:pStyle w:val="82"/>
        <w:ind w:firstLine="480"/>
        <w:rPr>
          <w:rFonts w:ascii="Times New Roman" w:hAnsi="Times New Roman"/>
          <w:sz w:val="24"/>
          <w:szCs w:val="24"/>
        </w:rPr>
      </w:pPr>
      <w:r>
        <w:rPr>
          <w:rFonts w:hint="eastAsia" w:ascii="Times New Roman" w:hAnsi="Times New Roman"/>
          <w:sz w:val="24"/>
          <w:szCs w:val="24"/>
        </w:rPr>
        <w:t>4、参与本项目的工作人员应严格遵循采购人的安全制度，保障采购人资料和设备的安全。如需进入采购人机房工作，只能在采购人规定的工作区域内对项目涉及的设备进行操作，严禁触动与项目无关的任何设备（包括任何操作行为），如需跨区操作必须得到采购人项目联系人确认。</w:t>
      </w:r>
    </w:p>
    <w:p w14:paraId="155D8F6E">
      <w:pPr>
        <w:pStyle w:val="82"/>
        <w:ind w:firstLine="480"/>
        <w:rPr>
          <w:rFonts w:ascii="Times New Roman" w:hAnsi="Times New Roman"/>
          <w:sz w:val="24"/>
          <w:szCs w:val="24"/>
        </w:rPr>
      </w:pPr>
      <w:r>
        <w:rPr>
          <w:rFonts w:hint="eastAsia" w:ascii="Times New Roman" w:hAnsi="Times New Roman"/>
          <w:sz w:val="24"/>
          <w:szCs w:val="24"/>
        </w:rPr>
        <w:t>5、</w:t>
      </w:r>
      <w:r>
        <w:rPr>
          <w:rFonts w:hint="eastAsia" w:ascii="Times New Roman" w:hAnsi="Times New Roman"/>
          <w:sz w:val="24"/>
          <w:szCs w:val="24"/>
          <w:lang w:eastAsia="zh-CN"/>
        </w:rPr>
        <w:t>供应商</w:t>
      </w:r>
      <w:r>
        <w:rPr>
          <w:rFonts w:hint="eastAsia" w:ascii="Times New Roman" w:hAnsi="Times New Roman"/>
          <w:sz w:val="24"/>
          <w:szCs w:val="24"/>
        </w:rPr>
        <w:t>在项目实施期间必须遵守采购人的规章制度并提供实施人员名单。</w:t>
      </w:r>
    </w:p>
    <w:p w14:paraId="415424FC">
      <w:pPr>
        <w:pStyle w:val="82"/>
        <w:ind w:firstLine="480"/>
        <w:rPr>
          <w:rFonts w:ascii="Times New Roman" w:hAnsi="Times New Roman"/>
          <w:sz w:val="24"/>
          <w:szCs w:val="24"/>
        </w:rPr>
      </w:pPr>
      <w:r>
        <w:rPr>
          <w:rFonts w:hint="eastAsia" w:ascii="Times New Roman" w:hAnsi="Times New Roman"/>
          <w:sz w:val="24"/>
          <w:szCs w:val="24"/>
        </w:rPr>
        <w:t>6、各供应商在采购文件中要结合本项目的特点和采购人上述的具体要求制定相应的管理措施，并在报价中列支相应的费用清单，供应商报价中未列支上述费用清单的，上述费用视为已包含在供应商的总报价中。</w:t>
      </w:r>
    </w:p>
    <w:p w14:paraId="541BAFF6">
      <w:pPr>
        <w:pStyle w:val="82"/>
        <w:ind w:firstLine="480"/>
        <w:rPr>
          <w:rFonts w:ascii="Times New Roman" w:hAnsi="Times New Roman"/>
        </w:rPr>
      </w:pPr>
      <w:r>
        <w:rPr>
          <w:rFonts w:hint="eastAsia" w:ascii="Times New Roman" w:hAnsi="Times New Roman"/>
          <w:sz w:val="24"/>
          <w:szCs w:val="24"/>
        </w:rPr>
        <w:t>7、本项目软件开发及调试将纳入采购人的管理范围，</w:t>
      </w:r>
      <w:r>
        <w:rPr>
          <w:rFonts w:hint="eastAsia" w:ascii="Times New Roman" w:hAnsi="Times New Roman"/>
          <w:sz w:val="24"/>
          <w:szCs w:val="24"/>
          <w:lang w:eastAsia="zh-CN"/>
        </w:rPr>
        <w:t>供应商</w:t>
      </w:r>
      <w:r>
        <w:rPr>
          <w:rFonts w:hint="eastAsia" w:ascii="Times New Roman" w:hAnsi="Times New Roman"/>
          <w:sz w:val="24"/>
          <w:szCs w:val="24"/>
        </w:rPr>
        <w:t>在此过程中须服从上述单位的管理协调。</w:t>
      </w:r>
    </w:p>
    <w:p w14:paraId="453A5718">
      <w:pPr>
        <w:pStyle w:val="2"/>
        <w:rPr>
          <w:rFonts w:ascii="Times New Roman" w:hAnsi="Times New Roman"/>
        </w:rPr>
      </w:pPr>
      <w:bookmarkStart w:id="36" w:name="_Toc63785513"/>
      <w:r>
        <w:rPr>
          <w:rFonts w:hint="eastAsia" w:ascii="Times New Roman" w:hAnsi="Times New Roman"/>
        </w:rPr>
        <w:t>关于转让和分包的规定</w:t>
      </w:r>
    </w:p>
    <w:p w14:paraId="173EF984">
      <w:pPr>
        <w:spacing w:line="560" w:lineRule="exact"/>
        <w:rPr>
          <w:rFonts w:ascii="Times New Roman" w:hAnsi="Times New Roman"/>
        </w:rPr>
      </w:pPr>
      <w:r>
        <w:rPr>
          <w:rFonts w:hint="eastAsia" w:ascii="Times New Roman" w:hAnsi="Times New Roman"/>
        </w:rPr>
        <w:t>项目允许部分分包，可</w:t>
      </w:r>
      <w:r>
        <w:rPr>
          <w:rFonts w:ascii="Times New Roman" w:hAnsi="Times New Roman"/>
        </w:rPr>
        <w:t>分包</w:t>
      </w:r>
      <w:r>
        <w:rPr>
          <w:rFonts w:hint="eastAsia" w:ascii="Times New Roman" w:hAnsi="Times New Roman"/>
        </w:rPr>
        <w:t>项如下：</w:t>
      </w:r>
    </w:p>
    <w:tbl>
      <w:tblPr>
        <w:tblStyle w:val="37"/>
        <w:tblW w:w="5034" w:type="pct"/>
        <w:tblInd w:w="0" w:type="dxa"/>
        <w:tblLayout w:type="autofit"/>
        <w:tblCellMar>
          <w:top w:w="0" w:type="dxa"/>
          <w:left w:w="108" w:type="dxa"/>
          <w:bottom w:w="0" w:type="dxa"/>
          <w:right w:w="108" w:type="dxa"/>
        </w:tblCellMar>
      </w:tblPr>
      <w:tblGrid>
        <w:gridCol w:w="467"/>
        <w:gridCol w:w="1137"/>
        <w:gridCol w:w="5528"/>
        <w:gridCol w:w="1454"/>
      </w:tblGrid>
      <w:tr w14:paraId="3C278CFC">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65F6EA6F">
            <w:pPr>
              <w:widowControl/>
              <w:spacing w:line="240" w:lineRule="auto"/>
              <w:ind w:firstLine="0" w:firstLineChars="0"/>
              <w:jc w:val="center"/>
              <w:rPr>
                <w:rFonts w:ascii="Times New Roman" w:hAnsi="Times New Roman"/>
                <w:b/>
                <w:bCs/>
                <w:color w:val="000000"/>
                <w:kern w:val="0"/>
                <w:sz w:val="22"/>
                <w:szCs w:val="22"/>
              </w:rPr>
            </w:pPr>
            <w:r>
              <w:rPr>
                <w:rFonts w:hint="eastAsia" w:ascii="Times New Roman" w:hAnsi="Times New Roman"/>
                <w:b/>
                <w:bCs/>
                <w:color w:val="000000"/>
                <w:kern w:val="0"/>
                <w:sz w:val="22"/>
                <w:szCs w:val="22"/>
              </w:rPr>
              <w:t>序号</w:t>
            </w:r>
          </w:p>
        </w:tc>
        <w:tc>
          <w:tcPr>
            <w:tcW w:w="662" w:type="pct"/>
            <w:tcBorders>
              <w:top w:val="single" w:color="000000" w:sz="4" w:space="0"/>
              <w:left w:val="single" w:color="000000" w:sz="4" w:space="0"/>
              <w:bottom w:val="single" w:color="000000" w:sz="4" w:space="0"/>
              <w:right w:val="single" w:color="000000" w:sz="4" w:space="0"/>
            </w:tcBorders>
            <w:vAlign w:val="center"/>
          </w:tcPr>
          <w:p w14:paraId="4C8C87FA">
            <w:pPr>
              <w:widowControl/>
              <w:spacing w:line="240" w:lineRule="auto"/>
              <w:ind w:firstLine="0" w:firstLineChars="0"/>
              <w:jc w:val="center"/>
              <w:rPr>
                <w:rFonts w:ascii="Times New Roman" w:hAnsi="Times New Roman"/>
                <w:b/>
                <w:bCs/>
                <w:color w:val="000000"/>
                <w:kern w:val="0"/>
                <w:sz w:val="22"/>
                <w:szCs w:val="22"/>
                <w:lang w:bidi="ar"/>
              </w:rPr>
            </w:pPr>
            <w:r>
              <w:rPr>
                <w:rFonts w:hint="eastAsia" w:ascii="Times New Roman" w:hAnsi="Times New Roman"/>
                <w:b/>
                <w:bCs/>
                <w:color w:val="000000"/>
                <w:kern w:val="0"/>
                <w:sz w:val="22"/>
                <w:szCs w:val="22"/>
                <w:lang w:bidi="ar"/>
              </w:rPr>
              <w:t>功能名称</w:t>
            </w:r>
          </w:p>
        </w:tc>
        <w:tc>
          <w:tcPr>
            <w:tcW w:w="3219" w:type="pct"/>
            <w:tcBorders>
              <w:top w:val="single" w:color="000000" w:sz="4" w:space="0"/>
              <w:left w:val="single" w:color="000000" w:sz="4" w:space="0"/>
              <w:bottom w:val="single" w:color="000000" w:sz="4" w:space="0"/>
              <w:right w:val="single" w:color="000000" w:sz="4" w:space="0"/>
            </w:tcBorders>
            <w:vAlign w:val="center"/>
          </w:tcPr>
          <w:p w14:paraId="464971FD">
            <w:pPr>
              <w:widowControl/>
              <w:spacing w:line="240" w:lineRule="auto"/>
              <w:ind w:firstLine="0" w:firstLineChars="0"/>
              <w:jc w:val="center"/>
              <w:rPr>
                <w:rFonts w:ascii="Times New Roman" w:hAnsi="Times New Roman"/>
                <w:b/>
                <w:bCs/>
                <w:color w:val="000000"/>
                <w:kern w:val="0"/>
                <w:sz w:val="22"/>
                <w:szCs w:val="22"/>
              </w:rPr>
            </w:pPr>
            <w:r>
              <w:rPr>
                <w:rFonts w:hint="eastAsia" w:ascii="Times New Roman" w:hAnsi="Times New Roman"/>
                <w:b/>
                <w:bCs/>
                <w:color w:val="000000"/>
                <w:kern w:val="0"/>
                <w:sz w:val="22"/>
                <w:szCs w:val="22"/>
                <w:lang w:bidi="ar"/>
              </w:rPr>
              <w:t>模块名称</w:t>
            </w:r>
          </w:p>
        </w:tc>
        <w:tc>
          <w:tcPr>
            <w:tcW w:w="848" w:type="pct"/>
            <w:tcBorders>
              <w:top w:val="single" w:color="000000" w:sz="4" w:space="0"/>
              <w:left w:val="single" w:color="000000" w:sz="4" w:space="0"/>
              <w:bottom w:val="single" w:color="000000" w:sz="4" w:space="0"/>
              <w:right w:val="single" w:color="000000" w:sz="4" w:space="0"/>
            </w:tcBorders>
            <w:vAlign w:val="center"/>
          </w:tcPr>
          <w:p w14:paraId="54D51034">
            <w:pPr>
              <w:widowControl/>
              <w:spacing w:line="240" w:lineRule="auto"/>
              <w:ind w:firstLine="0" w:firstLineChars="0"/>
              <w:jc w:val="center"/>
              <w:rPr>
                <w:rFonts w:ascii="Times New Roman" w:hAnsi="Times New Roman"/>
                <w:b/>
                <w:bCs/>
                <w:color w:val="000000"/>
                <w:kern w:val="0"/>
                <w:sz w:val="22"/>
                <w:szCs w:val="22"/>
                <w:lang w:bidi="ar"/>
              </w:rPr>
            </w:pPr>
            <w:r>
              <w:rPr>
                <w:rFonts w:hint="eastAsia" w:ascii="Times New Roman" w:hAnsi="Times New Roman"/>
                <w:b/>
                <w:bCs/>
                <w:color w:val="000000"/>
                <w:kern w:val="0"/>
                <w:sz w:val="22"/>
                <w:szCs w:val="22"/>
                <w:lang w:bidi="ar"/>
              </w:rPr>
              <w:t>限价（元）</w:t>
            </w:r>
          </w:p>
        </w:tc>
      </w:tr>
      <w:tr w14:paraId="06FD245C">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54586A53">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restart"/>
            <w:tcBorders>
              <w:top w:val="single" w:color="000000" w:sz="4" w:space="0"/>
              <w:left w:val="single" w:color="000000" w:sz="4" w:space="0"/>
              <w:right w:val="single" w:color="000000" w:sz="4" w:space="0"/>
            </w:tcBorders>
            <w:vAlign w:val="center"/>
          </w:tcPr>
          <w:p w14:paraId="5EF3D6A1">
            <w:pPr>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业务应用</w:t>
            </w:r>
          </w:p>
        </w:tc>
        <w:tc>
          <w:tcPr>
            <w:tcW w:w="3219" w:type="pct"/>
            <w:tcBorders>
              <w:top w:val="single" w:color="000000" w:sz="4" w:space="0"/>
              <w:left w:val="single" w:color="000000" w:sz="4" w:space="0"/>
              <w:bottom w:val="single" w:color="000000" w:sz="4" w:space="0"/>
              <w:right w:val="single" w:color="000000" w:sz="4" w:space="0"/>
            </w:tcBorders>
            <w:vAlign w:val="center"/>
          </w:tcPr>
          <w:p w14:paraId="4B7DCE95">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市区产业协同-区级主导产业特色赛道月度进展报告</w:t>
            </w:r>
          </w:p>
        </w:tc>
        <w:tc>
          <w:tcPr>
            <w:tcW w:w="848" w:type="pct"/>
            <w:vMerge w:val="restart"/>
            <w:tcBorders>
              <w:top w:val="single" w:color="000000" w:sz="4" w:space="0"/>
              <w:left w:val="single" w:color="000000" w:sz="4" w:space="0"/>
              <w:right w:val="single" w:color="000000" w:sz="4" w:space="0"/>
            </w:tcBorders>
            <w:vAlign w:val="center"/>
          </w:tcPr>
          <w:p w14:paraId="5A47F989">
            <w:pPr>
              <w:widowControl/>
              <w:spacing w:line="240" w:lineRule="auto"/>
              <w:ind w:firstLine="0" w:firstLineChars="0"/>
              <w:jc w:val="center"/>
              <w:rPr>
                <w:rFonts w:ascii="Times New Roman" w:hAnsi="Times New Roman"/>
                <w:color w:val="000000"/>
                <w:kern w:val="0"/>
                <w:sz w:val="22"/>
                <w:szCs w:val="22"/>
              </w:rPr>
            </w:pPr>
            <w:r>
              <w:rPr>
                <w:rFonts w:hint="eastAsia" w:ascii="Times New Roman" w:hAnsi="Times New Roman"/>
                <w:color w:val="000000"/>
                <w:kern w:val="0"/>
                <w:sz w:val="22"/>
                <w:szCs w:val="22"/>
              </w:rPr>
              <w:t>1037500</w:t>
            </w:r>
          </w:p>
        </w:tc>
      </w:tr>
      <w:tr w14:paraId="0A51D676">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38688177">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1C3B73DF">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2FD8E9FC">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市区产业协同-产业场景供需对接</w:t>
            </w:r>
          </w:p>
        </w:tc>
        <w:tc>
          <w:tcPr>
            <w:tcW w:w="848" w:type="pct"/>
            <w:vMerge w:val="continue"/>
            <w:tcBorders>
              <w:left w:val="single" w:color="000000" w:sz="4" w:space="0"/>
              <w:right w:val="single" w:color="000000" w:sz="4" w:space="0"/>
            </w:tcBorders>
          </w:tcPr>
          <w:p w14:paraId="388E9E7F">
            <w:pPr>
              <w:widowControl/>
              <w:spacing w:line="240" w:lineRule="auto"/>
              <w:ind w:firstLine="0" w:firstLineChars="0"/>
              <w:jc w:val="center"/>
              <w:rPr>
                <w:rFonts w:ascii="Times New Roman" w:hAnsi="Times New Roman"/>
                <w:color w:val="000000"/>
                <w:kern w:val="0"/>
                <w:sz w:val="22"/>
                <w:szCs w:val="22"/>
              </w:rPr>
            </w:pPr>
          </w:p>
        </w:tc>
      </w:tr>
      <w:tr w14:paraId="12725733">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009D2B36">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288F6EE4">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219DE41E">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企业培育及服务-企业专题调查问卷管理</w:t>
            </w:r>
          </w:p>
        </w:tc>
        <w:tc>
          <w:tcPr>
            <w:tcW w:w="848" w:type="pct"/>
            <w:vMerge w:val="continue"/>
            <w:tcBorders>
              <w:left w:val="single" w:color="000000" w:sz="4" w:space="0"/>
              <w:right w:val="single" w:color="000000" w:sz="4" w:space="0"/>
            </w:tcBorders>
          </w:tcPr>
          <w:p w14:paraId="46BE88A1">
            <w:pPr>
              <w:widowControl/>
              <w:spacing w:line="240" w:lineRule="auto"/>
              <w:ind w:firstLine="0" w:firstLineChars="0"/>
              <w:jc w:val="center"/>
              <w:rPr>
                <w:rFonts w:ascii="Times New Roman" w:hAnsi="Times New Roman"/>
                <w:color w:val="000000"/>
                <w:kern w:val="0"/>
                <w:sz w:val="22"/>
                <w:szCs w:val="22"/>
              </w:rPr>
            </w:pPr>
          </w:p>
        </w:tc>
      </w:tr>
      <w:tr w14:paraId="1CF2FCAE">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4787EA16">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442C2E6D">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6DFDDCAB">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企业培育及服务-优质企业梯度培育-创新型中小企业潜力企业识别</w:t>
            </w:r>
          </w:p>
        </w:tc>
        <w:tc>
          <w:tcPr>
            <w:tcW w:w="848" w:type="pct"/>
            <w:vMerge w:val="continue"/>
            <w:tcBorders>
              <w:left w:val="single" w:color="000000" w:sz="4" w:space="0"/>
              <w:right w:val="single" w:color="000000" w:sz="4" w:space="0"/>
            </w:tcBorders>
          </w:tcPr>
          <w:p w14:paraId="22714484">
            <w:pPr>
              <w:widowControl/>
              <w:spacing w:line="240" w:lineRule="auto"/>
              <w:ind w:firstLine="0" w:firstLineChars="0"/>
              <w:jc w:val="center"/>
              <w:rPr>
                <w:rFonts w:ascii="Times New Roman" w:hAnsi="Times New Roman"/>
                <w:color w:val="000000"/>
                <w:kern w:val="0"/>
                <w:sz w:val="22"/>
                <w:szCs w:val="22"/>
              </w:rPr>
            </w:pPr>
          </w:p>
        </w:tc>
      </w:tr>
      <w:tr w14:paraId="5BCDCA92">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30D46EF0">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60B0AADA">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749759D7">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企业培育及服务-优质企业梯度培育-创新型中小企业全过程管理</w:t>
            </w:r>
          </w:p>
        </w:tc>
        <w:tc>
          <w:tcPr>
            <w:tcW w:w="848" w:type="pct"/>
            <w:vMerge w:val="continue"/>
            <w:tcBorders>
              <w:left w:val="single" w:color="000000" w:sz="4" w:space="0"/>
              <w:right w:val="single" w:color="000000" w:sz="4" w:space="0"/>
            </w:tcBorders>
          </w:tcPr>
          <w:p w14:paraId="339B2398">
            <w:pPr>
              <w:widowControl/>
              <w:spacing w:line="240" w:lineRule="auto"/>
              <w:ind w:firstLine="0" w:firstLineChars="0"/>
              <w:jc w:val="center"/>
              <w:rPr>
                <w:rFonts w:ascii="Times New Roman" w:hAnsi="Times New Roman"/>
                <w:color w:val="000000"/>
                <w:kern w:val="0"/>
                <w:sz w:val="22"/>
                <w:szCs w:val="22"/>
              </w:rPr>
            </w:pPr>
          </w:p>
        </w:tc>
      </w:tr>
      <w:tr w14:paraId="77E23A54">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00E1299F">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59065F6C">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6487A7F2">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企业培育及服务-优质企业梯度培育-专精特新中小企业潜力企业识别</w:t>
            </w:r>
          </w:p>
        </w:tc>
        <w:tc>
          <w:tcPr>
            <w:tcW w:w="848" w:type="pct"/>
            <w:vMerge w:val="continue"/>
            <w:tcBorders>
              <w:left w:val="single" w:color="000000" w:sz="4" w:space="0"/>
              <w:right w:val="single" w:color="000000" w:sz="4" w:space="0"/>
            </w:tcBorders>
          </w:tcPr>
          <w:p w14:paraId="6775B832">
            <w:pPr>
              <w:widowControl/>
              <w:spacing w:line="240" w:lineRule="auto"/>
              <w:ind w:firstLine="0" w:firstLineChars="0"/>
              <w:jc w:val="center"/>
              <w:rPr>
                <w:rFonts w:ascii="Times New Roman" w:hAnsi="Times New Roman"/>
                <w:color w:val="000000"/>
                <w:kern w:val="0"/>
                <w:sz w:val="22"/>
                <w:szCs w:val="22"/>
              </w:rPr>
            </w:pPr>
          </w:p>
        </w:tc>
      </w:tr>
      <w:tr w14:paraId="2742F732">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3CE4A4AC">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2A8E3393">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2C5D671E">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企业培育及服务-优质企业梯度培育-专精特新中小企业全过程管理</w:t>
            </w:r>
          </w:p>
        </w:tc>
        <w:tc>
          <w:tcPr>
            <w:tcW w:w="848" w:type="pct"/>
            <w:vMerge w:val="continue"/>
            <w:tcBorders>
              <w:left w:val="single" w:color="000000" w:sz="4" w:space="0"/>
              <w:right w:val="single" w:color="000000" w:sz="4" w:space="0"/>
            </w:tcBorders>
          </w:tcPr>
          <w:p w14:paraId="634AA216">
            <w:pPr>
              <w:widowControl/>
              <w:spacing w:line="240" w:lineRule="auto"/>
              <w:ind w:firstLine="0" w:firstLineChars="0"/>
              <w:jc w:val="center"/>
              <w:rPr>
                <w:rFonts w:ascii="Times New Roman" w:hAnsi="Times New Roman"/>
                <w:color w:val="000000"/>
                <w:kern w:val="0"/>
                <w:sz w:val="22"/>
                <w:szCs w:val="22"/>
              </w:rPr>
            </w:pPr>
          </w:p>
        </w:tc>
      </w:tr>
      <w:tr w14:paraId="77D9C61B">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4F1201C5">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00DABCC9">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628912CE">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企业培育及服务-优质企业梯度培育-专精特新“小巨人”潜力企业识别</w:t>
            </w:r>
          </w:p>
        </w:tc>
        <w:tc>
          <w:tcPr>
            <w:tcW w:w="848" w:type="pct"/>
            <w:vMerge w:val="continue"/>
            <w:tcBorders>
              <w:left w:val="single" w:color="000000" w:sz="4" w:space="0"/>
              <w:right w:val="single" w:color="000000" w:sz="4" w:space="0"/>
            </w:tcBorders>
          </w:tcPr>
          <w:p w14:paraId="43005CF2">
            <w:pPr>
              <w:widowControl/>
              <w:spacing w:line="240" w:lineRule="auto"/>
              <w:ind w:firstLine="0" w:firstLineChars="0"/>
              <w:jc w:val="center"/>
              <w:rPr>
                <w:rFonts w:ascii="Times New Roman" w:hAnsi="Times New Roman"/>
                <w:color w:val="000000"/>
                <w:kern w:val="0"/>
                <w:sz w:val="22"/>
                <w:szCs w:val="22"/>
              </w:rPr>
            </w:pPr>
          </w:p>
        </w:tc>
      </w:tr>
      <w:tr w14:paraId="4F3C3599">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7891F8A9">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12FD592B">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1C527E25">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企业培育及服务-优质企业梯度培育-专精特新重点“小巨人”全过程管理</w:t>
            </w:r>
          </w:p>
        </w:tc>
        <w:tc>
          <w:tcPr>
            <w:tcW w:w="848" w:type="pct"/>
            <w:vMerge w:val="continue"/>
            <w:tcBorders>
              <w:left w:val="single" w:color="000000" w:sz="4" w:space="0"/>
              <w:right w:val="single" w:color="000000" w:sz="4" w:space="0"/>
            </w:tcBorders>
          </w:tcPr>
          <w:p w14:paraId="4BDF27A0">
            <w:pPr>
              <w:widowControl/>
              <w:spacing w:line="240" w:lineRule="auto"/>
              <w:ind w:firstLine="0" w:firstLineChars="0"/>
              <w:jc w:val="center"/>
              <w:rPr>
                <w:rFonts w:ascii="Times New Roman" w:hAnsi="Times New Roman"/>
                <w:color w:val="000000"/>
                <w:kern w:val="0"/>
                <w:sz w:val="22"/>
                <w:szCs w:val="22"/>
              </w:rPr>
            </w:pPr>
          </w:p>
        </w:tc>
      </w:tr>
      <w:tr w14:paraId="0330624F">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53E11109">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7C577A08">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42F17719">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企业培育及服务-优质企业梯度培育-市级单项冠军企业全过程管理</w:t>
            </w:r>
          </w:p>
        </w:tc>
        <w:tc>
          <w:tcPr>
            <w:tcW w:w="848" w:type="pct"/>
            <w:vMerge w:val="continue"/>
            <w:tcBorders>
              <w:left w:val="single" w:color="000000" w:sz="4" w:space="0"/>
              <w:right w:val="single" w:color="000000" w:sz="4" w:space="0"/>
            </w:tcBorders>
          </w:tcPr>
          <w:p w14:paraId="5C5D7EF3">
            <w:pPr>
              <w:widowControl/>
              <w:spacing w:line="240" w:lineRule="auto"/>
              <w:ind w:firstLine="0" w:firstLineChars="0"/>
              <w:jc w:val="center"/>
              <w:rPr>
                <w:rFonts w:ascii="Times New Roman" w:hAnsi="Times New Roman"/>
                <w:color w:val="000000"/>
                <w:kern w:val="0"/>
                <w:sz w:val="22"/>
                <w:szCs w:val="22"/>
              </w:rPr>
            </w:pPr>
          </w:p>
        </w:tc>
      </w:tr>
      <w:tr w14:paraId="421AB247">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72381F3A">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6E12EC8E">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6709F77F">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企业培育及服务-优质企业梯度培育-高成长企业潜力企业识别</w:t>
            </w:r>
          </w:p>
        </w:tc>
        <w:tc>
          <w:tcPr>
            <w:tcW w:w="848" w:type="pct"/>
            <w:vMerge w:val="continue"/>
            <w:tcBorders>
              <w:left w:val="single" w:color="000000" w:sz="4" w:space="0"/>
              <w:right w:val="single" w:color="000000" w:sz="4" w:space="0"/>
            </w:tcBorders>
          </w:tcPr>
          <w:p w14:paraId="5B881B08">
            <w:pPr>
              <w:widowControl/>
              <w:spacing w:line="240" w:lineRule="auto"/>
              <w:ind w:firstLine="0" w:firstLineChars="0"/>
              <w:jc w:val="center"/>
              <w:rPr>
                <w:rFonts w:ascii="Times New Roman" w:hAnsi="Times New Roman"/>
                <w:color w:val="000000"/>
                <w:kern w:val="0"/>
                <w:sz w:val="22"/>
                <w:szCs w:val="22"/>
              </w:rPr>
            </w:pPr>
          </w:p>
        </w:tc>
      </w:tr>
      <w:tr w14:paraId="08F7CBBF">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1536272F">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598A044C">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1ED3C9BA">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企业培育及服务-优质企业梯度培育-独角兽企业全过程管理</w:t>
            </w:r>
          </w:p>
        </w:tc>
        <w:tc>
          <w:tcPr>
            <w:tcW w:w="848" w:type="pct"/>
            <w:vMerge w:val="continue"/>
            <w:tcBorders>
              <w:left w:val="single" w:color="000000" w:sz="4" w:space="0"/>
              <w:right w:val="single" w:color="000000" w:sz="4" w:space="0"/>
            </w:tcBorders>
          </w:tcPr>
          <w:p w14:paraId="065BE318">
            <w:pPr>
              <w:widowControl/>
              <w:spacing w:line="240" w:lineRule="auto"/>
              <w:ind w:firstLine="0" w:firstLineChars="0"/>
              <w:jc w:val="center"/>
              <w:rPr>
                <w:rFonts w:ascii="Times New Roman" w:hAnsi="Times New Roman"/>
                <w:color w:val="000000"/>
                <w:kern w:val="0"/>
                <w:sz w:val="22"/>
                <w:szCs w:val="22"/>
              </w:rPr>
            </w:pPr>
          </w:p>
        </w:tc>
      </w:tr>
      <w:tr w14:paraId="596713EC">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25500C8B">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0AFE0625">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4E3E5E28">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企业培育及服务-中小企业服务机构管理-中小企业服务机构申报及审核评定</w:t>
            </w:r>
          </w:p>
        </w:tc>
        <w:tc>
          <w:tcPr>
            <w:tcW w:w="848" w:type="pct"/>
            <w:vMerge w:val="continue"/>
            <w:tcBorders>
              <w:left w:val="single" w:color="000000" w:sz="4" w:space="0"/>
              <w:right w:val="single" w:color="000000" w:sz="4" w:space="0"/>
            </w:tcBorders>
          </w:tcPr>
          <w:p w14:paraId="0C96EBC1">
            <w:pPr>
              <w:widowControl/>
              <w:spacing w:line="240" w:lineRule="auto"/>
              <w:ind w:firstLine="0" w:firstLineChars="0"/>
              <w:jc w:val="center"/>
              <w:rPr>
                <w:rFonts w:ascii="Times New Roman" w:hAnsi="Times New Roman"/>
                <w:color w:val="000000"/>
                <w:kern w:val="0"/>
                <w:sz w:val="22"/>
                <w:szCs w:val="22"/>
              </w:rPr>
            </w:pPr>
          </w:p>
        </w:tc>
      </w:tr>
      <w:tr w14:paraId="5E1B8FD5">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62743C3E">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20380BDD">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212BE1FF">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企业培育及服务-中小企业服务机构星级评定全过程管理</w:t>
            </w:r>
          </w:p>
        </w:tc>
        <w:tc>
          <w:tcPr>
            <w:tcW w:w="848" w:type="pct"/>
            <w:vMerge w:val="continue"/>
            <w:tcBorders>
              <w:left w:val="single" w:color="000000" w:sz="4" w:space="0"/>
              <w:right w:val="single" w:color="000000" w:sz="4" w:space="0"/>
            </w:tcBorders>
          </w:tcPr>
          <w:p w14:paraId="4A4133DF">
            <w:pPr>
              <w:widowControl/>
              <w:spacing w:line="240" w:lineRule="auto"/>
              <w:ind w:firstLine="0" w:firstLineChars="0"/>
              <w:jc w:val="center"/>
              <w:rPr>
                <w:rFonts w:ascii="Times New Roman" w:hAnsi="Times New Roman"/>
                <w:color w:val="000000"/>
                <w:kern w:val="0"/>
                <w:sz w:val="22"/>
                <w:szCs w:val="22"/>
              </w:rPr>
            </w:pPr>
          </w:p>
        </w:tc>
      </w:tr>
      <w:tr w14:paraId="2489D6B8">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6269B60B">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0C79B1C5">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33A58A04">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企业培育及服务-中小企业特色产业集群申报及审核评定</w:t>
            </w:r>
          </w:p>
        </w:tc>
        <w:tc>
          <w:tcPr>
            <w:tcW w:w="848" w:type="pct"/>
            <w:vMerge w:val="continue"/>
            <w:tcBorders>
              <w:left w:val="single" w:color="000000" w:sz="4" w:space="0"/>
              <w:right w:val="single" w:color="000000" w:sz="4" w:space="0"/>
            </w:tcBorders>
          </w:tcPr>
          <w:p w14:paraId="569E73D9">
            <w:pPr>
              <w:widowControl/>
              <w:spacing w:line="240" w:lineRule="auto"/>
              <w:ind w:firstLine="0" w:firstLineChars="0"/>
              <w:jc w:val="center"/>
              <w:rPr>
                <w:rFonts w:ascii="Times New Roman" w:hAnsi="Times New Roman"/>
                <w:color w:val="000000"/>
                <w:kern w:val="0"/>
                <w:sz w:val="22"/>
                <w:szCs w:val="22"/>
              </w:rPr>
            </w:pPr>
          </w:p>
        </w:tc>
      </w:tr>
      <w:tr w14:paraId="0AE20CF9">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56FF0CB6">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119780FB">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7C3BCF02">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企业培育及服务-“小快轻准”数字化产品申报及审核评定</w:t>
            </w:r>
          </w:p>
        </w:tc>
        <w:tc>
          <w:tcPr>
            <w:tcW w:w="848" w:type="pct"/>
            <w:vMerge w:val="continue"/>
            <w:tcBorders>
              <w:left w:val="single" w:color="000000" w:sz="4" w:space="0"/>
              <w:right w:val="single" w:color="000000" w:sz="4" w:space="0"/>
            </w:tcBorders>
          </w:tcPr>
          <w:p w14:paraId="02C7F36F">
            <w:pPr>
              <w:widowControl/>
              <w:spacing w:line="240" w:lineRule="auto"/>
              <w:ind w:firstLine="0" w:firstLineChars="0"/>
              <w:jc w:val="center"/>
              <w:rPr>
                <w:rFonts w:ascii="Times New Roman" w:hAnsi="Times New Roman"/>
                <w:color w:val="000000"/>
                <w:kern w:val="0"/>
                <w:sz w:val="22"/>
                <w:szCs w:val="22"/>
              </w:rPr>
            </w:pPr>
          </w:p>
        </w:tc>
      </w:tr>
      <w:tr w14:paraId="726395F5">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1D187271">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4DEB258D">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510C7D85">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企业培育及服务-区域培育水平评价</w:t>
            </w:r>
          </w:p>
        </w:tc>
        <w:tc>
          <w:tcPr>
            <w:tcW w:w="848" w:type="pct"/>
            <w:vMerge w:val="continue"/>
            <w:tcBorders>
              <w:left w:val="single" w:color="000000" w:sz="4" w:space="0"/>
              <w:right w:val="single" w:color="000000" w:sz="4" w:space="0"/>
            </w:tcBorders>
          </w:tcPr>
          <w:p w14:paraId="697FFA06">
            <w:pPr>
              <w:widowControl/>
              <w:spacing w:line="240" w:lineRule="auto"/>
              <w:ind w:firstLine="0" w:firstLineChars="0"/>
              <w:jc w:val="center"/>
              <w:rPr>
                <w:rFonts w:ascii="Times New Roman" w:hAnsi="Times New Roman"/>
                <w:color w:val="000000"/>
                <w:kern w:val="0"/>
                <w:sz w:val="22"/>
                <w:szCs w:val="22"/>
              </w:rPr>
            </w:pPr>
          </w:p>
        </w:tc>
      </w:tr>
      <w:tr w14:paraId="302517E5">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717CD728">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5D56FCCF">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6D2D84F6">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企业培育及服务-专项服务-数字化转型综合服务</w:t>
            </w:r>
          </w:p>
        </w:tc>
        <w:tc>
          <w:tcPr>
            <w:tcW w:w="848" w:type="pct"/>
            <w:vMerge w:val="continue"/>
            <w:tcBorders>
              <w:left w:val="single" w:color="000000" w:sz="4" w:space="0"/>
              <w:right w:val="single" w:color="000000" w:sz="4" w:space="0"/>
            </w:tcBorders>
          </w:tcPr>
          <w:p w14:paraId="554285D1">
            <w:pPr>
              <w:widowControl/>
              <w:spacing w:line="240" w:lineRule="auto"/>
              <w:ind w:firstLine="0" w:firstLineChars="0"/>
              <w:jc w:val="center"/>
              <w:rPr>
                <w:rFonts w:ascii="Times New Roman" w:hAnsi="Times New Roman"/>
                <w:color w:val="000000"/>
                <w:kern w:val="0"/>
                <w:sz w:val="22"/>
                <w:szCs w:val="22"/>
              </w:rPr>
            </w:pPr>
          </w:p>
        </w:tc>
      </w:tr>
      <w:tr w14:paraId="64E1C2B1">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1A1288F5">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541CCD89">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7005D2E3">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企业培育及服务-专项服务-中小企业融资服务对接</w:t>
            </w:r>
          </w:p>
        </w:tc>
        <w:tc>
          <w:tcPr>
            <w:tcW w:w="848" w:type="pct"/>
            <w:vMerge w:val="continue"/>
            <w:tcBorders>
              <w:left w:val="single" w:color="000000" w:sz="4" w:space="0"/>
              <w:right w:val="single" w:color="000000" w:sz="4" w:space="0"/>
            </w:tcBorders>
          </w:tcPr>
          <w:p w14:paraId="535EE1B7">
            <w:pPr>
              <w:widowControl/>
              <w:spacing w:line="240" w:lineRule="auto"/>
              <w:ind w:firstLine="0" w:firstLineChars="0"/>
              <w:jc w:val="center"/>
              <w:rPr>
                <w:rFonts w:ascii="Times New Roman" w:hAnsi="Times New Roman"/>
                <w:color w:val="000000"/>
                <w:kern w:val="0"/>
                <w:sz w:val="22"/>
                <w:szCs w:val="22"/>
              </w:rPr>
            </w:pPr>
          </w:p>
        </w:tc>
      </w:tr>
      <w:tr w14:paraId="37F8F01B">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43F6FBA2">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75204EF0">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73814C43">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企业培育及服务-专项服务-出海业务专项服务</w:t>
            </w:r>
          </w:p>
        </w:tc>
        <w:tc>
          <w:tcPr>
            <w:tcW w:w="848" w:type="pct"/>
            <w:vMerge w:val="continue"/>
            <w:tcBorders>
              <w:left w:val="single" w:color="000000" w:sz="4" w:space="0"/>
              <w:right w:val="single" w:color="000000" w:sz="4" w:space="0"/>
            </w:tcBorders>
          </w:tcPr>
          <w:p w14:paraId="56329602">
            <w:pPr>
              <w:widowControl/>
              <w:spacing w:line="240" w:lineRule="auto"/>
              <w:ind w:firstLine="0" w:firstLineChars="0"/>
              <w:jc w:val="center"/>
              <w:rPr>
                <w:rFonts w:ascii="Times New Roman" w:hAnsi="Times New Roman"/>
                <w:color w:val="000000"/>
                <w:kern w:val="0"/>
                <w:sz w:val="22"/>
                <w:szCs w:val="22"/>
              </w:rPr>
            </w:pPr>
          </w:p>
        </w:tc>
      </w:tr>
      <w:tr w14:paraId="52E883AB">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64200B61">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right w:val="single" w:color="000000" w:sz="4" w:space="0"/>
            </w:tcBorders>
            <w:vAlign w:val="center"/>
          </w:tcPr>
          <w:p w14:paraId="3C6184B2">
            <w:pPr>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042C6F31">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企业培育及服务-重点企业风险监测</w:t>
            </w:r>
          </w:p>
        </w:tc>
        <w:tc>
          <w:tcPr>
            <w:tcW w:w="848" w:type="pct"/>
            <w:vMerge w:val="continue"/>
            <w:tcBorders>
              <w:left w:val="single" w:color="000000" w:sz="4" w:space="0"/>
              <w:right w:val="single" w:color="000000" w:sz="4" w:space="0"/>
            </w:tcBorders>
          </w:tcPr>
          <w:p w14:paraId="5514088D">
            <w:pPr>
              <w:widowControl/>
              <w:spacing w:line="240" w:lineRule="auto"/>
              <w:ind w:firstLine="0" w:firstLineChars="0"/>
              <w:jc w:val="center"/>
              <w:rPr>
                <w:rFonts w:ascii="Times New Roman" w:hAnsi="Times New Roman"/>
                <w:color w:val="000000"/>
                <w:kern w:val="0"/>
                <w:sz w:val="22"/>
                <w:szCs w:val="22"/>
              </w:rPr>
            </w:pPr>
          </w:p>
        </w:tc>
      </w:tr>
      <w:tr w14:paraId="0EA5099A">
        <w:tblPrEx>
          <w:tblCellMar>
            <w:top w:w="0" w:type="dxa"/>
            <w:left w:w="108" w:type="dxa"/>
            <w:bottom w:w="0" w:type="dxa"/>
            <w:right w:w="108" w:type="dxa"/>
          </w:tblCellMar>
        </w:tblPrEx>
        <w:trPr>
          <w:trHeight w:val="278" w:hRule="atLeast"/>
        </w:trPr>
        <w:tc>
          <w:tcPr>
            <w:tcW w:w="272" w:type="pct"/>
            <w:tcBorders>
              <w:top w:val="single" w:color="000000" w:sz="4" w:space="0"/>
              <w:left w:val="single" w:color="000000" w:sz="4" w:space="0"/>
              <w:bottom w:val="single" w:color="000000" w:sz="4" w:space="0"/>
              <w:right w:val="single" w:color="000000" w:sz="4" w:space="0"/>
            </w:tcBorders>
            <w:vAlign w:val="center"/>
          </w:tcPr>
          <w:p w14:paraId="3D101981">
            <w:pPr>
              <w:pStyle w:val="63"/>
              <w:widowControl/>
              <w:numPr>
                <w:ilvl w:val="0"/>
                <w:numId w:val="8"/>
              </w:numPr>
              <w:spacing w:line="240" w:lineRule="auto"/>
              <w:ind w:left="0" w:firstLine="0" w:firstLineChars="0"/>
              <w:jc w:val="center"/>
              <w:rPr>
                <w:color w:val="000000"/>
                <w:kern w:val="0"/>
                <w:sz w:val="22"/>
                <w:szCs w:val="22"/>
              </w:rPr>
            </w:pPr>
          </w:p>
        </w:tc>
        <w:tc>
          <w:tcPr>
            <w:tcW w:w="662" w:type="pct"/>
            <w:vMerge w:val="continue"/>
            <w:tcBorders>
              <w:left w:val="single" w:color="000000" w:sz="4" w:space="0"/>
              <w:bottom w:val="single" w:color="000000" w:sz="4" w:space="0"/>
              <w:right w:val="single" w:color="000000" w:sz="4" w:space="0"/>
            </w:tcBorders>
            <w:vAlign w:val="center"/>
          </w:tcPr>
          <w:p w14:paraId="2DAF304C">
            <w:pPr>
              <w:widowControl/>
              <w:spacing w:line="240" w:lineRule="auto"/>
              <w:ind w:firstLine="0" w:firstLineChars="0"/>
              <w:jc w:val="center"/>
              <w:rPr>
                <w:rFonts w:ascii="Times New Roman" w:hAnsi="Times New Roman"/>
                <w:color w:val="000000"/>
                <w:kern w:val="0"/>
                <w:sz w:val="22"/>
                <w:szCs w:val="22"/>
              </w:rPr>
            </w:pPr>
          </w:p>
        </w:tc>
        <w:tc>
          <w:tcPr>
            <w:tcW w:w="3219" w:type="pct"/>
            <w:tcBorders>
              <w:top w:val="single" w:color="000000" w:sz="4" w:space="0"/>
              <w:left w:val="single" w:color="000000" w:sz="4" w:space="0"/>
              <w:bottom w:val="single" w:color="000000" w:sz="4" w:space="0"/>
              <w:right w:val="single" w:color="000000" w:sz="4" w:space="0"/>
            </w:tcBorders>
            <w:vAlign w:val="center"/>
          </w:tcPr>
          <w:p w14:paraId="34DCA38F">
            <w:pPr>
              <w:widowControl/>
              <w:spacing w:line="240" w:lineRule="auto"/>
              <w:ind w:firstLine="0" w:firstLineChars="0"/>
              <w:jc w:val="center"/>
              <w:rPr>
                <w:rFonts w:ascii="Times New Roman" w:hAnsi="Times New Roman"/>
                <w:color w:val="000000"/>
                <w:kern w:val="0"/>
                <w:sz w:val="22"/>
                <w:szCs w:val="22"/>
              </w:rPr>
            </w:pPr>
            <w:r>
              <w:rPr>
                <w:rFonts w:ascii="Times New Roman" w:hAnsi="Times New Roman"/>
                <w:color w:val="000000"/>
                <w:kern w:val="0"/>
                <w:sz w:val="22"/>
                <w:szCs w:val="22"/>
              </w:rPr>
              <w:t>企业培育及服务-重点企业培育方案推荐</w:t>
            </w:r>
          </w:p>
        </w:tc>
        <w:tc>
          <w:tcPr>
            <w:tcW w:w="848" w:type="pct"/>
            <w:vMerge w:val="continue"/>
            <w:tcBorders>
              <w:left w:val="single" w:color="000000" w:sz="4" w:space="0"/>
              <w:bottom w:val="single" w:color="000000" w:sz="4" w:space="0"/>
              <w:right w:val="single" w:color="000000" w:sz="4" w:space="0"/>
            </w:tcBorders>
          </w:tcPr>
          <w:p w14:paraId="11991F7C">
            <w:pPr>
              <w:widowControl/>
              <w:spacing w:line="240" w:lineRule="auto"/>
              <w:ind w:firstLine="0" w:firstLineChars="0"/>
              <w:jc w:val="center"/>
              <w:rPr>
                <w:rFonts w:ascii="Times New Roman" w:hAnsi="Times New Roman"/>
                <w:color w:val="000000"/>
                <w:kern w:val="0"/>
                <w:sz w:val="22"/>
                <w:szCs w:val="22"/>
              </w:rPr>
            </w:pPr>
          </w:p>
        </w:tc>
      </w:tr>
    </w:tbl>
    <w:p w14:paraId="415FBA1F">
      <w:pPr>
        <w:pStyle w:val="2"/>
        <w:rPr>
          <w:rFonts w:ascii="Times New Roman" w:hAnsi="Times New Roman"/>
        </w:rPr>
      </w:pPr>
      <w:r>
        <w:rPr>
          <w:rFonts w:hint="eastAsia" w:ascii="Times New Roman" w:hAnsi="Times New Roman"/>
        </w:rPr>
        <w:t>知识产权及保密要求</w:t>
      </w:r>
      <w:bookmarkEnd w:id="36"/>
    </w:p>
    <w:p w14:paraId="107412E7">
      <w:pPr>
        <w:ind w:firstLine="482"/>
        <w:rPr>
          <w:rFonts w:ascii="Times New Roman" w:hAnsi="Times New Roman"/>
          <w:b/>
        </w:rPr>
      </w:pPr>
      <w:bookmarkStart w:id="37" w:name="_Toc65170093"/>
      <w:r>
        <w:rPr>
          <w:rFonts w:ascii="Times New Roman" w:hAnsi="Times New Roman"/>
          <w:b/>
        </w:rPr>
        <w:t>1、</w:t>
      </w:r>
      <w:r>
        <w:rPr>
          <w:rFonts w:hint="eastAsia" w:ascii="Times New Roman" w:hAnsi="Times New Roman"/>
          <w:b/>
          <w:lang w:eastAsia="zh-CN"/>
        </w:rPr>
        <w:t>供应商</w:t>
      </w:r>
      <w:r>
        <w:rPr>
          <w:rFonts w:ascii="Times New Roman" w:hAnsi="Times New Roman"/>
          <w:b/>
        </w:rPr>
        <w:t>数据、文件、资料知识产权</w:t>
      </w:r>
    </w:p>
    <w:p w14:paraId="5005E103">
      <w:pPr>
        <w:rPr>
          <w:rFonts w:ascii="Times New Roman" w:hAnsi="Times New Roman"/>
        </w:rPr>
      </w:pPr>
      <w:r>
        <w:rPr>
          <w:rFonts w:hint="eastAsia" w:ascii="Times New Roman" w:hAnsi="Times New Roman"/>
          <w:lang w:eastAsia="zh-CN"/>
        </w:rPr>
        <w:t>供应商</w:t>
      </w:r>
      <w:r>
        <w:rPr>
          <w:rFonts w:hint="eastAsia" w:ascii="Times New Roman" w:hAnsi="Times New Roman"/>
        </w:rPr>
        <w:t>保证其所提供的服务和交付的成果以及在履行本项目义务中使用到的所有数据、文件、信息不会引起任何第三方在专利权、著作权、商</w:t>
      </w:r>
      <w:bookmarkStart w:id="40" w:name="_GoBack"/>
      <w:bookmarkEnd w:id="40"/>
      <w:r>
        <w:rPr>
          <w:rFonts w:hint="eastAsia" w:ascii="Times New Roman" w:hAnsi="Times New Roman"/>
        </w:rPr>
        <w:t>标权等知识产权方面向采购人或采购人的关联方及合作方（包括但不限于采购人的主管单位和采购人的合作单位等）发出侵权指控或提出索赔。若有，</w:t>
      </w:r>
      <w:r>
        <w:rPr>
          <w:rFonts w:hint="eastAsia" w:ascii="Times New Roman" w:hAnsi="Times New Roman"/>
          <w:lang w:eastAsia="zh-CN"/>
        </w:rPr>
        <w:t>供应商</w:t>
      </w:r>
      <w:r>
        <w:rPr>
          <w:rFonts w:hint="eastAsia" w:ascii="Times New Roman" w:hAnsi="Times New Roman"/>
        </w:rPr>
        <w:t>应负责与第三方解决纠纷，若因此导致采购人损失的，采购人有权要求</w:t>
      </w:r>
      <w:r>
        <w:rPr>
          <w:rFonts w:hint="eastAsia" w:ascii="Times New Roman" w:hAnsi="Times New Roman"/>
          <w:lang w:eastAsia="zh-CN"/>
        </w:rPr>
        <w:t>供应商</w:t>
      </w:r>
      <w:r>
        <w:rPr>
          <w:rFonts w:hint="eastAsia" w:ascii="Times New Roman" w:hAnsi="Times New Roman"/>
        </w:rPr>
        <w:t>赔偿采购人因此遭受的全部损失，包括但不限于直接损失、间接损失、诉讼费／仲裁费、律师费、公证费、鉴定费等。</w:t>
      </w:r>
    </w:p>
    <w:p w14:paraId="0C9619AB">
      <w:pPr>
        <w:rPr>
          <w:rFonts w:ascii="Times New Roman" w:hAnsi="Times New Roman"/>
        </w:rPr>
      </w:pPr>
      <w:r>
        <w:rPr>
          <w:rFonts w:hint="eastAsia" w:ascii="Times New Roman" w:hAnsi="Times New Roman"/>
          <w:lang w:eastAsia="zh-CN"/>
        </w:rPr>
        <w:t>供应商</w:t>
      </w:r>
      <w:r>
        <w:rPr>
          <w:rFonts w:hint="eastAsia" w:ascii="Times New Roman" w:hAnsi="Times New Roman"/>
        </w:rPr>
        <w:t>因履行本项目而产生的所有成果的知识产权等权利均归采购人所有，</w:t>
      </w:r>
      <w:r>
        <w:rPr>
          <w:rFonts w:hint="eastAsia" w:ascii="Times New Roman" w:hAnsi="Times New Roman"/>
          <w:lang w:eastAsia="zh-CN"/>
        </w:rPr>
        <w:t>供应商</w:t>
      </w:r>
      <w:r>
        <w:rPr>
          <w:rFonts w:hint="eastAsia" w:ascii="Times New Roman" w:hAnsi="Times New Roman"/>
        </w:rPr>
        <w:t>应配合采购人进行相关权利登记或申请。未经采购人书面同意，</w:t>
      </w:r>
      <w:r>
        <w:rPr>
          <w:rFonts w:hint="eastAsia" w:ascii="Times New Roman" w:hAnsi="Times New Roman"/>
          <w:lang w:eastAsia="zh-CN"/>
        </w:rPr>
        <w:t>供应商</w:t>
      </w:r>
      <w:r>
        <w:rPr>
          <w:rFonts w:hint="eastAsia" w:ascii="Times New Roman" w:hAnsi="Times New Roman"/>
        </w:rPr>
        <w:t>不得以任何形式使用或许可他人使用本项目成果的相关内容，不得擅自对外公开发表或向任何第三方透露。</w:t>
      </w:r>
    </w:p>
    <w:p w14:paraId="756365F9">
      <w:pPr>
        <w:rPr>
          <w:rFonts w:ascii="Times New Roman" w:hAnsi="Times New Roman"/>
        </w:rPr>
      </w:pPr>
      <w:r>
        <w:rPr>
          <w:rFonts w:hint="eastAsia" w:ascii="Times New Roman" w:hAnsi="Times New Roman"/>
        </w:rPr>
        <w:t>在不影响上述条款规定的由采购人取得所有成果的知识产权的前提下，双方因履行本项目而被授权接触或使用对方之知识产权（包括但不限于商标、专利、著作权等），和/或任何其他相关资料、数据等涉及的任何权利，均不视为向另一方转让上述权利或在本项目范围外授权许可另一方使用上述权利，上述权利仍应属于提供方，并仅可使用于本项目，被授权接触或使用方未经提供方书面同意，不得擅自挪作他用。</w:t>
      </w:r>
    </w:p>
    <w:p w14:paraId="014BEBC9">
      <w:pPr>
        <w:ind w:firstLine="482"/>
        <w:rPr>
          <w:rFonts w:ascii="Times New Roman" w:hAnsi="Times New Roman"/>
          <w:b/>
        </w:rPr>
      </w:pPr>
      <w:r>
        <w:rPr>
          <w:rFonts w:ascii="Times New Roman" w:hAnsi="Times New Roman"/>
          <w:b/>
        </w:rPr>
        <w:t>2、项目保密要求</w:t>
      </w:r>
    </w:p>
    <w:p w14:paraId="58A127E7">
      <w:pPr>
        <w:rPr>
          <w:rFonts w:ascii="Times New Roman" w:hAnsi="Times New Roman"/>
        </w:rPr>
      </w:pPr>
      <w:r>
        <w:rPr>
          <w:rFonts w:hint="eastAsia" w:ascii="Times New Roman" w:hAnsi="Times New Roman"/>
          <w:lang w:eastAsia="zh-CN"/>
        </w:rPr>
        <w:t>供应商</w:t>
      </w:r>
      <w:r>
        <w:rPr>
          <w:rFonts w:hint="eastAsia" w:ascii="Times New Roman" w:hAnsi="Times New Roman"/>
        </w:rPr>
        <w:t>因履行本项目而知悉的所有数据、信息和资料（包括但不限于账号信息、图表、文字、计算过程、任何形式的文件、访谈记录、现场实测数据、采购人相关工作程序等）以及因履行本项目而形成的数据、信息和任何形式的工作成果，均是采购人要求保密的信息。未经采购人书面同意，</w:t>
      </w:r>
      <w:r>
        <w:rPr>
          <w:rFonts w:hint="eastAsia" w:ascii="Times New Roman" w:hAnsi="Times New Roman"/>
          <w:lang w:eastAsia="zh-CN"/>
        </w:rPr>
        <w:t>供应商</w:t>
      </w:r>
      <w:r>
        <w:rPr>
          <w:rFonts w:hint="eastAsia" w:ascii="Times New Roman" w:hAnsi="Times New Roman"/>
        </w:rPr>
        <w:t>不得对外泄露采购人要求保密的信息，不得用于其他用途，否则</w:t>
      </w:r>
      <w:r>
        <w:rPr>
          <w:rFonts w:hint="eastAsia" w:ascii="Times New Roman" w:hAnsi="Times New Roman"/>
          <w:lang w:eastAsia="zh-CN"/>
        </w:rPr>
        <w:t>供应商</w:t>
      </w:r>
      <w:r>
        <w:rPr>
          <w:rFonts w:hint="eastAsia" w:ascii="Times New Roman" w:hAnsi="Times New Roman"/>
        </w:rPr>
        <w:t>需承担由此引起的法律责任和经济责任，包括但不限于直接损失、间接损失、律师费、诉讼费/仲裁费、调查费、公证费等。</w:t>
      </w:r>
    </w:p>
    <w:p w14:paraId="3984B75D">
      <w:pPr>
        <w:rPr>
          <w:rFonts w:ascii="Times New Roman" w:hAnsi="Times New Roman"/>
        </w:rPr>
      </w:pPr>
      <w:r>
        <w:rPr>
          <w:rFonts w:hint="eastAsia" w:ascii="Times New Roman" w:hAnsi="Times New Roman"/>
          <w:lang w:eastAsia="zh-CN"/>
        </w:rPr>
        <w:t>供应商</w:t>
      </w:r>
      <w:r>
        <w:rPr>
          <w:rFonts w:hint="eastAsia" w:ascii="Times New Roman" w:hAnsi="Times New Roman"/>
        </w:rPr>
        <w:t>应采取必要的有效措施保证其参与本项目的人员（包括</w:t>
      </w:r>
      <w:r>
        <w:rPr>
          <w:rFonts w:hint="eastAsia" w:ascii="Times New Roman" w:hAnsi="Times New Roman"/>
          <w:lang w:eastAsia="zh-CN"/>
        </w:rPr>
        <w:t>供应商</w:t>
      </w:r>
      <w:r>
        <w:rPr>
          <w:rFonts w:hint="eastAsia" w:ascii="Times New Roman" w:hAnsi="Times New Roman"/>
        </w:rPr>
        <w:t>聘用的人员、借调的人员、实习的人员）无论是在职或离职后，以及</w:t>
      </w:r>
      <w:r>
        <w:rPr>
          <w:rFonts w:hint="eastAsia" w:ascii="Times New Roman" w:hAnsi="Times New Roman"/>
          <w:lang w:eastAsia="zh-CN"/>
        </w:rPr>
        <w:t>供应商</w:t>
      </w:r>
      <w:r>
        <w:rPr>
          <w:rFonts w:hint="eastAsia" w:ascii="Times New Roman" w:hAnsi="Times New Roman"/>
        </w:rPr>
        <w:t>的合作方无论是合作中或合作终止后，都能够履行本项目约定的保密义务。若</w:t>
      </w:r>
      <w:r>
        <w:rPr>
          <w:rFonts w:hint="eastAsia" w:ascii="Times New Roman" w:hAnsi="Times New Roman"/>
          <w:lang w:eastAsia="zh-CN"/>
        </w:rPr>
        <w:t>供应商</w:t>
      </w:r>
      <w:r>
        <w:rPr>
          <w:rFonts w:hint="eastAsia" w:ascii="Times New Roman" w:hAnsi="Times New Roman"/>
        </w:rPr>
        <w:t>人员或</w:t>
      </w:r>
      <w:r>
        <w:rPr>
          <w:rFonts w:hint="eastAsia" w:ascii="Times New Roman" w:hAnsi="Times New Roman"/>
          <w:lang w:eastAsia="zh-CN"/>
        </w:rPr>
        <w:t>供应商</w:t>
      </w:r>
      <w:r>
        <w:rPr>
          <w:rFonts w:hint="eastAsia" w:ascii="Times New Roman" w:hAnsi="Times New Roman"/>
        </w:rPr>
        <w:t>合作方违反保密规定，</w:t>
      </w:r>
      <w:r>
        <w:rPr>
          <w:rFonts w:hint="eastAsia" w:ascii="Times New Roman" w:hAnsi="Times New Roman"/>
          <w:lang w:eastAsia="zh-CN"/>
        </w:rPr>
        <w:t>供应商</w:t>
      </w:r>
      <w:r>
        <w:rPr>
          <w:rFonts w:hint="eastAsia" w:ascii="Times New Roman" w:hAnsi="Times New Roman"/>
        </w:rPr>
        <w:t>应承担连带责任。</w:t>
      </w:r>
    </w:p>
    <w:p w14:paraId="337B460D">
      <w:pPr>
        <w:rPr>
          <w:rFonts w:ascii="Times New Roman" w:hAnsi="Times New Roman"/>
        </w:rPr>
      </w:pPr>
      <w:r>
        <w:rPr>
          <w:rFonts w:hint="eastAsia" w:ascii="Times New Roman" w:hAnsi="Times New Roman"/>
          <w:lang w:eastAsia="zh-CN"/>
        </w:rPr>
        <w:t>供应商</w:t>
      </w:r>
      <w:r>
        <w:rPr>
          <w:rFonts w:hint="eastAsia" w:ascii="Times New Roman" w:hAnsi="Times New Roman"/>
        </w:rPr>
        <w:t>（含</w:t>
      </w:r>
      <w:r>
        <w:rPr>
          <w:rFonts w:hint="eastAsia" w:ascii="Times New Roman" w:hAnsi="Times New Roman"/>
          <w:lang w:eastAsia="zh-CN"/>
        </w:rPr>
        <w:t>供应商</w:t>
      </w:r>
      <w:r>
        <w:rPr>
          <w:rFonts w:hint="eastAsia" w:ascii="Times New Roman" w:hAnsi="Times New Roman"/>
        </w:rPr>
        <w:t>参与本项目的人员以及其合作方）未经采购方书面许可，不得以任何形式自行使用或以任何方式向第三方披露、转让、授权、出售与本项目有关的技术成果、计算机软件、源代码、策划文档、技术诀窍、秘密信息、技术资料和其他文件。</w:t>
      </w:r>
    </w:p>
    <w:p w14:paraId="1B3B1D58">
      <w:pPr>
        <w:rPr>
          <w:rFonts w:ascii="Times New Roman" w:hAnsi="Times New Roman"/>
        </w:rPr>
      </w:pPr>
      <w:r>
        <w:rPr>
          <w:rFonts w:hint="eastAsia" w:ascii="Times New Roman" w:hAnsi="Times New Roman"/>
        </w:rPr>
        <w:t>以上内容的保密期限自</w:t>
      </w:r>
      <w:r>
        <w:rPr>
          <w:rFonts w:hint="eastAsia" w:ascii="Times New Roman" w:hAnsi="Times New Roman"/>
          <w:lang w:eastAsia="zh-CN"/>
        </w:rPr>
        <w:t>供应商</w:t>
      </w:r>
      <w:r>
        <w:rPr>
          <w:rFonts w:hint="eastAsia" w:ascii="Times New Roman" w:hAnsi="Times New Roman"/>
        </w:rPr>
        <w:t>知悉保密信息起始至保密信息被合法公开之日止。</w:t>
      </w:r>
    </w:p>
    <w:p w14:paraId="45E16A6C">
      <w:pPr>
        <w:ind w:firstLine="482"/>
        <w:rPr>
          <w:rFonts w:ascii="Times New Roman" w:hAnsi="Times New Roman"/>
          <w:b/>
        </w:rPr>
      </w:pPr>
      <w:r>
        <w:rPr>
          <w:rFonts w:ascii="Times New Roman" w:hAnsi="Times New Roman"/>
          <w:b/>
        </w:rPr>
        <w:t>3、临时账号等使用要求</w:t>
      </w:r>
    </w:p>
    <w:p w14:paraId="73BC8693">
      <w:pPr>
        <w:rPr>
          <w:rFonts w:ascii="Times New Roman" w:hAnsi="Times New Roman"/>
        </w:rPr>
      </w:pPr>
      <w:r>
        <w:rPr>
          <w:rFonts w:hint="eastAsia" w:ascii="Times New Roman" w:hAnsi="Times New Roman"/>
          <w:lang w:eastAsia="zh-CN"/>
        </w:rPr>
        <w:t>供应商</w:t>
      </w:r>
      <w:r>
        <w:rPr>
          <w:rFonts w:hint="eastAsia" w:ascii="Times New Roman" w:hAnsi="Times New Roman"/>
        </w:rPr>
        <w:t>对采购人提供的临时使用账号要保密，不得公开，对组件开发的账号密码需进行加密，避免信息安全的泄露。未经采购人的同意不得利用采购人的网络及平台进行短信、彩信、微信发送，</w:t>
      </w:r>
      <w:r>
        <w:rPr>
          <w:rFonts w:ascii="Times New Roman" w:hAnsi="Times New Roman"/>
        </w:rPr>
        <w:t>造成的一切后果由</w:t>
      </w:r>
      <w:r>
        <w:rPr>
          <w:rFonts w:hint="eastAsia" w:ascii="Times New Roman" w:hAnsi="Times New Roman"/>
          <w:lang w:eastAsia="zh-CN"/>
        </w:rPr>
        <w:t>供应商</w:t>
      </w:r>
      <w:r>
        <w:rPr>
          <w:rFonts w:ascii="Times New Roman" w:hAnsi="Times New Roman"/>
        </w:rPr>
        <w:t>负责。</w:t>
      </w:r>
    </w:p>
    <w:p w14:paraId="2283B156">
      <w:pPr>
        <w:pStyle w:val="2"/>
        <w:rPr>
          <w:rFonts w:ascii="Times New Roman" w:hAnsi="Times New Roman"/>
        </w:rPr>
      </w:pPr>
      <w:r>
        <w:rPr>
          <w:rFonts w:ascii="Times New Roman" w:hAnsi="Times New Roman"/>
        </w:rPr>
        <w:t>项目的变更、解除和终止</w:t>
      </w:r>
    </w:p>
    <w:p w14:paraId="3136F481">
      <w:pPr>
        <w:rPr>
          <w:rFonts w:ascii="Times New Roman" w:hAnsi="Times New Roman"/>
        </w:rPr>
      </w:pPr>
      <w:r>
        <w:rPr>
          <w:rFonts w:hint="eastAsia" w:ascii="Times New Roman" w:hAnsi="Times New Roman"/>
        </w:rPr>
        <w:t>如果</w:t>
      </w:r>
      <w:r>
        <w:rPr>
          <w:rFonts w:hint="eastAsia" w:ascii="Times New Roman" w:hAnsi="Times New Roman"/>
          <w:lang w:eastAsia="zh-CN"/>
        </w:rPr>
        <w:t>供应商</w:t>
      </w:r>
      <w:r>
        <w:rPr>
          <w:rFonts w:hint="eastAsia" w:ascii="Times New Roman" w:hAnsi="Times New Roman"/>
        </w:rPr>
        <w:t>丧失履约能力、发生资不抵债或进入破产程序，采购人可在任何时候以书面形式通知</w:t>
      </w:r>
      <w:r>
        <w:rPr>
          <w:rFonts w:hint="eastAsia" w:ascii="Times New Roman" w:hAnsi="Times New Roman"/>
          <w:lang w:eastAsia="zh-CN"/>
        </w:rPr>
        <w:t>供应商</w:t>
      </w:r>
      <w:r>
        <w:rPr>
          <w:rFonts w:hint="eastAsia" w:ascii="Times New Roman" w:hAnsi="Times New Roman"/>
        </w:rPr>
        <w:t>终止本项目的执行而不给予</w:t>
      </w:r>
      <w:r>
        <w:rPr>
          <w:rFonts w:hint="eastAsia" w:ascii="Times New Roman" w:hAnsi="Times New Roman"/>
          <w:lang w:eastAsia="zh-CN"/>
        </w:rPr>
        <w:t>供应商</w:t>
      </w:r>
      <w:r>
        <w:rPr>
          <w:rFonts w:hint="eastAsia" w:ascii="Times New Roman" w:hAnsi="Times New Roman"/>
        </w:rPr>
        <w:t>补偿。该终止本项目将不损害或影响采购人已经采取或将要采取任何行动或补救措施的权利。</w:t>
      </w:r>
    </w:p>
    <w:p w14:paraId="244EBE8C">
      <w:pPr>
        <w:rPr>
          <w:rFonts w:ascii="Times New Roman" w:hAnsi="Times New Roman"/>
        </w:rPr>
      </w:pPr>
      <w:r>
        <w:rPr>
          <w:rFonts w:hint="eastAsia" w:ascii="Times New Roman" w:hAnsi="Times New Roman"/>
        </w:rPr>
        <w:t>如遇国家、行业管理部门等机构的有关标准和规定调整的，导致本项目内容须做相应调整时，双方应按照公平、合理的原则共同协商修改本项目对应的合同的相关条款。</w:t>
      </w:r>
    </w:p>
    <w:p w14:paraId="7BF0D7D9">
      <w:pPr>
        <w:pStyle w:val="2"/>
        <w:rPr>
          <w:rFonts w:ascii="Times New Roman" w:hAnsi="Times New Roman"/>
        </w:rPr>
      </w:pPr>
      <w:r>
        <w:rPr>
          <w:rFonts w:hint="eastAsia" w:ascii="Times New Roman" w:hAnsi="Times New Roman"/>
        </w:rPr>
        <w:t>违约责任</w:t>
      </w:r>
      <w:bookmarkEnd w:id="37"/>
    </w:p>
    <w:p w14:paraId="61959B9D">
      <w:pPr>
        <w:rPr>
          <w:rFonts w:ascii="Times New Roman" w:hAnsi="Times New Roman"/>
        </w:rPr>
      </w:pPr>
      <w:bookmarkStart w:id="38" w:name="_Toc63785514"/>
      <w:r>
        <w:rPr>
          <w:rFonts w:ascii="Times New Roman" w:hAnsi="Times New Roman"/>
        </w:rPr>
        <w:t>1、如</w:t>
      </w:r>
      <w:r>
        <w:rPr>
          <w:rFonts w:hint="eastAsia" w:ascii="Times New Roman" w:hAnsi="Times New Roman"/>
          <w:lang w:eastAsia="zh-CN"/>
        </w:rPr>
        <w:t>供应商</w:t>
      </w:r>
      <w:r>
        <w:rPr>
          <w:rFonts w:ascii="Times New Roman" w:hAnsi="Times New Roman"/>
        </w:rPr>
        <w:t>未按约定的时间或服务标准完成建设工作，采购人可要求</w:t>
      </w:r>
      <w:r>
        <w:rPr>
          <w:rFonts w:hint="eastAsia" w:ascii="Times New Roman" w:hAnsi="Times New Roman"/>
          <w:lang w:eastAsia="zh-CN"/>
        </w:rPr>
        <w:t>供应商</w:t>
      </w:r>
      <w:r>
        <w:rPr>
          <w:rFonts w:ascii="Times New Roman" w:hAnsi="Times New Roman"/>
        </w:rPr>
        <w:t>在规定的时间内采取补救措施。</w:t>
      </w:r>
      <w:r>
        <w:rPr>
          <w:rFonts w:hint="eastAsia" w:ascii="Times New Roman" w:hAnsi="Times New Roman"/>
          <w:lang w:eastAsia="zh-CN"/>
        </w:rPr>
        <w:t>供应商</w:t>
      </w:r>
      <w:r>
        <w:rPr>
          <w:rFonts w:ascii="Times New Roman" w:hAnsi="Times New Roman"/>
        </w:rPr>
        <w:t>还应向采购人支付本项目费用总额30%的违约金，违约金不足以弥补采购人损失的，采购人有权要求</w:t>
      </w:r>
      <w:r>
        <w:rPr>
          <w:rFonts w:hint="eastAsia" w:ascii="Times New Roman" w:hAnsi="Times New Roman"/>
          <w:lang w:eastAsia="zh-CN"/>
        </w:rPr>
        <w:t>供应商</w:t>
      </w:r>
      <w:r>
        <w:rPr>
          <w:rFonts w:ascii="Times New Roman" w:hAnsi="Times New Roman"/>
        </w:rPr>
        <w:t>赔偿超过部分。</w:t>
      </w:r>
    </w:p>
    <w:p w14:paraId="437FB292">
      <w:pPr>
        <w:rPr>
          <w:rFonts w:ascii="Times New Roman" w:hAnsi="Times New Roman"/>
        </w:rPr>
      </w:pPr>
      <w:r>
        <w:rPr>
          <w:rFonts w:ascii="Times New Roman" w:hAnsi="Times New Roman"/>
        </w:rPr>
        <w:t>2、因</w:t>
      </w:r>
      <w:r>
        <w:rPr>
          <w:rFonts w:hint="eastAsia" w:ascii="Times New Roman" w:hAnsi="Times New Roman"/>
          <w:lang w:eastAsia="zh-CN"/>
        </w:rPr>
        <w:t>供应商</w:t>
      </w:r>
      <w:r>
        <w:rPr>
          <w:rFonts w:ascii="Times New Roman" w:hAnsi="Times New Roman"/>
        </w:rPr>
        <w:t>违反保密义务或知识产权约定的，采购人有权要求</w:t>
      </w:r>
      <w:r>
        <w:rPr>
          <w:rFonts w:hint="eastAsia" w:ascii="Times New Roman" w:hAnsi="Times New Roman"/>
          <w:lang w:eastAsia="zh-CN"/>
        </w:rPr>
        <w:t>供应商</w:t>
      </w:r>
      <w:r>
        <w:rPr>
          <w:rFonts w:ascii="Times New Roman" w:hAnsi="Times New Roman"/>
        </w:rPr>
        <w:t>支付本项目费用总额30%的违约金，违约金不足以弥补采购人损失的，采购人有权要求</w:t>
      </w:r>
      <w:r>
        <w:rPr>
          <w:rFonts w:hint="eastAsia" w:ascii="Times New Roman" w:hAnsi="Times New Roman"/>
          <w:lang w:eastAsia="zh-CN"/>
        </w:rPr>
        <w:t>供应商</w:t>
      </w:r>
      <w:r>
        <w:rPr>
          <w:rFonts w:ascii="Times New Roman" w:hAnsi="Times New Roman"/>
        </w:rPr>
        <w:t>赔偿超过部分。若</w:t>
      </w:r>
      <w:r>
        <w:rPr>
          <w:rFonts w:hint="eastAsia" w:ascii="Times New Roman" w:hAnsi="Times New Roman"/>
          <w:lang w:eastAsia="zh-CN"/>
        </w:rPr>
        <w:t>供应商</w:t>
      </w:r>
      <w:r>
        <w:rPr>
          <w:rFonts w:ascii="Times New Roman" w:hAnsi="Times New Roman"/>
        </w:rPr>
        <w:t>违反保密义务，采购人还有权立即单方解除合同而不承担任何违约责任。</w:t>
      </w:r>
    </w:p>
    <w:p w14:paraId="14F27165">
      <w:pPr>
        <w:rPr>
          <w:rFonts w:ascii="Times New Roman" w:hAnsi="Times New Roman"/>
        </w:rPr>
      </w:pPr>
      <w:r>
        <w:rPr>
          <w:rFonts w:ascii="Times New Roman" w:hAnsi="Times New Roman"/>
        </w:rPr>
        <w:t>3、</w:t>
      </w:r>
      <w:r>
        <w:rPr>
          <w:rFonts w:hint="eastAsia" w:ascii="Times New Roman" w:hAnsi="Times New Roman"/>
          <w:lang w:eastAsia="zh-CN"/>
        </w:rPr>
        <w:t>供应商</w:t>
      </w:r>
      <w:r>
        <w:rPr>
          <w:rFonts w:ascii="Times New Roman" w:hAnsi="Times New Roman"/>
        </w:rPr>
        <w:t>有其他违反本项目合同约定的行为，</w:t>
      </w:r>
      <w:r>
        <w:rPr>
          <w:rFonts w:hint="eastAsia" w:ascii="Times New Roman" w:hAnsi="Times New Roman"/>
          <w:lang w:eastAsia="zh-CN"/>
        </w:rPr>
        <w:t>供应商</w:t>
      </w:r>
      <w:r>
        <w:rPr>
          <w:rFonts w:ascii="Times New Roman" w:hAnsi="Times New Roman"/>
        </w:rPr>
        <w:t>应当支付本项目总价款金额的20%作为违约金，违约金不足以弥补采购人损失的，采购人有权要求</w:t>
      </w:r>
      <w:r>
        <w:rPr>
          <w:rFonts w:hint="eastAsia" w:ascii="Times New Roman" w:hAnsi="Times New Roman"/>
          <w:lang w:eastAsia="zh-CN"/>
        </w:rPr>
        <w:t>供应商</w:t>
      </w:r>
      <w:r>
        <w:rPr>
          <w:rFonts w:ascii="Times New Roman" w:hAnsi="Times New Roman"/>
        </w:rPr>
        <w:t>赔偿超过部分。</w:t>
      </w:r>
    </w:p>
    <w:p w14:paraId="33F4E7D0">
      <w:pPr>
        <w:rPr>
          <w:rFonts w:ascii="Times New Roman" w:hAnsi="Times New Roman"/>
        </w:rPr>
      </w:pPr>
      <w:r>
        <w:rPr>
          <w:rFonts w:ascii="Times New Roman" w:hAnsi="Times New Roman"/>
        </w:rPr>
        <w:t>4、</w:t>
      </w:r>
      <w:r>
        <w:rPr>
          <w:rFonts w:hint="eastAsia" w:ascii="Times New Roman" w:hAnsi="Times New Roman"/>
          <w:lang w:eastAsia="zh-CN"/>
        </w:rPr>
        <w:t>供应商</w:t>
      </w:r>
      <w:r>
        <w:rPr>
          <w:rFonts w:ascii="Times New Roman" w:hAnsi="Times New Roman"/>
        </w:rPr>
        <w:t>有下列情形之一，采购人有权解除合同：</w:t>
      </w:r>
    </w:p>
    <w:p w14:paraId="556DF246">
      <w:pPr>
        <w:rPr>
          <w:rFonts w:ascii="Times New Roman" w:hAnsi="Times New Roman"/>
        </w:rPr>
      </w:pPr>
      <w:r>
        <w:rPr>
          <w:rFonts w:hint="eastAsia" w:ascii="Times New Roman" w:hAnsi="Times New Roman"/>
        </w:rPr>
        <w:t>（1</w:t>
      </w:r>
      <w:r>
        <w:rPr>
          <w:rFonts w:ascii="Times New Roman" w:hAnsi="Times New Roman"/>
        </w:rPr>
        <w:t>）因</w:t>
      </w:r>
      <w:r>
        <w:rPr>
          <w:rFonts w:hint="eastAsia" w:ascii="Times New Roman" w:hAnsi="Times New Roman"/>
          <w:lang w:eastAsia="zh-CN"/>
        </w:rPr>
        <w:t>供应商</w:t>
      </w:r>
      <w:r>
        <w:rPr>
          <w:rFonts w:ascii="Times New Roman" w:hAnsi="Times New Roman"/>
        </w:rPr>
        <w:t>服务质量问题导致采购人无法实现目的；</w:t>
      </w:r>
    </w:p>
    <w:p w14:paraId="75F44DDB">
      <w:pPr>
        <w:rPr>
          <w:rFonts w:ascii="Times New Roman" w:hAnsi="Times New Roman"/>
        </w:rPr>
      </w:pPr>
      <w:r>
        <w:rPr>
          <w:rFonts w:hint="eastAsia" w:ascii="Times New Roman" w:hAnsi="Times New Roman"/>
        </w:rPr>
        <w:t>（2</w:t>
      </w:r>
      <w:r>
        <w:rPr>
          <w:rFonts w:ascii="Times New Roman" w:hAnsi="Times New Roman"/>
        </w:rPr>
        <w:t>）擅自转让或者分包其应履行的义务的；</w:t>
      </w:r>
    </w:p>
    <w:p w14:paraId="385BB003">
      <w:pPr>
        <w:rPr>
          <w:rFonts w:ascii="Times New Roman" w:hAnsi="Times New Roman"/>
        </w:rPr>
      </w:pPr>
      <w:r>
        <w:rPr>
          <w:rFonts w:hint="eastAsia" w:ascii="Times New Roman" w:hAnsi="Times New Roman"/>
        </w:rPr>
        <w:t>（3</w:t>
      </w:r>
      <w:r>
        <w:rPr>
          <w:rFonts w:ascii="Times New Roman" w:hAnsi="Times New Roman"/>
        </w:rPr>
        <w:t>）违反或者未履行本项目合同约定的其他相关义务，且在采购人要求的合理时间内未能纠正的。</w:t>
      </w:r>
    </w:p>
    <w:bookmarkEnd w:id="38"/>
    <w:p w14:paraId="5CC6F9B8">
      <w:pPr>
        <w:pStyle w:val="2"/>
        <w:rPr>
          <w:rFonts w:ascii="Times New Roman" w:hAnsi="Times New Roman"/>
        </w:rPr>
      </w:pPr>
      <w:bookmarkStart w:id="39" w:name="_Toc68798863"/>
      <w:r>
        <w:rPr>
          <w:rFonts w:hint="eastAsia" w:ascii="Times New Roman" w:hAnsi="Times New Roman"/>
        </w:rPr>
        <w:t>附录</w:t>
      </w:r>
      <w:bookmarkEnd w:id="39"/>
    </w:p>
    <w:p w14:paraId="5866FAEF">
      <w:pPr>
        <w:ind w:firstLine="482"/>
        <w:rPr>
          <w:rFonts w:ascii="Times New Roman" w:hAnsi="Times New Roman"/>
          <w:b/>
        </w:rPr>
      </w:pPr>
      <w:r>
        <w:rPr>
          <w:rFonts w:hint="eastAsia" w:ascii="Times New Roman" w:hAnsi="Times New Roman"/>
          <w:b/>
        </w:rPr>
        <w:t>项目建设过程中需符合的相关技术标准或规范文件如下：</w:t>
      </w:r>
    </w:p>
    <w:p w14:paraId="01B57CAB">
      <w:pPr>
        <w:rPr>
          <w:rFonts w:ascii="Times New Roman" w:hAnsi="Times New Roman"/>
        </w:rPr>
      </w:pPr>
      <w:r>
        <w:rPr>
          <w:rFonts w:hint="eastAsia" w:ascii="Times New Roman" w:hAnsi="Times New Roman"/>
        </w:rPr>
        <w:t>1、</w:t>
      </w:r>
      <w:r>
        <w:rPr>
          <w:rFonts w:ascii="Times New Roman" w:hAnsi="Times New Roman"/>
        </w:rPr>
        <w:t>《政务网络安全监测平台总体技术要求》</w:t>
      </w:r>
    </w:p>
    <w:p w14:paraId="2A7C576E">
      <w:pPr>
        <w:rPr>
          <w:rFonts w:ascii="Times New Roman" w:hAnsi="Times New Roman"/>
        </w:rPr>
      </w:pPr>
      <w:r>
        <w:rPr>
          <w:rFonts w:ascii="Times New Roman" w:hAnsi="Times New Roman"/>
        </w:rPr>
        <w:object>
          <v:shape id="_x0000_i1025" o:spt="75" type="#_x0000_t75" style="height:56.95pt;width:78.25pt;" o:ole="t" filled="f" o:preferrelative="t" stroked="f" coordsize="21600,21600">
            <v:path/>
            <v:fill on="f" focussize="0,0"/>
            <v:stroke on="f" joinstyle="miter"/>
            <v:imagedata r:id="rId16" o:title=""/>
            <o:lock v:ext="edit" aspectratio="t"/>
            <w10:wrap type="none"/>
            <w10:anchorlock/>
          </v:shape>
          <o:OLEObject Type="Embed" ProgID="Package" ShapeID="_x0000_i1025" DrawAspect="Icon" ObjectID="_1468075725" r:id="rId15">
            <o:LockedField>false</o:LockedField>
          </o:OLEObject>
        </w:object>
      </w:r>
    </w:p>
    <w:p w14:paraId="7F32F059">
      <w:pPr>
        <w:rPr>
          <w:rFonts w:ascii="Times New Roman" w:hAnsi="Times New Roman"/>
        </w:rPr>
      </w:pPr>
    </w:p>
    <w:p w14:paraId="603B91EC">
      <w:pPr>
        <w:jc w:val="left"/>
        <w:rPr>
          <w:rFonts w:ascii="Times New Roman" w:hAnsi="Times New Roman"/>
        </w:rPr>
      </w:pPr>
      <w:r>
        <w:rPr>
          <w:rFonts w:hint="eastAsia" w:ascii="Times New Roman" w:hAnsi="Times New Roman"/>
        </w:rPr>
        <w:t>2、《上海市电子政务外网建设和运行管理指南（试行）》</w:t>
      </w:r>
    </w:p>
    <w:p w14:paraId="6859F3DB">
      <w:pPr>
        <w:jc w:val="left"/>
        <w:rPr>
          <w:rFonts w:ascii="Times New Roman" w:hAnsi="Times New Roman"/>
        </w:rPr>
      </w:pPr>
      <w:r>
        <w:rPr>
          <w:rFonts w:ascii="Times New Roman" w:hAnsi="Times New Roman"/>
        </w:rPr>
        <w:object>
          <v:shape id="_x0000_i1026" o:spt="75" type="#_x0000_t75" style="height:55.1pt;width:77pt;" o:ole="t" filled="f" o:preferrelative="t" stroked="f" coordsize="21600,21600">
            <v:path/>
            <v:fill on="f" focussize="0,0"/>
            <v:stroke on="f" joinstyle="miter"/>
            <v:imagedata r:id="rId18" o:title=""/>
            <o:lock v:ext="edit" aspectratio="t"/>
            <w10:wrap type="none"/>
            <w10:anchorlock/>
          </v:shape>
          <o:OLEObject Type="Embed" ProgID="Package" ShapeID="_x0000_i1026" DrawAspect="Icon" ObjectID="_1468075726" r:id="rId17">
            <o:LockedField>false</o:LockedField>
          </o:OLEObject>
        </w:object>
      </w:r>
    </w:p>
    <w:p w14:paraId="5DED12B1">
      <w:pPr>
        <w:jc w:val="left"/>
        <w:rPr>
          <w:rFonts w:ascii="Times New Roman" w:hAnsi="Times New Roman"/>
        </w:rPr>
      </w:pPr>
    </w:p>
    <w:p w14:paraId="6AF2ECFC">
      <w:pPr>
        <w:jc w:val="left"/>
        <w:rPr>
          <w:rFonts w:ascii="Times New Roman" w:hAnsi="Times New Roman"/>
        </w:rPr>
      </w:pPr>
    </w:p>
    <w:sectPr>
      <w:footerReference r:id="rId13" w:type="first"/>
      <w:pgSz w:w="11906" w:h="16838"/>
      <w:pgMar w:top="1134" w:right="1797" w:bottom="1135" w:left="1797" w:header="340" w:footer="7" w:gutter="0"/>
      <w:pgNumType w:start="1"/>
      <w:cols w:space="720" w:num="1"/>
      <w:titlePg/>
      <w:docGrid w:type="linesAndChars"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郭田恬" w:date="2026-10-23T09:41:00Z" w:initials="GTT">
    <w:p w14:paraId="2A31B75F">
      <w:pPr>
        <w:pStyle w:val="15"/>
        <w:ind w:firstLine="560"/>
      </w:pPr>
      <w:r>
        <w:annotationRef/>
      </w:r>
    </w:p>
  </w:comment>
  <w:comment w:id="1" w:author="郭田恬" w:date="2026-10-23T09:39:00Z" w:initials="GTT">
    <w:p w14:paraId="076FAB7A">
      <w:pPr>
        <w:pStyle w:val="15"/>
        <w:ind w:firstLine="560"/>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A31B75F" w15:done="1"/>
  <w15:commentEx w15:paraId="076FAB7A"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华文中宋">
    <w:altName w:val="汉仪中宋简"/>
    <w:panose1 w:val="02010600040101010101"/>
    <w:charset w:val="86"/>
    <w:family w:val="auto"/>
    <w:pitch w:val="default"/>
    <w:sig w:usb0="00000000" w:usb1="00000000" w:usb2="00000010" w:usb3="00000000" w:csb0="0004009F" w:csb1="00000000"/>
  </w:font>
  <w:font w:name="Arial Unicode MS">
    <w:altName w:val="DejaVu Sans"/>
    <w:panose1 w:val="020B0604020202020204"/>
    <w:charset w:val="86"/>
    <w:family w:val="swiss"/>
    <w:pitch w:val="default"/>
    <w:sig w:usb0="00000000" w:usb1="00000000" w:usb2="0000003F" w:usb3="00000000" w:csb0="603F01FF" w:csb1="FFFF0000"/>
  </w:font>
  <w:font w:name="等线 Light">
    <w:altName w:val="汉仪中宋简"/>
    <w:panose1 w:val="02010600030101010101"/>
    <w:charset w:val="86"/>
    <w:family w:val="auto"/>
    <w:pitch w:val="default"/>
    <w:sig w:usb0="00000000" w:usb1="00000000" w:usb2="00000016" w:usb3="00000000" w:csb0="0004000F" w:csb1="00000000"/>
  </w:font>
  <w:font w:name="time">
    <w:altName w:val="思源宋体"/>
    <w:panose1 w:val="00000000000000000000"/>
    <w:charset w:val="00"/>
    <w:family w:val="roman"/>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Microsoft Sans Serif">
    <w:altName w:val="Liberation Sans"/>
    <w:panose1 w:val="020B0604020202020204"/>
    <w:charset w:val="00"/>
    <w:family w:val="swiss"/>
    <w:pitch w:val="default"/>
    <w:sig w:usb0="00000000" w:usb1="00000000" w:usb2="00000008" w:usb3="00000000" w:csb0="200101FF" w:csb1="20280000"/>
  </w:font>
  <w:font w:name="Liberation Sans">
    <w:panose1 w:val="020B0604020202020204"/>
    <w:charset w:val="00"/>
    <w:family w:val="auto"/>
    <w:pitch w:val="default"/>
    <w:sig w:usb0="E0000AFF" w:usb1="500078FF" w:usb2="00000021" w:usb3="00000000" w:csb0="600001BF" w:csb1="DFF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72C88">
    <w:pPr>
      <w:ind w:firstLine="0" w:firstLineChars="0"/>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C807C">
                          <w:pPr>
                            <w:ind w:firstLine="0" w:firstLineChars="0"/>
                            <w:jc w:val="center"/>
                            <w:rPr>
                              <w:rFonts w:hint="eastAsia"/>
                            </w:rPr>
                          </w:pPr>
                          <w:r>
                            <w:fldChar w:fldCharType="begin"/>
                          </w:r>
                          <w:r>
                            <w:instrText xml:space="preserve">PAGE   \* MERGEFORMAT</w:instrText>
                          </w:r>
                          <w:r>
                            <w:fldChar w:fldCharType="separate"/>
                          </w:r>
                          <w:r>
                            <w:rPr>
                              <w:lang w:val="zh-CN"/>
                            </w:rPr>
                            <w:t>11</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A1C807C">
                    <w:pPr>
                      <w:ind w:firstLine="0" w:firstLineChars="0"/>
                      <w:jc w:val="center"/>
                      <w:rPr>
                        <w:rFonts w:hint="eastAsia"/>
                      </w:rPr>
                    </w:pPr>
                    <w:r>
                      <w:fldChar w:fldCharType="begin"/>
                    </w:r>
                    <w:r>
                      <w:instrText xml:space="preserve">PAGE   \* MERGEFORMAT</w:instrText>
                    </w:r>
                    <w:r>
                      <w:fldChar w:fldCharType="separate"/>
                    </w:r>
                    <w:r>
                      <w:rPr>
                        <w:lang w:val="zh-CN"/>
                      </w:rPr>
                      <w:t>11</w:t>
                    </w:r>
                    <w:r>
                      <w:rPr>
                        <w:lang w:val="zh-CN"/>
                      </w:rPr>
                      <w:fldChar w:fldCharType="end"/>
                    </w:r>
                  </w:p>
                </w:txbxContent>
              </v:textbox>
            </v:shape>
          </w:pict>
        </mc:Fallback>
      </mc:AlternateContent>
    </w:r>
  </w:p>
  <w:p w14:paraId="4BC4446F">
    <w:pP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E87F">
    <w:pPr>
      <w:rPr>
        <w:rFonts w:hint="eastAsia"/>
      </w:rPr>
    </w:pPr>
  </w:p>
  <w:p w14:paraId="14643E49">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3D313">
    <w:pPr>
      <w:ind w:firstLine="0" w:firstLineChars="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EB8BC">
    <w:pPr>
      <w:ind w:firstLine="0" w:firstLineChars="0"/>
      <w:jc w:val="center"/>
      <w:rPr>
        <w:rFonts w:hint="eastAsia"/>
        <w:lang w:val="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E717E">
                          <w:pPr>
                            <w:ind w:firstLine="0" w:firstLineChars="0"/>
                            <w:jc w:val="center"/>
                            <w:rPr>
                              <w:rFonts w:ascii="Times New Roman" w:hAnsi="Times New Roman"/>
                              <w:sz w:val="21"/>
                              <w:szCs w:val="21"/>
                            </w:rPr>
                          </w:pPr>
                          <w:r>
                            <w:rPr>
                              <w:rFonts w:ascii="Times New Roman" w:hAnsi="Times New Roman"/>
                              <w:sz w:val="21"/>
                              <w:szCs w:val="21"/>
                              <w:lang w:val="zh-CN"/>
                            </w:rPr>
                            <w:fldChar w:fldCharType="begin"/>
                          </w:r>
                          <w:r>
                            <w:rPr>
                              <w:rFonts w:ascii="Times New Roman" w:hAnsi="Times New Roman"/>
                              <w:sz w:val="21"/>
                              <w:szCs w:val="21"/>
                              <w:lang w:val="zh-CN"/>
                            </w:rPr>
                            <w:instrText xml:space="preserve">PAGE   \* MERGEFORMAT</w:instrText>
                          </w:r>
                          <w:r>
                            <w:rPr>
                              <w:rFonts w:ascii="Times New Roman" w:hAnsi="Times New Roman"/>
                              <w:sz w:val="21"/>
                              <w:szCs w:val="21"/>
                              <w:lang w:val="zh-CN"/>
                            </w:rPr>
                            <w:fldChar w:fldCharType="separate"/>
                          </w:r>
                          <w:r>
                            <w:rPr>
                              <w:rFonts w:ascii="Times New Roman" w:hAnsi="Times New Roman"/>
                              <w:sz w:val="21"/>
                              <w:szCs w:val="21"/>
                              <w:lang w:val="zh-CN"/>
                            </w:rPr>
                            <w:t>1</w:t>
                          </w:r>
                          <w:r>
                            <w:rPr>
                              <w:rFonts w:ascii="Times New Roman" w:hAnsi="Times New Roman"/>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D1E717E">
                    <w:pPr>
                      <w:ind w:firstLine="0" w:firstLineChars="0"/>
                      <w:jc w:val="center"/>
                      <w:rPr>
                        <w:rFonts w:ascii="Times New Roman" w:hAnsi="Times New Roman"/>
                        <w:sz w:val="21"/>
                        <w:szCs w:val="21"/>
                      </w:rPr>
                    </w:pPr>
                    <w:r>
                      <w:rPr>
                        <w:rFonts w:ascii="Times New Roman" w:hAnsi="Times New Roman"/>
                        <w:sz w:val="21"/>
                        <w:szCs w:val="21"/>
                        <w:lang w:val="zh-CN"/>
                      </w:rPr>
                      <w:fldChar w:fldCharType="begin"/>
                    </w:r>
                    <w:r>
                      <w:rPr>
                        <w:rFonts w:ascii="Times New Roman" w:hAnsi="Times New Roman"/>
                        <w:sz w:val="21"/>
                        <w:szCs w:val="21"/>
                        <w:lang w:val="zh-CN"/>
                      </w:rPr>
                      <w:instrText xml:space="preserve">PAGE   \* MERGEFORMAT</w:instrText>
                    </w:r>
                    <w:r>
                      <w:rPr>
                        <w:rFonts w:ascii="Times New Roman" w:hAnsi="Times New Roman"/>
                        <w:sz w:val="21"/>
                        <w:szCs w:val="21"/>
                        <w:lang w:val="zh-CN"/>
                      </w:rPr>
                      <w:fldChar w:fldCharType="separate"/>
                    </w:r>
                    <w:r>
                      <w:rPr>
                        <w:rFonts w:ascii="Times New Roman" w:hAnsi="Times New Roman"/>
                        <w:sz w:val="21"/>
                        <w:szCs w:val="21"/>
                        <w:lang w:val="zh-CN"/>
                      </w:rPr>
                      <w:t>1</w:t>
                    </w:r>
                    <w:r>
                      <w:rPr>
                        <w:rFonts w:ascii="Times New Roman" w:hAnsi="Times New Roman"/>
                        <w:sz w:val="21"/>
                        <w:szCs w:val="21"/>
                        <w:lang w:val="zh-CN"/>
                      </w:rPr>
                      <w:fldChar w:fldCharType="end"/>
                    </w:r>
                  </w:p>
                </w:txbxContent>
              </v:textbox>
            </v:shape>
          </w:pict>
        </mc:Fallback>
      </mc:AlternateContent>
    </w:r>
  </w:p>
  <w:p w14:paraId="6F61C8DB">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DBD3E">
    <w:pPr>
      <w:pStyle w:val="2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7CBC0">
    <w:pPr>
      <w:rPr>
        <w:rFonts w:hint="eastAsia"/>
      </w:rPr>
    </w:pPr>
  </w:p>
  <w:p w14:paraId="52B07298">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73D18">
    <w:pPr>
      <w:pStyle w:val="2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CC7CA"/>
    <w:multiLevelType w:val="singleLevel"/>
    <w:tmpl w:val="8ABCC7CA"/>
    <w:lvl w:ilvl="0" w:tentative="0">
      <w:start w:val="1"/>
      <w:numFmt w:val="decimal"/>
      <w:lvlText w:val="%1)"/>
      <w:lvlJc w:val="left"/>
      <w:pPr>
        <w:ind w:left="425" w:hanging="425"/>
      </w:pPr>
      <w:rPr>
        <w:rFonts w:hint="default"/>
      </w:rPr>
    </w:lvl>
  </w:abstractNum>
  <w:abstractNum w:abstractNumId="1">
    <w:nsid w:val="DBB9CD3E"/>
    <w:multiLevelType w:val="singleLevel"/>
    <w:tmpl w:val="DBB9CD3E"/>
    <w:lvl w:ilvl="0" w:tentative="0">
      <w:start w:val="1"/>
      <w:numFmt w:val="decimal"/>
      <w:suff w:val="nothing"/>
      <w:lvlText w:val="（%1）"/>
      <w:lvlJc w:val="left"/>
    </w:lvl>
  </w:abstractNum>
  <w:abstractNum w:abstractNumId="2">
    <w:nsid w:val="DE337CE7"/>
    <w:multiLevelType w:val="singleLevel"/>
    <w:tmpl w:val="DE337CE7"/>
    <w:lvl w:ilvl="0" w:tentative="0">
      <w:start w:val="1"/>
      <w:numFmt w:val="decimal"/>
      <w:suff w:val="space"/>
      <w:lvlText w:val="%1."/>
      <w:lvlJc w:val="left"/>
    </w:lvl>
  </w:abstractNum>
  <w:abstractNum w:abstractNumId="3">
    <w:nsid w:val="05090A1E"/>
    <w:multiLevelType w:val="singleLevel"/>
    <w:tmpl w:val="05090A1E"/>
    <w:lvl w:ilvl="0" w:tentative="0">
      <w:start w:val="1"/>
      <w:numFmt w:val="decimal"/>
      <w:suff w:val="nothing"/>
      <w:lvlText w:val="（%1）"/>
      <w:lvlJc w:val="left"/>
    </w:lvl>
  </w:abstractNum>
  <w:abstractNum w:abstractNumId="4">
    <w:nsid w:val="11FA697F"/>
    <w:multiLevelType w:val="multilevel"/>
    <w:tmpl w:val="11FA697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6350366A"/>
    <w:multiLevelType w:val="multilevel"/>
    <w:tmpl w:val="6350366A"/>
    <w:lvl w:ilvl="0" w:tentative="0">
      <w:start w:val="1"/>
      <w:numFmt w:val="none"/>
      <w:pStyle w:val="114"/>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9ED5163"/>
    <w:multiLevelType w:val="singleLevel"/>
    <w:tmpl w:val="69ED5163"/>
    <w:lvl w:ilvl="0" w:tentative="0">
      <w:start w:val="1"/>
      <w:numFmt w:val="decimal"/>
      <w:suff w:val="nothing"/>
      <w:lvlText w:val="（%1）"/>
      <w:lvlJc w:val="left"/>
    </w:lvl>
  </w:abstractNum>
  <w:abstractNum w:abstractNumId="7">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480" w:hanging="567"/>
      </w:pPr>
    </w:lvl>
    <w:lvl w:ilvl="2" w:tentative="0">
      <w:start w:val="1"/>
      <w:numFmt w:val="decimal"/>
      <w:pStyle w:val="4"/>
      <w:isLgl/>
      <w:suff w:val="nothing"/>
      <w:lvlText w:val="%1.%2.%3、"/>
      <w:lvlJc w:val="left"/>
      <w:pPr>
        <w:ind w:left="1069" w:hanging="1069"/>
      </w:pPr>
      <w:rPr>
        <w:rFonts w:hint="default" w:ascii="宋体" w:hAnsi="宋体" w:eastAsia="宋体" w:cs="Arial"/>
      </w:rPr>
    </w:lvl>
    <w:lvl w:ilvl="3" w:tentative="0">
      <w:start w:val="1"/>
      <w:numFmt w:val="decimal"/>
      <w:pStyle w:val="5"/>
      <w:isLgl/>
      <w:suff w:val="nothing"/>
      <w:lvlText w:val="%1.%2.%3.%4、"/>
      <w:lvlJc w:val="left"/>
      <w:pPr>
        <w:ind w:left="3403" w:hanging="851"/>
      </w:pPr>
    </w:lvl>
    <w:lvl w:ilvl="4" w:tentative="0">
      <w:start w:val="1"/>
      <w:numFmt w:val="decimal"/>
      <w:pStyle w:val="6"/>
      <w:isLgl/>
      <w:suff w:val="nothing"/>
      <w:lvlText w:val="%1.%2.%3.%4.%5、"/>
      <w:lvlJc w:val="left"/>
      <w:pPr>
        <w:ind w:left="3544" w:hanging="992"/>
      </w:pPr>
      <w:rPr>
        <w:rFonts w:hint="eastAsia"/>
      </w:rPr>
    </w:lvl>
    <w:lvl w:ilvl="5" w:tentative="0">
      <w:start w:val="1"/>
      <w:numFmt w:val="decimal"/>
      <w:pStyle w:val="7"/>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7"/>
  </w:num>
  <w:num w:numId="2">
    <w:abstractNumId w:val="5"/>
  </w:num>
  <w:num w:numId="3">
    <w:abstractNumId w:val="2"/>
  </w:num>
  <w:num w:numId="4">
    <w:abstractNumId w:val="0"/>
  </w:num>
  <w:num w:numId="5">
    <w:abstractNumId w:val="3"/>
  </w:num>
  <w:num w:numId="6">
    <w:abstractNumId w:val="1"/>
  </w:num>
  <w:num w:numId="7">
    <w:abstractNumId w:val="6"/>
  </w:num>
  <w:num w:numId="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郭田恬">
    <w15:presenceInfo w15:providerId="None" w15:userId="郭田恬"/>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0C0"/>
    <w:rsid w:val="0000005A"/>
    <w:rsid w:val="00000AED"/>
    <w:rsid w:val="00002DBA"/>
    <w:rsid w:val="00003516"/>
    <w:rsid w:val="0000380E"/>
    <w:rsid w:val="00005AFD"/>
    <w:rsid w:val="00006563"/>
    <w:rsid w:val="000074F1"/>
    <w:rsid w:val="00007A41"/>
    <w:rsid w:val="00007DA7"/>
    <w:rsid w:val="00012EF0"/>
    <w:rsid w:val="000156DE"/>
    <w:rsid w:val="000165AD"/>
    <w:rsid w:val="000179E9"/>
    <w:rsid w:val="00020C18"/>
    <w:rsid w:val="00021EE6"/>
    <w:rsid w:val="0002280E"/>
    <w:rsid w:val="00022C74"/>
    <w:rsid w:val="00025122"/>
    <w:rsid w:val="000252D5"/>
    <w:rsid w:val="00026997"/>
    <w:rsid w:val="00027A64"/>
    <w:rsid w:val="00032D27"/>
    <w:rsid w:val="00035325"/>
    <w:rsid w:val="00035D5B"/>
    <w:rsid w:val="000378D0"/>
    <w:rsid w:val="00037F2C"/>
    <w:rsid w:val="00040EEB"/>
    <w:rsid w:val="00042C2A"/>
    <w:rsid w:val="000430EC"/>
    <w:rsid w:val="000447CB"/>
    <w:rsid w:val="00047915"/>
    <w:rsid w:val="00047D06"/>
    <w:rsid w:val="00050FBD"/>
    <w:rsid w:val="0005107A"/>
    <w:rsid w:val="0005192C"/>
    <w:rsid w:val="00052929"/>
    <w:rsid w:val="0005299F"/>
    <w:rsid w:val="000541D7"/>
    <w:rsid w:val="000545C0"/>
    <w:rsid w:val="00055225"/>
    <w:rsid w:val="0005586D"/>
    <w:rsid w:val="00056C0E"/>
    <w:rsid w:val="000574A8"/>
    <w:rsid w:val="000574F8"/>
    <w:rsid w:val="00057A49"/>
    <w:rsid w:val="0006231F"/>
    <w:rsid w:val="00062A05"/>
    <w:rsid w:val="00062EE6"/>
    <w:rsid w:val="0006344E"/>
    <w:rsid w:val="000649E6"/>
    <w:rsid w:val="0006794B"/>
    <w:rsid w:val="00067DCA"/>
    <w:rsid w:val="00070063"/>
    <w:rsid w:val="0007087A"/>
    <w:rsid w:val="000710EC"/>
    <w:rsid w:val="00072237"/>
    <w:rsid w:val="00072ABE"/>
    <w:rsid w:val="00080B39"/>
    <w:rsid w:val="00080F26"/>
    <w:rsid w:val="00083950"/>
    <w:rsid w:val="0008452F"/>
    <w:rsid w:val="00084E8E"/>
    <w:rsid w:val="00085A68"/>
    <w:rsid w:val="00090625"/>
    <w:rsid w:val="00090948"/>
    <w:rsid w:val="00091CD1"/>
    <w:rsid w:val="0009460E"/>
    <w:rsid w:val="000951D4"/>
    <w:rsid w:val="000A2146"/>
    <w:rsid w:val="000A2930"/>
    <w:rsid w:val="000A3276"/>
    <w:rsid w:val="000A3C35"/>
    <w:rsid w:val="000A3E30"/>
    <w:rsid w:val="000A5876"/>
    <w:rsid w:val="000A61D0"/>
    <w:rsid w:val="000A6C67"/>
    <w:rsid w:val="000A6DB8"/>
    <w:rsid w:val="000A7596"/>
    <w:rsid w:val="000B0801"/>
    <w:rsid w:val="000B11A8"/>
    <w:rsid w:val="000B1959"/>
    <w:rsid w:val="000B2E1C"/>
    <w:rsid w:val="000B4459"/>
    <w:rsid w:val="000B4B46"/>
    <w:rsid w:val="000B5363"/>
    <w:rsid w:val="000B53BA"/>
    <w:rsid w:val="000B642F"/>
    <w:rsid w:val="000B6C99"/>
    <w:rsid w:val="000C3F3C"/>
    <w:rsid w:val="000C5A75"/>
    <w:rsid w:val="000C75E9"/>
    <w:rsid w:val="000C75F7"/>
    <w:rsid w:val="000D0AB2"/>
    <w:rsid w:val="000D225C"/>
    <w:rsid w:val="000D3566"/>
    <w:rsid w:val="000D36F2"/>
    <w:rsid w:val="000D4B26"/>
    <w:rsid w:val="000D74DB"/>
    <w:rsid w:val="000E24D6"/>
    <w:rsid w:val="000E6072"/>
    <w:rsid w:val="000E6D61"/>
    <w:rsid w:val="000E7A23"/>
    <w:rsid w:val="000F1C29"/>
    <w:rsid w:val="000F1E9E"/>
    <w:rsid w:val="000F2B10"/>
    <w:rsid w:val="000F3F72"/>
    <w:rsid w:val="001055B2"/>
    <w:rsid w:val="001068F0"/>
    <w:rsid w:val="00106AB8"/>
    <w:rsid w:val="00106C9E"/>
    <w:rsid w:val="00106E16"/>
    <w:rsid w:val="0010768B"/>
    <w:rsid w:val="00111701"/>
    <w:rsid w:val="00112A29"/>
    <w:rsid w:val="001167F6"/>
    <w:rsid w:val="00116C86"/>
    <w:rsid w:val="00121ACF"/>
    <w:rsid w:val="00121D8F"/>
    <w:rsid w:val="00122037"/>
    <w:rsid w:val="0012210C"/>
    <w:rsid w:val="00122A7F"/>
    <w:rsid w:val="00123F98"/>
    <w:rsid w:val="001242A5"/>
    <w:rsid w:val="00124531"/>
    <w:rsid w:val="001267EF"/>
    <w:rsid w:val="00126EDF"/>
    <w:rsid w:val="00127BBE"/>
    <w:rsid w:val="00131D52"/>
    <w:rsid w:val="001329C1"/>
    <w:rsid w:val="00132C16"/>
    <w:rsid w:val="00136320"/>
    <w:rsid w:val="00136FFA"/>
    <w:rsid w:val="00137AC6"/>
    <w:rsid w:val="00142388"/>
    <w:rsid w:val="00145512"/>
    <w:rsid w:val="001465BD"/>
    <w:rsid w:val="00147B45"/>
    <w:rsid w:val="00150803"/>
    <w:rsid w:val="00151D83"/>
    <w:rsid w:val="001546C9"/>
    <w:rsid w:val="00154FAE"/>
    <w:rsid w:val="00155E77"/>
    <w:rsid w:val="00156A70"/>
    <w:rsid w:val="00160A61"/>
    <w:rsid w:val="00160FC0"/>
    <w:rsid w:val="0016429B"/>
    <w:rsid w:val="00164525"/>
    <w:rsid w:val="00164C50"/>
    <w:rsid w:val="001651F7"/>
    <w:rsid w:val="00165CB2"/>
    <w:rsid w:val="00166203"/>
    <w:rsid w:val="00166767"/>
    <w:rsid w:val="001707CB"/>
    <w:rsid w:val="00170C54"/>
    <w:rsid w:val="00171477"/>
    <w:rsid w:val="00172A1A"/>
    <w:rsid w:val="00173251"/>
    <w:rsid w:val="00176BED"/>
    <w:rsid w:val="0017759D"/>
    <w:rsid w:val="001804A5"/>
    <w:rsid w:val="00181C94"/>
    <w:rsid w:val="00182C84"/>
    <w:rsid w:val="00187031"/>
    <w:rsid w:val="00191EA4"/>
    <w:rsid w:val="00192B6C"/>
    <w:rsid w:val="00192C30"/>
    <w:rsid w:val="0019381E"/>
    <w:rsid w:val="00194CF5"/>
    <w:rsid w:val="0019503C"/>
    <w:rsid w:val="00195D94"/>
    <w:rsid w:val="00196F7B"/>
    <w:rsid w:val="001971CB"/>
    <w:rsid w:val="0019795C"/>
    <w:rsid w:val="001A053A"/>
    <w:rsid w:val="001A22A2"/>
    <w:rsid w:val="001A2971"/>
    <w:rsid w:val="001A3D52"/>
    <w:rsid w:val="001A460A"/>
    <w:rsid w:val="001A4A4C"/>
    <w:rsid w:val="001B0230"/>
    <w:rsid w:val="001B13AB"/>
    <w:rsid w:val="001B3907"/>
    <w:rsid w:val="001B3B49"/>
    <w:rsid w:val="001B4907"/>
    <w:rsid w:val="001B4DC5"/>
    <w:rsid w:val="001B5505"/>
    <w:rsid w:val="001C0EC7"/>
    <w:rsid w:val="001C2180"/>
    <w:rsid w:val="001C29CC"/>
    <w:rsid w:val="001C3217"/>
    <w:rsid w:val="001C3B98"/>
    <w:rsid w:val="001C6028"/>
    <w:rsid w:val="001C6365"/>
    <w:rsid w:val="001C63C3"/>
    <w:rsid w:val="001C7F57"/>
    <w:rsid w:val="001D0E79"/>
    <w:rsid w:val="001D6049"/>
    <w:rsid w:val="001D7339"/>
    <w:rsid w:val="001E2750"/>
    <w:rsid w:val="001E4343"/>
    <w:rsid w:val="001E52BB"/>
    <w:rsid w:val="001E660A"/>
    <w:rsid w:val="001F05D6"/>
    <w:rsid w:val="001F5B0A"/>
    <w:rsid w:val="001F640F"/>
    <w:rsid w:val="001F6794"/>
    <w:rsid w:val="001F6F65"/>
    <w:rsid w:val="002002DF"/>
    <w:rsid w:val="00201D2B"/>
    <w:rsid w:val="00203A6F"/>
    <w:rsid w:val="00205646"/>
    <w:rsid w:val="002063F7"/>
    <w:rsid w:val="002129E5"/>
    <w:rsid w:val="00212AA4"/>
    <w:rsid w:val="00212E13"/>
    <w:rsid w:val="002163C8"/>
    <w:rsid w:val="002179FE"/>
    <w:rsid w:val="00220CC0"/>
    <w:rsid w:val="00221A36"/>
    <w:rsid w:val="00223296"/>
    <w:rsid w:val="0022329B"/>
    <w:rsid w:val="002240F7"/>
    <w:rsid w:val="0022486F"/>
    <w:rsid w:val="00225314"/>
    <w:rsid w:val="00225DF4"/>
    <w:rsid w:val="00226C70"/>
    <w:rsid w:val="0022749B"/>
    <w:rsid w:val="00230C8A"/>
    <w:rsid w:val="00231F98"/>
    <w:rsid w:val="002324F8"/>
    <w:rsid w:val="002348B0"/>
    <w:rsid w:val="00235CDC"/>
    <w:rsid w:val="00237E76"/>
    <w:rsid w:val="00240BBE"/>
    <w:rsid w:val="00241525"/>
    <w:rsid w:val="00241D87"/>
    <w:rsid w:val="00243C55"/>
    <w:rsid w:val="00243D5E"/>
    <w:rsid w:val="002451EC"/>
    <w:rsid w:val="00245ED4"/>
    <w:rsid w:val="002460AB"/>
    <w:rsid w:val="00246B41"/>
    <w:rsid w:val="0025002B"/>
    <w:rsid w:val="002500DE"/>
    <w:rsid w:val="00252457"/>
    <w:rsid w:val="00252581"/>
    <w:rsid w:val="002535B5"/>
    <w:rsid w:val="002538CB"/>
    <w:rsid w:val="002542BD"/>
    <w:rsid w:val="0025774E"/>
    <w:rsid w:val="00257D64"/>
    <w:rsid w:val="0026340A"/>
    <w:rsid w:val="002654EA"/>
    <w:rsid w:val="002704EA"/>
    <w:rsid w:val="0027061A"/>
    <w:rsid w:val="002719CC"/>
    <w:rsid w:val="002730C5"/>
    <w:rsid w:val="0027337C"/>
    <w:rsid w:val="0027602B"/>
    <w:rsid w:val="00277F5E"/>
    <w:rsid w:val="00280084"/>
    <w:rsid w:val="00280490"/>
    <w:rsid w:val="00283299"/>
    <w:rsid w:val="0028536B"/>
    <w:rsid w:val="002860B8"/>
    <w:rsid w:val="0029206E"/>
    <w:rsid w:val="00293382"/>
    <w:rsid w:val="00294F51"/>
    <w:rsid w:val="00297794"/>
    <w:rsid w:val="00297BCD"/>
    <w:rsid w:val="002A2342"/>
    <w:rsid w:val="002A279E"/>
    <w:rsid w:val="002A4FA3"/>
    <w:rsid w:val="002B3606"/>
    <w:rsid w:val="002B3D80"/>
    <w:rsid w:val="002B4402"/>
    <w:rsid w:val="002B4946"/>
    <w:rsid w:val="002B4C41"/>
    <w:rsid w:val="002B588D"/>
    <w:rsid w:val="002C1839"/>
    <w:rsid w:val="002C214A"/>
    <w:rsid w:val="002C28E8"/>
    <w:rsid w:val="002C3027"/>
    <w:rsid w:val="002C674D"/>
    <w:rsid w:val="002C7648"/>
    <w:rsid w:val="002C7DC4"/>
    <w:rsid w:val="002D0821"/>
    <w:rsid w:val="002D1929"/>
    <w:rsid w:val="002D1B73"/>
    <w:rsid w:val="002D3CB0"/>
    <w:rsid w:val="002D4800"/>
    <w:rsid w:val="002D5B21"/>
    <w:rsid w:val="002D6F6D"/>
    <w:rsid w:val="002E1FE6"/>
    <w:rsid w:val="002E2EA7"/>
    <w:rsid w:val="002E36D2"/>
    <w:rsid w:val="002E748B"/>
    <w:rsid w:val="002F2002"/>
    <w:rsid w:val="002F335D"/>
    <w:rsid w:val="002F4E32"/>
    <w:rsid w:val="002F503F"/>
    <w:rsid w:val="002F51DD"/>
    <w:rsid w:val="002F5D08"/>
    <w:rsid w:val="002F6895"/>
    <w:rsid w:val="002F6D13"/>
    <w:rsid w:val="003038D3"/>
    <w:rsid w:val="003049C7"/>
    <w:rsid w:val="00305F0E"/>
    <w:rsid w:val="0030667A"/>
    <w:rsid w:val="003106DE"/>
    <w:rsid w:val="00311530"/>
    <w:rsid w:val="003120A1"/>
    <w:rsid w:val="00312D31"/>
    <w:rsid w:val="00315216"/>
    <w:rsid w:val="0031691C"/>
    <w:rsid w:val="00317AEF"/>
    <w:rsid w:val="00317F49"/>
    <w:rsid w:val="0032089B"/>
    <w:rsid w:val="00323450"/>
    <w:rsid w:val="00323D93"/>
    <w:rsid w:val="0032489B"/>
    <w:rsid w:val="0032525B"/>
    <w:rsid w:val="00326A7A"/>
    <w:rsid w:val="00326FEE"/>
    <w:rsid w:val="003315D7"/>
    <w:rsid w:val="00334DE6"/>
    <w:rsid w:val="0033536D"/>
    <w:rsid w:val="003353FF"/>
    <w:rsid w:val="003366D2"/>
    <w:rsid w:val="00336E78"/>
    <w:rsid w:val="00337C79"/>
    <w:rsid w:val="00337FEF"/>
    <w:rsid w:val="0034084C"/>
    <w:rsid w:val="00340D5E"/>
    <w:rsid w:val="003420B5"/>
    <w:rsid w:val="00343646"/>
    <w:rsid w:val="00344CCB"/>
    <w:rsid w:val="00345897"/>
    <w:rsid w:val="00351BFC"/>
    <w:rsid w:val="0035575E"/>
    <w:rsid w:val="003565B4"/>
    <w:rsid w:val="00362E75"/>
    <w:rsid w:val="003631AA"/>
    <w:rsid w:val="003632D5"/>
    <w:rsid w:val="00363575"/>
    <w:rsid w:val="00364EF9"/>
    <w:rsid w:val="00365FEA"/>
    <w:rsid w:val="00367579"/>
    <w:rsid w:val="0036795B"/>
    <w:rsid w:val="00370A29"/>
    <w:rsid w:val="003722F9"/>
    <w:rsid w:val="00372349"/>
    <w:rsid w:val="00372CBC"/>
    <w:rsid w:val="00373A61"/>
    <w:rsid w:val="00374BDE"/>
    <w:rsid w:val="00376B39"/>
    <w:rsid w:val="003772C0"/>
    <w:rsid w:val="00377BAC"/>
    <w:rsid w:val="00380142"/>
    <w:rsid w:val="00380558"/>
    <w:rsid w:val="00381D3C"/>
    <w:rsid w:val="0038223E"/>
    <w:rsid w:val="00382D92"/>
    <w:rsid w:val="00385AEF"/>
    <w:rsid w:val="003860EA"/>
    <w:rsid w:val="0038781A"/>
    <w:rsid w:val="0039080B"/>
    <w:rsid w:val="0039326E"/>
    <w:rsid w:val="00394E22"/>
    <w:rsid w:val="003967A4"/>
    <w:rsid w:val="00397FA3"/>
    <w:rsid w:val="003A1596"/>
    <w:rsid w:val="003A317E"/>
    <w:rsid w:val="003A345B"/>
    <w:rsid w:val="003A49EE"/>
    <w:rsid w:val="003A674D"/>
    <w:rsid w:val="003A7123"/>
    <w:rsid w:val="003B102E"/>
    <w:rsid w:val="003B2167"/>
    <w:rsid w:val="003B5F5D"/>
    <w:rsid w:val="003B62C8"/>
    <w:rsid w:val="003C0C62"/>
    <w:rsid w:val="003C12DC"/>
    <w:rsid w:val="003C2CDA"/>
    <w:rsid w:val="003D000A"/>
    <w:rsid w:val="003D31E9"/>
    <w:rsid w:val="003D544E"/>
    <w:rsid w:val="003D5980"/>
    <w:rsid w:val="003E0842"/>
    <w:rsid w:val="003E13B0"/>
    <w:rsid w:val="003E2580"/>
    <w:rsid w:val="003E3DEE"/>
    <w:rsid w:val="003E3EBB"/>
    <w:rsid w:val="003E4A4C"/>
    <w:rsid w:val="003E4CBA"/>
    <w:rsid w:val="003E4D2F"/>
    <w:rsid w:val="003E4EDC"/>
    <w:rsid w:val="003E599D"/>
    <w:rsid w:val="003E5C81"/>
    <w:rsid w:val="003E6965"/>
    <w:rsid w:val="003F00E8"/>
    <w:rsid w:val="003F1936"/>
    <w:rsid w:val="003F1BDD"/>
    <w:rsid w:val="003F3BA3"/>
    <w:rsid w:val="003F3BD5"/>
    <w:rsid w:val="003F400E"/>
    <w:rsid w:val="003F6F35"/>
    <w:rsid w:val="003F7768"/>
    <w:rsid w:val="00400E8C"/>
    <w:rsid w:val="004017DC"/>
    <w:rsid w:val="00401B53"/>
    <w:rsid w:val="00402668"/>
    <w:rsid w:val="00404FEC"/>
    <w:rsid w:val="0040534D"/>
    <w:rsid w:val="00405FAD"/>
    <w:rsid w:val="004117AB"/>
    <w:rsid w:val="00412B2F"/>
    <w:rsid w:val="00415281"/>
    <w:rsid w:val="00415716"/>
    <w:rsid w:val="0041604D"/>
    <w:rsid w:val="00417842"/>
    <w:rsid w:val="00417A6E"/>
    <w:rsid w:val="00420CDF"/>
    <w:rsid w:val="0042285D"/>
    <w:rsid w:val="00427D2B"/>
    <w:rsid w:val="00430B13"/>
    <w:rsid w:val="00430CE5"/>
    <w:rsid w:val="00431277"/>
    <w:rsid w:val="0043153C"/>
    <w:rsid w:val="00431D0F"/>
    <w:rsid w:val="0043481C"/>
    <w:rsid w:val="00444307"/>
    <w:rsid w:val="0044436F"/>
    <w:rsid w:val="004443EB"/>
    <w:rsid w:val="00444432"/>
    <w:rsid w:val="00444673"/>
    <w:rsid w:val="0044621E"/>
    <w:rsid w:val="00447BF1"/>
    <w:rsid w:val="00450BA4"/>
    <w:rsid w:val="004511FC"/>
    <w:rsid w:val="00456784"/>
    <w:rsid w:val="00456DCA"/>
    <w:rsid w:val="00461140"/>
    <w:rsid w:val="004611DB"/>
    <w:rsid w:val="004658B0"/>
    <w:rsid w:val="0046614B"/>
    <w:rsid w:val="00467FD7"/>
    <w:rsid w:val="00470073"/>
    <w:rsid w:val="004730F8"/>
    <w:rsid w:val="00474353"/>
    <w:rsid w:val="00474555"/>
    <w:rsid w:val="00474ED6"/>
    <w:rsid w:val="004750F4"/>
    <w:rsid w:val="00476CB1"/>
    <w:rsid w:val="00480A48"/>
    <w:rsid w:val="00482501"/>
    <w:rsid w:val="00482E7D"/>
    <w:rsid w:val="00484395"/>
    <w:rsid w:val="004865FB"/>
    <w:rsid w:val="00486C03"/>
    <w:rsid w:val="00491AB3"/>
    <w:rsid w:val="00497A33"/>
    <w:rsid w:val="004A1112"/>
    <w:rsid w:val="004A1DA0"/>
    <w:rsid w:val="004A1F20"/>
    <w:rsid w:val="004A2393"/>
    <w:rsid w:val="004A3569"/>
    <w:rsid w:val="004A452A"/>
    <w:rsid w:val="004A5738"/>
    <w:rsid w:val="004A5F2C"/>
    <w:rsid w:val="004A6E4F"/>
    <w:rsid w:val="004A720D"/>
    <w:rsid w:val="004B00D0"/>
    <w:rsid w:val="004B1D06"/>
    <w:rsid w:val="004B6084"/>
    <w:rsid w:val="004B7AE0"/>
    <w:rsid w:val="004C0BC4"/>
    <w:rsid w:val="004C260D"/>
    <w:rsid w:val="004C2D47"/>
    <w:rsid w:val="004C4357"/>
    <w:rsid w:val="004C4477"/>
    <w:rsid w:val="004C5730"/>
    <w:rsid w:val="004C6397"/>
    <w:rsid w:val="004C668F"/>
    <w:rsid w:val="004C682B"/>
    <w:rsid w:val="004D142C"/>
    <w:rsid w:val="004D29F7"/>
    <w:rsid w:val="004D36D8"/>
    <w:rsid w:val="004D4C5C"/>
    <w:rsid w:val="004D5AB0"/>
    <w:rsid w:val="004D5EAE"/>
    <w:rsid w:val="004D7A0E"/>
    <w:rsid w:val="004E06E7"/>
    <w:rsid w:val="004E0AE3"/>
    <w:rsid w:val="004E20D3"/>
    <w:rsid w:val="004E2C82"/>
    <w:rsid w:val="004E4FAE"/>
    <w:rsid w:val="004E62C7"/>
    <w:rsid w:val="004E68FF"/>
    <w:rsid w:val="004E7A1B"/>
    <w:rsid w:val="004F0B7F"/>
    <w:rsid w:val="004F1193"/>
    <w:rsid w:val="004F11DC"/>
    <w:rsid w:val="004F2124"/>
    <w:rsid w:val="004F271B"/>
    <w:rsid w:val="004F3A52"/>
    <w:rsid w:val="004F449F"/>
    <w:rsid w:val="004F4E7E"/>
    <w:rsid w:val="004F63AB"/>
    <w:rsid w:val="004F6B76"/>
    <w:rsid w:val="004F6C7C"/>
    <w:rsid w:val="004F7F1A"/>
    <w:rsid w:val="004F7FBB"/>
    <w:rsid w:val="005042B3"/>
    <w:rsid w:val="005045AB"/>
    <w:rsid w:val="00507D43"/>
    <w:rsid w:val="005103F2"/>
    <w:rsid w:val="00510E2C"/>
    <w:rsid w:val="00511FDC"/>
    <w:rsid w:val="005124C6"/>
    <w:rsid w:val="00513EBC"/>
    <w:rsid w:val="00514CE1"/>
    <w:rsid w:val="00517155"/>
    <w:rsid w:val="00517DB3"/>
    <w:rsid w:val="005200DC"/>
    <w:rsid w:val="005200F2"/>
    <w:rsid w:val="0052369D"/>
    <w:rsid w:val="005271DB"/>
    <w:rsid w:val="00530D2F"/>
    <w:rsid w:val="0053487C"/>
    <w:rsid w:val="005356E1"/>
    <w:rsid w:val="00536A8B"/>
    <w:rsid w:val="00540418"/>
    <w:rsid w:val="00541A96"/>
    <w:rsid w:val="00541C6A"/>
    <w:rsid w:val="00542C54"/>
    <w:rsid w:val="00546A43"/>
    <w:rsid w:val="00546C70"/>
    <w:rsid w:val="00547258"/>
    <w:rsid w:val="00550CF0"/>
    <w:rsid w:val="005559FE"/>
    <w:rsid w:val="005560D6"/>
    <w:rsid w:val="00556D07"/>
    <w:rsid w:val="005611F2"/>
    <w:rsid w:val="00561734"/>
    <w:rsid w:val="00561952"/>
    <w:rsid w:val="00564B9A"/>
    <w:rsid w:val="00565694"/>
    <w:rsid w:val="00566DD6"/>
    <w:rsid w:val="005714EF"/>
    <w:rsid w:val="005717D9"/>
    <w:rsid w:val="00571CEC"/>
    <w:rsid w:val="00572FCE"/>
    <w:rsid w:val="005750DB"/>
    <w:rsid w:val="005759FC"/>
    <w:rsid w:val="00575B85"/>
    <w:rsid w:val="00576DB9"/>
    <w:rsid w:val="0057738F"/>
    <w:rsid w:val="005805E4"/>
    <w:rsid w:val="0058202F"/>
    <w:rsid w:val="00584221"/>
    <w:rsid w:val="00584EB6"/>
    <w:rsid w:val="00586B68"/>
    <w:rsid w:val="0058774E"/>
    <w:rsid w:val="005878CF"/>
    <w:rsid w:val="00590CA0"/>
    <w:rsid w:val="00595B01"/>
    <w:rsid w:val="00596D98"/>
    <w:rsid w:val="005979A5"/>
    <w:rsid w:val="005A0021"/>
    <w:rsid w:val="005A017B"/>
    <w:rsid w:val="005A2AEC"/>
    <w:rsid w:val="005A412D"/>
    <w:rsid w:val="005A5212"/>
    <w:rsid w:val="005B002D"/>
    <w:rsid w:val="005B0FFF"/>
    <w:rsid w:val="005B19AF"/>
    <w:rsid w:val="005B258C"/>
    <w:rsid w:val="005B61DD"/>
    <w:rsid w:val="005B6735"/>
    <w:rsid w:val="005B7831"/>
    <w:rsid w:val="005C0CD6"/>
    <w:rsid w:val="005C12D9"/>
    <w:rsid w:val="005C2146"/>
    <w:rsid w:val="005C309D"/>
    <w:rsid w:val="005C544B"/>
    <w:rsid w:val="005C5916"/>
    <w:rsid w:val="005C5AEE"/>
    <w:rsid w:val="005C774A"/>
    <w:rsid w:val="005D3734"/>
    <w:rsid w:val="005D4F16"/>
    <w:rsid w:val="005D5A53"/>
    <w:rsid w:val="005D5DA0"/>
    <w:rsid w:val="005D7FBD"/>
    <w:rsid w:val="005E19B4"/>
    <w:rsid w:val="005E1D6B"/>
    <w:rsid w:val="005E227A"/>
    <w:rsid w:val="005E2CF8"/>
    <w:rsid w:val="005E3126"/>
    <w:rsid w:val="005E6309"/>
    <w:rsid w:val="005E7075"/>
    <w:rsid w:val="005E75A7"/>
    <w:rsid w:val="005F38E2"/>
    <w:rsid w:val="005F3EE6"/>
    <w:rsid w:val="005F6736"/>
    <w:rsid w:val="00602C10"/>
    <w:rsid w:val="00602EBD"/>
    <w:rsid w:val="00604CF2"/>
    <w:rsid w:val="00606DFF"/>
    <w:rsid w:val="00606FB7"/>
    <w:rsid w:val="00610533"/>
    <w:rsid w:val="006110F6"/>
    <w:rsid w:val="00611FA1"/>
    <w:rsid w:val="00612522"/>
    <w:rsid w:val="00612DA6"/>
    <w:rsid w:val="0061365B"/>
    <w:rsid w:val="006138B6"/>
    <w:rsid w:val="00614BC6"/>
    <w:rsid w:val="00614E33"/>
    <w:rsid w:val="006158B8"/>
    <w:rsid w:val="0061706D"/>
    <w:rsid w:val="006173DA"/>
    <w:rsid w:val="00617EF9"/>
    <w:rsid w:val="00620295"/>
    <w:rsid w:val="00622F8E"/>
    <w:rsid w:val="00626AC8"/>
    <w:rsid w:val="00627912"/>
    <w:rsid w:val="0063195F"/>
    <w:rsid w:val="00636C0A"/>
    <w:rsid w:val="00637EC6"/>
    <w:rsid w:val="0064240C"/>
    <w:rsid w:val="00642FF5"/>
    <w:rsid w:val="006430FB"/>
    <w:rsid w:val="00643992"/>
    <w:rsid w:val="00644DBC"/>
    <w:rsid w:val="00646FE6"/>
    <w:rsid w:val="006474CD"/>
    <w:rsid w:val="00647744"/>
    <w:rsid w:val="006479A0"/>
    <w:rsid w:val="006500D9"/>
    <w:rsid w:val="00653021"/>
    <w:rsid w:val="00653B54"/>
    <w:rsid w:val="006541A3"/>
    <w:rsid w:val="00654FAD"/>
    <w:rsid w:val="00655C9F"/>
    <w:rsid w:val="006567FF"/>
    <w:rsid w:val="00656867"/>
    <w:rsid w:val="0066109F"/>
    <w:rsid w:val="0066142C"/>
    <w:rsid w:val="00664B26"/>
    <w:rsid w:val="0066596B"/>
    <w:rsid w:val="00670295"/>
    <w:rsid w:val="006704F5"/>
    <w:rsid w:val="00672894"/>
    <w:rsid w:val="00674B47"/>
    <w:rsid w:val="0067609E"/>
    <w:rsid w:val="00676BE1"/>
    <w:rsid w:val="00677749"/>
    <w:rsid w:val="00680E07"/>
    <w:rsid w:val="00682B9D"/>
    <w:rsid w:val="00683806"/>
    <w:rsid w:val="00686AF9"/>
    <w:rsid w:val="006910C0"/>
    <w:rsid w:val="00691954"/>
    <w:rsid w:val="0069320E"/>
    <w:rsid w:val="00693D13"/>
    <w:rsid w:val="00694F58"/>
    <w:rsid w:val="006955BC"/>
    <w:rsid w:val="006959E2"/>
    <w:rsid w:val="00696920"/>
    <w:rsid w:val="00697EB9"/>
    <w:rsid w:val="006A0F6E"/>
    <w:rsid w:val="006A1B34"/>
    <w:rsid w:val="006A20D4"/>
    <w:rsid w:val="006A268D"/>
    <w:rsid w:val="006A350F"/>
    <w:rsid w:val="006A3957"/>
    <w:rsid w:val="006A39A4"/>
    <w:rsid w:val="006A41D6"/>
    <w:rsid w:val="006A5371"/>
    <w:rsid w:val="006A669D"/>
    <w:rsid w:val="006A6E41"/>
    <w:rsid w:val="006B012F"/>
    <w:rsid w:val="006B27CF"/>
    <w:rsid w:val="006B41BD"/>
    <w:rsid w:val="006B5678"/>
    <w:rsid w:val="006B62B2"/>
    <w:rsid w:val="006C1C57"/>
    <w:rsid w:val="006C5760"/>
    <w:rsid w:val="006C6D6F"/>
    <w:rsid w:val="006D0D78"/>
    <w:rsid w:val="006D1128"/>
    <w:rsid w:val="006D2848"/>
    <w:rsid w:val="006D30E0"/>
    <w:rsid w:val="006D5521"/>
    <w:rsid w:val="006D5FE9"/>
    <w:rsid w:val="006D6CBB"/>
    <w:rsid w:val="006D76A9"/>
    <w:rsid w:val="006D77F4"/>
    <w:rsid w:val="006E0898"/>
    <w:rsid w:val="006E41CD"/>
    <w:rsid w:val="006F3BEC"/>
    <w:rsid w:val="00701371"/>
    <w:rsid w:val="00703C00"/>
    <w:rsid w:val="007057CC"/>
    <w:rsid w:val="007066F2"/>
    <w:rsid w:val="00706AE5"/>
    <w:rsid w:val="0070740A"/>
    <w:rsid w:val="00711F93"/>
    <w:rsid w:val="00712940"/>
    <w:rsid w:val="0071428C"/>
    <w:rsid w:val="00715A16"/>
    <w:rsid w:val="007164B0"/>
    <w:rsid w:val="007166FF"/>
    <w:rsid w:val="007260CC"/>
    <w:rsid w:val="00726543"/>
    <w:rsid w:val="00727B2C"/>
    <w:rsid w:val="0073353E"/>
    <w:rsid w:val="00736633"/>
    <w:rsid w:val="00741EE7"/>
    <w:rsid w:val="00743A79"/>
    <w:rsid w:val="007444D4"/>
    <w:rsid w:val="0074594D"/>
    <w:rsid w:val="007459F3"/>
    <w:rsid w:val="00746E35"/>
    <w:rsid w:val="007470E2"/>
    <w:rsid w:val="0075232F"/>
    <w:rsid w:val="00753132"/>
    <w:rsid w:val="007550B3"/>
    <w:rsid w:val="00760451"/>
    <w:rsid w:val="0077182A"/>
    <w:rsid w:val="00771913"/>
    <w:rsid w:val="00772718"/>
    <w:rsid w:val="00775BCF"/>
    <w:rsid w:val="007818AA"/>
    <w:rsid w:val="00783140"/>
    <w:rsid w:val="007838B6"/>
    <w:rsid w:val="00783E77"/>
    <w:rsid w:val="007906F1"/>
    <w:rsid w:val="0079243D"/>
    <w:rsid w:val="00793D1C"/>
    <w:rsid w:val="00794A9B"/>
    <w:rsid w:val="0079583B"/>
    <w:rsid w:val="00796602"/>
    <w:rsid w:val="00797185"/>
    <w:rsid w:val="007976B7"/>
    <w:rsid w:val="00797A7E"/>
    <w:rsid w:val="00797D6F"/>
    <w:rsid w:val="007B014B"/>
    <w:rsid w:val="007B0C8F"/>
    <w:rsid w:val="007B0D88"/>
    <w:rsid w:val="007B306F"/>
    <w:rsid w:val="007B4714"/>
    <w:rsid w:val="007B4E82"/>
    <w:rsid w:val="007C1996"/>
    <w:rsid w:val="007C3773"/>
    <w:rsid w:val="007C3F1F"/>
    <w:rsid w:val="007D2D0D"/>
    <w:rsid w:val="007D3325"/>
    <w:rsid w:val="007D3818"/>
    <w:rsid w:val="007D6DC5"/>
    <w:rsid w:val="007D6E22"/>
    <w:rsid w:val="007D7425"/>
    <w:rsid w:val="007E320E"/>
    <w:rsid w:val="007E3280"/>
    <w:rsid w:val="007E4A02"/>
    <w:rsid w:val="007E595C"/>
    <w:rsid w:val="007E59A5"/>
    <w:rsid w:val="007E5BB9"/>
    <w:rsid w:val="007F3B8C"/>
    <w:rsid w:val="007F41D0"/>
    <w:rsid w:val="007F4B8B"/>
    <w:rsid w:val="007F5957"/>
    <w:rsid w:val="007F70B6"/>
    <w:rsid w:val="007F74CA"/>
    <w:rsid w:val="00800F1E"/>
    <w:rsid w:val="0080195A"/>
    <w:rsid w:val="0080239C"/>
    <w:rsid w:val="00802841"/>
    <w:rsid w:val="008037D5"/>
    <w:rsid w:val="00805447"/>
    <w:rsid w:val="008054FA"/>
    <w:rsid w:val="0080717A"/>
    <w:rsid w:val="00807DFA"/>
    <w:rsid w:val="0081009F"/>
    <w:rsid w:val="00810152"/>
    <w:rsid w:val="008115AB"/>
    <w:rsid w:val="00812D2C"/>
    <w:rsid w:val="008159F4"/>
    <w:rsid w:val="008167C1"/>
    <w:rsid w:val="008167C6"/>
    <w:rsid w:val="00816B8F"/>
    <w:rsid w:val="00820331"/>
    <w:rsid w:val="00820BF5"/>
    <w:rsid w:val="008212B1"/>
    <w:rsid w:val="0082155A"/>
    <w:rsid w:val="0082209F"/>
    <w:rsid w:val="008223C2"/>
    <w:rsid w:val="008250A2"/>
    <w:rsid w:val="00825D64"/>
    <w:rsid w:val="0082650B"/>
    <w:rsid w:val="008301CE"/>
    <w:rsid w:val="008312E3"/>
    <w:rsid w:val="00831D5B"/>
    <w:rsid w:val="00832DD6"/>
    <w:rsid w:val="00832F0C"/>
    <w:rsid w:val="008336F2"/>
    <w:rsid w:val="008345D9"/>
    <w:rsid w:val="008347CB"/>
    <w:rsid w:val="00835647"/>
    <w:rsid w:val="00837A2E"/>
    <w:rsid w:val="00841558"/>
    <w:rsid w:val="00842A68"/>
    <w:rsid w:val="008435BA"/>
    <w:rsid w:val="0084558B"/>
    <w:rsid w:val="0084654A"/>
    <w:rsid w:val="00847654"/>
    <w:rsid w:val="00851064"/>
    <w:rsid w:val="008526CB"/>
    <w:rsid w:val="00855543"/>
    <w:rsid w:val="008566B3"/>
    <w:rsid w:val="008576B7"/>
    <w:rsid w:val="00857F7B"/>
    <w:rsid w:val="00863DA1"/>
    <w:rsid w:val="008654A6"/>
    <w:rsid w:val="00865D86"/>
    <w:rsid w:val="00870495"/>
    <w:rsid w:val="00870EA1"/>
    <w:rsid w:val="008710C5"/>
    <w:rsid w:val="0087215C"/>
    <w:rsid w:val="00872C2A"/>
    <w:rsid w:val="00874438"/>
    <w:rsid w:val="00874E75"/>
    <w:rsid w:val="008767F3"/>
    <w:rsid w:val="00876CEF"/>
    <w:rsid w:val="00877342"/>
    <w:rsid w:val="008803C3"/>
    <w:rsid w:val="00881450"/>
    <w:rsid w:val="008817C7"/>
    <w:rsid w:val="00881875"/>
    <w:rsid w:val="008848A3"/>
    <w:rsid w:val="00884AF1"/>
    <w:rsid w:val="00885F7A"/>
    <w:rsid w:val="00890712"/>
    <w:rsid w:val="00890D81"/>
    <w:rsid w:val="00892955"/>
    <w:rsid w:val="00893628"/>
    <w:rsid w:val="008941EB"/>
    <w:rsid w:val="0089545A"/>
    <w:rsid w:val="00895A02"/>
    <w:rsid w:val="008A01EE"/>
    <w:rsid w:val="008A0DAC"/>
    <w:rsid w:val="008A2BA5"/>
    <w:rsid w:val="008A3B78"/>
    <w:rsid w:val="008A4166"/>
    <w:rsid w:val="008A7DBF"/>
    <w:rsid w:val="008B136C"/>
    <w:rsid w:val="008B55EF"/>
    <w:rsid w:val="008B6910"/>
    <w:rsid w:val="008C0B5C"/>
    <w:rsid w:val="008C1343"/>
    <w:rsid w:val="008C3912"/>
    <w:rsid w:val="008C5598"/>
    <w:rsid w:val="008C69EA"/>
    <w:rsid w:val="008C6F8B"/>
    <w:rsid w:val="008C7AB7"/>
    <w:rsid w:val="008C7FB4"/>
    <w:rsid w:val="008D2C8C"/>
    <w:rsid w:val="008D3040"/>
    <w:rsid w:val="008D3ECD"/>
    <w:rsid w:val="008D5C03"/>
    <w:rsid w:val="008D7580"/>
    <w:rsid w:val="008D7C35"/>
    <w:rsid w:val="008E5698"/>
    <w:rsid w:val="008E5733"/>
    <w:rsid w:val="008E77D2"/>
    <w:rsid w:val="008E78FD"/>
    <w:rsid w:val="008F199D"/>
    <w:rsid w:val="008F38A0"/>
    <w:rsid w:val="008F39C9"/>
    <w:rsid w:val="008F5EB5"/>
    <w:rsid w:val="008F678C"/>
    <w:rsid w:val="008F75A7"/>
    <w:rsid w:val="008F7E5A"/>
    <w:rsid w:val="00900A7F"/>
    <w:rsid w:val="009036EE"/>
    <w:rsid w:val="00905815"/>
    <w:rsid w:val="00905D1D"/>
    <w:rsid w:val="0091016D"/>
    <w:rsid w:val="009108A7"/>
    <w:rsid w:val="00910C98"/>
    <w:rsid w:val="00911910"/>
    <w:rsid w:val="00912A58"/>
    <w:rsid w:val="00913908"/>
    <w:rsid w:val="00913D26"/>
    <w:rsid w:val="0091438B"/>
    <w:rsid w:val="009147E3"/>
    <w:rsid w:val="00920FD2"/>
    <w:rsid w:val="00923A43"/>
    <w:rsid w:val="0092439C"/>
    <w:rsid w:val="0092498E"/>
    <w:rsid w:val="00925B91"/>
    <w:rsid w:val="00934461"/>
    <w:rsid w:val="00934F7E"/>
    <w:rsid w:val="00935C81"/>
    <w:rsid w:val="00936A1C"/>
    <w:rsid w:val="00943294"/>
    <w:rsid w:val="00943E35"/>
    <w:rsid w:val="00945278"/>
    <w:rsid w:val="0094658D"/>
    <w:rsid w:val="00947678"/>
    <w:rsid w:val="00947878"/>
    <w:rsid w:val="009504C2"/>
    <w:rsid w:val="0095254A"/>
    <w:rsid w:val="0095273B"/>
    <w:rsid w:val="00954A21"/>
    <w:rsid w:val="009559E1"/>
    <w:rsid w:val="009563F9"/>
    <w:rsid w:val="009568D5"/>
    <w:rsid w:val="00957CD3"/>
    <w:rsid w:val="0096269B"/>
    <w:rsid w:val="00963FB0"/>
    <w:rsid w:val="00964C86"/>
    <w:rsid w:val="00965E82"/>
    <w:rsid w:val="009664BB"/>
    <w:rsid w:val="009669F8"/>
    <w:rsid w:val="00966F89"/>
    <w:rsid w:val="00973B5D"/>
    <w:rsid w:val="0097755E"/>
    <w:rsid w:val="00981467"/>
    <w:rsid w:val="00981C24"/>
    <w:rsid w:val="009852F6"/>
    <w:rsid w:val="00985DE5"/>
    <w:rsid w:val="00986254"/>
    <w:rsid w:val="0098729E"/>
    <w:rsid w:val="00990067"/>
    <w:rsid w:val="00992977"/>
    <w:rsid w:val="009937D4"/>
    <w:rsid w:val="00993C78"/>
    <w:rsid w:val="009948C7"/>
    <w:rsid w:val="00995850"/>
    <w:rsid w:val="0099796C"/>
    <w:rsid w:val="009A194E"/>
    <w:rsid w:val="009A1EA2"/>
    <w:rsid w:val="009A209E"/>
    <w:rsid w:val="009A3FD7"/>
    <w:rsid w:val="009A6652"/>
    <w:rsid w:val="009A74FD"/>
    <w:rsid w:val="009B25D8"/>
    <w:rsid w:val="009B42E3"/>
    <w:rsid w:val="009B5859"/>
    <w:rsid w:val="009C6D07"/>
    <w:rsid w:val="009C7CEC"/>
    <w:rsid w:val="009D13B2"/>
    <w:rsid w:val="009D154D"/>
    <w:rsid w:val="009D18EF"/>
    <w:rsid w:val="009D3BE8"/>
    <w:rsid w:val="009D44E0"/>
    <w:rsid w:val="009D573B"/>
    <w:rsid w:val="009D59A0"/>
    <w:rsid w:val="009D716A"/>
    <w:rsid w:val="009E1AC4"/>
    <w:rsid w:val="009E20B8"/>
    <w:rsid w:val="009E29A0"/>
    <w:rsid w:val="009E41B5"/>
    <w:rsid w:val="009E55D7"/>
    <w:rsid w:val="009E627C"/>
    <w:rsid w:val="009E7933"/>
    <w:rsid w:val="009F110B"/>
    <w:rsid w:val="009F1498"/>
    <w:rsid w:val="009F1E9F"/>
    <w:rsid w:val="009F3793"/>
    <w:rsid w:val="009F49C1"/>
    <w:rsid w:val="009F54F2"/>
    <w:rsid w:val="00A0056B"/>
    <w:rsid w:val="00A01657"/>
    <w:rsid w:val="00A01C65"/>
    <w:rsid w:val="00A0213D"/>
    <w:rsid w:val="00A04C73"/>
    <w:rsid w:val="00A0679A"/>
    <w:rsid w:val="00A07A2B"/>
    <w:rsid w:val="00A12375"/>
    <w:rsid w:val="00A125B8"/>
    <w:rsid w:val="00A13124"/>
    <w:rsid w:val="00A15370"/>
    <w:rsid w:val="00A156AB"/>
    <w:rsid w:val="00A16B8D"/>
    <w:rsid w:val="00A21293"/>
    <w:rsid w:val="00A2134B"/>
    <w:rsid w:val="00A21623"/>
    <w:rsid w:val="00A21FA0"/>
    <w:rsid w:val="00A220EB"/>
    <w:rsid w:val="00A22302"/>
    <w:rsid w:val="00A25F1B"/>
    <w:rsid w:val="00A27076"/>
    <w:rsid w:val="00A325F3"/>
    <w:rsid w:val="00A33103"/>
    <w:rsid w:val="00A33294"/>
    <w:rsid w:val="00A35DCB"/>
    <w:rsid w:val="00A3690E"/>
    <w:rsid w:val="00A37751"/>
    <w:rsid w:val="00A406B1"/>
    <w:rsid w:val="00A4113E"/>
    <w:rsid w:val="00A42435"/>
    <w:rsid w:val="00A438BA"/>
    <w:rsid w:val="00A446FD"/>
    <w:rsid w:val="00A45097"/>
    <w:rsid w:val="00A46F46"/>
    <w:rsid w:val="00A52CB6"/>
    <w:rsid w:val="00A52F99"/>
    <w:rsid w:val="00A538BB"/>
    <w:rsid w:val="00A54164"/>
    <w:rsid w:val="00A56737"/>
    <w:rsid w:val="00A60002"/>
    <w:rsid w:val="00A603D8"/>
    <w:rsid w:val="00A60AE2"/>
    <w:rsid w:val="00A61834"/>
    <w:rsid w:val="00A618B0"/>
    <w:rsid w:val="00A62790"/>
    <w:rsid w:val="00A6291F"/>
    <w:rsid w:val="00A63F53"/>
    <w:rsid w:val="00A7111E"/>
    <w:rsid w:val="00A755B6"/>
    <w:rsid w:val="00A75B1A"/>
    <w:rsid w:val="00A803B4"/>
    <w:rsid w:val="00A80ED4"/>
    <w:rsid w:val="00A816C4"/>
    <w:rsid w:val="00A82981"/>
    <w:rsid w:val="00A86F10"/>
    <w:rsid w:val="00A87AF2"/>
    <w:rsid w:val="00A90B23"/>
    <w:rsid w:val="00A93193"/>
    <w:rsid w:val="00A93C2B"/>
    <w:rsid w:val="00A94556"/>
    <w:rsid w:val="00A974CB"/>
    <w:rsid w:val="00AA1EAC"/>
    <w:rsid w:val="00AA45E2"/>
    <w:rsid w:val="00AA7AC1"/>
    <w:rsid w:val="00AB6327"/>
    <w:rsid w:val="00AB6B8F"/>
    <w:rsid w:val="00AC0C65"/>
    <w:rsid w:val="00AC0FB2"/>
    <w:rsid w:val="00AC3721"/>
    <w:rsid w:val="00AC41C6"/>
    <w:rsid w:val="00AC70C7"/>
    <w:rsid w:val="00AC76B7"/>
    <w:rsid w:val="00AD0223"/>
    <w:rsid w:val="00AD123A"/>
    <w:rsid w:val="00AD15FF"/>
    <w:rsid w:val="00AD1AA5"/>
    <w:rsid w:val="00AD2920"/>
    <w:rsid w:val="00AD2CD5"/>
    <w:rsid w:val="00AD2DFC"/>
    <w:rsid w:val="00AD38C4"/>
    <w:rsid w:val="00AD54F7"/>
    <w:rsid w:val="00AD5A4A"/>
    <w:rsid w:val="00AD60EE"/>
    <w:rsid w:val="00AD6A2B"/>
    <w:rsid w:val="00AD73D4"/>
    <w:rsid w:val="00AE1EA2"/>
    <w:rsid w:val="00AE2874"/>
    <w:rsid w:val="00AE2BA2"/>
    <w:rsid w:val="00AE2F98"/>
    <w:rsid w:val="00AE3602"/>
    <w:rsid w:val="00AE5342"/>
    <w:rsid w:val="00AE5987"/>
    <w:rsid w:val="00AE6472"/>
    <w:rsid w:val="00AF1345"/>
    <w:rsid w:val="00AF38A8"/>
    <w:rsid w:val="00AF63EB"/>
    <w:rsid w:val="00B016D2"/>
    <w:rsid w:val="00B018EC"/>
    <w:rsid w:val="00B060C7"/>
    <w:rsid w:val="00B06DDC"/>
    <w:rsid w:val="00B11AB7"/>
    <w:rsid w:val="00B12213"/>
    <w:rsid w:val="00B13710"/>
    <w:rsid w:val="00B22881"/>
    <w:rsid w:val="00B23EFC"/>
    <w:rsid w:val="00B24B72"/>
    <w:rsid w:val="00B25DB8"/>
    <w:rsid w:val="00B2656C"/>
    <w:rsid w:val="00B266E6"/>
    <w:rsid w:val="00B3094D"/>
    <w:rsid w:val="00B30B04"/>
    <w:rsid w:val="00B311BC"/>
    <w:rsid w:val="00B31810"/>
    <w:rsid w:val="00B31C10"/>
    <w:rsid w:val="00B3446D"/>
    <w:rsid w:val="00B34652"/>
    <w:rsid w:val="00B34F89"/>
    <w:rsid w:val="00B358C8"/>
    <w:rsid w:val="00B36185"/>
    <w:rsid w:val="00B3662F"/>
    <w:rsid w:val="00B373CD"/>
    <w:rsid w:val="00B377C8"/>
    <w:rsid w:val="00B400B8"/>
    <w:rsid w:val="00B404DE"/>
    <w:rsid w:val="00B40765"/>
    <w:rsid w:val="00B4232D"/>
    <w:rsid w:val="00B42682"/>
    <w:rsid w:val="00B43065"/>
    <w:rsid w:val="00B44784"/>
    <w:rsid w:val="00B449D0"/>
    <w:rsid w:val="00B456AB"/>
    <w:rsid w:val="00B46C2A"/>
    <w:rsid w:val="00B47E8B"/>
    <w:rsid w:val="00B51C67"/>
    <w:rsid w:val="00B53F86"/>
    <w:rsid w:val="00B53FDC"/>
    <w:rsid w:val="00B55431"/>
    <w:rsid w:val="00B55CAE"/>
    <w:rsid w:val="00B576C6"/>
    <w:rsid w:val="00B615F2"/>
    <w:rsid w:val="00B61A28"/>
    <w:rsid w:val="00B62940"/>
    <w:rsid w:val="00B65C6D"/>
    <w:rsid w:val="00B66B06"/>
    <w:rsid w:val="00B67862"/>
    <w:rsid w:val="00B70634"/>
    <w:rsid w:val="00B70BE4"/>
    <w:rsid w:val="00B73880"/>
    <w:rsid w:val="00B73CF1"/>
    <w:rsid w:val="00B745B3"/>
    <w:rsid w:val="00B7599D"/>
    <w:rsid w:val="00B7648F"/>
    <w:rsid w:val="00B76E13"/>
    <w:rsid w:val="00B771EE"/>
    <w:rsid w:val="00B7765B"/>
    <w:rsid w:val="00B77B4B"/>
    <w:rsid w:val="00B80ABC"/>
    <w:rsid w:val="00B814C2"/>
    <w:rsid w:val="00B900EE"/>
    <w:rsid w:val="00B900FE"/>
    <w:rsid w:val="00B9064C"/>
    <w:rsid w:val="00BA0A14"/>
    <w:rsid w:val="00BA228D"/>
    <w:rsid w:val="00BA398D"/>
    <w:rsid w:val="00BA39D3"/>
    <w:rsid w:val="00BA5C56"/>
    <w:rsid w:val="00BA776F"/>
    <w:rsid w:val="00BB0C0D"/>
    <w:rsid w:val="00BB0D69"/>
    <w:rsid w:val="00BB366E"/>
    <w:rsid w:val="00BB3AF0"/>
    <w:rsid w:val="00BB4F70"/>
    <w:rsid w:val="00BB67FF"/>
    <w:rsid w:val="00BC11B9"/>
    <w:rsid w:val="00BC138C"/>
    <w:rsid w:val="00BC14CF"/>
    <w:rsid w:val="00BC1659"/>
    <w:rsid w:val="00BC2C91"/>
    <w:rsid w:val="00BC3A9C"/>
    <w:rsid w:val="00BC5288"/>
    <w:rsid w:val="00BC6A71"/>
    <w:rsid w:val="00BC6B2F"/>
    <w:rsid w:val="00BD0637"/>
    <w:rsid w:val="00BD08A8"/>
    <w:rsid w:val="00BD1BAC"/>
    <w:rsid w:val="00BD1FA8"/>
    <w:rsid w:val="00BD25A6"/>
    <w:rsid w:val="00BD4C95"/>
    <w:rsid w:val="00BD65FC"/>
    <w:rsid w:val="00BD7660"/>
    <w:rsid w:val="00BE0666"/>
    <w:rsid w:val="00BE24B9"/>
    <w:rsid w:val="00BE2AE8"/>
    <w:rsid w:val="00BE2D55"/>
    <w:rsid w:val="00BE38DD"/>
    <w:rsid w:val="00BE4AB1"/>
    <w:rsid w:val="00BF16C3"/>
    <w:rsid w:val="00BF38E0"/>
    <w:rsid w:val="00BF44FA"/>
    <w:rsid w:val="00BF57E1"/>
    <w:rsid w:val="00C003B4"/>
    <w:rsid w:val="00C00A5F"/>
    <w:rsid w:val="00C042E0"/>
    <w:rsid w:val="00C051D9"/>
    <w:rsid w:val="00C06333"/>
    <w:rsid w:val="00C06F68"/>
    <w:rsid w:val="00C075BA"/>
    <w:rsid w:val="00C10A3A"/>
    <w:rsid w:val="00C11E20"/>
    <w:rsid w:val="00C15D16"/>
    <w:rsid w:val="00C16BFA"/>
    <w:rsid w:val="00C20015"/>
    <w:rsid w:val="00C247DD"/>
    <w:rsid w:val="00C25B43"/>
    <w:rsid w:val="00C26A54"/>
    <w:rsid w:val="00C3261C"/>
    <w:rsid w:val="00C3318B"/>
    <w:rsid w:val="00C33B8A"/>
    <w:rsid w:val="00C33C20"/>
    <w:rsid w:val="00C35362"/>
    <w:rsid w:val="00C357EA"/>
    <w:rsid w:val="00C379F8"/>
    <w:rsid w:val="00C37A1C"/>
    <w:rsid w:val="00C42323"/>
    <w:rsid w:val="00C4316E"/>
    <w:rsid w:val="00C453A9"/>
    <w:rsid w:val="00C465D5"/>
    <w:rsid w:val="00C4756A"/>
    <w:rsid w:val="00C47C39"/>
    <w:rsid w:val="00C50649"/>
    <w:rsid w:val="00C50E1F"/>
    <w:rsid w:val="00C51C09"/>
    <w:rsid w:val="00C52BB6"/>
    <w:rsid w:val="00C53471"/>
    <w:rsid w:val="00C55143"/>
    <w:rsid w:val="00C5611B"/>
    <w:rsid w:val="00C5695E"/>
    <w:rsid w:val="00C61528"/>
    <w:rsid w:val="00C63457"/>
    <w:rsid w:val="00C64964"/>
    <w:rsid w:val="00C6631E"/>
    <w:rsid w:val="00C67473"/>
    <w:rsid w:val="00C67AA4"/>
    <w:rsid w:val="00C7148C"/>
    <w:rsid w:val="00C72192"/>
    <w:rsid w:val="00C732E5"/>
    <w:rsid w:val="00C73D0B"/>
    <w:rsid w:val="00C75017"/>
    <w:rsid w:val="00C765B4"/>
    <w:rsid w:val="00C813EA"/>
    <w:rsid w:val="00C81496"/>
    <w:rsid w:val="00C82CE6"/>
    <w:rsid w:val="00C82E22"/>
    <w:rsid w:val="00C85144"/>
    <w:rsid w:val="00C86738"/>
    <w:rsid w:val="00C86A27"/>
    <w:rsid w:val="00C91517"/>
    <w:rsid w:val="00C929BD"/>
    <w:rsid w:val="00C931A2"/>
    <w:rsid w:val="00CA02E1"/>
    <w:rsid w:val="00CA15DA"/>
    <w:rsid w:val="00CA224E"/>
    <w:rsid w:val="00CA41C5"/>
    <w:rsid w:val="00CA42B7"/>
    <w:rsid w:val="00CA4A53"/>
    <w:rsid w:val="00CA51F5"/>
    <w:rsid w:val="00CB218A"/>
    <w:rsid w:val="00CB225A"/>
    <w:rsid w:val="00CB69E6"/>
    <w:rsid w:val="00CB761B"/>
    <w:rsid w:val="00CB7E33"/>
    <w:rsid w:val="00CC13DF"/>
    <w:rsid w:val="00CC1EEE"/>
    <w:rsid w:val="00CC562B"/>
    <w:rsid w:val="00CC6C15"/>
    <w:rsid w:val="00CC7FCF"/>
    <w:rsid w:val="00CD2749"/>
    <w:rsid w:val="00CD2A60"/>
    <w:rsid w:val="00CD306F"/>
    <w:rsid w:val="00CD3971"/>
    <w:rsid w:val="00CD3DAB"/>
    <w:rsid w:val="00CE0DF1"/>
    <w:rsid w:val="00CE3786"/>
    <w:rsid w:val="00CE4027"/>
    <w:rsid w:val="00CE47CC"/>
    <w:rsid w:val="00CE68F6"/>
    <w:rsid w:val="00CE7E27"/>
    <w:rsid w:val="00CF22AC"/>
    <w:rsid w:val="00CF2F0A"/>
    <w:rsid w:val="00CF79E8"/>
    <w:rsid w:val="00D015AA"/>
    <w:rsid w:val="00D021B8"/>
    <w:rsid w:val="00D03D90"/>
    <w:rsid w:val="00D04024"/>
    <w:rsid w:val="00D043EB"/>
    <w:rsid w:val="00D06705"/>
    <w:rsid w:val="00D06A9B"/>
    <w:rsid w:val="00D0750D"/>
    <w:rsid w:val="00D07DD8"/>
    <w:rsid w:val="00D1038F"/>
    <w:rsid w:val="00D10BF7"/>
    <w:rsid w:val="00D10FEB"/>
    <w:rsid w:val="00D140A0"/>
    <w:rsid w:val="00D203D1"/>
    <w:rsid w:val="00D2057A"/>
    <w:rsid w:val="00D21D98"/>
    <w:rsid w:val="00D2317F"/>
    <w:rsid w:val="00D231A9"/>
    <w:rsid w:val="00D24391"/>
    <w:rsid w:val="00D2472B"/>
    <w:rsid w:val="00D253DD"/>
    <w:rsid w:val="00D26FFA"/>
    <w:rsid w:val="00D3215D"/>
    <w:rsid w:val="00D33352"/>
    <w:rsid w:val="00D3425B"/>
    <w:rsid w:val="00D347D9"/>
    <w:rsid w:val="00D35565"/>
    <w:rsid w:val="00D35725"/>
    <w:rsid w:val="00D36A19"/>
    <w:rsid w:val="00D40DCF"/>
    <w:rsid w:val="00D41075"/>
    <w:rsid w:val="00D41C76"/>
    <w:rsid w:val="00D41DD8"/>
    <w:rsid w:val="00D4222C"/>
    <w:rsid w:val="00D425CE"/>
    <w:rsid w:val="00D42F40"/>
    <w:rsid w:val="00D4396C"/>
    <w:rsid w:val="00D4446F"/>
    <w:rsid w:val="00D44B55"/>
    <w:rsid w:val="00D45490"/>
    <w:rsid w:val="00D457B8"/>
    <w:rsid w:val="00D457E1"/>
    <w:rsid w:val="00D47BEB"/>
    <w:rsid w:val="00D50487"/>
    <w:rsid w:val="00D50563"/>
    <w:rsid w:val="00D50F50"/>
    <w:rsid w:val="00D5235F"/>
    <w:rsid w:val="00D52F50"/>
    <w:rsid w:val="00D55A98"/>
    <w:rsid w:val="00D56B49"/>
    <w:rsid w:val="00D6053F"/>
    <w:rsid w:val="00D6073D"/>
    <w:rsid w:val="00D618D6"/>
    <w:rsid w:val="00D62426"/>
    <w:rsid w:val="00D62804"/>
    <w:rsid w:val="00D70F55"/>
    <w:rsid w:val="00D70FA5"/>
    <w:rsid w:val="00D74171"/>
    <w:rsid w:val="00D7474C"/>
    <w:rsid w:val="00D8032C"/>
    <w:rsid w:val="00D80CE2"/>
    <w:rsid w:val="00D83080"/>
    <w:rsid w:val="00D83E66"/>
    <w:rsid w:val="00D84D5F"/>
    <w:rsid w:val="00D851E2"/>
    <w:rsid w:val="00D87FFA"/>
    <w:rsid w:val="00D91419"/>
    <w:rsid w:val="00D92A09"/>
    <w:rsid w:val="00D92D2A"/>
    <w:rsid w:val="00D92EEC"/>
    <w:rsid w:val="00D93470"/>
    <w:rsid w:val="00D9395F"/>
    <w:rsid w:val="00D93D55"/>
    <w:rsid w:val="00D941FA"/>
    <w:rsid w:val="00D94B59"/>
    <w:rsid w:val="00D95315"/>
    <w:rsid w:val="00D95EAB"/>
    <w:rsid w:val="00DA0B39"/>
    <w:rsid w:val="00DA1203"/>
    <w:rsid w:val="00DA2316"/>
    <w:rsid w:val="00DA25E0"/>
    <w:rsid w:val="00DA2700"/>
    <w:rsid w:val="00DA3001"/>
    <w:rsid w:val="00DA3C5D"/>
    <w:rsid w:val="00DA3EFF"/>
    <w:rsid w:val="00DA6AD1"/>
    <w:rsid w:val="00DA7769"/>
    <w:rsid w:val="00DB08C6"/>
    <w:rsid w:val="00DB1BC2"/>
    <w:rsid w:val="00DB1CBB"/>
    <w:rsid w:val="00DB31ED"/>
    <w:rsid w:val="00DB4124"/>
    <w:rsid w:val="00DB4511"/>
    <w:rsid w:val="00DB4F0C"/>
    <w:rsid w:val="00DB5E28"/>
    <w:rsid w:val="00DC0176"/>
    <w:rsid w:val="00DC043F"/>
    <w:rsid w:val="00DC093E"/>
    <w:rsid w:val="00DC0E29"/>
    <w:rsid w:val="00DC0E7A"/>
    <w:rsid w:val="00DC2A65"/>
    <w:rsid w:val="00DC2A86"/>
    <w:rsid w:val="00DC3631"/>
    <w:rsid w:val="00DC37F7"/>
    <w:rsid w:val="00DC6F54"/>
    <w:rsid w:val="00DD0C00"/>
    <w:rsid w:val="00DD0F8C"/>
    <w:rsid w:val="00DD116C"/>
    <w:rsid w:val="00DD23D5"/>
    <w:rsid w:val="00DD2AF1"/>
    <w:rsid w:val="00DD46DA"/>
    <w:rsid w:val="00DD6072"/>
    <w:rsid w:val="00DD62BE"/>
    <w:rsid w:val="00DD77D9"/>
    <w:rsid w:val="00DD7AF4"/>
    <w:rsid w:val="00DD7CA4"/>
    <w:rsid w:val="00DE167C"/>
    <w:rsid w:val="00DE24E2"/>
    <w:rsid w:val="00DE3B70"/>
    <w:rsid w:val="00DE5813"/>
    <w:rsid w:val="00DF0020"/>
    <w:rsid w:val="00DF10B1"/>
    <w:rsid w:val="00DF1FDA"/>
    <w:rsid w:val="00DF3DD0"/>
    <w:rsid w:val="00DF4D50"/>
    <w:rsid w:val="00DF538C"/>
    <w:rsid w:val="00E021C2"/>
    <w:rsid w:val="00E024A3"/>
    <w:rsid w:val="00E0423D"/>
    <w:rsid w:val="00E05372"/>
    <w:rsid w:val="00E057B5"/>
    <w:rsid w:val="00E0581E"/>
    <w:rsid w:val="00E079C5"/>
    <w:rsid w:val="00E07CBD"/>
    <w:rsid w:val="00E07F56"/>
    <w:rsid w:val="00E10A16"/>
    <w:rsid w:val="00E1112F"/>
    <w:rsid w:val="00E1318F"/>
    <w:rsid w:val="00E13B3B"/>
    <w:rsid w:val="00E13E29"/>
    <w:rsid w:val="00E16857"/>
    <w:rsid w:val="00E16C3A"/>
    <w:rsid w:val="00E20651"/>
    <w:rsid w:val="00E2107C"/>
    <w:rsid w:val="00E21E70"/>
    <w:rsid w:val="00E224DE"/>
    <w:rsid w:val="00E23DCE"/>
    <w:rsid w:val="00E26363"/>
    <w:rsid w:val="00E272A4"/>
    <w:rsid w:val="00E305F9"/>
    <w:rsid w:val="00E306AC"/>
    <w:rsid w:val="00E34446"/>
    <w:rsid w:val="00E3633B"/>
    <w:rsid w:val="00E36870"/>
    <w:rsid w:val="00E374E1"/>
    <w:rsid w:val="00E417AB"/>
    <w:rsid w:val="00E42429"/>
    <w:rsid w:val="00E43D48"/>
    <w:rsid w:val="00E44AD3"/>
    <w:rsid w:val="00E4542D"/>
    <w:rsid w:val="00E45BE0"/>
    <w:rsid w:val="00E46CAD"/>
    <w:rsid w:val="00E47521"/>
    <w:rsid w:val="00E4760C"/>
    <w:rsid w:val="00E507A6"/>
    <w:rsid w:val="00E5375C"/>
    <w:rsid w:val="00E561AD"/>
    <w:rsid w:val="00E57FAF"/>
    <w:rsid w:val="00E60BA9"/>
    <w:rsid w:val="00E634B7"/>
    <w:rsid w:val="00E63510"/>
    <w:rsid w:val="00E635EA"/>
    <w:rsid w:val="00E655E5"/>
    <w:rsid w:val="00E65F4E"/>
    <w:rsid w:val="00E662E0"/>
    <w:rsid w:val="00E67D5D"/>
    <w:rsid w:val="00E70226"/>
    <w:rsid w:val="00E71C7A"/>
    <w:rsid w:val="00E73119"/>
    <w:rsid w:val="00E73E1E"/>
    <w:rsid w:val="00E767FF"/>
    <w:rsid w:val="00E84C91"/>
    <w:rsid w:val="00E84E60"/>
    <w:rsid w:val="00E8556E"/>
    <w:rsid w:val="00E86B2D"/>
    <w:rsid w:val="00E86F4D"/>
    <w:rsid w:val="00E87D08"/>
    <w:rsid w:val="00E90D0E"/>
    <w:rsid w:val="00E91B2D"/>
    <w:rsid w:val="00E92FCA"/>
    <w:rsid w:val="00E95CAA"/>
    <w:rsid w:val="00EA0A39"/>
    <w:rsid w:val="00EA0EB2"/>
    <w:rsid w:val="00EA236F"/>
    <w:rsid w:val="00EA3023"/>
    <w:rsid w:val="00EA3E49"/>
    <w:rsid w:val="00EA3FC8"/>
    <w:rsid w:val="00EA5B8C"/>
    <w:rsid w:val="00EB0DC9"/>
    <w:rsid w:val="00EB1383"/>
    <w:rsid w:val="00EB252D"/>
    <w:rsid w:val="00EB29FA"/>
    <w:rsid w:val="00EB2CCE"/>
    <w:rsid w:val="00EB385F"/>
    <w:rsid w:val="00EB3E49"/>
    <w:rsid w:val="00EB5FC3"/>
    <w:rsid w:val="00EB6DA9"/>
    <w:rsid w:val="00EC1561"/>
    <w:rsid w:val="00EC462E"/>
    <w:rsid w:val="00EC6CD8"/>
    <w:rsid w:val="00EC786F"/>
    <w:rsid w:val="00ED1866"/>
    <w:rsid w:val="00ED3134"/>
    <w:rsid w:val="00ED38E2"/>
    <w:rsid w:val="00ED5C44"/>
    <w:rsid w:val="00ED635B"/>
    <w:rsid w:val="00EE742D"/>
    <w:rsid w:val="00EF0A22"/>
    <w:rsid w:val="00EF1267"/>
    <w:rsid w:val="00EF180C"/>
    <w:rsid w:val="00EF3B6B"/>
    <w:rsid w:val="00EF4B43"/>
    <w:rsid w:val="00EF6750"/>
    <w:rsid w:val="00EF770B"/>
    <w:rsid w:val="00F02836"/>
    <w:rsid w:val="00F02FB5"/>
    <w:rsid w:val="00F0534E"/>
    <w:rsid w:val="00F05C30"/>
    <w:rsid w:val="00F10F1B"/>
    <w:rsid w:val="00F14179"/>
    <w:rsid w:val="00F15786"/>
    <w:rsid w:val="00F167C5"/>
    <w:rsid w:val="00F20B5A"/>
    <w:rsid w:val="00F21F0B"/>
    <w:rsid w:val="00F236AB"/>
    <w:rsid w:val="00F24EA4"/>
    <w:rsid w:val="00F27087"/>
    <w:rsid w:val="00F2773C"/>
    <w:rsid w:val="00F300B3"/>
    <w:rsid w:val="00F30DB9"/>
    <w:rsid w:val="00F30FB8"/>
    <w:rsid w:val="00F31D68"/>
    <w:rsid w:val="00F33152"/>
    <w:rsid w:val="00F338F2"/>
    <w:rsid w:val="00F349D3"/>
    <w:rsid w:val="00F3533E"/>
    <w:rsid w:val="00F35B84"/>
    <w:rsid w:val="00F402B5"/>
    <w:rsid w:val="00F4072F"/>
    <w:rsid w:val="00F42839"/>
    <w:rsid w:val="00F44CC0"/>
    <w:rsid w:val="00F450BA"/>
    <w:rsid w:val="00F4684B"/>
    <w:rsid w:val="00F46BE9"/>
    <w:rsid w:val="00F47C3B"/>
    <w:rsid w:val="00F506CA"/>
    <w:rsid w:val="00F53A7A"/>
    <w:rsid w:val="00F54FCD"/>
    <w:rsid w:val="00F5785C"/>
    <w:rsid w:val="00F65E3C"/>
    <w:rsid w:val="00F67076"/>
    <w:rsid w:val="00F677FA"/>
    <w:rsid w:val="00F7115A"/>
    <w:rsid w:val="00F717AA"/>
    <w:rsid w:val="00F72714"/>
    <w:rsid w:val="00F744C3"/>
    <w:rsid w:val="00F75EE2"/>
    <w:rsid w:val="00F75F69"/>
    <w:rsid w:val="00F76014"/>
    <w:rsid w:val="00F802D3"/>
    <w:rsid w:val="00F80F94"/>
    <w:rsid w:val="00F81BA2"/>
    <w:rsid w:val="00F823A4"/>
    <w:rsid w:val="00F8412F"/>
    <w:rsid w:val="00F84791"/>
    <w:rsid w:val="00F85995"/>
    <w:rsid w:val="00F85FC5"/>
    <w:rsid w:val="00F86C22"/>
    <w:rsid w:val="00F90CB3"/>
    <w:rsid w:val="00F912A2"/>
    <w:rsid w:val="00F913A3"/>
    <w:rsid w:val="00F925C3"/>
    <w:rsid w:val="00F963DF"/>
    <w:rsid w:val="00FA0109"/>
    <w:rsid w:val="00FA458B"/>
    <w:rsid w:val="00FA5EC5"/>
    <w:rsid w:val="00FA7016"/>
    <w:rsid w:val="00FA7174"/>
    <w:rsid w:val="00FA793D"/>
    <w:rsid w:val="00FB020E"/>
    <w:rsid w:val="00FB0F17"/>
    <w:rsid w:val="00FB4B9D"/>
    <w:rsid w:val="00FB50ED"/>
    <w:rsid w:val="00FB6E18"/>
    <w:rsid w:val="00FC144B"/>
    <w:rsid w:val="00FC2169"/>
    <w:rsid w:val="00FC28E2"/>
    <w:rsid w:val="00FC3BF6"/>
    <w:rsid w:val="00FC3D22"/>
    <w:rsid w:val="00FC45DB"/>
    <w:rsid w:val="00FC6FE1"/>
    <w:rsid w:val="00FD0C3D"/>
    <w:rsid w:val="00FD2F6B"/>
    <w:rsid w:val="00FE064A"/>
    <w:rsid w:val="00FE0B55"/>
    <w:rsid w:val="00FE1E98"/>
    <w:rsid w:val="00FE2452"/>
    <w:rsid w:val="00FE5469"/>
    <w:rsid w:val="00FE66C2"/>
    <w:rsid w:val="00FE684A"/>
    <w:rsid w:val="00FE6F23"/>
    <w:rsid w:val="00FE7131"/>
    <w:rsid w:val="00FF0F8C"/>
    <w:rsid w:val="00FF408B"/>
    <w:rsid w:val="00FF43E1"/>
    <w:rsid w:val="01C051B0"/>
    <w:rsid w:val="028B38C4"/>
    <w:rsid w:val="03430854"/>
    <w:rsid w:val="039F5FA6"/>
    <w:rsid w:val="04A66578"/>
    <w:rsid w:val="0558306B"/>
    <w:rsid w:val="05645F29"/>
    <w:rsid w:val="07FDBE30"/>
    <w:rsid w:val="080C703A"/>
    <w:rsid w:val="09305ADA"/>
    <w:rsid w:val="09C53DED"/>
    <w:rsid w:val="0B73297E"/>
    <w:rsid w:val="0C7C795A"/>
    <w:rsid w:val="0E8013B7"/>
    <w:rsid w:val="0F2E6C95"/>
    <w:rsid w:val="0F8C280E"/>
    <w:rsid w:val="10292825"/>
    <w:rsid w:val="10365269"/>
    <w:rsid w:val="10D604C6"/>
    <w:rsid w:val="11B515E0"/>
    <w:rsid w:val="123350A6"/>
    <w:rsid w:val="13A53267"/>
    <w:rsid w:val="13F970D2"/>
    <w:rsid w:val="14AA4136"/>
    <w:rsid w:val="15384CD9"/>
    <w:rsid w:val="1572463D"/>
    <w:rsid w:val="15F7E349"/>
    <w:rsid w:val="163A420B"/>
    <w:rsid w:val="16565709"/>
    <w:rsid w:val="16B70AB9"/>
    <w:rsid w:val="16D92A49"/>
    <w:rsid w:val="17EE4314"/>
    <w:rsid w:val="184D29AA"/>
    <w:rsid w:val="19413B26"/>
    <w:rsid w:val="195258B2"/>
    <w:rsid w:val="196441AC"/>
    <w:rsid w:val="1AC95A1C"/>
    <w:rsid w:val="1BA90B0F"/>
    <w:rsid w:val="1C6D3688"/>
    <w:rsid w:val="1C974DF7"/>
    <w:rsid w:val="1CC63D0A"/>
    <w:rsid w:val="1DC2081A"/>
    <w:rsid w:val="1DD94266"/>
    <w:rsid w:val="1E8F2A80"/>
    <w:rsid w:val="1F3F6F83"/>
    <w:rsid w:val="1F4B6242"/>
    <w:rsid w:val="1F9D0947"/>
    <w:rsid w:val="1FCD6C57"/>
    <w:rsid w:val="1FFB29C6"/>
    <w:rsid w:val="20970BD1"/>
    <w:rsid w:val="22AF3620"/>
    <w:rsid w:val="22E70AD4"/>
    <w:rsid w:val="2386615A"/>
    <w:rsid w:val="24A106B2"/>
    <w:rsid w:val="24F1508D"/>
    <w:rsid w:val="265748E9"/>
    <w:rsid w:val="266F634F"/>
    <w:rsid w:val="267F67D1"/>
    <w:rsid w:val="271251B0"/>
    <w:rsid w:val="2761088B"/>
    <w:rsid w:val="27CE17BE"/>
    <w:rsid w:val="28692441"/>
    <w:rsid w:val="291059EA"/>
    <w:rsid w:val="294A775E"/>
    <w:rsid w:val="2BBF12EC"/>
    <w:rsid w:val="2BC649D9"/>
    <w:rsid w:val="2D1D71A5"/>
    <w:rsid w:val="2DA710E7"/>
    <w:rsid w:val="2E4554E1"/>
    <w:rsid w:val="2FF68EAF"/>
    <w:rsid w:val="305141AE"/>
    <w:rsid w:val="309C7E33"/>
    <w:rsid w:val="312B1841"/>
    <w:rsid w:val="329D4BAF"/>
    <w:rsid w:val="32A27980"/>
    <w:rsid w:val="346A286F"/>
    <w:rsid w:val="3515160D"/>
    <w:rsid w:val="362C21CF"/>
    <w:rsid w:val="37991DE9"/>
    <w:rsid w:val="37994671"/>
    <w:rsid w:val="38DB75F5"/>
    <w:rsid w:val="3A4F01C9"/>
    <w:rsid w:val="3AC3316C"/>
    <w:rsid w:val="3B033B31"/>
    <w:rsid w:val="3B1E43B3"/>
    <w:rsid w:val="3B7807FE"/>
    <w:rsid w:val="3C706E90"/>
    <w:rsid w:val="3C7D00D8"/>
    <w:rsid w:val="3CA06C0C"/>
    <w:rsid w:val="3D6C3AFB"/>
    <w:rsid w:val="3DA52B6A"/>
    <w:rsid w:val="3E6842C3"/>
    <w:rsid w:val="3EA25851"/>
    <w:rsid w:val="3EF78A38"/>
    <w:rsid w:val="3F07102A"/>
    <w:rsid w:val="3F2A77D3"/>
    <w:rsid w:val="3F6C3757"/>
    <w:rsid w:val="3F9B9FA1"/>
    <w:rsid w:val="3FA57E56"/>
    <w:rsid w:val="3FDFE3EA"/>
    <w:rsid w:val="3FFC3DAC"/>
    <w:rsid w:val="405D6A10"/>
    <w:rsid w:val="41CE4490"/>
    <w:rsid w:val="41DA6594"/>
    <w:rsid w:val="42E52CF5"/>
    <w:rsid w:val="43F44CA5"/>
    <w:rsid w:val="444C1A75"/>
    <w:rsid w:val="44986F15"/>
    <w:rsid w:val="44A3526F"/>
    <w:rsid w:val="44B032F4"/>
    <w:rsid w:val="44DE52DF"/>
    <w:rsid w:val="457D25F7"/>
    <w:rsid w:val="468341CD"/>
    <w:rsid w:val="46E110B6"/>
    <w:rsid w:val="472C2589"/>
    <w:rsid w:val="4800556C"/>
    <w:rsid w:val="495F741D"/>
    <w:rsid w:val="4A033125"/>
    <w:rsid w:val="4A760AEB"/>
    <w:rsid w:val="4CD45629"/>
    <w:rsid w:val="4CDA2FDB"/>
    <w:rsid w:val="4D9D0319"/>
    <w:rsid w:val="4DFA6B5C"/>
    <w:rsid w:val="4EA32C03"/>
    <w:rsid w:val="4F3162CA"/>
    <w:rsid w:val="4F796771"/>
    <w:rsid w:val="4FCE4ADB"/>
    <w:rsid w:val="505B5D45"/>
    <w:rsid w:val="50A301BF"/>
    <w:rsid w:val="50D95873"/>
    <w:rsid w:val="526102AF"/>
    <w:rsid w:val="528444DA"/>
    <w:rsid w:val="537745D5"/>
    <w:rsid w:val="552306F6"/>
    <w:rsid w:val="56537193"/>
    <w:rsid w:val="56E352D5"/>
    <w:rsid w:val="56F328C3"/>
    <w:rsid w:val="56F67294"/>
    <w:rsid w:val="57CC5086"/>
    <w:rsid w:val="57E435FE"/>
    <w:rsid w:val="57E71C47"/>
    <w:rsid w:val="57FD096B"/>
    <w:rsid w:val="582D0655"/>
    <w:rsid w:val="592836CB"/>
    <w:rsid w:val="5951205C"/>
    <w:rsid w:val="59D079E8"/>
    <w:rsid w:val="59D40847"/>
    <w:rsid w:val="5A3F1838"/>
    <w:rsid w:val="5AE37F25"/>
    <w:rsid w:val="5C3B4F55"/>
    <w:rsid w:val="5CB23D47"/>
    <w:rsid w:val="5CD1211E"/>
    <w:rsid w:val="5D0F471A"/>
    <w:rsid w:val="5D283143"/>
    <w:rsid w:val="5DFD93CC"/>
    <w:rsid w:val="5F180757"/>
    <w:rsid w:val="5F3A53B0"/>
    <w:rsid w:val="5F701483"/>
    <w:rsid w:val="5FAF09C4"/>
    <w:rsid w:val="5FFDBAA5"/>
    <w:rsid w:val="60352AB0"/>
    <w:rsid w:val="608C4642"/>
    <w:rsid w:val="61121284"/>
    <w:rsid w:val="62795572"/>
    <w:rsid w:val="627A4E0B"/>
    <w:rsid w:val="62AC3ECF"/>
    <w:rsid w:val="62FE28D2"/>
    <w:rsid w:val="63A36368"/>
    <w:rsid w:val="64813265"/>
    <w:rsid w:val="64C5396E"/>
    <w:rsid w:val="64DD6417"/>
    <w:rsid w:val="66004745"/>
    <w:rsid w:val="67632A6B"/>
    <w:rsid w:val="6A567F20"/>
    <w:rsid w:val="6A625831"/>
    <w:rsid w:val="6C41782F"/>
    <w:rsid w:val="6C902D04"/>
    <w:rsid w:val="6C9C3206"/>
    <w:rsid w:val="6CD97953"/>
    <w:rsid w:val="6EC922AC"/>
    <w:rsid w:val="6ED30FD7"/>
    <w:rsid w:val="6EDF1BEA"/>
    <w:rsid w:val="6F577C9B"/>
    <w:rsid w:val="6FBA884E"/>
    <w:rsid w:val="6FFF7BD7"/>
    <w:rsid w:val="727D78FD"/>
    <w:rsid w:val="737629FD"/>
    <w:rsid w:val="73CC655F"/>
    <w:rsid w:val="73FA8648"/>
    <w:rsid w:val="75957445"/>
    <w:rsid w:val="75D01AE1"/>
    <w:rsid w:val="760A3A78"/>
    <w:rsid w:val="760A5D92"/>
    <w:rsid w:val="76EF2AE7"/>
    <w:rsid w:val="76EF422D"/>
    <w:rsid w:val="77524363"/>
    <w:rsid w:val="77B917B5"/>
    <w:rsid w:val="77E3447B"/>
    <w:rsid w:val="77F75380"/>
    <w:rsid w:val="77FE7A2B"/>
    <w:rsid w:val="78703975"/>
    <w:rsid w:val="797EC19E"/>
    <w:rsid w:val="79AF5625"/>
    <w:rsid w:val="79D719DD"/>
    <w:rsid w:val="7A971C1F"/>
    <w:rsid w:val="7B2F105B"/>
    <w:rsid w:val="7B3666AC"/>
    <w:rsid w:val="7BDC08A0"/>
    <w:rsid w:val="7BDE04EB"/>
    <w:rsid w:val="7BE01F8F"/>
    <w:rsid w:val="7BE420FD"/>
    <w:rsid w:val="7C045C40"/>
    <w:rsid w:val="7C670314"/>
    <w:rsid w:val="7CD7F85F"/>
    <w:rsid w:val="7CDEEE50"/>
    <w:rsid w:val="7D0D296B"/>
    <w:rsid w:val="7D4E0B54"/>
    <w:rsid w:val="7D503E78"/>
    <w:rsid w:val="7E0160D4"/>
    <w:rsid w:val="7E372CFA"/>
    <w:rsid w:val="7EDE320A"/>
    <w:rsid w:val="7EF576D4"/>
    <w:rsid w:val="7F394978"/>
    <w:rsid w:val="7FB7303B"/>
    <w:rsid w:val="7FD3973E"/>
    <w:rsid w:val="A7FEAFDE"/>
    <w:rsid w:val="AFEF97BD"/>
    <w:rsid w:val="B79A69B2"/>
    <w:rsid w:val="D97EC309"/>
    <w:rsid w:val="DDFF011F"/>
    <w:rsid w:val="EFF3EAB5"/>
    <w:rsid w:val="F547EA36"/>
    <w:rsid w:val="F5E764ED"/>
    <w:rsid w:val="F7FF68D6"/>
    <w:rsid w:val="F9F62CF1"/>
    <w:rsid w:val="FB0F080D"/>
    <w:rsid w:val="FBDFFBAC"/>
    <w:rsid w:val="FD9E341F"/>
    <w:rsid w:val="FE6F4800"/>
    <w:rsid w:val="FEBF37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link w:val="77"/>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link w:val="90"/>
    <w:qFormat/>
    <w:uiPriority w:val="9"/>
    <w:pPr>
      <w:keepNext/>
      <w:keepLines/>
      <w:numPr>
        <w:ilvl w:val="1"/>
        <w:numId w:val="1"/>
      </w:numPr>
      <w:spacing w:before="120" w:after="120"/>
      <w:ind w:firstLine="0" w:firstLineChars="0"/>
      <w:outlineLvl w:val="1"/>
    </w:pPr>
    <w:rPr>
      <w:b/>
      <w:bCs/>
      <w:sz w:val="30"/>
      <w:szCs w:val="32"/>
    </w:rPr>
  </w:style>
  <w:style w:type="paragraph" w:styleId="4">
    <w:name w:val="heading 3"/>
    <w:basedOn w:val="1"/>
    <w:next w:val="1"/>
    <w:link w:val="83"/>
    <w:qFormat/>
    <w:uiPriority w:val="0"/>
    <w:pPr>
      <w:keepNext/>
      <w:keepLines/>
      <w:numPr>
        <w:ilvl w:val="2"/>
        <w:numId w:val="1"/>
      </w:numPr>
      <w:spacing w:before="120" w:after="120"/>
      <w:ind w:firstLine="0" w:firstLineChars="0"/>
      <w:outlineLvl w:val="2"/>
    </w:pPr>
    <w:rPr>
      <w:b/>
      <w:bCs/>
      <w:sz w:val="28"/>
      <w:szCs w:val="28"/>
    </w:rPr>
  </w:style>
  <w:style w:type="paragraph" w:styleId="5">
    <w:name w:val="heading 4"/>
    <w:basedOn w:val="1"/>
    <w:next w:val="1"/>
    <w:link w:val="60"/>
    <w:qFormat/>
    <w:uiPriority w:val="0"/>
    <w:pPr>
      <w:keepNext/>
      <w:keepLines/>
      <w:numPr>
        <w:ilvl w:val="3"/>
        <w:numId w:val="1"/>
      </w:numPr>
      <w:spacing w:before="120" w:after="120"/>
      <w:ind w:left="851" w:firstLine="0" w:firstLineChars="0"/>
      <w:outlineLvl w:val="3"/>
    </w:pPr>
    <w:rPr>
      <w:b/>
      <w:bCs/>
      <w:sz w:val="30"/>
      <w:szCs w:val="30"/>
    </w:rPr>
  </w:style>
  <w:style w:type="paragraph" w:styleId="6">
    <w:name w:val="heading 5"/>
    <w:basedOn w:val="1"/>
    <w:next w:val="1"/>
    <w:link w:val="88"/>
    <w:qFormat/>
    <w:uiPriority w:val="0"/>
    <w:pPr>
      <w:keepNext/>
      <w:keepLines/>
      <w:numPr>
        <w:ilvl w:val="4"/>
        <w:numId w:val="1"/>
      </w:numPr>
      <w:spacing w:before="120" w:after="120"/>
      <w:ind w:left="0" w:firstLine="0" w:firstLineChars="0"/>
      <w:outlineLvl w:val="4"/>
    </w:pPr>
    <w:rPr>
      <w:b/>
      <w:bCs/>
      <w:szCs w:val="28"/>
    </w:rPr>
  </w:style>
  <w:style w:type="paragraph" w:styleId="7">
    <w:name w:val="heading 6"/>
    <w:basedOn w:val="1"/>
    <w:next w:val="1"/>
    <w:link w:val="101"/>
    <w:qFormat/>
    <w:uiPriority w:val="0"/>
    <w:pPr>
      <w:keepNext/>
      <w:keepLines/>
      <w:numPr>
        <w:ilvl w:val="5"/>
        <w:numId w:val="1"/>
      </w:numPr>
      <w:spacing w:before="120" w:after="120"/>
      <w:ind w:firstLine="0" w:firstLineChars="0"/>
      <w:outlineLvl w:val="5"/>
    </w:pPr>
    <w:rPr>
      <w:rFonts w:ascii="Cambria" w:hAnsi="Cambria"/>
      <w:b/>
      <w:bCs/>
    </w:rPr>
  </w:style>
  <w:style w:type="paragraph" w:styleId="8">
    <w:name w:val="heading 7"/>
    <w:basedOn w:val="1"/>
    <w:next w:val="1"/>
    <w:link w:val="74"/>
    <w:qFormat/>
    <w:uiPriority w:val="9"/>
    <w:pPr>
      <w:keepNext/>
      <w:keepLines/>
      <w:spacing w:before="240" w:after="64" w:line="319" w:lineRule="auto"/>
      <w:ind w:firstLine="0" w:firstLineChars="0"/>
      <w:outlineLvl w:val="6"/>
    </w:pPr>
    <w:rPr>
      <w:rFonts w:ascii="Times New Roman" w:hAnsi="Times New Roman"/>
      <w:b/>
      <w:bCs/>
      <w:sz w:val="21"/>
    </w:rPr>
  </w:style>
  <w:style w:type="paragraph" w:styleId="9">
    <w:name w:val="heading 8"/>
    <w:basedOn w:val="1"/>
    <w:next w:val="1"/>
    <w:link w:val="100"/>
    <w:qFormat/>
    <w:uiPriority w:val="9"/>
    <w:pPr>
      <w:keepNext/>
      <w:keepLines/>
      <w:spacing w:before="240" w:after="64" w:line="319" w:lineRule="auto"/>
      <w:ind w:firstLine="0" w:firstLineChars="0"/>
      <w:outlineLvl w:val="7"/>
    </w:pPr>
    <w:rPr>
      <w:rFonts w:ascii="Cambria" w:hAnsi="Cambria"/>
      <w:sz w:val="21"/>
    </w:rPr>
  </w:style>
  <w:style w:type="paragraph" w:styleId="10">
    <w:name w:val="heading 9"/>
    <w:basedOn w:val="1"/>
    <w:next w:val="1"/>
    <w:link w:val="53"/>
    <w:qFormat/>
    <w:uiPriority w:val="9"/>
    <w:pPr>
      <w:keepNext/>
      <w:keepLines/>
      <w:spacing w:before="240" w:after="64" w:line="319" w:lineRule="auto"/>
      <w:ind w:firstLine="0" w:firstLineChars="0"/>
      <w:outlineLvl w:val="8"/>
    </w:pPr>
    <w:rPr>
      <w:rFonts w:ascii="Cambria" w:hAnsi="Cambria"/>
      <w:sz w:val="21"/>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等线" w:hAnsi="等线" w:eastAsia="等线"/>
      <w:szCs w:val="22"/>
    </w:rPr>
  </w:style>
  <w:style w:type="paragraph" w:styleId="12">
    <w:name w:val="Normal Indent"/>
    <w:basedOn w:val="1"/>
    <w:unhideWhenUsed/>
    <w:qFormat/>
    <w:uiPriority w:val="99"/>
    <w:pPr>
      <w:spacing w:line="240" w:lineRule="auto"/>
      <w:ind w:firstLine="420"/>
    </w:pPr>
    <w:rPr>
      <w:rFonts w:ascii="Calibri" w:hAnsi="Calibri"/>
      <w:sz w:val="21"/>
    </w:rPr>
  </w:style>
  <w:style w:type="paragraph" w:styleId="13">
    <w:name w:val="caption"/>
    <w:basedOn w:val="1"/>
    <w:next w:val="1"/>
    <w:link w:val="57"/>
    <w:qFormat/>
    <w:uiPriority w:val="0"/>
    <w:pPr>
      <w:spacing w:afterLines="50"/>
      <w:ind w:firstLine="200"/>
    </w:pPr>
    <w:rPr>
      <w:rFonts w:ascii="Arial" w:hAnsi="Arial" w:eastAsia="黑体"/>
      <w:sz w:val="20"/>
      <w:szCs w:val="20"/>
    </w:rPr>
  </w:style>
  <w:style w:type="paragraph" w:styleId="14">
    <w:name w:val="Document Map"/>
    <w:basedOn w:val="1"/>
    <w:link w:val="93"/>
    <w:qFormat/>
    <w:uiPriority w:val="0"/>
    <w:rPr>
      <w:rFonts w:hAnsi="Times New Roman"/>
      <w:sz w:val="18"/>
      <w:szCs w:val="18"/>
    </w:rPr>
  </w:style>
  <w:style w:type="paragraph" w:styleId="15">
    <w:name w:val="annotation text"/>
    <w:basedOn w:val="1"/>
    <w:link w:val="50"/>
    <w:qFormat/>
    <w:uiPriority w:val="99"/>
    <w:pPr>
      <w:jc w:val="left"/>
    </w:pPr>
    <w:rPr>
      <w:rFonts w:ascii="Times New Roman" w:hAnsi="Times New Roman" w:eastAsia="仿宋"/>
      <w:sz w:val="28"/>
    </w:rPr>
  </w:style>
  <w:style w:type="paragraph" w:styleId="16">
    <w:name w:val="Body Text"/>
    <w:basedOn w:val="1"/>
    <w:link w:val="61"/>
    <w:unhideWhenUsed/>
    <w:qFormat/>
    <w:uiPriority w:val="0"/>
    <w:pPr>
      <w:spacing w:after="120" w:line="240" w:lineRule="auto"/>
      <w:ind w:firstLine="0" w:firstLineChars="0"/>
    </w:pPr>
    <w:rPr>
      <w:rFonts w:ascii="Times New Roman" w:hAnsi="Times New Roman"/>
      <w:sz w:val="21"/>
    </w:rPr>
  </w:style>
  <w:style w:type="paragraph" w:styleId="17">
    <w:name w:val="Body Text Indent"/>
    <w:basedOn w:val="1"/>
    <w:link w:val="87"/>
    <w:qFormat/>
    <w:uiPriority w:val="0"/>
    <w:pPr>
      <w:spacing w:after="120"/>
      <w:ind w:firstLine="200"/>
    </w:pPr>
    <w:rPr>
      <w:rFonts w:ascii="Times New Roman" w:hAnsi="Times New Roman"/>
      <w:sz w:val="21"/>
      <w:szCs w:val="20"/>
    </w:rPr>
  </w:style>
  <w:style w:type="paragraph" w:styleId="18">
    <w:name w:val="toc 5"/>
    <w:basedOn w:val="1"/>
    <w:next w:val="1"/>
    <w:unhideWhenUsed/>
    <w:qFormat/>
    <w:uiPriority w:val="39"/>
    <w:pPr>
      <w:ind w:left="1680" w:leftChars="800"/>
    </w:pPr>
    <w:rPr>
      <w:rFonts w:ascii="等线" w:hAnsi="等线" w:eastAsia="等线"/>
      <w:szCs w:val="22"/>
    </w:rPr>
  </w:style>
  <w:style w:type="paragraph" w:styleId="19">
    <w:name w:val="toc 3"/>
    <w:basedOn w:val="1"/>
    <w:next w:val="1"/>
    <w:qFormat/>
    <w:uiPriority w:val="39"/>
    <w:pPr>
      <w:tabs>
        <w:tab w:val="right" w:leader="dot" w:pos="8302"/>
      </w:tabs>
      <w:ind w:left="840" w:leftChars="400"/>
    </w:pPr>
  </w:style>
  <w:style w:type="paragraph" w:styleId="20">
    <w:name w:val="Plain Text"/>
    <w:basedOn w:val="1"/>
    <w:link w:val="68"/>
    <w:qFormat/>
    <w:uiPriority w:val="0"/>
    <w:pPr>
      <w:spacing w:line="240" w:lineRule="auto"/>
      <w:ind w:firstLine="0" w:firstLineChars="0"/>
    </w:pPr>
    <w:rPr>
      <w:rFonts w:hAnsi="Courier New"/>
      <w:sz w:val="21"/>
      <w:szCs w:val="20"/>
    </w:rPr>
  </w:style>
  <w:style w:type="paragraph" w:styleId="21">
    <w:name w:val="toc 8"/>
    <w:basedOn w:val="1"/>
    <w:next w:val="1"/>
    <w:unhideWhenUsed/>
    <w:qFormat/>
    <w:uiPriority w:val="39"/>
    <w:pPr>
      <w:ind w:left="2940" w:leftChars="1400"/>
    </w:pPr>
    <w:rPr>
      <w:rFonts w:ascii="等线" w:hAnsi="等线" w:eastAsia="等线"/>
      <w:szCs w:val="22"/>
    </w:rPr>
  </w:style>
  <w:style w:type="paragraph" w:styleId="22">
    <w:name w:val="Date"/>
    <w:basedOn w:val="1"/>
    <w:next w:val="1"/>
    <w:link w:val="52"/>
    <w:qFormat/>
    <w:uiPriority w:val="0"/>
    <w:pPr>
      <w:ind w:left="100" w:leftChars="2500"/>
    </w:pPr>
    <w:rPr>
      <w:rFonts w:ascii="Times New Roman" w:hAnsi="Times New Roman"/>
      <w:sz w:val="21"/>
    </w:rPr>
  </w:style>
  <w:style w:type="paragraph" w:styleId="23">
    <w:name w:val="Balloon Text"/>
    <w:basedOn w:val="1"/>
    <w:link w:val="98"/>
    <w:qFormat/>
    <w:uiPriority w:val="0"/>
    <w:rPr>
      <w:rFonts w:ascii="Times New Roman" w:hAnsi="Times New Roman"/>
      <w:sz w:val="18"/>
      <w:szCs w:val="18"/>
    </w:rPr>
  </w:style>
  <w:style w:type="paragraph" w:styleId="24">
    <w:name w:val="footer"/>
    <w:basedOn w:val="1"/>
    <w:link w:val="91"/>
    <w:qFormat/>
    <w:uiPriority w:val="99"/>
    <w:pPr>
      <w:tabs>
        <w:tab w:val="center" w:pos="4153"/>
        <w:tab w:val="right" w:pos="8306"/>
      </w:tabs>
      <w:snapToGrid w:val="0"/>
      <w:jc w:val="center"/>
    </w:pPr>
    <w:rPr>
      <w:rFonts w:ascii="Times New Roman" w:hAnsi="Times New Roman"/>
      <w:sz w:val="18"/>
      <w:szCs w:val="18"/>
    </w:rPr>
  </w:style>
  <w:style w:type="paragraph" w:styleId="25">
    <w:name w:val="header"/>
    <w:basedOn w:val="1"/>
    <w:link w:val="99"/>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style>
  <w:style w:type="paragraph" w:styleId="27">
    <w:name w:val="toc 4"/>
    <w:basedOn w:val="1"/>
    <w:next w:val="1"/>
    <w:unhideWhenUsed/>
    <w:qFormat/>
    <w:uiPriority w:val="39"/>
    <w:pPr>
      <w:ind w:left="1260" w:leftChars="600"/>
    </w:pPr>
    <w:rPr>
      <w:rFonts w:ascii="等线" w:hAnsi="等线" w:eastAsia="等线"/>
      <w:szCs w:val="22"/>
    </w:rPr>
  </w:style>
  <w:style w:type="paragraph" w:styleId="28">
    <w:name w:val="Subtitle"/>
    <w:basedOn w:val="1"/>
    <w:next w:val="1"/>
    <w:link w:val="89"/>
    <w:qFormat/>
    <w:uiPriority w:val="0"/>
    <w:pPr>
      <w:spacing w:before="240" w:after="60" w:line="312" w:lineRule="auto"/>
      <w:jc w:val="center"/>
      <w:outlineLvl w:val="1"/>
    </w:pPr>
    <w:rPr>
      <w:rFonts w:ascii="Calibri Light" w:hAnsi="Calibri Light"/>
      <w:b/>
      <w:bCs/>
      <w:kern w:val="28"/>
      <w:sz w:val="32"/>
      <w:szCs w:val="32"/>
    </w:rPr>
  </w:style>
  <w:style w:type="paragraph" w:styleId="29">
    <w:name w:val="toc 6"/>
    <w:basedOn w:val="1"/>
    <w:next w:val="1"/>
    <w:unhideWhenUsed/>
    <w:qFormat/>
    <w:uiPriority w:val="39"/>
    <w:pPr>
      <w:ind w:left="2100" w:leftChars="1000"/>
    </w:pPr>
    <w:rPr>
      <w:rFonts w:ascii="等线" w:hAnsi="等线" w:eastAsia="等线"/>
      <w:szCs w:val="22"/>
    </w:rPr>
  </w:style>
  <w:style w:type="paragraph" w:styleId="30">
    <w:name w:val="toc 2"/>
    <w:basedOn w:val="1"/>
    <w:next w:val="1"/>
    <w:qFormat/>
    <w:uiPriority w:val="39"/>
    <w:pPr>
      <w:tabs>
        <w:tab w:val="right" w:leader="dot" w:pos="8302"/>
      </w:tabs>
      <w:ind w:left="420" w:leftChars="200"/>
    </w:pPr>
  </w:style>
  <w:style w:type="paragraph" w:styleId="31">
    <w:name w:val="toc 9"/>
    <w:basedOn w:val="1"/>
    <w:next w:val="1"/>
    <w:unhideWhenUsed/>
    <w:qFormat/>
    <w:uiPriority w:val="39"/>
    <w:pPr>
      <w:ind w:left="3360" w:leftChars="1600"/>
    </w:pPr>
    <w:rPr>
      <w:rFonts w:ascii="等线" w:hAnsi="等线" w:eastAsia="等线"/>
      <w:szCs w:val="22"/>
    </w:rPr>
  </w:style>
  <w:style w:type="paragraph" w:styleId="32">
    <w:name w:val="Body Text 2"/>
    <w:basedOn w:val="1"/>
    <w:next w:val="33"/>
    <w:qFormat/>
    <w:uiPriority w:val="0"/>
    <w:pPr>
      <w:spacing w:after="120" w:line="480" w:lineRule="auto"/>
    </w:pPr>
  </w:style>
  <w:style w:type="paragraph" w:styleId="33">
    <w:name w:val="Body Text First Indent 2"/>
    <w:qFormat/>
    <w:uiPriority w:val="99"/>
    <w:pPr>
      <w:spacing w:after="120"/>
      <w:ind w:left="420" w:firstLine="420" w:firstLineChars="200"/>
      <w:jc w:val="both"/>
    </w:pPr>
    <w:rPr>
      <w:rFonts w:ascii="Calibri" w:hAnsi="Calibri" w:eastAsia="华文中宋" w:cs="Times New Roman"/>
      <w:kern w:val="2"/>
      <w:sz w:val="21"/>
      <w:lang w:val="en-US" w:eastAsia="zh-CN" w:bidi="ar-SA"/>
    </w:rPr>
  </w:style>
  <w:style w:type="paragraph" w:styleId="34">
    <w:name w:val="Normal (Web)"/>
    <w:basedOn w:val="1"/>
    <w:qFormat/>
    <w:uiPriority w:val="99"/>
    <w:pPr>
      <w:widowControl/>
      <w:spacing w:before="100" w:after="100"/>
      <w:jc w:val="left"/>
    </w:pPr>
    <w:rPr>
      <w:rFonts w:hint="eastAsia" w:ascii="Arial Unicode MS" w:hAnsi="Arial Unicode MS" w:eastAsia="Arial Unicode MS"/>
      <w:kern w:val="0"/>
    </w:rPr>
  </w:style>
  <w:style w:type="paragraph" w:styleId="35">
    <w:name w:val="Title"/>
    <w:basedOn w:val="1"/>
    <w:next w:val="1"/>
    <w:link w:val="97"/>
    <w:qFormat/>
    <w:uiPriority w:val="0"/>
    <w:pPr>
      <w:spacing w:before="240" w:after="60" w:line="960" w:lineRule="auto"/>
      <w:jc w:val="center"/>
    </w:pPr>
    <w:rPr>
      <w:rFonts w:ascii="Cambria" w:hAnsi="Cambria" w:eastAsia="黑体"/>
      <w:b/>
      <w:bCs/>
      <w:sz w:val="52"/>
      <w:szCs w:val="32"/>
    </w:rPr>
  </w:style>
  <w:style w:type="paragraph" w:styleId="36">
    <w:name w:val="annotation subject"/>
    <w:basedOn w:val="15"/>
    <w:next w:val="15"/>
    <w:link w:val="85"/>
    <w:qFormat/>
    <w:uiPriority w:val="0"/>
    <w:rPr>
      <w:b/>
      <w:bCs/>
      <w:sz w:val="21"/>
    </w:rPr>
  </w:style>
  <w:style w:type="table" w:styleId="38">
    <w:name w:val="Table Grid"/>
    <w:basedOn w:val="37"/>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page number"/>
    <w:basedOn w:val="39"/>
    <w:qFormat/>
    <w:uiPriority w:val="0"/>
  </w:style>
  <w:style w:type="character" w:styleId="41">
    <w:name w:val="FollowedHyperlink"/>
    <w:unhideWhenUsed/>
    <w:qFormat/>
    <w:uiPriority w:val="99"/>
    <w:rPr>
      <w:color w:val="954F72"/>
      <w:u w:val="single"/>
    </w:rPr>
  </w:style>
  <w:style w:type="character" w:styleId="42">
    <w:name w:val="Hyperlink"/>
    <w:qFormat/>
    <w:uiPriority w:val="99"/>
    <w:rPr>
      <w:color w:val="0000FF"/>
      <w:u w:val="single"/>
    </w:rPr>
  </w:style>
  <w:style w:type="character" w:styleId="43">
    <w:name w:val="annotation reference"/>
    <w:qFormat/>
    <w:uiPriority w:val="99"/>
    <w:rPr>
      <w:sz w:val="21"/>
      <w:szCs w:val="21"/>
    </w:rPr>
  </w:style>
  <w:style w:type="character" w:customStyle="1" w:styleId="44">
    <w:name w:val="标题 1 字符"/>
    <w:qFormat/>
    <w:uiPriority w:val="9"/>
    <w:rPr>
      <w:rFonts w:ascii="宋体" w:hAnsi="宋体"/>
      <w:b/>
      <w:bCs/>
      <w:kern w:val="44"/>
      <w:sz w:val="44"/>
      <w:szCs w:val="44"/>
    </w:rPr>
  </w:style>
  <w:style w:type="character" w:customStyle="1" w:styleId="45">
    <w:name w:val="标题 2 字符"/>
    <w:semiHidden/>
    <w:qFormat/>
    <w:uiPriority w:val="9"/>
    <w:rPr>
      <w:rFonts w:ascii="等线 Light" w:hAnsi="等线 Light" w:eastAsia="等线 Light" w:cs="Times New Roman"/>
      <w:b/>
      <w:bCs/>
      <w:kern w:val="2"/>
      <w:sz w:val="32"/>
      <w:szCs w:val="32"/>
    </w:rPr>
  </w:style>
  <w:style w:type="character" w:customStyle="1" w:styleId="46">
    <w:name w:val="标题 3 字符"/>
    <w:semiHidden/>
    <w:qFormat/>
    <w:uiPriority w:val="9"/>
    <w:rPr>
      <w:rFonts w:ascii="宋体" w:hAnsi="宋体"/>
      <w:b/>
      <w:bCs/>
      <w:kern w:val="2"/>
      <w:sz w:val="32"/>
      <w:szCs w:val="32"/>
    </w:rPr>
  </w:style>
  <w:style w:type="character" w:customStyle="1" w:styleId="47">
    <w:name w:val="标题 3 字符1"/>
    <w:qFormat/>
    <w:uiPriority w:val="0"/>
    <w:rPr>
      <w:rFonts w:ascii="宋体" w:hAnsi="宋体"/>
      <w:b/>
      <w:bCs/>
      <w:kern w:val="2"/>
      <w:sz w:val="28"/>
      <w:szCs w:val="28"/>
    </w:rPr>
  </w:style>
  <w:style w:type="character" w:customStyle="1" w:styleId="48">
    <w:name w:val="首行缩进正文 Char"/>
    <w:link w:val="49"/>
    <w:qFormat/>
    <w:uiPriority w:val="0"/>
    <w:rPr>
      <w:kern w:val="2"/>
      <w:sz w:val="24"/>
    </w:rPr>
  </w:style>
  <w:style w:type="paragraph" w:customStyle="1" w:styleId="49">
    <w:name w:val="首行缩进正文"/>
    <w:basedOn w:val="1"/>
    <w:link w:val="48"/>
    <w:qFormat/>
    <w:uiPriority w:val="0"/>
    <w:pPr>
      <w:widowControl/>
      <w:adjustRightInd w:val="0"/>
      <w:snapToGrid w:val="0"/>
      <w:spacing w:afterLines="50" w:line="276" w:lineRule="auto"/>
      <w:ind w:firstLine="420" w:firstLineChars="0"/>
      <w:jc w:val="left"/>
    </w:pPr>
    <w:rPr>
      <w:rFonts w:ascii="Times New Roman" w:hAnsi="Times New Roman"/>
      <w:szCs w:val="20"/>
    </w:rPr>
  </w:style>
  <w:style w:type="character" w:customStyle="1" w:styleId="50">
    <w:name w:val="批注文字 字符1"/>
    <w:link w:val="15"/>
    <w:qFormat/>
    <w:uiPriority w:val="99"/>
    <w:rPr>
      <w:rFonts w:eastAsia="仿宋"/>
      <w:kern w:val="2"/>
      <w:sz w:val="28"/>
      <w:szCs w:val="24"/>
    </w:rPr>
  </w:style>
  <w:style w:type="character" w:customStyle="1" w:styleId="51">
    <w:name w:val="日期 字符"/>
    <w:semiHidden/>
    <w:qFormat/>
    <w:uiPriority w:val="99"/>
    <w:rPr>
      <w:rFonts w:ascii="宋体" w:hAnsi="宋体"/>
      <w:kern w:val="2"/>
      <w:sz w:val="24"/>
      <w:szCs w:val="24"/>
    </w:rPr>
  </w:style>
  <w:style w:type="character" w:customStyle="1" w:styleId="52">
    <w:name w:val="日期 字符1"/>
    <w:link w:val="22"/>
    <w:qFormat/>
    <w:uiPriority w:val="0"/>
    <w:rPr>
      <w:kern w:val="2"/>
      <w:sz w:val="21"/>
      <w:szCs w:val="24"/>
    </w:rPr>
  </w:style>
  <w:style w:type="character" w:customStyle="1" w:styleId="53">
    <w:name w:val="标题 9 字符"/>
    <w:link w:val="10"/>
    <w:qFormat/>
    <w:uiPriority w:val="9"/>
    <w:rPr>
      <w:rFonts w:ascii="Cambria" w:hAnsi="Cambria"/>
      <w:kern w:val="2"/>
      <w:sz w:val="21"/>
      <w:szCs w:val="21"/>
    </w:rPr>
  </w:style>
  <w:style w:type="character" w:customStyle="1" w:styleId="54">
    <w:name w:val="未处理的提及1"/>
    <w:unhideWhenUsed/>
    <w:qFormat/>
    <w:uiPriority w:val="99"/>
    <w:rPr>
      <w:color w:val="605E5C"/>
      <w:shd w:val="clear" w:color="auto" w:fill="E1DFDD"/>
    </w:rPr>
  </w:style>
  <w:style w:type="character" w:customStyle="1" w:styleId="55">
    <w:name w:val="页脚 字符"/>
    <w:qFormat/>
    <w:uiPriority w:val="99"/>
  </w:style>
  <w:style w:type="character" w:customStyle="1" w:styleId="56">
    <w:name w:val="标题 5 字符"/>
    <w:semiHidden/>
    <w:qFormat/>
    <w:uiPriority w:val="9"/>
    <w:rPr>
      <w:rFonts w:ascii="宋体" w:hAnsi="宋体"/>
      <w:b/>
      <w:bCs/>
      <w:kern w:val="2"/>
      <w:sz w:val="28"/>
      <w:szCs w:val="28"/>
    </w:rPr>
  </w:style>
  <w:style w:type="character" w:customStyle="1" w:styleId="57">
    <w:name w:val="题注 字符"/>
    <w:link w:val="13"/>
    <w:qFormat/>
    <w:locked/>
    <w:uiPriority w:val="0"/>
    <w:rPr>
      <w:rFonts w:ascii="Arial" w:hAnsi="Arial" w:eastAsia="黑体"/>
      <w:kern w:val="2"/>
    </w:rPr>
  </w:style>
  <w:style w:type="character" w:customStyle="1" w:styleId="58">
    <w:name w:val="纯文本 字符"/>
    <w:qFormat/>
    <w:uiPriority w:val="0"/>
    <w:rPr>
      <w:rFonts w:ascii="宋体" w:hAnsi="Courier New" w:cs="Courier New"/>
      <w:kern w:val="2"/>
      <w:sz w:val="21"/>
      <w:szCs w:val="21"/>
    </w:rPr>
  </w:style>
  <w:style w:type="character" w:customStyle="1" w:styleId="59">
    <w:name w:val="列表段落 字符"/>
    <w:qFormat/>
    <w:uiPriority w:val="34"/>
    <w:rPr>
      <w:kern w:val="2"/>
      <w:sz w:val="21"/>
      <w:szCs w:val="22"/>
    </w:rPr>
  </w:style>
  <w:style w:type="character" w:customStyle="1" w:styleId="60">
    <w:name w:val="标题 4 字符1"/>
    <w:link w:val="5"/>
    <w:qFormat/>
    <w:uiPriority w:val="0"/>
    <w:rPr>
      <w:rFonts w:ascii="宋体" w:hAnsi="宋体"/>
      <w:b/>
      <w:bCs/>
      <w:kern w:val="2"/>
      <w:sz w:val="30"/>
      <w:szCs w:val="30"/>
    </w:rPr>
  </w:style>
  <w:style w:type="character" w:customStyle="1" w:styleId="61">
    <w:name w:val="正文文本 字符"/>
    <w:link w:val="16"/>
    <w:qFormat/>
    <w:uiPriority w:val="0"/>
    <w:rPr>
      <w:kern w:val="2"/>
      <w:sz w:val="21"/>
      <w:szCs w:val="24"/>
    </w:rPr>
  </w:style>
  <w:style w:type="character" w:customStyle="1" w:styleId="62">
    <w:name w:val="列表段落 字符1"/>
    <w:link w:val="63"/>
    <w:qFormat/>
    <w:uiPriority w:val="34"/>
    <w:rPr>
      <w:kern w:val="2"/>
      <w:sz w:val="21"/>
      <w:szCs w:val="24"/>
    </w:rPr>
  </w:style>
  <w:style w:type="paragraph" w:styleId="63">
    <w:name w:val="List Paragraph"/>
    <w:basedOn w:val="1"/>
    <w:link w:val="62"/>
    <w:qFormat/>
    <w:uiPriority w:val="34"/>
    <w:pPr>
      <w:ind w:firstLine="420"/>
    </w:pPr>
    <w:rPr>
      <w:rFonts w:ascii="Times New Roman" w:hAnsi="Times New Roman"/>
      <w:sz w:val="21"/>
    </w:rPr>
  </w:style>
  <w:style w:type="character" w:customStyle="1" w:styleId="64">
    <w:name w:val="font21"/>
    <w:qFormat/>
    <w:uiPriority w:val="0"/>
    <w:rPr>
      <w:rFonts w:ascii="Calibri" w:hAnsi="Calibri" w:cs="Calibri"/>
      <w:color w:val="000000"/>
      <w:sz w:val="21"/>
      <w:szCs w:val="21"/>
      <w:u w:val="none"/>
    </w:rPr>
  </w:style>
  <w:style w:type="character" w:customStyle="1" w:styleId="65">
    <w:name w:val="*正文 Char"/>
    <w:link w:val="66"/>
    <w:qFormat/>
    <w:uiPriority w:val="0"/>
    <w:rPr>
      <w:rFonts w:ascii="time" w:hAnsi="time"/>
      <w:sz w:val="24"/>
      <w:szCs w:val="24"/>
      <w:lang w:bidi="en-US"/>
    </w:rPr>
  </w:style>
  <w:style w:type="paragraph" w:customStyle="1" w:styleId="66">
    <w:name w:val="*正文"/>
    <w:basedOn w:val="1"/>
    <w:link w:val="65"/>
    <w:qFormat/>
    <w:uiPriority w:val="0"/>
    <w:pPr>
      <w:widowControl/>
      <w:ind w:firstLine="200"/>
      <w:contextualSpacing/>
    </w:pPr>
    <w:rPr>
      <w:rFonts w:ascii="time" w:hAnsi="time"/>
      <w:kern w:val="0"/>
      <w:lang w:bidi="en-US"/>
    </w:rPr>
  </w:style>
  <w:style w:type="character" w:customStyle="1" w:styleId="67">
    <w:name w:val="正文文本缩进 字符"/>
    <w:semiHidden/>
    <w:qFormat/>
    <w:uiPriority w:val="99"/>
    <w:rPr>
      <w:rFonts w:ascii="宋体" w:hAnsi="宋体"/>
      <w:kern w:val="2"/>
      <w:sz w:val="24"/>
      <w:szCs w:val="24"/>
    </w:rPr>
  </w:style>
  <w:style w:type="character" w:customStyle="1" w:styleId="68">
    <w:name w:val="纯文本 字符1"/>
    <w:link w:val="20"/>
    <w:qFormat/>
    <w:locked/>
    <w:uiPriority w:val="0"/>
    <w:rPr>
      <w:rFonts w:ascii="宋体" w:hAnsi="Courier New"/>
      <w:kern w:val="2"/>
      <w:sz w:val="21"/>
    </w:rPr>
  </w:style>
  <w:style w:type="character" w:customStyle="1" w:styleId="69">
    <w:name w:val="my正文 Char"/>
    <w:link w:val="70"/>
    <w:qFormat/>
    <w:uiPriority w:val="0"/>
    <w:rPr>
      <w:kern w:val="2"/>
      <w:sz w:val="21"/>
      <w:szCs w:val="24"/>
    </w:rPr>
  </w:style>
  <w:style w:type="paragraph" w:customStyle="1" w:styleId="70">
    <w:name w:val="my正文"/>
    <w:basedOn w:val="1"/>
    <w:link w:val="69"/>
    <w:qFormat/>
    <w:uiPriority w:val="0"/>
    <w:pPr>
      <w:spacing w:line="240" w:lineRule="auto"/>
      <w:ind w:firstLine="0" w:firstLineChars="0"/>
    </w:pPr>
    <w:rPr>
      <w:rFonts w:ascii="Times New Roman" w:hAnsi="Times New Roman"/>
      <w:sz w:val="21"/>
    </w:rPr>
  </w:style>
  <w:style w:type="character" w:customStyle="1" w:styleId="71">
    <w:name w:val="正文2 字符"/>
    <w:link w:val="72"/>
    <w:qFormat/>
    <w:uiPriority w:val="0"/>
    <w:rPr>
      <w:kern w:val="2"/>
      <w:sz w:val="21"/>
      <w:szCs w:val="24"/>
    </w:rPr>
  </w:style>
  <w:style w:type="paragraph" w:customStyle="1" w:styleId="72">
    <w:name w:val="正文2"/>
    <w:basedOn w:val="1"/>
    <w:link w:val="71"/>
    <w:qFormat/>
    <w:uiPriority w:val="0"/>
    <w:pPr>
      <w:ind w:firstLine="420"/>
    </w:pPr>
    <w:rPr>
      <w:rFonts w:ascii="Times New Roman" w:hAnsi="Times New Roman"/>
      <w:sz w:val="21"/>
    </w:rPr>
  </w:style>
  <w:style w:type="character" w:customStyle="1" w:styleId="73">
    <w:name w:val="font41"/>
    <w:qFormat/>
    <w:uiPriority w:val="0"/>
    <w:rPr>
      <w:rFonts w:hint="eastAsia" w:ascii="宋体" w:hAnsi="宋体" w:eastAsia="宋体" w:cs="宋体"/>
      <w:color w:val="000000"/>
      <w:sz w:val="21"/>
      <w:szCs w:val="21"/>
      <w:u w:val="none"/>
    </w:rPr>
  </w:style>
  <w:style w:type="character" w:customStyle="1" w:styleId="74">
    <w:name w:val="标题 7 字符"/>
    <w:link w:val="8"/>
    <w:qFormat/>
    <w:uiPriority w:val="9"/>
    <w:rPr>
      <w:b/>
      <w:bCs/>
      <w:kern w:val="2"/>
      <w:sz w:val="21"/>
      <w:szCs w:val="24"/>
    </w:rPr>
  </w:style>
  <w:style w:type="character" w:customStyle="1" w:styleId="75">
    <w:name w:val="批注框文本 字符"/>
    <w:semiHidden/>
    <w:qFormat/>
    <w:uiPriority w:val="99"/>
    <w:rPr>
      <w:rFonts w:ascii="宋体" w:hAnsi="宋体"/>
      <w:kern w:val="2"/>
      <w:sz w:val="18"/>
      <w:szCs w:val="18"/>
    </w:rPr>
  </w:style>
  <w:style w:type="character" w:customStyle="1" w:styleId="76">
    <w:name w:val="副标题 Char1"/>
    <w:qFormat/>
    <w:uiPriority w:val="0"/>
    <w:rPr>
      <w:rFonts w:ascii="Calibri Light" w:hAnsi="Calibri Light" w:cs="Times New Roman"/>
      <w:b/>
      <w:bCs/>
      <w:kern w:val="28"/>
      <w:sz w:val="32"/>
      <w:szCs w:val="32"/>
    </w:rPr>
  </w:style>
  <w:style w:type="character" w:customStyle="1" w:styleId="77">
    <w:name w:val="标题 1 字符1"/>
    <w:link w:val="2"/>
    <w:qFormat/>
    <w:uiPriority w:val="0"/>
    <w:rPr>
      <w:rFonts w:ascii="宋体" w:hAnsi="宋体" w:eastAsia="黑体"/>
      <w:b/>
      <w:bCs/>
      <w:kern w:val="44"/>
      <w:sz w:val="32"/>
      <w:szCs w:val="28"/>
    </w:rPr>
  </w:style>
  <w:style w:type="character" w:customStyle="1" w:styleId="78">
    <w:name w:val="批注文字 字符"/>
    <w:qFormat/>
    <w:uiPriority w:val="99"/>
    <w:rPr>
      <w:rFonts w:ascii="宋体" w:hAnsi="宋体"/>
      <w:kern w:val="2"/>
      <w:sz w:val="24"/>
      <w:szCs w:val="24"/>
    </w:rPr>
  </w:style>
  <w:style w:type="character" w:customStyle="1" w:styleId="79">
    <w:name w:val="文档结构图 字符"/>
    <w:semiHidden/>
    <w:qFormat/>
    <w:uiPriority w:val="99"/>
    <w:rPr>
      <w:rFonts w:ascii="Microsoft YaHei UI" w:hAnsi="宋体" w:eastAsia="Microsoft YaHei UI"/>
      <w:kern w:val="2"/>
      <w:sz w:val="18"/>
      <w:szCs w:val="18"/>
    </w:rPr>
  </w:style>
  <w:style w:type="character" w:customStyle="1" w:styleId="80">
    <w:name w:val="标题 6 字符"/>
    <w:semiHidden/>
    <w:qFormat/>
    <w:uiPriority w:val="9"/>
    <w:rPr>
      <w:rFonts w:ascii="等线 Light" w:hAnsi="等线 Light" w:eastAsia="等线 Light" w:cs="Times New Roman"/>
      <w:b/>
      <w:bCs/>
      <w:kern w:val="2"/>
      <w:sz w:val="24"/>
      <w:szCs w:val="24"/>
    </w:rPr>
  </w:style>
  <w:style w:type="character" w:customStyle="1" w:styleId="81">
    <w:name w:val="正文正文2 Char"/>
    <w:link w:val="82"/>
    <w:qFormat/>
    <w:uiPriority w:val="0"/>
    <w:rPr>
      <w:rFonts w:ascii="宋体" w:hAnsi="宋体"/>
      <w:kern w:val="2"/>
      <w:sz w:val="21"/>
      <w:szCs w:val="21"/>
    </w:rPr>
  </w:style>
  <w:style w:type="paragraph" w:customStyle="1" w:styleId="82">
    <w:name w:val="正文正文2"/>
    <w:basedOn w:val="1"/>
    <w:link w:val="81"/>
    <w:qFormat/>
    <w:uiPriority w:val="0"/>
    <w:pPr>
      <w:ind w:firstLine="460"/>
    </w:pPr>
    <w:rPr>
      <w:sz w:val="21"/>
      <w:szCs w:val="21"/>
    </w:rPr>
  </w:style>
  <w:style w:type="character" w:customStyle="1" w:styleId="83">
    <w:name w:val="标题 3 字符2"/>
    <w:link w:val="4"/>
    <w:qFormat/>
    <w:uiPriority w:val="0"/>
    <w:rPr>
      <w:rFonts w:ascii="宋体" w:hAnsi="宋体"/>
      <w:b/>
      <w:bCs/>
      <w:kern w:val="2"/>
      <w:sz w:val="28"/>
      <w:szCs w:val="28"/>
    </w:rPr>
  </w:style>
  <w:style w:type="character" w:customStyle="1" w:styleId="84">
    <w:name w:val="标题 4 字符"/>
    <w:semiHidden/>
    <w:qFormat/>
    <w:uiPriority w:val="9"/>
    <w:rPr>
      <w:rFonts w:ascii="等线 Light" w:hAnsi="等线 Light" w:eastAsia="等线 Light" w:cs="Times New Roman"/>
      <w:b/>
      <w:bCs/>
      <w:kern w:val="2"/>
      <w:sz w:val="28"/>
      <w:szCs w:val="28"/>
    </w:rPr>
  </w:style>
  <w:style w:type="character" w:customStyle="1" w:styleId="85">
    <w:name w:val="批注主题 字符1"/>
    <w:link w:val="36"/>
    <w:qFormat/>
    <w:uiPriority w:val="0"/>
    <w:rPr>
      <w:rFonts w:eastAsia="仿宋"/>
      <w:b/>
      <w:bCs/>
      <w:kern w:val="2"/>
      <w:sz w:val="21"/>
      <w:szCs w:val="24"/>
    </w:rPr>
  </w:style>
  <w:style w:type="character" w:customStyle="1" w:styleId="86">
    <w:name w:val="页眉 字符"/>
    <w:semiHidden/>
    <w:qFormat/>
    <w:uiPriority w:val="99"/>
    <w:rPr>
      <w:rFonts w:ascii="宋体" w:hAnsi="宋体"/>
      <w:kern w:val="2"/>
      <w:sz w:val="18"/>
      <w:szCs w:val="18"/>
    </w:rPr>
  </w:style>
  <w:style w:type="character" w:customStyle="1" w:styleId="87">
    <w:name w:val="正文文本缩进 字符1"/>
    <w:link w:val="17"/>
    <w:qFormat/>
    <w:uiPriority w:val="0"/>
    <w:rPr>
      <w:kern w:val="2"/>
      <w:sz w:val="21"/>
    </w:rPr>
  </w:style>
  <w:style w:type="character" w:customStyle="1" w:styleId="88">
    <w:name w:val="标题 5 字符1"/>
    <w:link w:val="6"/>
    <w:qFormat/>
    <w:uiPriority w:val="0"/>
    <w:rPr>
      <w:rFonts w:ascii="宋体" w:hAnsi="宋体"/>
      <w:b/>
      <w:bCs/>
      <w:kern w:val="2"/>
      <w:sz w:val="24"/>
      <w:szCs w:val="28"/>
    </w:rPr>
  </w:style>
  <w:style w:type="character" w:customStyle="1" w:styleId="89">
    <w:name w:val="副标题 字符1"/>
    <w:link w:val="28"/>
    <w:qFormat/>
    <w:uiPriority w:val="0"/>
    <w:rPr>
      <w:rFonts w:ascii="Calibri Light" w:hAnsi="Calibri Light"/>
      <w:b/>
      <w:bCs/>
      <w:kern w:val="28"/>
      <w:sz w:val="32"/>
      <w:szCs w:val="32"/>
    </w:rPr>
  </w:style>
  <w:style w:type="character" w:customStyle="1" w:styleId="90">
    <w:name w:val="标题 2 字符1"/>
    <w:link w:val="3"/>
    <w:qFormat/>
    <w:uiPriority w:val="9"/>
    <w:rPr>
      <w:rFonts w:ascii="宋体" w:hAnsi="宋体"/>
      <w:b/>
      <w:bCs/>
      <w:kern w:val="2"/>
      <w:sz w:val="30"/>
      <w:szCs w:val="32"/>
    </w:rPr>
  </w:style>
  <w:style w:type="character" w:customStyle="1" w:styleId="91">
    <w:name w:val="页脚 字符1"/>
    <w:link w:val="24"/>
    <w:qFormat/>
    <w:uiPriority w:val="99"/>
    <w:rPr>
      <w:kern w:val="2"/>
      <w:sz w:val="18"/>
      <w:szCs w:val="18"/>
    </w:rPr>
  </w:style>
  <w:style w:type="character" w:customStyle="1" w:styleId="92">
    <w:name w:val="批注主题 字符"/>
    <w:semiHidden/>
    <w:qFormat/>
    <w:uiPriority w:val="99"/>
    <w:rPr>
      <w:rFonts w:ascii="宋体" w:hAnsi="宋体"/>
      <w:b/>
      <w:bCs/>
      <w:kern w:val="2"/>
      <w:sz w:val="24"/>
      <w:szCs w:val="24"/>
    </w:rPr>
  </w:style>
  <w:style w:type="character" w:customStyle="1" w:styleId="93">
    <w:name w:val="文档结构图 字符1"/>
    <w:link w:val="14"/>
    <w:qFormat/>
    <w:uiPriority w:val="0"/>
    <w:rPr>
      <w:rFonts w:ascii="宋体"/>
      <w:kern w:val="2"/>
      <w:sz w:val="18"/>
      <w:szCs w:val="18"/>
    </w:rPr>
  </w:style>
  <w:style w:type="character" w:customStyle="1" w:styleId="94">
    <w:name w:val="font31"/>
    <w:qFormat/>
    <w:uiPriority w:val="0"/>
    <w:rPr>
      <w:rFonts w:hint="eastAsia" w:ascii="宋体" w:hAnsi="宋体" w:eastAsia="宋体" w:cs="宋体"/>
      <w:color w:val="000000"/>
      <w:sz w:val="21"/>
      <w:szCs w:val="21"/>
      <w:u w:val="none"/>
    </w:rPr>
  </w:style>
  <w:style w:type="character" w:customStyle="1" w:styleId="95">
    <w:name w:val="标准正文 Char"/>
    <w:link w:val="96"/>
    <w:qFormat/>
    <w:uiPriority w:val="0"/>
    <w:rPr>
      <w:rFonts w:ascii="Arial" w:hAnsi="Arial"/>
      <w:kern w:val="2"/>
      <w:sz w:val="24"/>
    </w:rPr>
  </w:style>
  <w:style w:type="paragraph" w:customStyle="1" w:styleId="96">
    <w:name w:val="标准正文"/>
    <w:basedOn w:val="17"/>
    <w:link w:val="95"/>
    <w:qFormat/>
    <w:uiPriority w:val="0"/>
    <w:pPr>
      <w:spacing w:before="60" w:after="60"/>
      <w:ind w:firstLine="482" w:firstLineChars="0"/>
    </w:pPr>
    <w:rPr>
      <w:rFonts w:ascii="Arial" w:hAnsi="Arial"/>
      <w:sz w:val="24"/>
    </w:rPr>
  </w:style>
  <w:style w:type="character" w:customStyle="1" w:styleId="97">
    <w:name w:val="标题 字符1"/>
    <w:link w:val="35"/>
    <w:qFormat/>
    <w:uiPriority w:val="0"/>
    <w:rPr>
      <w:rFonts w:ascii="Cambria" w:hAnsi="Cambria" w:eastAsia="黑体"/>
      <w:b/>
      <w:bCs/>
      <w:kern w:val="2"/>
      <w:sz w:val="52"/>
      <w:szCs w:val="32"/>
    </w:rPr>
  </w:style>
  <w:style w:type="character" w:customStyle="1" w:styleId="98">
    <w:name w:val="批注框文本 字符1"/>
    <w:link w:val="23"/>
    <w:qFormat/>
    <w:uiPriority w:val="0"/>
    <w:rPr>
      <w:kern w:val="2"/>
      <w:sz w:val="18"/>
      <w:szCs w:val="18"/>
    </w:rPr>
  </w:style>
  <w:style w:type="character" w:customStyle="1" w:styleId="99">
    <w:name w:val="页眉 字符1"/>
    <w:link w:val="25"/>
    <w:qFormat/>
    <w:uiPriority w:val="99"/>
    <w:rPr>
      <w:kern w:val="2"/>
      <w:sz w:val="18"/>
      <w:szCs w:val="18"/>
    </w:rPr>
  </w:style>
  <w:style w:type="character" w:customStyle="1" w:styleId="100">
    <w:name w:val="标题 8 字符"/>
    <w:link w:val="9"/>
    <w:qFormat/>
    <w:uiPriority w:val="9"/>
    <w:rPr>
      <w:rFonts w:ascii="Cambria" w:hAnsi="Cambria"/>
      <w:kern w:val="2"/>
      <w:sz w:val="21"/>
      <w:szCs w:val="24"/>
    </w:rPr>
  </w:style>
  <w:style w:type="character" w:customStyle="1" w:styleId="101">
    <w:name w:val="标题 6 字符1"/>
    <w:link w:val="7"/>
    <w:qFormat/>
    <w:uiPriority w:val="0"/>
    <w:rPr>
      <w:rFonts w:ascii="Cambria" w:hAnsi="Cambria"/>
      <w:b/>
      <w:bCs/>
      <w:kern w:val="2"/>
      <w:sz w:val="24"/>
      <w:szCs w:val="24"/>
    </w:rPr>
  </w:style>
  <w:style w:type="character" w:customStyle="1" w:styleId="102">
    <w:name w:val="标题 字符"/>
    <w:qFormat/>
    <w:uiPriority w:val="10"/>
    <w:rPr>
      <w:rFonts w:ascii="等线 Light" w:hAnsi="等线 Light" w:eastAsia="等线 Light" w:cs="Times New Roman"/>
      <w:b/>
      <w:bCs/>
      <w:kern w:val="2"/>
      <w:sz w:val="32"/>
      <w:szCs w:val="32"/>
    </w:rPr>
  </w:style>
  <w:style w:type="character" w:customStyle="1" w:styleId="103">
    <w:name w:val="副标题 字符"/>
    <w:qFormat/>
    <w:uiPriority w:val="11"/>
    <w:rPr>
      <w:rFonts w:ascii="等线" w:hAnsi="等线" w:eastAsia="等线" w:cs="Times New Roman"/>
      <w:b/>
      <w:bCs/>
      <w:kern w:val="28"/>
      <w:sz w:val="32"/>
      <w:szCs w:val="32"/>
    </w:rPr>
  </w:style>
  <w:style w:type="paragraph" w:customStyle="1" w:styleId="104">
    <w:name w:val="xl72"/>
    <w:basedOn w:val="1"/>
    <w:qFormat/>
    <w:uiPriority w:val="0"/>
    <w:pPr>
      <w:widowControl/>
      <w:spacing w:before="100" w:beforeAutospacing="1" w:after="100" w:afterAutospacing="1" w:line="240" w:lineRule="auto"/>
      <w:ind w:firstLine="0" w:firstLineChars="0"/>
      <w:jc w:val="center"/>
    </w:pPr>
    <w:rPr>
      <w:rFonts w:cs="宋体"/>
      <w:kern w:val="0"/>
    </w:rPr>
  </w:style>
  <w:style w:type="paragraph" w:customStyle="1" w:styleId="105">
    <w:name w:val="正文（深信服）"/>
    <w:qFormat/>
    <w:uiPriority w:val="0"/>
    <w:pPr>
      <w:spacing w:line="360" w:lineRule="auto"/>
      <w:ind w:firstLine="420"/>
    </w:pPr>
    <w:rPr>
      <w:rFonts w:ascii="Arial" w:hAnsi="Arial" w:eastAsia="宋体" w:cs="Times New Roman"/>
      <w:sz w:val="24"/>
      <w:szCs w:val="21"/>
      <w:shd w:val="clear" w:color="auto" w:fill="FFFFFF"/>
      <w:lang w:val="en-US" w:eastAsia="zh-CN" w:bidi="ar-SA"/>
    </w:rPr>
  </w:style>
  <w:style w:type="paragraph" w:customStyle="1" w:styleId="106">
    <w:name w:val="xl70"/>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07">
    <w:name w:val="_Style 2"/>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paragraph" w:customStyle="1" w:styleId="108">
    <w:name w:val="正文缩进1"/>
    <w:basedOn w:val="1"/>
    <w:qFormat/>
    <w:uiPriority w:val="0"/>
    <w:pPr>
      <w:spacing w:line="240" w:lineRule="auto"/>
      <w:ind w:firstLine="420"/>
    </w:pPr>
    <w:rPr>
      <w:rFonts w:ascii="Times New Roman" w:hAnsi="Times New Roman"/>
      <w:sz w:val="21"/>
      <w:szCs w:val="20"/>
    </w:rPr>
  </w:style>
  <w:style w:type="paragraph" w:customStyle="1" w:styleId="109">
    <w:name w:val="xl68"/>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10">
    <w:name w:val="前言、引言标题"/>
    <w:next w:val="1"/>
    <w:qFormat/>
    <w:uiPriority w:val="99"/>
    <w:pPr>
      <w:shd w:val="clear" w:color="FFFFFF" w:fill="FFFFFF"/>
      <w:tabs>
        <w:tab w:val="left" w:pos="425"/>
      </w:tabs>
      <w:spacing w:before="640" w:after="560"/>
      <w:jc w:val="center"/>
      <w:outlineLvl w:val="0"/>
    </w:pPr>
    <w:rPr>
      <w:rFonts w:ascii="黑体" w:hAnsi="Times New Roman" w:eastAsia="黑体" w:cs="Times New Roman"/>
      <w:sz w:val="32"/>
      <w:lang w:val="en-US" w:eastAsia="zh-CN" w:bidi="ar-SA"/>
    </w:rPr>
  </w:style>
  <w:style w:type="paragraph" w:customStyle="1" w:styleId="111">
    <w:name w:val="Indent Normal"/>
    <w:basedOn w:val="1"/>
    <w:qFormat/>
    <w:uiPriority w:val="0"/>
    <w:pPr>
      <w:ind w:firstLine="150" w:firstLineChars="150"/>
    </w:pPr>
  </w:style>
  <w:style w:type="paragraph" w:customStyle="1" w:styleId="112">
    <w:name w:val="msonormal"/>
    <w:basedOn w:val="1"/>
    <w:qFormat/>
    <w:uiPriority w:val="0"/>
    <w:pPr>
      <w:widowControl/>
      <w:spacing w:before="100" w:beforeAutospacing="1" w:after="100" w:afterAutospacing="1" w:line="240" w:lineRule="auto"/>
      <w:ind w:firstLine="0" w:firstLineChars="0"/>
      <w:jc w:val="left"/>
    </w:pPr>
    <w:rPr>
      <w:rFonts w:cs="宋体"/>
      <w:kern w:val="0"/>
    </w:rPr>
  </w:style>
  <w:style w:type="paragraph" w:customStyle="1" w:styleId="113">
    <w:name w:val="正文 缩进2字符"/>
    <w:basedOn w:val="1"/>
    <w:qFormat/>
    <w:uiPriority w:val="0"/>
    <w:pPr>
      <w:spacing w:afterLines="50" w:line="240" w:lineRule="auto"/>
      <w:ind w:firstLine="0" w:firstLineChars="0"/>
    </w:pPr>
    <w:rPr>
      <w:rFonts w:ascii="Times New Roman" w:hAnsi="Times New Roman" w:cs="宋体"/>
      <w:sz w:val="21"/>
      <w:szCs w:val="20"/>
    </w:rPr>
  </w:style>
  <w:style w:type="paragraph" w:customStyle="1" w:styleId="114">
    <w:name w:val="列项●（二级）"/>
    <w:qFormat/>
    <w:uiPriority w:val="0"/>
    <w:pPr>
      <w:numPr>
        <w:ilvl w:val="0"/>
        <w:numId w:val="2"/>
      </w:numPr>
      <w:tabs>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115">
    <w:name w:val="助手文本"/>
    <w:basedOn w:val="1"/>
    <w:qFormat/>
    <w:uiPriority w:val="0"/>
    <w:pPr>
      <w:autoSpaceDE w:val="0"/>
      <w:autoSpaceDN w:val="0"/>
      <w:adjustRightInd w:val="0"/>
      <w:spacing w:beforeLines="50" w:afterLines="50"/>
      <w:ind w:left="14" w:firstLine="434"/>
      <w:textAlignment w:val="baseline"/>
    </w:pPr>
    <w:rPr>
      <w:rFonts w:ascii="楷体_GB2312" w:eastAsia="楷体_GB2312"/>
      <w:kern w:val="0"/>
      <w:szCs w:val="20"/>
      <w:u w:val="single"/>
    </w:rPr>
  </w:style>
  <w:style w:type="paragraph" w:customStyle="1" w:styleId="116">
    <w:name w:val="xl67"/>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17">
    <w:name w:val="段"/>
    <w:qFormat/>
    <w:uiPriority w:val="0"/>
    <w:pPr>
      <w:autoSpaceDE w:val="0"/>
      <w:autoSpaceDN w:val="0"/>
      <w:ind w:firstLine="200" w:firstLineChars="200"/>
      <w:jc w:val="both"/>
    </w:pPr>
    <w:rPr>
      <w:rFonts w:ascii="宋体" w:hAnsi="Times New Roman" w:eastAsia="宋体" w:cs="Calibri"/>
      <w:sz w:val="21"/>
      <w:lang w:val="en-US" w:eastAsia="zh-CN" w:bidi="ar-SA"/>
    </w:rPr>
  </w:style>
  <w:style w:type="paragraph" w:customStyle="1" w:styleId="11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cs="宋体"/>
      <w:kern w:val="0"/>
    </w:rPr>
  </w:style>
  <w:style w:type="paragraph" w:customStyle="1" w:styleId="119">
    <w:name w:val="Char Char Char Char Char Char1 Char"/>
    <w:basedOn w:val="1"/>
    <w:qFormat/>
    <w:uiPriority w:val="0"/>
    <w:pPr>
      <w:widowControl/>
      <w:spacing w:after="160" w:line="240" w:lineRule="exact"/>
      <w:jc w:val="left"/>
    </w:pPr>
  </w:style>
  <w:style w:type="paragraph" w:customStyle="1" w:styleId="120">
    <w:name w:val="PM_Body"/>
    <w:basedOn w:val="1"/>
    <w:qFormat/>
    <w:locked/>
    <w:uiPriority w:val="0"/>
    <w:rPr>
      <w:szCs w:val="21"/>
    </w:rPr>
  </w:style>
  <w:style w:type="paragraph" w:customStyle="1" w:styleId="121">
    <w:name w:val="Char Char1"/>
    <w:basedOn w:val="1"/>
    <w:qFormat/>
    <w:uiPriority w:val="0"/>
    <w:pPr>
      <w:widowControl/>
      <w:spacing w:before="120" w:after="120"/>
    </w:pPr>
    <w:rPr>
      <w:rFonts w:ascii="Times New Roman" w:hAnsi="Times New Roman" w:cs="宋体"/>
    </w:rPr>
  </w:style>
  <w:style w:type="paragraph" w:customStyle="1" w:styleId="122">
    <w:name w:val="xl71"/>
    <w:basedOn w:val="1"/>
    <w:qFormat/>
    <w:uiPriority w:val="0"/>
    <w:pPr>
      <w:widowControl/>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23">
    <w:name w:val="修订1"/>
    <w:unhideWhenUsed/>
    <w:qFormat/>
    <w:uiPriority w:val="99"/>
    <w:rPr>
      <w:rFonts w:ascii="宋体" w:hAnsi="宋体" w:eastAsia="宋体" w:cs="Times New Roman"/>
      <w:kern w:val="2"/>
      <w:sz w:val="24"/>
      <w:szCs w:val="24"/>
      <w:lang w:val="en-US" w:eastAsia="zh-CN" w:bidi="ar-SA"/>
    </w:rPr>
  </w:style>
  <w:style w:type="paragraph" w:customStyle="1" w:styleId="124">
    <w:name w:val="列出段落2"/>
    <w:basedOn w:val="1"/>
    <w:qFormat/>
    <w:uiPriority w:val="0"/>
    <w:pPr>
      <w:spacing w:line="240" w:lineRule="auto"/>
      <w:ind w:firstLine="420"/>
    </w:pPr>
    <w:rPr>
      <w:rFonts w:ascii="等线" w:hAnsi="等线" w:eastAsia="等线" w:cs="等线"/>
      <w:sz w:val="21"/>
      <w:szCs w:val="21"/>
    </w:rPr>
  </w:style>
  <w:style w:type="paragraph" w:customStyle="1" w:styleId="125">
    <w:name w:val="xl69"/>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kern w:val="0"/>
      <w:sz w:val="18"/>
      <w:szCs w:val="18"/>
    </w:rPr>
  </w:style>
  <w:style w:type="paragraph" w:customStyle="1" w:styleId="12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27">
    <w:name w:val="文档正文文本（中安网脉）"/>
    <w:basedOn w:val="1"/>
    <w:qFormat/>
    <w:uiPriority w:val="0"/>
    <w:pPr>
      <w:ind w:firstLine="200"/>
    </w:pPr>
    <w:rPr>
      <w:rFonts w:ascii="Times New Roman" w:hAnsi="Times New Roman" w:eastAsia="仿宋_GB2312"/>
      <w:color w:val="000000"/>
      <w:szCs w:val="28"/>
    </w:rPr>
  </w:style>
  <w:style w:type="paragraph" w:customStyle="1" w:styleId="128">
    <w:name w:val="xl6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29">
    <w:name w:val="正文样式"/>
    <w:unhideWhenUsed/>
    <w:qFormat/>
    <w:uiPriority w:val="0"/>
    <w:pPr>
      <w:widowControl w:val="0"/>
      <w:adjustRightInd w:val="0"/>
      <w:snapToGrid w:val="0"/>
      <w:spacing w:line="360" w:lineRule="auto"/>
      <w:ind w:firstLine="200" w:firstLineChars="200"/>
      <w:jc w:val="both"/>
    </w:pPr>
    <w:rPr>
      <w:rFonts w:ascii="Times New Roman" w:hAnsi="Times New Roman" w:eastAsia="宋体" w:cs="Times New Roman"/>
      <w:bCs/>
      <w:snapToGrid w:val="0"/>
      <w:sz w:val="24"/>
      <w:szCs w:val="44"/>
      <w:lang w:val="en-US" w:eastAsia="zh-CN" w:bidi="ar-SA"/>
    </w:rPr>
  </w:style>
  <w:style w:type="paragraph" w:customStyle="1" w:styleId="130">
    <w:name w:val="样式 行距: 1.5 倍行距 首行缩进:  2 字符"/>
    <w:basedOn w:val="1"/>
    <w:qFormat/>
    <w:uiPriority w:val="0"/>
    <w:pPr>
      <w:ind w:firstLine="560"/>
      <w:jc w:val="left"/>
    </w:pPr>
    <w:rPr>
      <w:rFonts w:ascii="仿宋" w:hAnsi="仿宋" w:eastAsia="仿宋" w:cs="宋体"/>
      <w:sz w:val="28"/>
      <w:szCs w:val="20"/>
    </w:rPr>
  </w:style>
  <w:style w:type="paragraph" w:customStyle="1" w:styleId="131">
    <w:name w:val="TOC 标题1"/>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table" w:customStyle="1" w:styleId="132">
    <w:name w:val="!我的表格1"/>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
    <w:name w:val="网格型1"/>
    <w:basedOn w:val="37"/>
    <w:unhideWhenUsed/>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4">
    <w:name w:val="标题 1 Char"/>
    <w:qFormat/>
    <w:uiPriority w:val="0"/>
    <w:rPr>
      <w:rFonts w:ascii="宋体" w:hAnsi="宋体" w:eastAsia="黑体"/>
      <w:b/>
      <w:bCs/>
      <w:kern w:val="44"/>
      <w:sz w:val="32"/>
      <w:szCs w:val="28"/>
    </w:rPr>
  </w:style>
  <w:style w:type="character" w:customStyle="1" w:styleId="135">
    <w:name w:val="纯文本 Char2"/>
    <w:qFormat/>
    <w:uiPriority w:val="0"/>
    <w:rPr>
      <w:rFonts w:ascii="宋体" w:hAnsi="宋体" w:eastAsia="宋体" w:cs="Times New Roman"/>
      <w:color w:val="000000"/>
      <w:kern w:val="0"/>
      <w:sz w:val="24"/>
      <w:szCs w:val="24"/>
    </w:rPr>
  </w:style>
  <w:style w:type="paragraph" w:customStyle="1" w:styleId="136">
    <w:name w:val="列出段落1"/>
    <w:basedOn w:val="1"/>
    <w:qFormat/>
    <w:uiPriority w:val="34"/>
    <w:pPr>
      <w:spacing w:line="240" w:lineRule="auto"/>
      <w:ind w:firstLine="420"/>
    </w:pPr>
    <w:rPr>
      <w:rFonts w:ascii="Calibri" w:hAnsi="Calibri"/>
      <w:sz w:val="21"/>
      <w:szCs w:val="22"/>
    </w:rPr>
  </w:style>
  <w:style w:type="paragraph" w:customStyle="1" w:styleId="137">
    <w:name w:val="B-表正文"/>
    <w:qFormat/>
    <w:uiPriority w:val="0"/>
    <w:rPr>
      <w:rFonts w:ascii="Times New Roman" w:hAnsi="Times New Roman" w:eastAsia="仿宋" w:cstheme="minorBidi"/>
      <w:kern w:val="2"/>
      <w:sz w:val="21"/>
      <w:szCs w:val="24"/>
      <w:lang w:val="en-US" w:eastAsia="zh-CN" w:bidi="ar-SA"/>
    </w:rPr>
  </w:style>
  <w:style w:type="paragraph" w:customStyle="1" w:styleId="138">
    <w:name w:val="样式2"/>
    <w:basedOn w:val="1"/>
    <w:qFormat/>
    <w:uiPriority w:val="0"/>
    <w:pPr>
      <w:widowControl/>
      <w:adjustRightInd w:val="0"/>
    </w:pPr>
    <w:rPr>
      <w:kern w:val="0"/>
      <w:lang w:eastAsia="en-US"/>
    </w:rPr>
  </w:style>
  <w:style w:type="paragraph" w:customStyle="1" w:styleId="139">
    <w:name w:val="修订2"/>
    <w:hidden/>
    <w:semiHidden/>
    <w:qFormat/>
    <w:uiPriority w:val="99"/>
    <w:rPr>
      <w:rFonts w:ascii="宋体" w:hAnsi="宋体" w:eastAsia="宋体" w:cs="Times New Roman"/>
      <w:kern w:val="2"/>
      <w:sz w:val="24"/>
      <w:szCs w:val="24"/>
      <w:lang w:val="en-US" w:eastAsia="zh-CN" w:bidi="ar-SA"/>
    </w:rPr>
  </w:style>
  <w:style w:type="paragraph" w:customStyle="1" w:styleId="140">
    <w:name w:val="修订3"/>
    <w:hidden/>
    <w:unhideWhenUsed/>
    <w:qFormat/>
    <w:uiPriority w:val="99"/>
    <w:rPr>
      <w:rFonts w:ascii="宋体" w:hAnsi="宋体" w:eastAsia="宋体" w:cs="Times New Roman"/>
      <w:kern w:val="2"/>
      <w:sz w:val="24"/>
      <w:szCs w:val="24"/>
      <w:lang w:val="en-US" w:eastAsia="zh-CN" w:bidi="ar-SA"/>
    </w:rPr>
  </w:style>
  <w:style w:type="paragraph" w:customStyle="1" w:styleId="141">
    <w:name w:val="修订4"/>
    <w:hidden/>
    <w:unhideWhenUsed/>
    <w:qFormat/>
    <w:uiPriority w:val="99"/>
    <w:rPr>
      <w:rFonts w:ascii="宋体" w:hAnsi="宋体" w:eastAsia="宋体" w:cs="Times New Roman"/>
      <w:kern w:val="2"/>
      <w:sz w:val="24"/>
      <w:szCs w:val="24"/>
      <w:lang w:val="en-US" w:eastAsia="zh-CN" w:bidi="ar-SA"/>
    </w:rPr>
  </w:style>
  <w:style w:type="paragraph" w:customStyle="1" w:styleId="142">
    <w:name w:val="Revision"/>
    <w:hidden/>
    <w:unhideWhenUsed/>
    <w:qFormat/>
    <w:uiPriority w:val="99"/>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emf"/><Relationship Id="rId17" Type="http://schemas.openxmlformats.org/officeDocument/2006/relationships/oleObject" Target="embeddings/oleObject2.bin"/><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16dd4db8-3db3-4a47-bfae-9ee4d77d774a</errorID>
      <errorWord xmlns="http://schemas.wps.cn/vas-ai-hub/contract-review">签订之日起至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签订之日起</item>
      </candidateList>
      <explain xmlns="http://schemas.wps.cn/vas-ai-hub/contract-review"/>
      <paraID xmlns="http://schemas.wps.cn/vas-ai-hub/contract-review">4579D797</paraID>
      <start xmlns="http://schemas.wps.cn/vas-ai-hub/contract-review">8</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c9f0bf21-3e30-4228-a99a-7ca27daafacc</errorID>
      <errorWord xmlns="http://schemas.wps.cn/vas-ai-hub/contract-review">对于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35BC095D</paraID>
      <start xmlns="http://schemas.wps.cn/vas-ai-hub/contract-review">151</start>
      <end xmlns="http://schemas.wps.cn/vas-ai-hub/contract-review">153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acb2c5ae-7cb0-4d31-9174-8f29c689b2a5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F266D91</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6293b702-93bb-4d86-9766-6e4e71f1079f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25F2B2E2</paraID>
      <start xmlns="http://schemas.wps.cn/vas-ai-hub/contract-review">117</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d34d853d-23a4-40ec-83fe-9eab71c01981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59223B4F</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605d9ddf-1937-40b0-a8e1-abc93b9a5d8b</errorID>
      <errorWord xmlns="http://schemas.wps.cn/vas-ai-hub/contract-review">专精特新小巨人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item>
      </candidateList>
      <explain xmlns="http://schemas.wps.cn/vas-ai-hub/contract-review">注意检查当前固定表述标点是否使用规范。</explain>
      <paraID xmlns="http://schemas.wps.cn/vas-ai-hub/contract-review">377F068D</paraID>
      <start xmlns="http://schemas.wps.cn/vas-ai-hub/contract-review">33</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cb04cf8f-2307-467c-b198-bdb04a812ac4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77FE8339</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6a9a2355-997a-4b6b-a686-d140c004f927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10C9ACD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93cc990a-edda-4f4f-a83b-34ee8ead131e</errorID>
      <errorWord xmlns="http://schemas.wps.cn/vas-ai-hub/contract-review">信为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信</item>
      </candidateList>
      <explain xmlns="http://schemas.wps.cn/vas-ai-hub/contract-review"/>
      <paraID xmlns="http://schemas.wps.cn/vas-ai-hub/contract-review">30535964</paraID>
      <start xmlns="http://schemas.wps.cn/vas-ai-hub/contract-review">468</start>
      <end xmlns="http://schemas.wps.cn/vas-ai-hub/contract-review">470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e5629253-21e7-443f-abca-a0431a243517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4CD2092A</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6a90b77f-f43b-47dc-a4c9-6d133cf0ab72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5B8BD66</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c0c29b84-91f7-478d-8357-817d5e866251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、市</item>
      </candidateList>
      <explain xmlns="http://schemas.wps.cn/vas-ai-hub/contract-review"/>
      <paraID xmlns="http://schemas.wps.cn/vas-ai-hub/contract-review">676BA391</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5253b019-3d6c-41bf-a0a7-06df697b41e6</errorID>
      <errorWord xmlns="http://schemas.wps.cn/vas-ai-hub/contract-review">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委等</item>
      </candidateList>
      <explain xmlns="http://schemas.wps.cn/vas-ai-hub/contract-review"/>
      <paraID xmlns="http://schemas.wps.cn/vas-ai-hub/contract-review">676BA391</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3b1c1c40-2ec2-4e92-8182-ccb0efce977d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676BA391</paraID>
      <start xmlns="http://schemas.wps.cn/vas-ai-hub/contract-review">118</start>
      <end xmlns="http://schemas.wps.cn/vas-ai-hub/contract-review">119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4832b999-95d3-404f-b318-b3138af4f237</errorID>
      <errorWord xmlns="http://schemas.wps.cn/vas-ai-hub/contract-review">十五五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“十五五”</item>
      </candidateList>
      <explain xmlns="http://schemas.wps.cn/vas-ai-hub/contract-review">注意检查当前固定表述标点是否使用规范。</explain>
      <paraID xmlns="http://schemas.wps.cn/vas-ai-hub/contract-review">676BA391</paraID>
      <start xmlns="http://schemas.wps.cn/vas-ai-hub/contract-review">409</start>
      <end xmlns="http://schemas.wps.cn/vas-ai-hub/contract-review">412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a0361b78-adc0-465f-83f7-89c4ffca3f88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676BA391</paraID>
      <start xmlns="http://schemas.wps.cn/vas-ai-hub/contract-review">648</start>
      <end xmlns="http://schemas.wps.cn/vas-ai-hub/contract-review">649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f937ca29-8e80-40ab-9e0e-37e4ce06429f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676BA391</paraID>
      <start xmlns="http://schemas.wps.cn/vas-ai-hub/contract-review">651</start>
      <end xmlns="http://schemas.wps.cn/vas-ai-hub/contract-review">652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f515ae10-e72e-4364-bf3c-808a91a7df26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676BA391</paraID>
      <start xmlns="http://schemas.wps.cn/vas-ai-hub/contract-review">654</start>
      <end xmlns="http://schemas.wps.cn/vas-ai-hub/contract-review">655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031234c8-a42f-4fd3-a7c1-dcc4fefe9e30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5C7B9D07</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0b6ff278-43c7-4986-9f70-7d505b89f3f0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535AF61</paraID>
      <start xmlns="http://schemas.wps.cn/vas-ai-hub/contract-review">488</start>
      <end xmlns="http://schemas.wps.cn/vas-ai-hub/contract-review">489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9449ef28-276c-4af2-bdfd-7bb8b8a33f27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535AF61</paraID>
      <start xmlns="http://schemas.wps.cn/vas-ai-hub/contract-review">493</start>
      <end xmlns="http://schemas.wps.cn/vas-ai-hub/contract-review">494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f6f626f7-f399-4f0e-8793-2926a3ac077b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535AF61</paraID>
      <start xmlns="http://schemas.wps.cn/vas-ai-hub/contract-review">498</start>
      <end xmlns="http://schemas.wps.cn/vas-ai-hub/contract-review">499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c1bbd999-406f-4097-85db-5b10d162a098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19152F2D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89b48379-5f6f-4901-b4c2-fd9c654585f1</errorID>
      <errorWord xmlns="http://schemas.wps.cn/vas-ai-hub/contract-review">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委等</item>
      </candidateList>
      <explain xmlns="http://schemas.wps.cn/vas-ai-hub/contract-review"/>
      <paraID xmlns="http://schemas.wps.cn/vas-ai-hub/contract-review">7A5BBEA7</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1f05b9c2-c0d6-4afc-bab4-4ae153ff6ccb</errorID>
      <errorWord xmlns="http://schemas.wps.cn/vas-ai-hub/contract-review">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监局</item>
      </candidateList>
      <explain xmlns="http://schemas.wps.cn/vas-ai-hub/contract-review"/>
      <paraID xmlns="http://schemas.wps.cn/vas-ai-hub/contract-review">7A5BBEA7</paraID>
      <start xmlns="http://schemas.wps.cn/vas-ai-hub/contract-review">208</start>
      <end xmlns="http://schemas.wps.cn/vas-ai-hub/contract-review">209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d6d7a161-55d5-499a-b8e7-1c8a0b98f1f3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79DF1147</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5fea263c-7c94-40d5-9a83-27765915f603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4DF94779</paraID>
      <start xmlns="http://schemas.wps.cn/vas-ai-hub/contract-review">198</start>
      <end xmlns="http://schemas.wps.cn/vas-ai-hub/contract-review">199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88433968-d033-43ad-882a-71b23eabb117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4DF94779</paraID>
      <start xmlns="http://schemas.wps.cn/vas-ai-hub/contract-review">206</start>
      <end xmlns="http://schemas.wps.cn/vas-ai-hub/contract-review">207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8060101f-c022-43cc-8123-734d43bb8d1d</errorID>
      <errorWord xmlns="http://schemas.wps.cn/vas-ai-hub/contract-review">用地得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用地</item>
      </candidateList>
      <explain xmlns="http://schemas.wps.cn/vas-ai-hub/contract-review"/>
      <paraID xmlns="http://schemas.wps.cn/vas-ai-hub/contract-review">4DF94779</paraID>
      <start xmlns="http://schemas.wps.cn/vas-ai-hub/contract-review">861</start>
      <end xmlns="http://schemas.wps.cn/vas-ai-hub/contract-review">864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4aef72fd-2354-4f5f-b4ec-2ceae607e651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10BCC24B</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ec270856-faf0-4992-b9ef-2fd3da7bb43d</errorID>
      <errorWord xmlns="http://schemas.wps.cn/vas-ai-hub/contract-review">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集的</item>
      </candidateList>
      <explain xmlns="http://schemas.wps.cn/vas-ai-hub/contract-review"/>
      <paraID xmlns="http://schemas.wps.cn/vas-ai-hub/contract-review">23F0F083</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d38062cc-1ba1-40e0-aaaa-088b72d6f449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23F0F083</paraID>
      <start xmlns="http://schemas.wps.cn/vas-ai-hub/contract-review">410</start>
      <end xmlns="http://schemas.wps.cn/vas-ai-hub/contract-review">411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f129cc9c-7dfc-47ba-b2ef-8bd84e2233a0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23F0F083</paraID>
      <start xmlns="http://schemas.wps.cn/vas-ai-hub/contract-review">419</start>
      <end xmlns="http://schemas.wps.cn/vas-ai-hub/contract-review">420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353752ec-4be9-42ec-bd54-a201c9d218a9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4AC9AF27</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417e6bb0-340d-430c-bfbc-31d3bf929640</errorID>
      <errorWord xmlns="http://schemas.wps.cn/vas-ai-hub/contract-review">得</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的</item>
      </candidateList>
      <explain xmlns="http://schemas.wps.cn/vas-ai-hub/contract-review"/>
      <paraID xmlns="http://schemas.wps.cn/vas-ai-hub/contract-review">37EBB69E</paraID>
      <start xmlns="http://schemas.wps.cn/vas-ai-hub/contract-review">595</start>
      <end xmlns="http://schemas.wps.cn/vas-ai-hub/contract-review">596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dda93091-d23d-4917-89be-466145745e25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37EBB69E</paraID>
      <start xmlns="http://schemas.wps.cn/vas-ai-hub/contract-review">617</start>
      <end xmlns="http://schemas.wps.cn/vas-ai-hub/contract-review">618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e726a7e3-d229-4eb4-87ec-caf7d5e16414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37EBB69E</paraID>
      <start xmlns="http://schemas.wps.cn/vas-ai-hub/contract-review">623</start>
      <end xmlns="http://schemas.wps.cn/vas-ai-hub/contract-review">624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42d9e339-5608-44aa-bc71-0dc3bb46b9c8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37EBB69E</paraID>
      <start xmlns="http://schemas.wps.cn/vas-ai-hub/contract-review">628</start>
      <end xmlns="http://schemas.wps.cn/vas-ai-hub/contract-review">629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2f1abf1b-6f21-43f8-9b58-0ef508286404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7779E737</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f8e86a4b-1b62-4365-9f69-0d6b79a00300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，每</item>
      </candidateList>
      <explain xmlns="http://schemas.wps.cn/vas-ai-hub/contract-review"/>
      <paraID xmlns="http://schemas.wps.cn/vas-ai-hub/contract-review">70776EF1</paraID>
      <start xmlns="http://schemas.wps.cn/vas-ai-hub/contract-review">592</start>
      <end xmlns="http://schemas.wps.cn/vas-ai-hub/contract-review">593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b763ce6b-320c-44b9-b7f0-fbe7f715de52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5259D46F</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abda644d-4933-487d-8c53-43e4ac9ec623</errorID>
      <errorWord xmlns="http://schemas.wps.cn/vas-ai-hub/contract-review">得</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的</item>
      </candidateList>
      <explain xmlns="http://schemas.wps.cn/vas-ai-hub/contract-review"/>
      <paraID xmlns="http://schemas.wps.cn/vas-ai-hub/contract-review">512A62E9</paraID>
      <start xmlns="http://schemas.wps.cn/vas-ai-hub/contract-review">398</start>
      <end xmlns="http://schemas.wps.cn/vas-ai-hub/contract-review">399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0819fd95-b749-44ca-9fdb-29491ecda309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79E6C7E9</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57669c8f-13d8-4b3b-a403-2400e1a428fa</errorID>
      <errorWord xmlns="http://schemas.wps.cn/vas-ai-hub/contract-review">、以及</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，以及</item>
      </candidateList>
      <explain xmlns="http://schemas.wps.cn/vas-ai-hub/contract-review">连接词前后不宜使用顿号，建议使用逗号。</explain>
      <paraID xmlns="http://schemas.wps.cn/vas-ai-hub/contract-review">47C2987F</paraID>
      <start xmlns="http://schemas.wps.cn/vas-ai-hub/contract-review">9</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7fca8807-0b10-42d3-af77-cf860f0c0123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83A0484</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bedf6705-0994-4d51-8f2f-a1e32a0e0427</errorID>
      <errorWord xmlns="http://schemas.wps.cn/vas-ai-hub/contract-review">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委等</item>
      </candidateList>
      <explain xmlns="http://schemas.wps.cn/vas-ai-hub/contract-review"/>
      <paraID xmlns="http://schemas.wps.cn/vas-ai-hub/contract-review">15199517</paraID>
      <start xmlns="http://schemas.wps.cn/vas-ai-hub/contract-review">276</start>
      <end xmlns="http://schemas.wps.cn/vas-ai-hub/contract-review">277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839a95d5-fa17-4388-9618-42321b227c5e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24AC9A46</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e4765159-342c-4f3b-99e0-4ab7221e79d1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25F6BB8C</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212809d1-ac56-48c5-be02-1213d06a0805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，每</item>
      </candidateList>
      <explain xmlns="http://schemas.wps.cn/vas-ai-hub/contract-review"/>
      <paraID xmlns="http://schemas.wps.cn/vas-ai-hub/contract-review">5409E2C2</paraID>
      <start xmlns="http://schemas.wps.cn/vas-ai-hub/contract-review">638</start>
      <end xmlns="http://schemas.wps.cn/vas-ai-hub/contract-review">639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dc359dea-46ec-42d1-b3f6-e381c1001037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774A4CEA</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d44f9ebf-d413-4c09-93ba-ae5f1299b03c</errorID>
      <errorWord xmlns="http://schemas.wps.cn/vas-ai-hub/contract-review">建设企业企业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建设企业</item>
      </candidateList>
      <explain xmlns="http://schemas.wps.cn/vas-ai-hub/contract-review"/>
      <paraID xmlns="http://schemas.wps.cn/vas-ai-hub/contract-review">467B17B4</paraID>
      <start xmlns="http://schemas.wps.cn/vas-ai-hub/contract-review">26</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5c5951dd-290e-44c8-894f-58c322a7cd9a</errorID>
      <errorWord xmlns="http://schemas.wps.cn/vas-ai-hub/contract-review">双碳</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“双碳”</item>
      </candidateList>
      <explain xmlns="http://schemas.wps.cn/vas-ai-hub/contract-review">注意检查当前固定表述标点是否使用规范。</explain>
      <paraID xmlns="http://schemas.wps.cn/vas-ai-hub/contract-review">467B17B4</paraID>
      <start xmlns="http://schemas.wps.cn/vas-ai-hub/contract-review">125</start>
      <end xmlns="http://schemas.wps.cn/vas-ai-hub/contract-review">127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332ef9f4-b6ae-466c-94e4-e9a51ff7c54f</errorID>
      <errorWord xmlns="http://schemas.wps.cn/vas-ai-hub/contract-review">双碳</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“双碳”</item>
      </candidateList>
      <explain xmlns="http://schemas.wps.cn/vas-ai-hub/contract-review">注意检查当前固定表述标点是否使用规范。</explain>
      <paraID xmlns="http://schemas.wps.cn/vas-ai-hub/contract-review">467B17B4</paraID>
      <start xmlns="http://schemas.wps.cn/vas-ai-hub/contract-review">385</start>
      <end xmlns="http://schemas.wps.cn/vas-ai-hub/contract-review">387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e7bec9fa-ff54-42a7-846c-736593f69c0b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223AB45E</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a56a821f-3487-4137-879a-fce56cb026d3</errorID>
      <errorWord xmlns="http://schemas.wps.cn/vas-ai-hub/contract-review">企业企业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企业</item>
      </candidateList>
      <explain xmlns="http://schemas.wps.cn/vas-ai-hub/contract-review"/>
      <paraID xmlns="http://schemas.wps.cn/vas-ai-hub/contract-review">55044A3A</paraID>
      <start xmlns="http://schemas.wps.cn/vas-ai-hub/contract-review">23</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35e9407e-6d02-4faf-9987-4fe90dfe74c4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4D57EB34</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9de756ab-6af4-4cf4-b507-8d94718816c8</errorID>
      <errorWord xmlns="http://schemas.wps.cn/vas-ai-hub/contract-review">电子信息行业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电子信息产业</item>
      </candidateList>
      <explain xmlns="http://schemas.wps.cn/vas-ai-hub/contract-review">词汇“电子信息产业”在特定场景下为固定表述形式，请确认此处的“电子信息行业”是否存在不当。</explain>
      <paraID xmlns="http://schemas.wps.cn/vas-ai-hub/contract-review">3C26A8E2</paraID>
      <start xmlns="http://schemas.wps.cn/vas-ai-hub/contract-review">4</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e2495f84-1b09-4b8c-a45c-de24dc54a652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
      <paraID xmlns="http://schemas.wps.cn/vas-ai-hub/contract-review">5B71F01D</paraID>
      <start xmlns="http://schemas.wps.cn/vas-ai-hub/contract-review">172</start>
      <end xmlns="http://schemas.wps.cn/vas-ai-hub/contract-review">173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b368a39e-e843-4ae3-854d-1d697cf4408e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7D418D31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e116c5b9-b33c-4251-908e-01caf6566c34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4FEF25F3</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85c72364-c56f-40fd-8f7b-75f912b56265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634AAF05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31444600-a3b6-464a-94c0-7ac486fa41e7</errorID>
      <errorWord xmlns="http://schemas.wps.cn/vas-ai-hub/contract-review">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速和</item>
      </candidateList>
      <explain xmlns="http://schemas.wps.cn/vas-ai-hub/contract-review"/>
      <paraID xmlns="http://schemas.wps.cn/vas-ai-hub/contract-review">56EF7776</paraID>
      <start xmlns="http://schemas.wps.cn/vas-ai-hub/contract-review">103</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0cf146c6-6eec-4c2e-8898-c8cda5537820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14F7373C</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1e081f78-a1d7-48a6-b703-d37b02f1d9c6</errorID>
      <errorWord xmlns="http://schemas.wps.cn/vas-ai-hub/contract-review">专精特新、小巨人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item>
      </candidateList>
      <explain xmlns="http://schemas.wps.cn/vas-ai-hub/contract-review">注意检查当前固定表述标点是否使用规范。</explain>
      <paraID xmlns="http://schemas.wps.cn/vas-ai-hub/contract-review">35411B26</paraID>
      <start xmlns="http://schemas.wps.cn/vas-ai-hub/contract-review">337</start>
      <end xmlns="http://schemas.wps.cn/vas-ai-hub/contract-review">345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1e6dd623-a094-4aae-913b-b43b064452f7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4759F4A4</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3788950a-b3f4-4b8d-bf40-e2b472cb3111</errorID>
      <errorWord xmlns="http://schemas.wps.cn/vas-ai-hub/contract-review">十五五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“十五五”</item>
      </candidateList>
      <explain xmlns="http://schemas.wps.cn/vas-ai-hub/contract-review">注意检查当前固定表述标点是否使用规范。</explain>
      <paraID xmlns="http://schemas.wps.cn/vas-ai-hub/contract-review">4F2878E4</paraID>
      <start xmlns="http://schemas.wps.cn/vas-ai-hub/contract-review">66</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852e3280-43e3-45f2-807c-d8565d47f41f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4F2878E4</paraID>
      <start xmlns="http://schemas.wps.cn/vas-ai-hub/contract-review">293</start>
      <end xmlns="http://schemas.wps.cn/vas-ai-hub/contract-review">294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962b36c3-db9f-4661-a4bc-07380a647f92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4F2878E4</paraID>
      <start xmlns="http://schemas.wps.cn/vas-ai-hub/contract-review">296</start>
      <end xmlns="http://schemas.wps.cn/vas-ai-hub/contract-review">297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03bdf060-b149-464e-8f2a-4a89b6da5321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4F2878E4</paraID>
      <start xmlns="http://schemas.wps.cn/vas-ai-hub/contract-review">299</start>
      <end xmlns="http://schemas.wps.cn/vas-ai-hub/contract-review">300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ca578f5d-8c92-4127-b271-5fe0239939a3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512CFE5D</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4b2e6fd3-ded8-4340-b8ea-e566f27c5ea9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65BA0C36</paraID>
      <start xmlns="http://schemas.wps.cn/vas-ai-hub/contract-review">186</start>
      <end xmlns="http://schemas.wps.cn/vas-ai-hub/contract-review">187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b7f334da-3898-4f29-b214-1c3e56ffbbad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65BA0C36</paraID>
      <start xmlns="http://schemas.wps.cn/vas-ai-hub/contract-review">189</start>
      <end xmlns="http://schemas.wps.cn/vas-ai-hub/contract-review">190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abc061f5-a593-417f-b42d-10039b29cddf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65BA0C36</paraID>
      <start xmlns="http://schemas.wps.cn/vas-ai-hub/contract-review">192</start>
      <end xmlns="http://schemas.wps.cn/vas-ai-hub/contract-review">193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225cf26d-3deb-4c47-ba74-fc638719a7de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515DB28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47bb16d2-b32c-465b-b432-707f5dc9d8a2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3FFAAE6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c3ae7295-86d1-44a8-9eef-c4a3df805a4f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30DB349A</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f03ba11d-d255-40fd-8d1b-4e882a1fbbb0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55EA1AA0</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41c49119-3618-437f-8d5d-9cb6f886142f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1FF293D5</paraID>
      <start xmlns="http://schemas.wps.cn/vas-ai-hub/contract-review">88</start>
      <end xmlns="http://schemas.wps.cn/vas-ai-hub/contract-review">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219828a2-d1ef-4632-b8e3-73d2c6d2b0fd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1FF293D5</paraID>
      <start xmlns="http://schemas.wps.cn/vas-ai-hub/contract-review">101</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191ec3f5-5df2-433a-8afd-f923e15a2f5b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1FF293D5</paraID>
      <start xmlns="http://schemas.wps.cn/vas-ai-hub/contract-review">116</start>
      <end xmlns="http://schemas.wps.cn/vas-ai-hub/contract-review">119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222f3260-444f-4ad0-b8d0-a0ccaedc347e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1F3649FD</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b1d8bb46-f7a6-4606-a67b-694f314e8376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37C31819</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47785869-6fb5-43e5-936d-1b21413bdb14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665F54C7</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412551c6-f892-4161-95a0-e4a835c3b715</errorID>
      <errorWord xmlns="http://schemas.wps.cn/vas-ai-hub/contract-review">专精特新 “小巨人”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item>
      </candidateList>
      <explain xmlns="http://schemas.wps.cn/vas-ai-hub/contract-review">词汇“专精特新“小巨人””在特定场景下为固定表述形式，请确认此处的“专精特新 “小巨人””是否存在不当。</explain>
      <paraID xmlns="http://schemas.wps.cn/vas-ai-hub/contract-review">3F75F3F0</paraID>
      <start xmlns="http://schemas.wps.cn/vas-ai-hub/contract-review">66</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777fe1c4-7a7d-4258-aab6-767f2c7e39fb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3F75F3F0</paraID>
      <start xmlns="http://schemas.wps.cn/vas-ai-hub/contract-review">204</start>
      <end xmlns="http://schemas.wps.cn/vas-ai-hub/contract-review">205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e07e76d7-d28f-4b26-a90a-3088d590db0b</errorID>
      <errorWord xmlns="http://schemas.wps.cn/vas-ai-hub/contract-review">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迹和</item>
      </candidateList>
      <explain xmlns="http://schemas.wps.cn/vas-ai-hub/contract-review"/>
      <paraID xmlns="http://schemas.wps.cn/vas-ai-hub/contract-review">3F75F3F0</paraID>
      <start xmlns="http://schemas.wps.cn/vas-ai-hub/contract-review">216</start>
      <end xmlns="http://schemas.wps.cn/vas-ai-hub/contract-review">217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124675c0-aca9-4eb2-9190-6c7aed8daf2f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3F75F3F0</paraID>
      <start xmlns="http://schemas.wps.cn/vas-ai-hub/contract-review">221</start>
      <end xmlns="http://schemas.wps.cn/vas-ai-hub/contract-review">222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6c7b9f6d-b9d8-4b05-9a49-1f084e782901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1FB09C66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cbacee2d-c9c0-43e9-9b5e-8f6d07c3184b</errorID>
      <errorWord xmlns="http://schemas.wps.cn/vas-ai-hub/contract-review">十五五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“十五五”</item>
      </candidateList>
      <explain xmlns="http://schemas.wps.cn/vas-ai-hub/contract-review">注意检查当前固定表述标点是否使用规范。</explain>
      <paraID xmlns="http://schemas.wps.cn/vas-ai-hub/contract-review">477FA80F</paraID>
      <start xmlns="http://schemas.wps.cn/vas-ai-hub/contract-review">62</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85411893-ae75-4881-a22a-9c86be0f2672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477FA80F</paraID>
      <start xmlns="http://schemas.wps.cn/vas-ai-hub/contract-review">145</start>
      <end xmlns="http://schemas.wps.cn/vas-ai-hub/contract-review">146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d7a1a781-31e1-4cad-85e7-1e0f6b62cf9d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35D07B9</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e094bb4c-7da8-4419-9983-70b6978462a1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5D876DDA</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97171fe8-e992-4689-8e92-c0e6c59beff1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553933A1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eb10a476-574c-41bb-a1f4-f352b5ea2a15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553933A1</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a948c70a-ff46-449b-a28e-eeac6658510f</errorID>
      <errorWord xmlns="http://schemas.wps.cn/vas-ai-hub/contract-review">揭榜挂帅</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“揭榜挂帅”</item>
      </candidateList>
      <explain xmlns="http://schemas.wps.cn/vas-ai-hub/contract-review">注意检查当前固定表述标点是否使用规范。</explain>
      <paraID xmlns="http://schemas.wps.cn/vas-ai-hub/contract-review"> F9D7201</paraID>
      <start xmlns="http://schemas.wps.cn/vas-ai-hub/contract-review">50</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579ff8b4-364a-4eab-92c0-0d1e72fc846e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56ACD97D</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e489abc0-8f3c-466f-bf79-1d27a1401c9c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56ACD97D</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45fa1800-2dc1-4d5d-bd0b-042a3a5c1109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5670295E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0739c826-423f-4610-bbf2-eab84b1e14e5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6A6A30A5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31e5ab00-ae52-40e2-a1cf-b5a02b80bf94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43AF3E71</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f8e8756e-a44d-46b3-bb66-ea5bca6a0065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43AF3E71</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ed147d4f-226d-4fed-94f5-c060d63aa57f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2A0B6E8</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28094be8-1174-4029-b042-1e70116ba7af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53F1F505</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968fc692-62fb-4797-bd20-4a202ad2ac8f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25CAB85B</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86bb545f-0617-415b-a1ba-507d66fa67ec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465C18C9</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60285c18-17e7-40b0-9d9b-c1f93709d532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465C18C9</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c36ee23a-d230-4ce1-80c6-fc95088ce543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3429CD52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c280cb8a-6816-42bf-b8c6-584ca3bfbcd8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3429CD52</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7922d3ac-c47b-4e83-8b2d-fdd4924ac08e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32724B1F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d85e269c-faab-4cfc-81b5-2b72667769de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7490BD53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7cf16fdd-cbcd-40c3-a94d-ec4e75354ab1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7490BD53</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f3b32173-865f-40f7-8a77-110920acf5ad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3AB1CDF8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a0d48a5b-e151-44d0-9d04-4490081e0ee3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3AB1CDF8</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a421edaa-690f-4fb4-adb0-2c72d0c8c7d2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209376A6</paraID>
      <start xmlns="http://schemas.wps.cn/vas-ai-hub/contract-review">95</start>
      <end xmlns="http://schemas.wps.cn/vas-ai-hub/contract-review">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8bc5341b-5942-459a-85cf-5dc12898b4cb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209376A6</paraID>
      <start xmlns="http://schemas.wps.cn/vas-ai-hub/contract-review">159</start>
      <end xmlns="http://schemas.wps.cn/vas-ai-hub/contract-review">160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f75c594d-07ae-4b6e-a9cb-b99af6714a90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174DCDEC</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bc948800-85dc-4f48-9733-1d9af82a2889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174DCDEC</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68e3deb6-8500-4b25-a704-4257a8ca45ad</errorID>
      <errorWord xmlns="http://schemas.wps.cn/vas-ai-hub/contract-review">专精特新小巨人企业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专精特新“小巨人”企业</item>
      </candidateList>
      <explain xmlns="http://schemas.wps.cn/vas-ai-hub/contract-review">注意检查当前固定表述标点是否使用规范。</explain>
      <paraID xmlns="http://schemas.wps.cn/vas-ai-hub/contract-review"> 28024A0</paraID>
      <start xmlns="http://schemas.wps.cn/vas-ai-hub/contract-review">5</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1b5510e6-4678-426d-a717-5a56c39b083e</errorID>
      <errorWord xmlns="http://schemas.wps.cn/vas-ai-hub/contract-review">专精特新小巨人企业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专精特新“小巨人”企业</item>
      </candidateList>
      <explain xmlns="http://schemas.wps.cn/vas-ai-hub/contract-review">注意检查当前固定表述标点是否使用规范。</explain>
      <paraID xmlns="http://schemas.wps.cn/vas-ai-hub/contract-review"> 28024A0</paraID>
      <start xmlns="http://schemas.wps.cn/vas-ai-hub/contract-review">19</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0ebbf023-9153-4f1c-952d-e8751606079c</errorID>
      <errorWord xmlns="http://schemas.wps.cn/vas-ai-hub/contract-review">专精特新小巨人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item>
      </candidateList>
      <explain xmlns="http://schemas.wps.cn/vas-ai-hub/contract-review">注意检查当前固定表述标点是否使用规范。</explain>
      <paraID xmlns="http://schemas.wps.cn/vas-ai-hub/contract-review"> 28024A0</paraID>
      <start xmlns="http://schemas.wps.cn/vas-ai-hub/contract-review">110</start>
      <end xmlns="http://schemas.wps.cn/vas-ai-hub/contract-review">117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1bae2000-d0aa-496b-9743-1275ac09e097</errorID>
      <errorWord xmlns="http://schemas.wps.cn/vas-ai-hub/contract-review">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
      <paraID xmlns="http://schemas.wps.cn/vas-ai-hub/contract-review"> 28024A0</paraID>
      <start xmlns="http://schemas.wps.cn/vas-ai-hub/contract-review">221</start>
      <end xmlns="http://schemas.wps.cn/vas-ai-hub/contract-review">222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3942da2f-b425-4c6a-af9c-ab1aa8d557a8</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作用</item>
      </candidateList>
      <explain xmlns="http://schemas.wps.cn/vas-ai-hub/contract-review"/>
      <paraID xmlns="http://schemas.wps.cn/vas-ai-hub/contract-review"> 28024A0</paraID>
      <start xmlns="http://schemas.wps.cn/vas-ai-hub/contract-review">283</start>
      <end xmlns="http://schemas.wps.cn/vas-ai-hub/contract-review">284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4df37b71-e286-4a28-83f1-6e93b01fc7a7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328B7C2F</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4a2326e9-aabe-41f8-90dd-cbbcc2de5516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328B7C2F</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1272b2e1-949d-4d94-b33e-b4d7e81f1ebf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4221E12D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d4ec2fb3-e58a-46ac-bd47-f853c19da5d4</errorID>
      <errorWord xmlns="http://schemas.wps.cn/vas-ai-hub/contract-review">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“小巨人”企业</item>
      </candidateList>
      <explain xmlns="http://schemas.wps.cn/vas-ai-hub/contract-review">注意检查当前固定表述标点是否使用规范。</explain>
      <paraID xmlns="http://schemas.wps.cn/vas-ai-hub/contract-review">4221E12D</paraID>
      <start xmlns="http://schemas.wps.cn/vas-ai-hub/contract-review">262</start>
      <end xmlns="http://schemas.wps.cn/vas-ai-hub/contract-review">267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71508484-7f80-4b4e-8f30-5bf22c2fabd5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3E03BCD9</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10293d7c-688d-44f7-8409-1b456e094200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3E03BCD9</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ec5c4700-37a7-4d53-be5b-d4225123f784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693FD4E4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8fa25d34-55ce-4cff-83a2-c02b27dc83ad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76D71EFC</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8828e4f7-5a63-4e94-a7f3-131e05b52bd4</errorID>
      <errorWord xmlns="http://schemas.wps.cn/vas-ai-hub/contract-review">、且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且</item>
      </candidateList>
      <explain xmlns="http://schemas.wps.cn/vas-ai-hub/contract-review"/>
      <paraID xmlns="http://schemas.wps.cn/vas-ai-hub/contract-review">71B06E7B</paraID>
      <start xmlns="http://schemas.wps.cn/vas-ai-hub/contract-review">560</start>
      <end xmlns="http://schemas.wps.cn/vas-ai-hub/contract-review">562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017ee1a6-cbc8-436a-88dc-0373aaa80983</errorID>
      <errorWord xmlns="http://schemas.wps.cn/vas-ai-hub/contract-review">、且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且</item>
      </candidateList>
      <explain xmlns="http://schemas.wps.cn/vas-ai-hub/contract-review"/>
      <paraID xmlns="http://schemas.wps.cn/vas-ai-hub/contract-review">71B06E7B</paraID>
      <start xmlns="http://schemas.wps.cn/vas-ai-hub/contract-review">653</start>
      <end xmlns="http://schemas.wps.cn/vas-ai-hub/contract-review">655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9bc8a6d9-84af-46d4-acba-df12ec40311e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2C7D5AE</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7a6f3326-54dd-44a4-a8d6-efb35c1e3011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2C7D5AE</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306eb897-fa9d-4c2c-9139-79855ba22e83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44EBAAC3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0fb8b519-7867-4bc9-a967-f7a20b026123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173579F7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827a3f1f-2776-49f5-93c6-908da31c0bff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173579F7</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52233da7-71e3-4755-8e78-ae1f87cd3e74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12453160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4d5e92ca-3fea-4fe5-a011-f4bdbc5e6876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289FB9B7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328897b8-160d-4061-987e-5fe9b9c027ab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38D9188E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ea45619d-20dd-4e08-ae25-9233fc591304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、典</item>
      </candidateList>
      <explain xmlns="http://schemas.wps.cn/vas-ai-hub/contract-review"/>
      <paraID xmlns="http://schemas.wps.cn/vas-ai-hub/contract-review">38D9188E</paraID>
      <start xmlns="http://schemas.wps.cn/vas-ai-hub/contract-review">590</start>
      <end xmlns="http://schemas.wps.cn/vas-ai-hub/contract-review">591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22bf9036-9e79-4927-9f6a-f657708f22cf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38D9188E</paraID>
      <start xmlns="http://schemas.wps.cn/vas-ai-hub/contract-review">629</start>
      <end xmlns="http://schemas.wps.cn/vas-ai-hub/contract-review">630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d2914622-29d3-4d0d-8a53-c41e9ef80e44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32FD94A8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f4e306d0-b133-4f84-a56a-20edaaa47fef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507902E7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feba3ee2-517a-4c8d-9ce3-5fb349cdc7b1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507902E7</paraID>
      <start xmlns="http://schemas.wps.cn/vas-ai-hub/contract-review">258</start>
      <end xmlns="http://schemas.wps.cn/vas-ai-hub/contract-review">259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a350fa80-c4c7-48c5-9503-d9624d784b29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5735C36D</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1d9bd1b0-2381-4ca3-9849-bdbec7641529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D5E9BD2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9a4a8d4f-b9c6-414c-9a09-2e99522ffd6e</errorID>
      <errorWord xmlns="http://schemas.wps.cn/vas-ai-hub/contract-review">带出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导出</item>
      </candidateList>
      <explain xmlns="http://schemas.wps.cn/vas-ai-hub/contract-review">存在发音相近字词的误用。</explain>
      <paraID xmlns="http://schemas.wps.cn/vas-ai-hub/contract-review"> D5E9BD2</paraID>
      <start xmlns="http://schemas.wps.cn/vas-ai-hub/contract-review">132</start>
      <end xmlns="http://schemas.wps.cn/vas-ai-hub/contract-review">134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507dc882-7744-46d9-b59a-c5f14332d232</errorID>
      <errorWord xmlns="http://schemas.wps.cn/vas-ai-hub/contract-review">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 D5E9BD2</paraID>
      <start xmlns="http://schemas.wps.cn/vas-ai-hub/contract-review">267</start>
      <end xmlns="http://schemas.wps.cn/vas-ai-hub/contract-review">268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1ad19e31-ce2f-4045-beee-adb71e9a9514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4BF6D425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4e4456b8-5e12-44a5-9e21-5abf1318db5b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776434E3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0d7a8879-38c0-41b6-b65a-c3160d9eaa7f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1C8EAD0B</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b4c015a8-c020-4543-8cec-c7342be05848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1C8EAD0B</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ad273b23-7829-42a7-bab5-23034ab52c6b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7AD6F147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398a63f7-b90e-4c1c-9681-8a86daa3833a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7AD6F147</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c1cb66b4-014f-4d3f-a771-f74c3994360e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79A2C215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20a068d9-96b3-461d-9c38-0fde0985d538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79A2C215</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2ac561b0-ee10-427d-a0b2-c563484cf9cb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1C49A01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602648f8-537f-4f1e-a559-2350bc4bedbe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1C49A01</paraID>
      <start xmlns="http://schemas.wps.cn/vas-ai-hub/contract-review">221</start>
      <end xmlns="http://schemas.wps.cn/vas-ai-hub/contract-review">222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f0bb3b95-70b8-46b1-a7f5-3e1667e0c338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1C49A01</paraID>
      <start xmlns="http://schemas.wps.cn/vas-ai-hub/contract-review">225</start>
      <end xmlns="http://schemas.wps.cn/vas-ai-hub/contract-review">226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43cda184-7c70-4230-b60e-5ba267ebb893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1C49A01</paraID>
      <start xmlns="http://schemas.wps.cn/vas-ai-hub/contract-review">237</start>
      <end xmlns="http://schemas.wps.cn/vas-ai-hub/contract-review">238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b8bdc388-5a9f-4385-92b8-d84c4588b672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1C49A01</paraID>
      <start xmlns="http://schemas.wps.cn/vas-ai-hub/contract-review">241</start>
      <end xmlns="http://schemas.wps.cn/vas-ai-hub/contract-review">242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584afc7d-e616-4472-99a5-26b5d7c78c1c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670D6E10</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2f93da94-de1d-48fc-9b9b-78be747e1d05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670D6E10</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88fc71b4-9de3-46ec-88f5-1c0d03739a98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330C0365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d4e67987-027a-4664-8c01-f7eae3dcf3a2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1C1FA56</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e6dc1a8b-92c1-42fb-a789-212e9b0ff689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1C1FA56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77fb780f-3c09-4b58-946c-2e0da52bc377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4BD9ECCF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e807951c-3a25-49aa-a860-3305ff760c5f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787F51B2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dbba0618-2504-4b2d-b1b9-288613bb6214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787F51B2</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e637b5f9-6b3c-4dc4-ad03-ea2e8c2bb831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32391F3A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4080c09c-9a8a-4782-9cd1-1f3828786881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79998887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6210e378-600c-4ebe-86f3-8b6a80e39066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2B5054FD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b97da0b2-3b9d-47f5-908c-841f6bd3933b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4257A4DE</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711637a5-185c-43d8-8798-34d5cfc96972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47B3A356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e2ea4d4c-0240-4b02-bf0b-5e1cdc22a714</errorID>
      <errorWord xmlns="http://schemas.wps.cn/vas-ai-hub/contract-review">借口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接口</item>
      </candidateList>
      <explain xmlns="http://schemas.wps.cn/vas-ai-hub/contract-review"/>
      <paraID xmlns="http://schemas.wps.cn/vas-ai-hub/contract-review">495FEC63</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0489131a-5f09-4b22-9d0d-e226108d3d8d</errorID>
      <errorWord xmlns="http://schemas.wps.cn/vas-ai-hub/contract-review">、等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等</item>
      </candidateList>
      <explain xmlns="http://schemas.wps.cn/vas-ai-hub/contract-review">“及”“和”“等”连词前不宜使用顿号，建议删除（或使用逗号）。</explain>
      <paraID xmlns="http://schemas.wps.cn/vas-ai-hub/contract-review">7C3A2090</paraID>
      <start xmlns="http://schemas.wps.cn/vas-ai-hub/contract-review">59</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7ce23e88-2dfc-4578-bcd1-42e27897f325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28C795E6</paraID>
      <start xmlns="http://schemas.wps.cn/vas-ai-hub/contract-review">21</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85e782e1-33fd-476b-badf-479bb7e7fa6f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28C795E6</paraID>
      <start xmlns="http://schemas.wps.cn/vas-ai-hub/contract-review">33</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1d5de50a-d00e-42f7-9680-16f9849a10ac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28C795E6</paraID>
      <start xmlns="http://schemas.wps.cn/vas-ai-hub/contract-review">45</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9ee3412f-325e-4e85-be36-cb7a44ee7c97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28C795E6</paraID>
      <start xmlns="http://schemas.wps.cn/vas-ai-hub/contract-review">57</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94659605-aa27-4ffb-9a69-01338890fd5a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28C795E6</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c1e9bea4-6f2b-4f0f-b211-026cb01525e9</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4807150B</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e4760114-8ddf-4d02-a76c-dc8a13c6c5e5</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4E83E485</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d81d4f6f-f523-44c1-946b-871e541886a1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3EB7E379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67b35c0a-5b08-4af6-a1b4-511d94d5b2de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3016F5D5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4c45b920-0602-4d3f-9ff2-fcdda2e16e76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4C5EB3D1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053b62ed-fa08-4375-aaa1-1077454d6b0c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FAF828F</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0aa6617f-3c59-42f8-8055-857f4bc9c358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FAF828F</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b8e8c0a9-a382-469b-b887-334c3e8c5563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FAF828F</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57802471-cebd-4386-84e2-7254c9aeeb7c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FAF828F</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da58454e-6528-4e08-858b-0a0adcdcea6d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A0C46B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0f685414-bb9c-43a0-9bd1-a6d7267acc83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  A0C46B</paraID>
      <start xmlns="http://schemas.wps.cn/vas-ai-hub/contract-review">41</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d887a205-cb09-4fb5-a0c7-3e0b1335bd82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C11A573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1b64c339-dbed-4778-80b6-c3fa0a9cf188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215464BE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7c46703e-924f-4e78-8d02-07a0d7444e6d</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388C24C2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26ba04d0-e2f8-4794-9d63-54ac5fd4c12e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309A1B02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640a7c55-34c9-40c1-b4f5-2c2c247ca51f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C7774F3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77bf9ffc-d453-464a-a161-b19ba305cb8d</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6FBC7288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c4d9b4f1-9910-4310-b664-7d5a726a8416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58A6E2D9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7a0ca20d-8a20-4634-a504-0eed8ac2714f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12137A85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faa933d2-5efb-48d9-8c30-6761ceb0afc9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66589DE0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057b7b7e-6eb3-4da9-a3ae-3d4c6f499ca3</errorID>
      <errorWord xmlns="http://schemas.wps.cn/vas-ai-hub/contract-review">提拱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item>
      </candidateList>
      <explain xmlns="http://schemas.wps.cn/vas-ai-hub/contract-review"/>
      <paraID xmlns="http://schemas.wps.cn/vas-ai-hub/contract-review">7A499D1A</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12bb7850-be7e-49a8-b57e-7a0b8a742f60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7A499D1A</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842e2d8f-241f-4e21-b987-7b2cd85b9f9e</errorID>
      <errorWord xmlns="http://schemas.wps.cn/vas-ai-hub/contract-review">共同协商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协商</item>
      </candidateList>
      <explain xmlns="http://schemas.wps.cn/vas-ai-hub/contract-review">该表达中的“共同协商”存在语义重复。【词汇解析】协商：“协商”原本就有“共同”之意，协商指共同商量。</explain>
      <paraID xmlns="http://schemas.wps.cn/vas-ai-hub/contract-review">629C3149</paraID>
      <start xmlns="http://schemas.wps.cn/vas-ai-hub/contract-review">54</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fea9ab35-87ba-4964-8959-aca1fdea13a6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FD3D9AF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6f8c4bee-68c5-4f37-aad1-3548674cc84b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1F650DB8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b045b963-8ae6-4eb9-b51a-71da843634ca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42524813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e272c2b0-5f43-4e8f-b679-cba2e42a4b35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5F4BE841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6de9fd0f-c28b-4a19-8bb0-39998739dd55</errorID>
      <errorWord xmlns="http://schemas.wps.cn/vas-ai-hub/contract-review">个工作日向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个工作日内向</item>
      </candidateList>
      <explain xmlns="http://schemas.wps.cn/vas-ai-hub/contract-review"/>
      <paraID xmlns="http://schemas.wps.cn/vas-ai-hub/contract-review">612698F1</paraID>
      <start xmlns="http://schemas.wps.cn/vas-ai-hub/contract-review">27</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c629405a-c4cb-4c09-85e4-fbe8be7f4899</errorID>
      <errorWord xmlns="http://schemas.wps.cn/vas-ai-hub/contract-review">进展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item>
      </candidateList>
      <explain xmlns="http://schemas.wps.cn/vas-ai-hub/contract-review">存在字形相近字词的误用。</explain>
      <paraID xmlns="http://schemas.wps.cn/vas-ai-hub/contract-review">20D46908</paraID>
      <start xmlns="http://schemas.wps.cn/vas-ai-hub/contract-review">44</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e7719852-3dd4-4963-8885-529bd569f9e6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5E4AE154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16c22529-ba20-4f05-9acc-1ee59951f7de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52AB5A50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221f0914-09cc-4cd1-a323-21fd9fc3cca1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1F0E54F1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fbecb8c1-1796-4e9f-92d9-c042facfe69a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51A76D3E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1D2B3B-EB4D-4A18-A089-2C93C8C2BB79}">
  <ds:schemaRefs/>
</ds:datastoreItem>
</file>

<file path=customXml/itemProps3.xml><?xml version="1.0" encoding="utf-8"?>
<ds:datastoreItem xmlns:ds="http://schemas.openxmlformats.org/officeDocument/2006/customXml" ds:itemID="{2FCC0E08-4ABE-425B-9BF7-EA8B1570E0A6}">
  <ds:schemaRefs/>
</ds:datastoreItem>
</file>

<file path=docProps/app.xml><?xml version="1.0" encoding="utf-8"?>
<Properties xmlns="http://schemas.openxmlformats.org/officeDocument/2006/extended-properties" xmlns:vt="http://schemas.openxmlformats.org/officeDocument/2006/docPropsVTypes">
  <Template>Normal</Template>
  <Pages>71</Pages>
  <Words>25081</Words>
  <Characters>25333</Characters>
  <Lines>1809</Lines>
  <Paragraphs>720</Paragraphs>
  <TotalTime>38</TotalTime>
  <ScaleCrop>false</ScaleCrop>
  <LinksUpToDate>false</LinksUpToDate>
  <CharactersWithSpaces>49694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2026-10-27T19:34:00Z</dcterms:created>
  <dc:creator>gtig_tzb</dc:creator>
  <cp:lastModifiedBy>郭田恬</cp:lastModifiedBy>
  <cp:lastPrinted>2020-08-12T20:08:00Z</cp:lastPrinted>
  <dcterms:modified xsi:type="dcterms:W3CDTF">2026-10-26T16:25:24Z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400E8A0496EF30C418DBDE6A0685FD02_43</vt:lpwstr>
  </property>
  <property fmtid="{D5CDD505-2E9C-101B-9397-08002B2CF9AE}" pid="4" name="KSOTemplateDocerSaveRecord">
    <vt:lpwstr>eyJoZGlkIjoiMzEwNTM5NzYwMDRjMzkwZTVkZjY2ODkwMGIxNGU0OTUiLCJ1c2VySWQiOiIxNzIxNzc4Mzc0In0=</vt:lpwstr>
  </property>
</Properties>
</file>