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EEA5F" w14:textId="77777777" w:rsidR="009A259D" w:rsidRDefault="00000000">
      <w:pPr>
        <w:spacing w:beforeLines="50" w:before="163" w:afterLines="50" w:after="163" w:line="240" w:lineRule="auto"/>
        <w:ind w:firstLineChars="0" w:firstLine="0"/>
        <w:jc w:val="center"/>
        <w:rPr>
          <w:rFonts w:ascii="华文中宋" w:eastAsia="华文中宋" w:hAnsi="华文中宋" w:cs="华文中宋" w:hint="eastAsia"/>
          <w:sz w:val="36"/>
          <w:szCs w:val="36"/>
        </w:rPr>
      </w:pPr>
      <w:bookmarkStart w:id="0" w:name="_Toc63785461"/>
      <w:r>
        <w:rPr>
          <w:rFonts w:ascii="华文中宋" w:eastAsia="华文中宋" w:hAnsi="华文中宋" w:cs="华文中宋" w:hint="eastAsia"/>
          <w:sz w:val="36"/>
          <w:szCs w:val="36"/>
        </w:rPr>
        <w:t>上海市社会福利中心信息化项目采购需求</w:t>
      </w:r>
    </w:p>
    <w:p w14:paraId="4ED21607" w14:textId="77777777" w:rsidR="009A259D" w:rsidRDefault="00000000">
      <w:pPr>
        <w:pStyle w:val="1"/>
        <w:spacing w:before="60" w:after="60" w:line="600" w:lineRule="exact"/>
        <w:ind w:firstLineChars="200" w:firstLine="640"/>
        <w:rPr>
          <w:rFonts w:ascii="黑体" w:hAnsi="黑体" w:cs="黑体" w:hint="eastAsia"/>
          <w:b w:val="0"/>
          <w:bCs w:val="0"/>
          <w:szCs w:val="32"/>
        </w:rPr>
      </w:pPr>
      <w:r>
        <w:rPr>
          <w:rFonts w:ascii="黑体" w:hAnsi="黑体" w:cs="黑体" w:hint="eastAsia"/>
          <w:b w:val="0"/>
          <w:bCs w:val="0"/>
          <w:szCs w:val="32"/>
        </w:rPr>
        <w:t>项目概况</w:t>
      </w:r>
      <w:bookmarkEnd w:id="0"/>
    </w:p>
    <w:p w14:paraId="6CA3EA60"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r>
        <w:rPr>
          <w:rFonts w:ascii="楷体_GB2312" w:eastAsia="楷体_GB2312" w:hAnsi="楷体_GB2312" w:cs="楷体_GB2312" w:hint="eastAsia"/>
          <w:sz w:val="32"/>
        </w:rPr>
        <w:t>（一）项目背景</w:t>
      </w:r>
    </w:p>
    <w:p w14:paraId="67634AED"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上海市社会福利中心（以下简称“中心”）在用信息系统共1个，即“上海市社会福利中心综合服务平台”。该项目建设于2018年5月，部署于电信政务云，2019年5月通过验收。该系统为内部办公平台，服务群体为中心本部及下属10家单位。经前期调研，存在中心及下属单位现有系统分散，部分业务模块单独运行，数据未有效整合和共享，跨部门业务协同困难等问题。</w:t>
      </w:r>
    </w:p>
    <w:p w14:paraId="673E4F38"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立足中心职责，加强对中心本部及下属单位的人、财、物的管理，中心已申报该系统2026年升级改造项目，旨在统一建设共性功能，强化与各单位信息系统的互联互通，减少重复建设，提升数据监管能力和跨单位业务协同效率。目前该项目已获批复，并将按XC要求建设。</w:t>
      </w:r>
    </w:p>
    <w:p w14:paraId="5C72117A"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r>
        <w:rPr>
          <w:rFonts w:ascii="楷体_GB2312" w:eastAsia="楷体_GB2312" w:hAnsi="楷体_GB2312" w:cs="楷体_GB2312" w:hint="eastAsia"/>
          <w:sz w:val="32"/>
        </w:rPr>
        <w:t>（二）项目现状</w:t>
      </w:r>
    </w:p>
    <w:p w14:paraId="1F155202"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现有系统包括以下子系统：</w:t>
      </w:r>
    </w:p>
    <w:p w14:paraId="0FF7E4A8" w14:textId="77777777" w:rsidR="009A259D" w:rsidRDefault="00000000">
      <w:pPr>
        <w:spacing w:line="600" w:lineRule="exact"/>
        <w:ind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1.公众服务子系统：</w:t>
      </w:r>
      <w:r>
        <w:rPr>
          <w:rFonts w:ascii="仿宋_GB2312" w:eastAsia="仿宋_GB2312" w:hAnsi="仿宋_GB2312" w:cs="仿宋_GB2312" w:hint="eastAsia"/>
          <w:sz w:val="32"/>
          <w:szCs w:val="32"/>
        </w:rPr>
        <w:t>即门户网站建设，是中心对外宣传的窗口，通过机构概况、工作动态、社工之家等信息向社会公众宣传中心及下属单位的相关职能，展示中心相关工作内容及动态，同时通过学术科研、党群工作等信息对下属单位进行业务宣传和指导。</w:t>
      </w:r>
    </w:p>
    <w:p w14:paraId="340BB0E9" w14:textId="77777777" w:rsidR="009A259D" w:rsidRDefault="00000000">
      <w:pPr>
        <w:spacing w:line="600" w:lineRule="exact"/>
        <w:ind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2.综合管理子系统：</w:t>
      </w:r>
      <w:r>
        <w:rPr>
          <w:rFonts w:ascii="仿宋_GB2312" w:eastAsia="仿宋_GB2312" w:hAnsi="仿宋_GB2312" w:cs="仿宋_GB2312" w:hint="eastAsia"/>
          <w:sz w:val="32"/>
          <w:szCs w:val="32"/>
        </w:rPr>
        <w:t>包括内门户、考核管理、服务质量管</w:t>
      </w:r>
      <w:r>
        <w:rPr>
          <w:rFonts w:ascii="仿宋_GB2312" w:eastAsia="仿宋_GB2312" w:hAnsi="仿宋_GB2312" w:cs="仿宋_GB2312" w:hint="eastAsia"/>
          <w:sz w:val="32"/>
          <w:szCs w:val="32"/>
        </w:rPr>
        <w:lastRenderedPageBreak/>
        <w:t>理、廉政风险防控、文件管理、信息发布管理等模块。</w:t>
      </w:r>
    </w:p>
    <w:p w14:paraId="3F8EB71B" w14:textId="77777777" w:rsidR="009A259D" w:rsidRDefault="00000000">
      <w:pPr>
        <w:spacing w:line="600" w:lineRule="exact"/>
        <w:ind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3.应用支撑子系统：</w:t>
      </w:r>
      <w:r>
        <w:rPr>
          <w:rFonts w:ascii="仿宋_GB2312" w:eastAsia="仿宋_GB2312" w:hAnsi="仿宋_GB2312" w:cs="仿宋_GB2312" w:hint="eastAsia"/>
          <w:sz w:val="32"/>
          <w:szCs w:val="32"/>
        </w:rPr>
        <w:t>包括表单引擎、流程引擎等模块。</w:t>
      </w:r>
    </w:p>
    <w:p w14:paraId="61136631" w14:textId="77777777" w:rsidR="009A259D" w:rsidRDefault="00000000">
      <w:pPr>
        <w:spacing w:line="600" w:lineRule="exact"/>
        <w:ind w:firstLine="643"/>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4.系统管理：</w:t>
      </w:r>
      <w:r>
        <w:rPr>
          <w:rFonts w:ascii="仿宋_GB2312" w:eastAsia="仿宋_GB2312" w:hAnsi="仿宋_GB2312" w:cs="仿宋_GB2312" w:hint="eastAsia"/>
          <w:sz w:val="32"/>
          <w:szCs w:val="32"/>
        </w:rPr>
        <w:t>包括用户管理、组织架构管理、权限管理、日志管理、系统基础配置等模块。</w:t>
      </w:r>
    </w:p>
    <w:p w14:paraId="40444868"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r>
        <w:rPr>
          <w:rFonts w:ascii="楷体_GB2312" w:eastAsia="楷体_GB2312" w:hAnsi="楷体_GB2312" w:cs="楷体_GB2312" w:hint="eastAsia"/>
          <w:sz w:val="32"/>
        </w:rPr>
        <w:t>（三）项目新增需求</w:t>
      </w:r>
    </w:p>
    <w:p w14:paraId="169A991F"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1.XC改造</w:t>
      </w:r>
    </w:p>
    <w:p w14:paraId="43F0FDD9"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对现有系统进行XC改造。本次改造部分为公众服务子系统、综合管理子系统、应用支撑子系统。</w:t>
      </w:r>
    </w:p>
    <w:p w14:paraId="0F474188"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2.统一用户授权与单点登录</w:t>
      </w:r>
    </w:p>
    <w:p w14:paraId="3BA9ADC3"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实现10家福利机构用户管理、跨系统交互及安全管控的一体化，构建统一用户授权与单点登录体系。</w:t>
      </w:r>
    </w:p>
    <w:p w14:paraId="777BE3E2"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3.业务新增功能</w:t>
      </w:r>
    </w:p>
    <w:p w14:paraId="66E25155"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（1）业务数据监管：对下属单位的出入院服务、服务对象健康档案、膳食服务、社工服务进行监管。</w:t>
      </w:r>
    </w:p>
    <w:p w14:paraId="13570A04"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（2）事项上报：强化中心的监管职责，新增下属单位事项上报功能。</w:t>
      </w:r>
    </w:p>
    <w:p w14:paraId="0D27F0A8"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（3）捐赠物资管理：包括接受捐赠物资、捐赠物资使用、捐赠物资监督等功能。</w:t>
      </w:r>
    </w:p>
    <w:p w14:paraId="50480F28"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（4）文件管理：包括公共文件管理和部门文件管理。</w:t>
      </w:r>
    </w:p>
    <w:p w14:paraId="777A5F39" w14:textId="77777777" w:rsidR="009A259D" w:rsidRDefault="00000000">
      <w:pPr>
        <w:pStyle w:val="1"/>
        <w:spacing w:before="60" w:after="60" w:line="600" w:lineRule="exact"/>
        <w:ind w:firstLineChars="200" w:firstLine="640"/>
        <w:rPr>
          <w:rFonts w:ascii="黑体" w:hAnsi="黑体" w:cs="黑体" w:hint="eastAsia"/>
          <w:b w:val="0"/>
          <w:bCs w:val="0"/>
          <w:szCs w:val="32"/>
        </w:rPr>
      </w:pPr>
      <w:bookmarkStart w:id="1" w:name="_Toc47533256"/>
      <w:bookmarkStart w:id="2" w:name="_Toc47532255"/>
      <w:bookmarkStart w:id="3" w:name="_Toc47532891"/>
      <w:bookmarkStart w:id="4" w:name="_Toc47531634"/>
      <w:bookmarkStart w:id="5" w:name="_Toc47536644"/>
      <w:bookmarkStart w:id="6" w:name="_Toc47537134"/>
      <w:bookmarkStart w:id="7" w:name="_Toc47539070"/>
      <w:bookmarkStart w:id="8" w:name="_Toc47536272"/>
      <w:bookmarkStart w:id="9" w:name="_Toc48223882"/>
      <w:bookmarkStart w:id="10" w:name="_Toc63785463"/>
      <w:bookmarkEnd w:id="1"/>
      <w:bookmarkEnd w:id="2"/>
      <w:bookmarkEnd w:id="3"/>
      <w:bookmarkEnd w:id="4"/>
      <w:bookmarkEnd w:id="5"/>
      <w:bookmarkEnd w:id="6"/>
      <w:bookmarkEnd w:id="7"/>
      <w:bookmarkEnd w:id="8"/>
      <w:r>
        <w:rPr>
          <w:rFonts w:ascii="黑体" w:hAnsi="黑体" w:cs="黑体" w:hint="eastAsia"/>
          <w:b w:val="0"/>
          <w:bCs w:val="0"/>
          <w:szCs w:val="32"/>
        </w:rPr>
        <w:t>建设目标</w:t>
      </w:r>
      <w:bookmarkEnd w:id="9"/>
      <w:bookmarkEnd w:id="10"/>
    </w:p>
    <w:p w14:paraId="2CA40AEA"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1.数据治理目标：实现下属单位核心业务数据（出入院、健康档案、膳食、社工等）实时、精准采集与同步，构建全域数据资产库，支撑数据驱动的监管与决策。</w:t>
      </w:r>
    </w:p>
    <w:p w14:paraId="2C437A91"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2.业务协同目标：完成统一用户、统一授权、统一登录，以及中心自有业务功能与下属单位系统的单点登录集成，落地核心共性功能（捐赠管理、文件管理等）的统一建设，集中使用，提升跨单位业务协同效率。</w:t>
      </w:r>
    </w:p>
    <w:p w14:paraId="33C1D20F"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3.技术迭代目标：适配XC要求，优化技术架构，保障平台性能、安全与可扩展性，打造稳定、先进的数字化服务底座。</w:t>
      </w:r>
    </w:p>
    <w:p w14:paraId="2DA46AEF" w14:textId="77777777" w:rsidR="009A259D" w:rsidRDefault="00000000">
      <w:pPr>
        <w:spacing w:line="600" w:lineRule="exact"/>
        <w:ind w:firstLine="640"/>
        <w:rPr>
          <w:rFonts w:ascii="仿宋_GB2312" w:eastAsia="仿宋_GB2312" w:hAnsi="仿宋_GB2312" w:cs="仿宋_GB2312" w:hint="eastAsia"/>
          <w:sz w:val="32"/>
          <w:szCs w:val="32"/>
        </w:rPr>
      </w:pPr>
      <w:bookmarkStart w:id="11" w:name="_Toc11987"/>
      <w:r>
        <w:rPr>
          <w:rFonts w:ascii="仿宋_GB2312" w:eastAsia="仿宋_GB2312" w:hAnsi="仿宋_GB2312" w:cs="仿宋_GB2312" w:hint="eastAsia"/>
          <w:sz w:val="32"/>
          <w:szCs w:val="32"/>
        </w:rPr>
        <w:t>4.性能</w:t>
      </w:r>
      <w:bookmarkEnd w:id="11"/>
      <w:r>
        <w:rPr>
          <w:rFonts w:ascii="仿宋_GB2312" w:eastAsia="仿宋_GB2312" w:hAnsi="仿宋_GB2312" w:cs="仿宋_GB2312" w:hint="eastAsia"/>
          <w:sz w:val="32"/>
          <w:szCs w:val="32"/>
        </w:rPr>
        <w:t>目标：</w:t>
      </w:r>
    </w:p>
    <w:p w14:paraId="17A7125E"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高峰时段并发用户数：50</w:t>
      </w:r>
    </w:p>
    <w:p w14:paraId="7F7854D2"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每个操作的业务连接数：3</w:t>
      </w:r>
    </w:p>
    <w:p w14:paraId="465AF0BA"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高峰时段交互量百分比：80%</w:t>
      </w:r>
    </w:p>
    <w:p w14:paraId="29D1F3E7"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高峰时段持续时间：4个小时</w:t>
      </w:r>
    </w:p>
    <w:p w14:paraId="7686A0B5"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高峰时段用户在线数：100</w:t>
      </w:r>
    </w:p>
    <w:p w14:paraId="25D03E03"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平均每秒每个用户流量：10KB</w:t>
      </w:r>
    </w:p>
    <w:p w14:paraId="40E7AF1D" w14:textId="77777777" w:rsidR="009A259D" w:rsidRDefault="00000000">
      <w:pPr>
        <w:pStyle w:val="1"/>
        <w:spacing w:before="60" w:after="60" w:line="600" w:lineRule="exact"/>
        <w:ind w:firstLineChars="200" w:firstLine="640"/>
        <w:rPr>
          <w:rFonts w:ascii="黑体" w:hAnsi="黑体" w:cs="黑体" w:hint="eastAsia"/>
          <w:b w:val="0"/>
          <w:bCs w:val="0"/>
          <w:szCs w:val="32"/>
        </w:rPr>
      </w:pPr>
      <w:bookmarkStart w:id="12" w:name="_Toc47536676"/>
      <w:bookmarkStart w:id="13" w:name="_Toc47533288"/>
      <w:bookmarkStart w:id="14" w:name="_Toc47539102"/>
      <w:bookmarkStart w:id="15" w:name="_Toc47537166"/>
      <w:bookmarkStart w:id="16" w:name="_Toc47532923"/>
      <w:bookmarkStart w:id="17" w:name="_Toc47536304"/>
      <w:bookmarkEnd w:id="12"/>
      <w:bookmarkEnd w:id="13"/>
      <w:bookmarkEnd w:id="14"/>
      <w:bookmarkEnd w:id="15"/>
      <w:bookmarkEnd w:id="16"/>
      <w:bookmarkEnd w:id="17"/>
      <w:r>
        <w:rPr>
          <w:rFonts w:ascii="黑体" w:hAnsi="黑体" w:cs="黑体" w:hint="eastAsia"/>
          <w:b w:val="0"/>
          <w:bCs w:val="0"/>
          <w:szCs w:val="32"/>
        </w:rPr>
        <w:t>项目建设内容</w:t>
      </w:r>
    </w:p>
    <w:p w14:paraId="1335C3F4"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r>
        <w:rPr>
          <w:rFonts w:ascii="楷体_GB2312" w:eastAsia="楷体_GB2312" w:hAnsi="楷体_GB2312" w:cs="楷体_GB2312" w:hint="eastAsia"/>
          <w:sz w:val="32"/>
        </w:rPr>
        <w:t>（一）建设内容</w:t>
      </w:r>
    </w:p>
    <w:p w14:paraId="10AB2802"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在对</w:t>
      </w:r>
      <w:proofErr w:type="gramStart"/>
      <w:r>
        <w:rPr>
          <w:rFonts w:ascii="仿宋_GB2312" w:eastAsia="仿宋_GB2312" w:hAnsi="仿宋_GB2312" w:cs="仿宋_GB2312" w:hint="eastAsia"/>
          <w:sz w:val="32"/>
          <w:szCs w:val="32"/>
        </w:rPr>
        <w:t>原应用</w:t>
      </w:r>
      <w:proofErr w:type="gramEnd"/>
      <w:r>
        <w:rPr>
          <w:rFonts w:ascii="仿宋_GB2312" w:eastAsia="仿宋_GB2312" w:hAnsi="仿宋_GB2312" w:cs="仿宋_GB2312" w:hint="eastAsia"/>
          <w:sz w:val="32"/>
          <w:szCs w:val="32"/>
        </w:rPr>
        <w:t>支撑子系统进行XC改造的基础上，加强支撑层的业务支撑能力，建设下属单位系统接入、业务数据监管、事项上报、捐赠物资管理、文件管理等模块。</w:t>
      </w:r>
    </w:p>
    <w:p w14:paraId="112A8954"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1.XC改造</w:t>
      </w:r>
    </w:p>
    <w:p w14:paraId="27E322A0"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（1）公众服务子系统XC改造。包括网站首页及栏目</w:t>
      </w:r>
      <w:proofErr w:type="gramStart"/>
      <w:r>
        <w:rPr>
          <w:rFonts w:ascii="仿宋_GB2312" w:eastAsia="仿宋_GB2312" w:hAnsi="仿宋_GB2312" w:cs="仿宋_GB2312" w:hint="eastAsia"/>
          <w:sz w:val="32"/>
          <w:szCs w:val="32"/>
        </w:rPr>
        <w:t>页建设</w:t>
      </w:r>
      <w:proofErr w:type="gramEnd"/>
      <w:r>
        <w:rPr>
          <w:rFonts w:ascii="仿宋_GB2312" w:eastAsia="仿宋_GB2312" w:hAnsi="仿宋_GB2312" w:cs="仿宋_GB2312" w:hint="eastAsia"/>
          <w:sz w:val="32"/>
          <w:szCs w:val="32"/>
        </w:rPr>
        <w:t>和全文检索模块的XC改造适配。（2）综合管理子系统XC改造：包括内门户、公文管理、信息发布管理、考核管理、采购管理等模块的XC改造适配。（3）应用支撑子系统XC改造。包</w:t>
      </w:r>
      <w:r>
        <w:rPr>
          <w:rFonts w:ascii="仿宋_GB2312" w:eastAsia="仿宋_GB2312" w:hAnsi="仿宋_GB2312" w:cs="仿宋_GB2312" w:hint="eastAsia"/>
          <w:sz w:val="32"/>
          <w:szCs w:val="32"/>
        </w:rPr>
        <w:lastRenderedPageBreak/>
        <w:t>括表单引擎和流程引擎模块的XC改造适配。</w:t>
      </w:r>
    </w:p>
    <w:p w14:paraId="4FB41610"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2.统一用户授权与单点登录</w:t>
      </w:r>
    </w:p>
    <w:p w14:paraId="4ABF37A8"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建设统一用户授权与单点登录模块，实现10家福利机构用户管理、跨系统交互及安全管控的一体化，构建统一用户授权与单点登录体系。通过用户、认证、授权等多模块协同，保障机构</w:t>
      </w:r>
      <w:proofErr w:type="gramStart"/>
      <w:r>
        <w:rPr>
          <w:rFonts w:ascii="仿宋_GB2312" w:eastAsia="仿宋_GB2312" w:hAnsi="仿宋_GB2312" w:cs="仿宋_GB2312" w:hint="eastAsia"/>
          <w:sz w:val="32"/>
          <w:szCs w:val="32"/>
        </w:rPr>
        <w:t>间用户</w:t>
      </w:r>
      <w:proofErr w:type="gramEnd"/>
      <w:r>
        <w:rPr>
          <w:rFonts w:ascii="仿宋_GB2312" w:eastAsia="仿宋_GB2312" w:hAnsi="仿宋_GB2312" w:cs="仿宋_GB2312" w:hint="eastAsia"/>
          <w:sz w:val="32"/>
          <w:szCs w:val="32"/>
        </w:rPr>
        <w:t>便捷访问、权限精准管控，提升运营效率与数据安全。主要包括用户管理、登录管理、认证管理、审计管理、授权管理、系统配置等功能模块。</w:t>
      </w:r>
    </w:p>
    <w:p w14:paraId="24C70BB0"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3.业务监管</w:t>
      </w:r>
    </w:p>
    <w:p w14:paraId="031828BF"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新增业务数据监管模块，对下属单位的出入院服务、服务对象健康档案、膳食服务、社工服务进行监管。</w:t>
      </w:r>
    </w:p>
    <w:p w14:paraId="50DFD7A4"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4.事项上报</w:t>
      </w:r>
    </w:p>
    <w:p w14:paraId="36608785"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新增下属单位事项上报功能，包括数据备案、申报审批等。需要上报的事项主要包括重要事项、护理不良事件、压力性损伤、年度预决算、预算执行率、膳食盈亏率、膳食满意度测评等。</w:t>
      </w:r>
    </w:p>
    <w:p w14:paraId="303BDB19"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5.捐赠物资管理</w:t>
      </w:r>
    </w:p>
    <w:p w14:paraId="03512980"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根据《上海市民政局关于规范局属事业单位接受捐赠物资管理工作的通知》《上海市社会福利中心捐赠物资管理流程指引》等文件精神，新增捐赠物资管理模块。主要包括接受捐赠物资、捐赠物资使用、捐赠物资监督等功能。</w:t>
      </w:r>
    </w:p>
    <w:p w14:paraId="5BB1B7B0"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6.文件管理</w:t>
      </w:r>
    </w:p>
    <w:p w14:paraId="4BE0D0E0"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为实现中心和下属单位之间的资源共享，提升资料传递效率，新增文件管理模块。主要包括公共文件管理和部门文件管</w:t>
      </w:r>
      <w:r>
        <w:rPr>
          <w:rFonts w:ascii="仿宋_GB2312" w:eastAsia="仿宋_GB2312" w:hAnsi="仿宋_GB2312" w:cs="仿宋_GB2312" w:hint="eastAsia"/>
          <w:sz w:val="32"/>
          <w:szCs w:val="32"/>
        </w:rPr>
        <w:lastRenderedPageBreak/>
        <w:t>理。公共文件管理对公共文件资源进行分类管理，可以上传和下载各类文件，并支持在线预览。部门文件管理对每个科室或下属单位的文件资源进行管理，该专区文件仅本科室或者本单位查看和管理。</w:t>
      </w:r>
    </w:p>
    <w:p w14:paraId="0ABA0E79"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7.密码应用功能模块</w:t>
      </w:r>
    </w:p>
    <w:p w14:paraId="1EC9FD6B"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根据依据GB/T 39786-2021《信息安全技术信息系统密码应用基本要求》的要求开发密码应用功能模块。</w:t>
      </w:r>
    </w:p>
    <w:p w14:paraId="460BB3F5"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r>
        <w:rPr>
          <w:rFonts w:ascii="楷体_GB2312" w:eastAsia="楷体_GB2312" w:hAnsi="楷体_GB2312" w:cs="楷体_GB2312" w:hint="eastAsia"/>
          <w:sz w:val="32"/>
        </w:rPr>
        <w:t>（二）软件开发清单</w:t>
      </w:r>
    </w:p>
    <w:tbl>
      <w:tblPr>
        <w:tblW w:w="5640" w:type="pct"/>
        <w:jc w:val="center"/>
        <w:tblLayout w:type="fixed"/>
        <w:tblLook w:val="04A0" w:firstRow="1" w:lastRow="0" w:firstColumn="1" w:lastColumn="0" w:noHBand="0" w:noVBand="1"/>
      </w:tblPr>
      <w:tblGrid>
        <w:gridCol w:w="902"/>
        <w:gridCol w:w="2184"/>
        <w:gridCol w:w="2684"/>
        <w:gridCol w:w="4450"/>
      </w:tblGrid>
      <w:tr w:rsidR="009A259D" w14:paraId="64F45B27" w14:textId="77777777">
        <w:trPr>
          <w:trHeight w:val="270"/>
          <w:jc w:val="center"/>
        </w:trPr>
        <w:tc>
          <w:tcPr>
            <w:tcW w:w="441" w:type="pct"/>
            <w:tcBorders>
              <w:top w:val="single" w:sz="4" w:space="0" w:color="auto"/>
              <w:left w:val="single" w:sz="4" w:space="0" w:color="auto"/>
              <w:bottom w:val="single" w:sz="4" w:space="0" w:color="auto"/>
              <w:right w:val="single" w:sz="4" w:space="0" w:color="auto"/>
            </w:tcBorders>
            <w:shd w:val="clear" w:color="000000" w:fill="F2F2F2" w:themeFill="background1" w:themeFillShade="F2"/>
            <w:noWrap/>
            <w:vAlign w:val="center"/>
          </w:tcPr>
          <w:p w14:paraId="4A039FC9" w14:textId="77777777" w:rsidR="009A259D" w:rsidRDefault="00000000">
            <w:pPr>
              <w:widowControl/>
              <w:spacing w:line="240" w:lineRule="auto"/>
              <w:ind w:firstLineChars="0" w:firstLine="0"/>
              <w:jc w:val="center"/>
              <w:rPr>
                <w:rFonts w:ascii="仿宋_GB2312" w:eastAsia="仿宋_GB2312" w:hAnsi="仿宋_GB2312" w:cs="仿宋_GB2312" w:hint="eastAsia"/>
                <w:b/>
                <w:color w:val="000000"/>
                <w:kern w:val="0"/>
                <w:sz w:val="28"/>
                <w:szCs w:val="28"/>
              </w:rPr>
            </w:pPr>
            <w:r>
              <w:rPr>
                <w:rFonts w:ascii="仿宋_GB2312" w:eastAsia="仿宋_GB2312" w:hAnsi="仿宋_GB2312" w:cs="仿宋_GB2312" w:hint="eastAsia"/>
                <w:b/>
                <w:color w:val="000000"/>
                <w:kern w:val="0"/>
                <w:sz w:val="28"/>
                <w:szCs w:val="28"/>
              </w:rPr>
              <w:t>序号</w:t>
            </w:r>
          </w:p>
        </w:tc>
        <w:tc>
          <w:tcPr>
            <w:tcW w:w="1068" w:type="pct"/>
            <w:tcBorders>
              <w:top w:val="single" w:sz="4" w:space="0" w:color="auto"/>
              <w:left w:val="nil"/>
              <w:bottom w:val="single" w:sz="4" w:space="0" w:color="auto"/>
              <w:right w:val="single" w:sz="4" w:space="0" w:color="auto"/>
            </w:tcBorders>
            <w:shd w:val="clear" w:color="000000" w:fill="F2F2F2" w:themeFill="background1" w:themeFillShade="F2"/>
            <w:noWrap/>
            <w:vAlign w:val="center"/>
          </w:tcPr>
          <w:p w14:paraId="0815BD70" w14:textId="77777777" w:rsidR="009A259D" w:rsidRDefault="00000000">
            <w:pPr>
              <w:widowControl/>
              <w:spacing w:line="240" w:lineRule="auto"/>
              <w:ind w:firstLineChars="0" w:firstLine="0"/>
              <w:jc w:val="center"/>
              <w:rPr>
                <w:rFonts w:ascii="仿宋_GB2312" w:eastAsia="仿宋_GB2312" w:hAnsi="仿宋_GB2312" w:cs="仿宋_GB2312" w:hint="eastAsia"/>
                <w:b/>
                <w:color w:val="000000"/>
                <w:kern w:val="0"/>
                <w:sz w:val="28"/>
                <w:szCs w:val="28"/>
              </w:rPr>
            </w:pPr>
            <w:r>
              <w:rPr>
                <w:rFonts w:ascii="仿宋_GB2312" w:eastAsia="仿宋_GB2312" w:hAnsi="仿宋_GB2312" w:cs="仿宋_GB2312" w:hint="eastAsia"/>
                <w:b/>
                <w:color w:val="000000"/>
                <w:kern w:val="0"/>
                <w:sz w:val="28"/>
                <w:szCs w:val="28"/>
              </w:rPr>
              <w:t>应用系统名称</w:t>
            </w:r>
          </w:p>
        </w:tc>
        <w:tc>
          <w:tcPr>
            <w:tcW w:w="1313" w:type="pct"/>
            <w:tcBorders>
              <w:top w:val="single" w:sz="4" w:space="0" w:color="auto"/>
              <w:left w:val="nil"/>
              <w:bottom w:val="single" w:sz="4" w:space="0" w:color="auto"/>
              <w:right w:val="single" w:sz="4" w:space="0" w:color="auto"/>
            </w:tcBorders>
            <w:shd w:val="clear" w:color="000000" w:fill="F2F2F2" w:themeFill="background1" w:themeFillShade="F2"/>
            <w:noWrap/>
            <w:vAlign w:val="center"/>
          </w:tcPr>
          <w:p w14:paraId="451115E1" w14:textId="77777777" w:rsidR="009A259D" w:rsidRDefault="00000000">
            <w:pPr>
              <w:widowControl/>
              <w:spacing w:line="240" w:lineRule="auto"/>
              <w:ind w:firstLineChars="0" w:firstLine="0"/>
              <w:jc w:val="center"/>
              <w:rPr>
                <w:rFonts w:ascii="仿宋_GB2312" w:eastAsia="仿宋_GB2312" w:hAnsi="仿宋_GB2312" w:cs="仿宋_GB2312" w:hint="eastAsia"/>
                <w:b/>
                <w:color w:val="000000"/>
                <w:kern w:val="0"/>
                <w:sz w:val="28"/>
                <w:szCs w:val="28"/>
              </w:rPr>
            </w:pPr>
            <w:r>
              <w:rPr>
                <w:rFonts w:ascii="仿宋_GB2312" w:eastAsia="仿宋_GB2312" w:hAnsi="仿宋_GB2312" w:cs="仿宋_GB2312" w:hint="eastAsia"/>
                <w:b/>
                <w:color w:val="000000"/>
                <w:kern w:val="0"/>
                <w:sz w:val="28"/>
                <w:szCs w:val="28"/>
              </w:rPr>
              <w:t>模块名称</w:t>
            </w:r>
          </w:p>
        </w:tc>
        <w:tc>
          <w:tcPr>
            <w:tcW w:w="2177" w:type="pct"/>
            <w:tcBorders>
              <w:top w:val="single" w:sz="4" w:space="0" w:color="auto"/>
              <w:left w:val="nil"/>
              <w:bottom w:val="single" w:sz="4" w:space="0" w:color="auto"/>
              <w:right w:val="single" w:sz="4" w:space="0" w:color="auto"/>
            </w:tcBorders>
            <w:shd w:val="clear" w:color="000000" w:fill="F2F2F2" w:themeFill="background1" w:themeFillShade="F2"/>
            <w:vAlign w:val="center"/>
          </w:tcPr>
          <w:p w14:paraId="3B812850" w14:textId="77777777" w:rsidR="009A259D" w:rsidRDefault="00000000">
            <w:pPr>
              <w:widowControl/>
              <w:spacing w:line="240" w:lineRule="auto"/>
              <w:ind w:firstLineChars="0" w:firstLine="0"/>
              <w:jc w:val="center"/>
              <w:rPr>
                <w:rFonts w:ascii="仿宋_GB2312" w:eastAsia="仿宋_GB2312" w:hAnsi="仿宋_GB2312" w:cs="仿宋_GB2312" w:hint="eastAsia"/>
                <w:b/>
                <w:color w:val="000000"/>
                <w:kern w:val="0"/>
                <w:sz w:val="28"/>
                <w:szCs w:val="28"/>
              </w:rPr>
            </w:pPr>
            <w:r>
              <w:rPr>
                <w:rFonts w:ascii="仿宋_GB2312" w:eastAsia="仿宋_GB2312" w:hAnsi="仿宋_GB2312" w:cs="仿宋_GB2312" w:hint="eastAsia"/>
                <w:b/>
                <w:color w:val="000000"/>
                <w:kern w:val="0"/>
                <w:sz w:val="28"/>
                <w:szCs w:val="28"/>
              </w:rPr>
              <w:t>模块描述</w:t>
            </w:r>
          </w:p>
        </w:tc>
      </w:tr>
      <w:tr w:rsidR="009A259D" w14:paraId="4D52638A" w14:textId="77777777">
        <w:trPr>
          <w:trHeight w:hRule="exact" w:val="1078"/>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0D59DC0F"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4B5BECB6"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公众服务子系统XC改造</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2094E3FA"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首页及栏目</w:t>
            </w:r>
            <w:proofErr w:type="gramStart"/>
            <w:r>
              <w:rPr>
                <w:rFonts w:ascii="仿宋_GB2312" w:eastAsia="仿宋_GB2312" w:hAnsi="仿宋_GB2312" w:cs="仿宋_GB2312" w:hint="eastAsia"/>
                <w:color w:val="000000"/>
                <w:kern w:val="0"/>
              </w:rPr>
              <w:t>页建设</w:t>
            </w:r>
            <w:proofErr w:type="gramEnd"/>
          </w:p>
        </w:tc>
        <w:tc>
          <w:tcPr>
            <w:tcW w:w="2177" w:type="pct"/>
            <w:tcBorders>
              <w:top w:val="single" w:sz="4" w:space="0" w:color="auto"/>
              <w:left w:val="nil"/>
              <w:bottom w:val="single" w:sz="4" w:space="0" w:color="auto"/>
              <w:right w:val="single" w:sz="4" w:space="0" w:color="auto"/>
            </w:tcBorders>
            <w:shd w:val="clear" w:color="auto" w:fill="FFFFFF"/>
            <w:vAlign w:val="center"/>
          </w:tcPr>
          <w:p w14:paraId="0AFAA9D7" w14:textId="77777777" w:rsidR="009A259D" w:rsidRDefault="00000000">
            <w:pPr>
              <w:widowControl/>
              <w:spacing w:line="320" w:lineRule="exact"/>
              <w:ind w:firstLineChars="0" w:firstLine="0"/>
              <w:jc w:val="left"/>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首页上展示中心的机构概况、最新动态、工作动态、社工之家、学术研究、联系我们等栏目。</w:t>
            </w:r>
          </w:p>
        </w:tc>
      </w:tr>
      <w:tr w:rsidR="009A259D" w14:paraId="69A0EE0E"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6CC17514"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54B57933"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公众服务子系统XC改造</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50F779F6"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全文检索</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410EA371" w14:textId="77777777" w:rsidR="009A259D" w:rsidRDefault="00000000">
            <w:pPr>
              <w:widowControl/>
              <w:spacing w:line="320" w:lineRule="exact"/>
              <w:ind w:firstLineChars="0" w:firstLine="0"/>
              <w:jc w:val="left"/>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对公众服务子系统中的全文检索功能进行XC适配。</w:t>
            </w:r>
          </w:p>
        </w:tc>
      </w:tr>
      <w:tr w:rsidR="009A259D" w14:paraId="653FD717"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5DD97E47"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3</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7BCE58E9"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综合管理子系统XC改造</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3635CAC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内门户</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48B1BA2B" w14:textId="77777777" w:rsidR="009A259D" w:rsidRDefault="00000000">
            <w:pPr>
              <w:widowControl/>
              <w:spacing w:line="320" w:lineRule="exact"/>
              <w:ind w:firstLineChars="0" w:firstLine="0"/>
              <w:jc w:val="left"/>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包括通知公告、业务信息发布、我的工作台等。</w:t>
            </w:r>
          </w:p>
        </w:tc>
      </w:tr>
      <w:tr w:rsidR="009A259D" w14:paraId="725E6C32" w14:textId="77777777">
        <w:trPr>
          <w:trHeight w:hRule="exact" w:val="1098"/>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5D2B7488"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4</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672263D0"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综合管理子系统XC改造</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2D5C1DA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考核管理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41EB13AB" w14:textId="77777777" w:rsidR="009A259D" w:rsidRDefault="00000000">
            <w:pPr>
              <w:widowControl/>
              <w:spacing w:line="320" w:lineRule="exact"/>
              <w:ind w:firstLineChars="0" w:firstLine="0"/>
              <w:jc w:val="left"/>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包括各单位自评及数据上报，中心考核及汇总分析，考核情况反馈，各单位整改情况上报等功能模块。</w:t>
            </w:r>
          </w:p>
        </w:tc>
      </w:tr>
      <w:tr w:rsidR="009A259D" w14:paraId="570F94B6" w14:textId="77777777">
        <w:trPr>
          <w:trHeight w:hRule="exact" w:val="198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B69BBA4"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5</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125057A0"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综合管理子系统XC改造</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2F3E4ED2"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采购管理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0462A2E3" w14:textId="77777777" w:rsidR="009A259D" w:rsidRDefault="00000000">
            <w:pPr>
              <w:widowControl/>
              <w:spacing w:line="320" w:lineRule="exact"/>
              <w:ind w:firstLineChars="0" w:firstLine="0"/>
              <w:jc w:val="left"/>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包含项目采购信息上报、项目采购信息查询和项目采购信息统计分析3个子模块。上报信息包括年度实施计划、工程项目小组名单、立项申请、项目招投标、合同流转、项目施工管理、全过程验收、项目档案、供应</w:t>
            </w:r>
            <w:proofErr w:type="gramStart"/>
            <w:r>
              <w:rPr>
                <w:rFonts w:ascii="仿宋_GB2312" w:eastAsia="仿宋_GB2312" w:hAnsi="仿宋_GB2312" w:cs="仿宋_GB2312" w:hint="eastAsia"/>
                <w:color w:val="000000"/>
                <w:kern w:val="0"/>
              </w:rPr>
              <w:t>商管理</w:t>
            </w:r>
            <w:proofErr w:type="gramEnd"/>
            <w:r>
              <w:rPr>
                <w:rFonts w:ascii="仿宋_GB2312" w:eastAsia="仿宋_GB2312" w:hAnsi="仿宋_GB2312" w:cs="仿宋_GB2312" w:hint="eastAsia"/>
                <w:color w:val="000000"/>
                <w:kern w:val="0"/>
              </w:rPr>
              <w:t>等。</w:t>
            </w:r>
          </w:p>
        </w:tc>
      </w:tr>
      <w:tr w:rsidR="009A259D" w14:paraId="3F88B8A8" w14:textId="77777777">
        <w:trPr>
          <w:trHeight w:hRule="exact" w:val="1085"/>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0BC8F771"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6</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7C95E0D"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综合管理子系统XC改造</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4329F4CF"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公文管理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3BA18C1B" w14:textId="77777777" w:rsidR="009A259D" w:rsidRDefault="00000000">
            <w:pPr>
              <w:widowControl/>
              <w:spacing w:line="320" w:lineRule="exact"/>
              <w:ind w:firstLineChars="0" w:firstLine="0"/>
              <w:jc w:val="left"/>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包含收文管理和发文管理、非公文文件流转、用印流程。能满足中心——下属单位的上下层级之间的公文流转。</w:t>
            </w:r>
          </w:p>
        </w:tc>
      </w:tr>
      <w:tr w:rsidR="009A259D" w14:paraId="605830CD"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B20DE7E"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7</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7048355"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综合管理子系统XC改造</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432F1B96"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信息发布管理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01421CD1" w14:textId="77777777" w:rsidR="009A259D" w:rsidRDefault="00000000">
            <w:pPr>
              <w:widowControl/>
              <w:spacing w:line="320" w:lineRule="exact"/>
              <w:ind w:firstLineChars="0" w:firstLine="0"/>
              <w:jc w:val="left"/>
              <w:rPr>
                <w:rFonts w:ascii="仿宋_GB2312" w:eastAsia="仿宋_GB2312" w:hAnsi="仿宋_GB2312" w:cs="仿宋_GB2312" w:hint="eastAsia"/>
                <w:color w:val="000000"/>
                <w:kern w:val="0"/>
              </w:rPr>
            </w:pPr>
            <w:r>
              <w:rPr>
                <w:rFonts w:ascii="仿宋_GB2312" w:eastAsia="仿宋_GB2312" w:hAnsi="仿宋_GB2312" w:cs="仿宋_GB2312" w:hint="eastAsia"/>
              </w:rPr>
              <w:t>包括栏目管理、稿件管理和发布管理3个子模块。</w:t>
            </w:r>
          </w:p>
        </w:tc>
      </w:tr>
      <w:tr w:rsidR="009A259D" w14:paraId="43B52D22"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32550F20"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8</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04321E16"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应用支撑子系统XC改造</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11B8F535"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表单引擎</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7FA3A31B"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表单字段属性配置、表单样式配置和表单权限配置等。</w:t>
            </w:r>
          </w:p>
        </w:tc>
      </w:tr>
      <w:tr w:rsidR="009A259D" w14:paraId="6A67B978" w14:textId="77777777">
        <w:trPr>
          <w:trHeight w:hRule="exact" w:val="1415"/>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891419A"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lastRenderedPageBreak/>
              <w:t>9</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178E7907"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应用支撑子系统XC改造</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4FC5D157"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流程引擎</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72FCE19A"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流程角色配置、流程节点配置、流程结构配置、关联表单配置等。</w:t>
            </w:r>
          </w:p>
        </w:tc>
      </w:tr>
      <w:tr w:rsidR="009A259D" w14:paraId="134ABE1F" w14:textId="77777777">
        <w:trPr>
          <w:trHeight w:hRule="exact" w:val="1995"/>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843196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10</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132FC22"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业务监管</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0BFF6B2A"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出入院服务监管</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60BED052"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根据中心职责以及数据共融共通的要求，对下属单位的出入院服务数据进行监管。提供院内床位基本信息、入院信息记录、离院（出院）信息记录等业务数据的对接接口或上传功能，以及对上报数据汇总、分类统计（按条线）、床位图等功能。</w:t>
            </w:r>
          </w:p>
        </w:tc>
      </w:tr>
      <w:tr w:rsidR="009A259D" w14:paraId="25C91409" w14:textId="77777777">
        <w:trPr>
          <w:trHeight w:hRule="exact" w:val="1757"/>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356C670E"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11</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1ABA5BFB"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业务监管</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7A676221"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服务对象健康档案监管</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6B2C83CC"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根据中心职责以及数据共融共通的要求，对下属单位的</w:t>
            </w:r>
            <w:r>
              <w:rPr>
                <w:rFonts w:ascii="仿宋_GB2312" w:eastAsia="仿宋_GB2312" w:hAnsi="仿宋_GB2312" w:cs="仿宋_GB2312" w:hint="eastAsia"/>
                <w:color w:val="000000"/>
                <w:kern w:val="0"/>
              </w:rPr>
              <w:t>服务对象健康档案</w:t>
            </w:r>
            <w:r>
              <w:rPr>
                <w:rFonts w:ascii="仿宋_GB2312" w:eastAsia="仿宋_GB2312" w:hAnsi="仿宋_GB2312" w:cs="仿宋_GB2312" w:hint="eastAsia"/>
              </w:rPr>
              <w:t>数据进行监管。提供基本信息、评估记录、床位信息、疾病诊断记录、护理等级记录等业务数据的对接接口或上传功能。</w:t>
            </w:r>
          </w:p>
        </w:tc>
      </w:tr>
      <w:tr w:rsidR="009A259D" w14:paraId="2C7C9202" w14:textId="77777777">
        <w:trPr>
          <w:trHeight w:hRule="exact" w:val="233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E12588A"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12</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10DB739D"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业务监管</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4DEEFA78"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膳食服务监管</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640B9C6B"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根据中心职责以及数据共融共通的要求，对下属单位的</w:t>
            </w:r>
            <w:r>
              <w:rPr>
                <w:rFonts w:ascii="仿宋_GB2312" w:eastAsia="仿宋_GB2312" w:hAnsi="仿宋_GB2312" w:cs="仿宋_GB2312" w:hint="eastAsia"/>
                <w:color w:val="000000"/>
                <w:kern w:val="0"/>
              </w:rPr>
              <w:t>膳食服务</w:t>
            </w:r>
            <w:r>
              <w:rPr>
                <w:rFonts w:ascii="仿宋_GB2312" w:eastAsia="仿宋_GB2312" w:hAnsi="仿宋_GB2312" w:cs="仿宋_GB2312" w:hint="eastAsia"/>
              </w:rPr>
              <w:t>数据进行监管。提供每周菜谱（职工）、每周菜谱（服务对象）、健康证资质信息、食品经营许可证、餐饮服务食品安全监督量化等级、供应商资质信息、</w:t>
            </w:r>
            <w:proofErr w:type="gramStart"/>
            <w:r>
              <w:rPr>
                <w:rFonts w:ascii="仿宋_GB2312" w:eastAsia="仿宋_GB2312" w:hAnsi="仿宋_GB2312" w:cs="仿宋_GB2312" w:hint="eastAsia"/>
              </w:rPr>
              <w:t>伙委会</w:t>
            </w:r>
            <w:proofErr w:type="gramEnd"/>
            <w:r>
              <w:rPr>
                <w:rFonts w:ascii="仿宋_GB2312" w:eastAsia="仿宋_GB2312" w:hAnsi="仿宋_GB2312" w:cs="仿宋_GB2312" w:hint="eastAsia"/>
              </w:rPr>
              <w:t>记录等业务数据的对接接口或上传功能。</w:t>
            </w:r>
          </w:p>
        </w:tc>
      </w:tr>
      <w:tr w:rsidR="009A259D" w14:paraId="2CC13B62" w14:textId="77777777">
        <w:trPr>
          <w:trHeight w:hRule="exact" w:val="173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41FA2819"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13</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4E12AF6"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业务监管</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3D39FE14"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社工服务监管</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74D50F84"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根据中心职责以及数据共融共通的要求，对下属单位的</w:t>
            </w:r>
            <w:r>
              <w:rPr>
                <w:rFonts w:ascii="仿宋_GB2312" w:eastAsia="仿宋_GB2312" w:hAnsi="仿宋_GB2312" w:cs="仿宋_GB2312" w:hint="eastAsia"/>
                <w:color w:val="000000"/>
                <w:kern w:val="0"/>
              </w:rPr>
              <w:t>社工服务</w:t>
            </w:r>
            <w:r>
              <w:rPr>
                <w:rFonts w:ascii="仿宋_GB2312" w:eastAsia="仿宋_GB2312" w:hAnsi="仿宋_GB2312" w:cs="仿宋_GB2312" w:hint="eastAsia"/>
              </w:rPr>
              <w:t>数据进行监管。提供对一人一档记录、个案工作记录、小组工作记录、大型活动记录、项目工作记录等业务数据的对接接口或上传功能。</w:t>
            </w:r>
          </w:p>
        </w:tc>
      </w:tr>
      <w:tr w:rsidR="009A259D" w14:paraId="7755907D" w14:textId="77777777">
        <w:trPr>
          <w:trHeight w:hRule="exact" w:val="1045"/>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0C0FDEF8"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14</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57E984B1"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事项上报</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349467C6"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重要事项</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3C5DD8DE"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健全和规范中心系统内部重要事项报告工作，形成快速高效的反应机制，以便妥善应对处理各项工作。</w:t>
            </w:r>
          </w:p>
        </w:tc>
      </w:tr>
      <w:tr w:rsidR="009A259D" w14:paraId="1EBB8A5C" w14:textId="77777777">
        <w:trPr>
          <w:trHeight w:hRule="exact" w:val="1393"/>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895156E"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15</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7A63E6E9"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事项上报</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659E838F"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护理不良事件</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0D29FC2A"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收集、汇总、分析各单位上报的护理不良事件数据，监督整改措施落实，定期评估风险，优化管理流程，确保信息准确、及时上报。</w:t>
            </w:r>
          </w:p>
        </w:tc>
      </w:tr>
      <w:tr w:rsidR="009A259D" w14:paraId="28A90664" w14:textId="77777777">
        <w:trPr>
          <w:trHeight w:hRule="exact" w:val="1399"/>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BB7C09E"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16</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73653507"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事项上报</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0CB04043"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压力性损伤</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609E0169"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收集、汇总、分析各单位上报的压力性损伤数据，监督整改措施落实，定期评估风险，优化管理流程，确保信息准确、及时上报。</w:t>
            </w:r>
          </w:p>
        </w:tc>
      </w:tr>
      <w:tr w:rsidR="009A259D" w14:paraId="76F3A911" w14:textId="77777777">
        <w:trPr>
          <w:trHeight w:hRule="exact" w:val="107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766FDB8"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17</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4520826A"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事项上报</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0B37FF0B"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年度预决算</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7E3FF700"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包括预算管理、决算管理等。各代管单位可登录并进行预算执行及年度预决算上报，中心实现对各单位数据的汇总。</w:t>
            </w:r>
          </w:p>
        </w:tc>
      </w:tr>
      <w:tr w:rsidR="009A259D" w14:paraId="735AC63F" w14:textId="77777777">
        <w:trPr>
          <w:trHeight w:hRule="exact" w:val="1122"/>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CA9EAEE"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lastRenderedPageBreak/>
              <w:t>18</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1DA6B31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事项上报</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1F31FC63"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预算执行率</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5BAC12D1"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对各个下属单位提交的预决算数据进行汇总和计算，形成各类预算的执行率记录。</w:t>
            </w:r>
          </w:p>
        </w:tc>
      </w:tr>
      <w:tr w:rsidR="009A259D" w14:paraId="41CAB52C"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C74556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19</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15FDF7DD"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事项上报</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4B1A94DA"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膳食盈亏率</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55CD588B"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各单位通过手动添加、导入、接口推送等形式添加膳食盈亏率记录。</w:t>
            </w:r>
          </w:p>
        </w:tc>
      </w:tr>
      <w:tr w:rsidR="009A259D" w14:paraId="7BAADA18" w14:textId="77777777">
        <w:trPr>
          <w:trHeight w:hRule="exact" w:val="12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895294F"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20</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2D5E8AC0"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事项上报</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1EFDB36E"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膳食满意度测评</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05D947F9" w14:textId="77777777" w:rsidR="009A259D" w:rsidRDefault="00000000">
            <w:pPr>
              <w:widowControl/>
              <w:spacing w:line="320" w:lineRule="exact"/>
              <w:ind w:firstLineChars="0" w:firstLine="0"/>
              <w:jc w:val="left"/>
              <w:rPr>
                <w:rFonts w:ascii="仿宋_GB2312" w:eastAsia="仿宋_GB2312" w:hAnsi="仿宋_GB2312" w:cs="仿宋_GB2312" w:hint="eastAsia"/>
                <w:highlight w:val="yellow"/>
              </w:rPr>
            </w:pPr>
            <w:r>
              <w:rPr>
                <w:rFonts w:ascii="仿宋_GB2312" w:eastAsia="仿宋_GB2312" w:hAnsi="仿宋_GB2312" w:cs="仿宋_GB2312" w:hint="eastAsia"/>
              </w:rPr>
              <w:t>各单位通过手动添加、导入、接口推送等形式添加膳食满意度测评记录。</w:t>
            </w:r>
          </w:p>
        </w:tc>
      </w:tr>
      <w:tr w:rsidR="009A259D" w14:paraId="46B84D87"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647DC53A"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21</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48041B4F"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捐赠物资管理</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60988C59"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接收捐赠物资</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574D2CB0"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登记捐赠意向，并根据捐赠物资意向书模板合成捐赠物资意向书。</w:t>
            </w:r>
          </w:p>
        </w:tc>
      </w:tr>
      <w:tr w:rsidR="009A259D" w14:paraId="58499B72"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7831BF8"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22</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6BD4D075"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捐赠物资管理</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5E4E10C3"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捐赠物资使用</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73E5F735"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包括捐赠物资的仓库管理、使用审批、领用、发放等。</w:t>
            </w:r>
          </w:p>
        </w:tc>
      </w:tr>
      <w:tr w:rsidR="009A259D" w14:paraId="6E0F358E"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ADD5389"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23</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7DA708F"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捐赠物资管理</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521CE3DB"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捐赠物资监督</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395E3475"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受赠及使用情况信息公开等。</w:t>
            </w:r>
          </w:p>
        </w:tc>
      </w:tr>
      <w:tr w:rsidR="009A259D" w14:paraId="4E16C9D6"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58868C9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24</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CCD189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文件管理</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2335EDA5"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公共文件管理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66EA85AA"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包括各类公共文件管理等。</w:t>
            </w:r>
          </w:p>
        </w:tc>
      </w:tr>
      <w:tr w:rsidR="009A259D" w14:paraId="10B89727"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5B49F2FA"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25</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EFB51AA"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文件管理</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4A78AF5D"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部门文件管理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12EC5D00"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包括各类业务条线文件管理等。</w:t>
            </w:r>
          </w:p>
        </w:tc>
      </w:tr>
      <w:tr w:rsidR="009A259D" w14:paraId="16B1D4A5" w14:textId="77777777">
        <w:trPr>
          <w:trHeight w:hRule="exact" w:val="1473"/>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48B77F5"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26</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45859BBD"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统一用户授权与单点登录</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31B4822B"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用户管理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74F283A9"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基于民政局一体化平台统一用户授权与单点登录规范开发包括用户身份管理、统一身份目录密码管理、用户生命周期、单位机构管理等。</w:t>
            </w:r>
          </w:p>
        </w:tc>
      </w:tr>
      <w:tr w:rsidR="009A259D" w14:paraId="058F9BCE" w14:textId="77777777">
        <w:trPr>
          <w:trHeight w:hRule="exact" w:val="1505"/>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3F37874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27</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504E41C7"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统一用户授权与单点登录</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653E60F5"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登录管理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251A85E6"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基于民政局一体化平台统一用户授权与单点登录规范开发包括第三方登录、外部数据交互、外部服务接入、对接协议管理、第三应用管理。</w:t>
            </w:r>
          </w:p>
        </w:tc>
      </w:tr>
      <w:tr w:rsidR="009A259D" w14:paraId="0F5FC282" w14:textId="77777777">
        <w:trPr>
          <w:trHeight w:hRule="exact" w:val="13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158D9BE"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28</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78A638CB"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统一用户授权与单点登录</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1BDDBDCF"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认证管理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24C75DA1"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基于民政局一体化平台统一用户授权与单点登录规范开发包括认证方式管理、认证策略管理、认证会话管理、认证协议配置等。</w:t>
            </w:r>
          </w:p>
        </w:tc>
      </w:tr>
      <w:tr w:rsidR="009A259D" w14:paraId="672899CC" w14:textId="77777777">
        <w:trPr>
          <w:trHeight w:hRule="exact" w:val="1605"/>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67B5A09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29</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DDF6108"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统一用户授权与单点登录</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3D9A3A03"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审计管理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60B05137"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基于民政局一体化平台统一用户授权与单点登录规范开发包括操作日志记录、安全审计分析、审计报告生产、账号审计、差异审计等。</w:t>
            </w:r>
          </w:p>
        </w:tc>
      </w:tr>
      <w:tr w:rsidR="009A259D" w14:paraId="67FE514B" w14:textId="77777777">
        <w:trPr>
          <w:trHeight w:hRule="exact" w:val="1325"/>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1BA119C1"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lastRenderedPageBreak/>
              <w:t>30</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0E65B125"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统一用户授权与单点登录</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6E499C79"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授权管理</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1904CB77"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基于民政局一体化平台统一用户授权与单点登录规范开发包括角色管理、权限分配、权限验证、权限审批流程等。</w:t>
            </w:r>
          </w:p>
        </w:tc>
      </w:tr>
      <w:tr w:rsidR="009A259D" w14:paraId="4594B798" w14:textId="77777777">
        <w:trPr>
          <w:trHeight w:hRule="exact" w:val="149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2281ABE0"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31</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63AB6CFD"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统一用户授权与单点登录</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42812417"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系统配置</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6F525BB2"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基于民政局一体化平台统一用户授权与单点登录规范开发包括集成参数配置、安全参数配置、审性能参数配置、系统监测配置、日志配置管理等。</w:t>
            </w:r>
          </w:p>
        </w:tc>
      </w:tr>
      <w:tr w:rsidR="009A259D" w14:paraId="5BF28661" w14:textId="77777777">
        <w:trPr>
          <w:trHeight w:hRule="exact" w:val="1714"/>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75542CD7"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32</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9492027"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密码应用功能</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45634F4F"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平台框架密码应用</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0DE66D0F"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包括用户身份认证机制模块、业务重要数据安全传输模块、服务器虚拟机设备日志/访问控制信息完整性模块、重要可执行程序签名验签模块、用户访问控制信息签名验签模块等。</w:t>
            </w:r>
          </w:p>
        </w:tc>
      </w:tr>
      <w:tr w:rsidR="009A259D" w14:paraId="79A2ACA2" w14:textId="77777777">
        <w:trPr>
          <w:trHeight w:hRule="exact" w:val="850"/>
          <w:jc w:val="center"/>
        </w:trPr>
        <w:tc>
          <w:tcPr>
            <w:tcW w:w="441" w:type="pct"/>
            <w:tcBorders>
              <w:top w:val="single" w:sz="4" w:space="0" w:color="auto"/>
              <w:left w:val="single" w:sz="4" w:space="0" w:color="auto"/>
              <w:bottom w:val="single" w:sz="4" w:space="0" w:color="auto"/>
              <w:right w:val="single" w:sz="4" w:space="0" w:color="auto"/>
            </w:tcBorders>
            <w:shd w:val="clear" w:color="auto" w:fill="FFFFFF"/>
            <w:vAlign w:val="center"/>
          </w:tcPr>
          <w:p w14:paraId="021A1E58"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33</w:t>
            </w:r>
          </w:p>
        </w:tc>
        <w:tc>
          <w:tcPr>
            <w:tcW w:w="1068" w:type="pct"/>
            <w:tcBorders>
              <w:top w:val="single" w:sz="4" w:space="0" w:color="auto"/>
              <w:left w:val="nil"/>
              <w:bottom w:val="single" w:sz="4" w:space="0" w:color="auto"/>
              <w:right w:val="single" w:sz="4" w:space="0" w:color="auto"/>
            </w:tcBorders>
            <w:shd w:val="clear" w:color="auto" w:fill="FFFFFF"/>
            <w:vAlign w:val="center"/>
          </w:tcPr>
          <w:p w14:paraId="3F0AC70C"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密码应用功能</w:t>
            </w:r>
          </w:p>
        </w:tc>
        <w:tc>
          <w:tcPr>
            <w:tcW w:w="1313" w:type="pct"/>
            <w:tcBorders>
              <w:top w:val="single" w:sz="4" w:space="0" w:color="auto"/>
              <w:left w:val="nil"/>
              <w:bottom w:val="single" w:sz="4" w:space="0" w:color="auto"/>
              <w:right w:val="single" w:sz="4" w:space="0" w:color="auto"/>
            </w:tcBorders>
            <w:shd w:val="clear" w:color="auto" w:fill="FFFFFF"/>
            <w:vAlign w:val="center"/>
          </w:tcPr>
          <w:p w14:paraId="1B82F03B" w14:textId="77777777" w:rsidR="009A259D" w:rsidRDefault="00000000">
            <w:pPr>
              <w:widowControl/>
              <w:spacing w:line="400" w:lineRule="exact"/>
              <w:ind w:firstLineChars="0" w:firstLine="0"/>
              <w:jc w:val="center"/>
              <w:rPr>
                <w:rFonts w:ascii="仿宋_GB2312" w:eastAsia="仿宋_GB2312" w:hAnsi="仿宋_GB2312" w:cs="仿宋_GB2312" w:hint="eastAsia"/>
                <w:color w:val="000000"/>
                <w:kern w:val="0"/>
              </w:rPr>
            </w:pPr>
            <w:r>
              <w:rPr>
                <w:rFonts w:ascii="仿宋_GB2312" w:eastAsia="仿宋_GB2312" w:hAnsi="仿宋_GB2312" w:cs="仿宋_GB2312" w:hint="eastAsia"/>
                <w:color w:val="000000"/>
                <w:kern w:val="0"/>
              </w:rPr>
              <w:t>应用功能密码应用</w:t>
            </w:r>
          </w:p>
        </w:tc>
        <w:tc>
          <w:tcPr>
            <w:tcW w:w="2177" w:type="pct"/>
            <w:tcBorders>
              <w:top w:val="single" w:sz="4" w:space="0" w:color="auto"/>
              <w:left w:val="nil"/>
              <w:bottom w:val="single" w:sz="4" w:space="0" w:color="auto"/>
              <w:right w:val="single" w:sz="4" w:space="0" w:color="auto"/>
            </w:tcBorders>
            <w:shd w:val="clear" w:color="auto" w:fill="FFFFFF"/>
            <w:vAlign w:val="center"/>
          </w:tcPr>
          <w:p w14:paraId="0946BBE3" w14:textId="77777777" w:rsidR="009A259D" w:rsidRDefault="00000000">
            <w:pPr>
              <w:widowControl/>
              <w:spacing w:line="320" w:lineRule="exact"/>
              <w:ind w:firstLineChars="0" w:firstLine="0"/>
              <w:jc w:val="left"/>
              <w:rPr>
                <w:rFonts w:ascii="仿宋_GB2312" w:eastAsia="仿宋_GB2312" w:hAnsi="仿宋_GB2312" w:cs="仿宋_GB2312" w:hint="eastAsia"/>
              </w:rPr>
            </w:pPr>
            <w:r>
              <w:rPr>
                <w:rFonts w:ascii="仿宋_GB2312" w:eastAsia="仿宋_GB2312" w:hAnsi="仿宋_GB2312" w:cs="仿宋_GB2312" w:hint="eastAsia"/>
              </w:rPr>
              <w:t>包括应用系统重要数据加解密模块、应用系统重要数据签名验签模块等。</w:t>
            </w:r>
          </w:p>
        </w:tc>
      </w:tr>
    </w:tbl>
    <w:p w14:paraId="70C5B364" w14:textId="77777777" w:rsidR="009A259D" w:rsidRDefault="00000000">
      <w:pPr>
        <w:pStyle w:val="1"/>
        <w:spacing w:before="60" w:after="60" w:line="600" w:lineRule="exact"/>
        <w:ind w:firstLineChars="200" w:firstLine="640"/>
        <w:rPr>
          <w:rFonts w:ascii="黑体" w:hAnsi="黑体" w:cs="黑体" w:hint="eastAsia"/>
          <w:b w:val="0"/>
          <w:bCs w:val="0"/>
          <w:szCs w:val="32"/>
        </w:rPr>
      </w:pPr>
      <w:bookmarkStart w:id="18" w:name="_Toc63785502"/>
      <w:r>
        <w:rPr>
          <w:rFonts w:ascii="黑体" w:hAnsi="黑体" w:cs="黑体" w:hint="eastAsia"/>
          <w:b w:val="0"/>
          <w:bCs w:val="0"/>
          <w:szCs w:val="32"/>
        </w:rPr>
        <w:t>电子政务</w:t>
      </w:r>
      <w:proofErr w:type="gramStart"/>
      <w:r>
        <w:rPr>
          <w:rFonts w:ascii="黑体" w:hAnsi="黑体" w:cs="黑体" w:hint="eastAsia"/>
          <w:b w:val="0"/>
          <w:bCs w:val="0"/>
          <w:szCs w:val="32"/>
        </w:rPr>
        <w:t>云资源</w:t>
      </w:r>
      <w:proofErr w:type="gramEnd"/>
      <w:r>
        <w:rPr>
          <w:rFonts w:ascii="黑体" w:hAnsi="黑体" w:cs="黑体" w:hint="eastAsia"/>
          <w:b w:val="0"/>
          <w:bCs w:val="0"/>
          <w:szCs w:val="32"/>
        </w:rPr>
        <w:t>需求</w:t>
      </w:r>
      <w:bookmarkEnd w:id="18"/>
    </w:p>
    <w:p w14:paraId="6B7FFCEF"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中心在用信息系统部署在政务云服务器，因本项目涉及到XC改造，需要将现有的云服务器资源置换为XC资源，</w:t>
      </w:r>
      <w:proofErr w:type="gramStart"/>
      <w:r>
        <w:rPr>
          <w:rFonts w:ascii="仿宋_GB2312" w:eastAsia="仿宋_GB2312" w:hAnsi="仿宋_GB2312" w:cs="仿宋_GB2312" w:hint="eastAsia"/>
          <w:sz w:val="32"/>
          <w:szCs w:val="32"/>
        </w:rPr>
        <w:t>故申请</w:t>
      </w:r>
      <w:proofErr w:type="gramEnd"/>
      <w:r>
        <w:rPr>
          <w:rFonts w:ascii="仿宋_GB2312" w:eastAsia="仿宋_GB2312" w:hAnsi="仿宋_GB2312" w:cs="仿宋_GB2312" w:hint="eastAsia"/>
          <w:sz w:val="32"/>
          <w:szCs w:val="32"/>
        </w:rPr>
        <w:t>3台位于政务云政务外网区的XC虚拟云服务器，以及1台互联网区的XC虚拟云服务器。具体清单如下：</w:t>
      </w:r>
    </w:p>
    <w:tbl>
      <w:tblPr>
        <w:tblW w:w="9458" w:type="dxa"/>
        <w:jc w:val="center"/>
        <w:tblLook w:val="04A0" w:firstRow="1" w:lastRow="0" w:firstColumn="1" w:lastColumn="0" w:noHBand="0" w:noVBand="1"/>
      </w:tblPr>
      <w:tblGrid>
        <w:gridCol w:w="806"/>
        <w:gridCol w:w="1469"/>
        <w:gridCol w:w="1726"/>
        <w:gridCol w:w="1453"/>
        <w:gridCol w:w="1271"/>
        <w:gridCol w:w="1386"/>
        <w:gridCol w:w="1347"/>
      </w:tblGrid>
      <w:tr w:rsidR="009A259D" w14:paraId="40B580DC" w14:textId="77777777">
        <w:trPr>
          <w:trHeight w:val="986"/>
          <w:tblHeader/>
          <w:jc w:val="center"/>
        </w:trPr>
        <w:tc>
          <w:tcPr>
            <w:tcW w:w="8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175589" w14:textId="77777777" w:rsidR="009A259D" w:rsidRDefault="00000000">
            <w:pPr>
              <w:pStyle w:val="a5"/>
              <w:snapToGrid w:val="0"/>
              <w:spacing w:line="400" w:lineRule="exact"/>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序号</w:t>
            </w:r>
          </w:p>
        </w:tc>
        <w:tc>
          <w:tcPr>
            <w:tcW w:w="146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2393439" w14:textId="77777777" w:rsidR="009A259D" w:rsidRDefault="00000000">
            <w:pPr>
              <w:pStyle w:val="a5"/>
              <w:snapToGrid w:val="0"/>
              <w:spacing w:line="400" w:lineRule="exact"/>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所属区域</w:t>
            </w:r>
          </w:p>
        </w:tc>
        <w:tc>
          <w:tcPr>
            <w:tcW w:w="172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795452E" w14:textId="77777777" w:rsidR="009A259D" w:rsidRDefault="00000000">
            <w:pPr>
              <w:pStyle w:val="a5"/>
              <w:snapToGrid w:val="0"/>
              <w:spacing w:line="400" w:lineRule="exact"/>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名称</w:t>
            </w:r>
          </w:p>
        </w:tc>
        <w:tc>
          <w:tcPr>
            <w:tcW w:w="14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48B9A5B" w14:textId="77777777" w:rsidR="009A259D" w:rsidRDefault="00000000">
            <w:pPr>
              <w:pStyle w:val="a5"/>
              <w:snapToGrid w:val="0"/>
              <w:spacing w:line="400" w:lineRule="exact"/>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CPU</w:t>
            </w:r>
          </w:p>
          <w:p w14:paraId="7AAD41B6" w14:textId="77777777" w:rsidR="009A259D" w:rsidRDefault="00000000">
            <w:pPr>
              <w:pStyle w:val="a5"/>
              <w:snapToGrid w:val="0"/>
              <w:spacing w:line="400" w:lineRule="exact"/>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使用核数</w:t>
            </w:r>
          </w:p>
        </w:tc>
        <w:tc>
          <w:tcPr>
            <w:tcW w:w="127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BEED35" w14:textId="77777777" w:rsidR="009A259D" w:rsidRDefault="00000000">
            <w:pPr>
              <w:pStyle w:val="a5"/>
              <w:snapToGrid w:val="0"/>
              <w:spacing w:line="400" w:lineRule="exact"/>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内存(G)</w:t>
            </w:r>
          </w:p>
        </w:tc>
        <w:tc>
          <w:tcPr>
            <w:tcW w:w="138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E9F0177" w14:textId="77777777" w:rsidR="009A259D" w:rsidRDefault="00000000">
            <w:pPr>
              <w:pStyle w:val="a5"/>
              <w:snapToGrid w:val="0"/>
              <w:spacing w:line="400" w:lineRule="exact"/>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存储(GB)</w:t>
            </w:r>
          </w:p>
        </w:tc>
        <w:tc>
          <w:tcPr>
            <w:tcW w:w="134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5080BB2" w14:textId="77777777" w:rsidR="009A259D" w:rsidRDefault="00000000">
            <w:pPr>
              <w:pStyle w:val="a5"/>
              <w:snapToGrid w:val="0"/>
              <w:spacing w:line="400" w:lineRule="exact"/>
              <w:jc w:val="center"/>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操作系统</w:t>
            </w:r>
          </w:p>
        </w:tc>
      </w:tr>
      <w:tr w:rsidR="009A259D" w14:paraId="6B31EB16" w14:textId="77777777">
        <w:trPr>
          <w:trHeight w:hRule="exact" w:val="680"/>
          <w:jc w:val="center"/>
        </w:trPr>
        <w:tc>
          <w:tcPr>
            <w:tcW w:w="806" w:type="dxa"/>
            <w:tcBorders>
              <w:top w:val="single" w:sz="4" w:space="0" w:color="auto"/>
              <w:left w:val="single" w:sz="4" w:space="0" w:color="auto"/>
              <w:bottom w:val="single" w:sz="4" w:space="0" w:color="auto"/>
              <w:right w:val="single" w:sz="4" w:space="0" w:color="auto"/>
            </w:tcBorders>
            <w:vAlign w:val="center"/>
          </w:tcPr>
          <w:p w14:paraId="0E1D3F8F"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1</w:t>
            </w:r>
          </w:p>
        </w:tc>
        <w:tc>
          <w:tcPr>
            <w:tcW w:w="1469" w:type="dxa"/>
            <w:tcBorders>
              <w:top w:val="single" w:sz="4" w:space="0" w:color="auto"/>
              <w:left w:val="nil"/>
              <w:bottom w:val="single" w:sz="4" w:space="0" w:color="auto"/>
              <w:right w:val="single" w:sz="4" w:space="0" w:color="auto"/>
            </w:tcBorders>
            <w:vAlign w:val="center"/>
          </w:tcPr>
          <w:p w14:paraId="131BF6F1"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政务外网</w:t>
            </w:r>
          </w:p>
        </w:tc>
        <w:tc>
          <w:tcPr>
            <w:tcW w:w="1726" w:type="dxa"/>
            <w:tcBorders>
              <w:top w:val="single" w:sz="4" w:space="0" w:color="auto"/>
              <w:left w:val="nil"/>
              <w:bottom w:val="single" w:sz="4" w:space="0" w:color="auto"/>
              <w:right w:val="single" w:sz="4" w:space="0" w:color="auto"/>
            </w:tcBorders>
            <w:vAlign w:val="center"/>
          </w:tcPr>
          <w:p w14:paraId="32DD328D"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应用服务器</w:t>
            </w:r>
          </w:p>
        </w:tc>
        <w:tc>
          <w:tcPr>
            <w:tcW w:w="1453" w:type="dxa"/>
            <w:tcBorders>
              <w:top w:val="single" w:sz="4" w:space="0" w:color="auto"/>
              <w:left w:val="nil"/>
              <w:bottom w:val="single" w:sz="4" w:space="0" w:color="auto"/>
              <w:right w:val="single" w:sz="4" w:space="0" w:color="auto"/>
            </w:tcBorders>
            <w:vAlign w:val="center"/>
          </w:tcPr>
          <w:p w14:paraId="6AE90B22"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16</w:t>
            </w:r>
          </w:p>
        </w:tc>
        <w:tc>
          <w:tcPr>
            <w:tcW w:w="1271" w:type="dxa"/>
            <w:tcBorders>
              <w:top w:val="single" w:sz="4" w:space="0" w:color="auto"/>
              <w:left w:val="nil"/>
              <w:bottom w:val="single" w:sz="4" w:space="0" w:color="auto"/>
              <w:right w:val="single" w:sz="4" w:space="0" w:color="auto"/>
            </w:tcBorders>
            <w:vAlign w:val="center"/>
          </w:tcPr>
          <w:p w14:paraId="095D153C"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32G</w:t>
            </w:r>
          </w:p>
        </w:tc>
        <w:tc>
          <w:tcPr>
            <w:tcW w:w="1386" w:type="dxa"/>
            <w:tcBorders>
              <w:top w:val="single" w:sz="4" w:space="0" w:color="auto"/>
              <w:left w:val="nil"/>
              <w:bottom w:val="single" w:sz="4" w:space="0" w:color="auto"/>
              <w:right w:val="single" w:sz="4" w:space="0" w:color="auto"/>
            </w:tcBorders>
            <w:vAlign w:val="center"/>
          </w:tcPr>
          <w:p w14:paraId="53045844"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1000</w:t>
            </w:r>
          </w:p>
        </w:tc>
        <w:tc>
          <w:tcPr>
            <w:tcW w:w="1347" w:type="dxa"/>
            <w:tcBorders>
              <w:top w:val="single" w:sz="4" w:space="0" w:color="auto"/>
              <w:left w:val="nil"/>
              <w:bottom w:val="single" w:sz="4" w:space="0" w:color="auto"/>
              <w:right w:val="single" w:sz="4" w:space="0" w:color="auto"/>
            </w:tcBorders>
            <w:vAlign w:val="center"/>
          </w:tcPr>
          <w:p w14:paraId="68BB0EC1"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中标麒麟</w:t>
            </w:r>
          </w:p>
        </w:tc>
      </w:tr>
      <w:tr w:rsidR="009A259D" w14:paraId="6F838F05" w14:textId="77777777">
        <w:trPr>
          <w:trHeight w:hRule="exact" w:val="680"/>
          <w:jc w:val="center"/>
        </w:trPr>
        <w:tc>
          <w:tcPr>
            <w:tcW w:w="806" w:type="dxa"/>
            <w:tcBorders>
              <w:top w:val="single" w:sz="4" w:space="0" w:color="auto"/>
              <w:left w:val="single" w:sz="4" w:space="0" w:color="auto"/>
              <w:bottom w:val="single" w:sz="4" w:space="0" w:color="auto"/>
              <w:right w:val="single" w:sz="4" w:space="0" w:color="auto"/>
            </w:tcBorders>
            <w:vAlign w:val="center"/>
          </w:tcPr>
          <w:p w14:paraId="75149730"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2</w:t>
            </w:r>
          </w:p>
        </w:tc>
        <w:tc>
          <w:tcPr>
            <w:tcW w:w="1469" w:type="dxa"/>
            <w:tcBorders>
              <w:top w:val="single" w:sz="4" w:space="0" w:color="auto"/>
              <w:left w:val="nil"/>
              <w:bottom w:val="single" w:sz="4" w:space="0" w:color="auto"/>
              <w:right w:val="single" w:sz="4" w:space="0" w:color="auto"/>
            </w:tcBorders>
            <w:vAlign w:val="center"/>
          </w:tcPr>
          <w:p w14:paraId="31F8F15E"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政务外网</w:t>
            </w:r>
          </w:p>
        </w:tc>
        <w:tc>
          <w:tcPr>
            <w:tcW w:w="1726" w:type="dxa"/>
            <w:tcBorders>
              <w:top w:val="single" w:sz="4" w:space="0" w:color="auto"/>
              <w:left w:val="nil"/>
              <w:bottom w:val="single" w:sz="4" w:space="0" w:color="auto"/>
              <w:right w:val="single" w:sz="4" w:space="0" w:color="auto"/>
            </w:tcBorders>
            <w:vAlign w:val="center"/>
          </w:tcPr>
          <w:p w14:paraId="36507067"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数据库服务器</w:t>
            </w:r>
          </w:p>
        </w:tc>
        <w:tc>
          <w:tcPr>
            <w:tcW w:w="1453" w:type="dxa"/>
            <w:tcBorders>
              <w:top w:val="single" w:sz="4" w:space="0" w:color="auto"/>
              <w:left w:val="nil"/>
              <w:bottom w:val="single" w:sz="4" w:space="0" w:color="auto"/>
              <w:right w:val="single" w:sz="4" w:space="0" w:color="auto"/>
            </w:tcBorders>
            <w:vAlign w:val="center"/>
          </w:tcPr>
          <w:p w14:paraId="46F4DD4F"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8</w:t>
            </w:r>
          </w:p>
        </w:tc>
        <w:tc>
          <w:tcPr>
            <w:tcW w:w="1271" w:type="dxa"/>
            <w:tcBorders>
              <w:top w:val="single" w:sz="4" w:space="0" w:color="auto"/>
              <w:left w:val="nil"/>
              <w:bottom w:val="single" w:sz="4" w:space="0" w:color="auto"/>
              <w:right w:val="single" w:sz="4" w:space="0" w:color="auto"/>
            </w:tcBorders>
            <w:vAlign w:val="center"/>
          </w:tcPr>
          <w:p w14:paraId="3ADAFAE3"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32G</w:t>
            </w:r>
          </w:p>
        </w:tc>
        <w:tc>
          <w:tcPr>
            <w:tcW w:w="1386" w:type="dxa"/>
            <w:tcBorders>
              <w:top w:val="single" w:sz="4" w:space="0" w:color="auto"/>
              <w:left w:val="nil"/>
              <w:bottom w:val="single" w:sz="4" w:space="0" w:color="auto"/>
              <w:right w:val="single" w:sz="4" w:space="0" w:color="auto"/>
            </w:tcBorders>
            <w:vAlign w:val="center"/>
          </w:tcPr>
          <w:p w14:paraId="7DD7B279"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500</w:t>
            </w:r>
          </w:p>
        </w:tc>
        <w:tc>
          <w:tcPr>
            <w:tcW w:w="1347" w:type="dxa"/>
            <w:tcBorders>
              <w:top w:val="single" w:sz="4" w:space="0" w:color="auto"/>
              <w:left w:val="nil"/>
              <w:bottom w:val="single" w:sz="4" w:space="0" w:color="auto"/>
              <w:right w:val="single" w:sz="4" w:space="0" w:color="auto"/>
            </w:tcBorders>
            <w:vAlign w:val="center"/>
          </w:tcPr>
          <w:p w14:paraId="56E6CE42"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中标麒麟</w:t>
            </w:r>
          </w:p>
        </w:tc>
      </w:tr>
      <w:tr w:rsidR="009A259D" w14:paraId="261C201E" w14:textId="77777777">
        <w:trPr>
          <w:trHeight w:hRule="exact" w:val="680"/>
          <w:jc w:val="center"/>
        </w:trPr>
        <w:tc>
          <w:tcPr>
            <w:tcW w:w="806" w:type="dxa"/>
            <w:tcBorders>
              <w:top w:val="single" w:sz="4" w:space="0" w:color="auto"/>
              <w:left w:val="single" w:sz="4" w:space="0" w:color="auto"/>
              <w:bottom w:val="single" w:sz="4" w:space="0" w:color="auto"/>
              <w:right w:val="single" w:sz="4" w:space="0" w:color="auto"/>
            </w:tcBorders>
            <w:vAlign w:val="center"/>
          </w:tcPr>
          <w:p w14:paraId="251292E0"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3</w:t>
            </w:r>
          </w:p>
        </w:tc>
        <w:tc>
          <w:tcPr>
            <w:tcW w:w="1469" w:type="dxa"/>
            <w:tcBorders>
              <w:top w:val="single" w:sz="4" w:space="0" w:color="auto"/>
              <w:left w:val="nil"/>
              <w:bottom w:val="single" w:sz="4" w:space="0" w:color="auto"/>
              <w:right w:val="single" w:sz="4" w:space="0" w:color="auto"/>
            </w:tcBorders>
            <w:vAlign w:val="center"/>
          </w:tcPr>
          <w:p w14:paraId="5499701E"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政务外网</w:t>
            </w:r>
          </w:p>
        </w:tc>
        <w:tc>
          <w:tcPr>
            <w:tcW w:w="1726" w:type="dxa"/>
            <w:tcBorders>
              <w:top w:val="single" w:sz="4" w:space="0" w:color="auto"/>
              <w:left w:val="nil"/>
              <w:bottom w:val="single" w:sz="4" w:space="0" w:color="auto"/>
              <w:right w:val="single" w:sz="4" w:space="0" w:color="auto"/>
            </w:tcBorders>
            <w:vAlign w:val="center"/>
          </w:tcPr>
          <w:p w14:paraId="1D6F1973"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备份服务器</w:t>
            </w:r>
          </w:p>
        </w:tc>
        <w:tc>
          <w:tcPr>
            <w:tcW w:w="1453" w:type="dxa"/>
            <w:tcBorders>
              <w:top w:val="single" w:sz="4" w:space="0" w:color="auto"/>
              <w:left w:val="nil"/>
              <w:bottom w:val="single" w:sz="4" w:space="0" w:color="auto"/>
              <w:right w:val="single" w:sz="4" w:space="0" w:color="auto"/>
            </w:tcBorders>
            <w:vAlign w:val="center"/>
          </w:tcPr>
          <w:p w14:paraId="4A300F7E"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8</w:t>
            </w:r>
          </w:p>
        </w:tc>
        <w:tc>
          <w:tcPr>
            <w:tcW w:w="1271" w:type="dxa"/>
            <w:tcBorders>
              <w:top w:val="single" w:sz="4" w:space="0" w:color="auto"/>
              <w:left w:val="nil"/>
              <w:bottom w:val="single" w:sz="4" w:space="0" w:color="auto"/>
              <w:right w:val="single" w:sz="4" w:space="0" w:color="auto"/>
            </w:tcBorders>
            <w:vAlign w:val="center"/>
          </w:tcPr>
          <w:p w14:paraId="30CF2FE3"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16G</w:t>
            </w:r>
          </w:p>
        </w:tc>
        <w:tc>
          <w:tcPr>
            <w:tcW w:w="1386" w:type="dxa"/>
            <w:tcBorders>
              <w:top w:val="single" w:sz="4" w:space="0" w:color="auto"/>
              <w:left w:val="nil"/>
              <w:bottom w:val="single" w:sz="4" w:space="0" w:color="auto"/>
              <w:right w:val="single" w:sz="4" w:space="0" w:color="auto"/>
            </w:tcBorders>
            <w:vAlign w:val="center"/>
          </w:tcPr>
          <w:p w14:paraId="176CEC83"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500</w:t>
            </w:r>
          </w:p>
        </w:tc>
        <w:tc>
          <w:tcPr>
            <w:tcW w:w="1347" w:type="dxa"/>
            <w:tcBorders>
              <w:top w:val="single" w:sz="4" w:space="0" w:color="auto"/>
              <w:left w:val="nil"/>
              <w:bottom w:val="single" w:sz="4" w:space="0" w:color="auto"/>
              <w:right w:val="single" w:sz="4" w:space="0" w:color="auto"/>
            </w:tcBorders>
            <w:vAlign w:val="center"/>
          </w:tcPr>
          <w:p w14:paraId="48BA1749"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中标麒麟</w:t>
            </w:r>
          </w:p>
        </w:tc>
      </w:tr>
      <w:tr w:rsidR="009A259D" w14:paraId="1CD90D70" w14:textId="77777777">
        <w:trPr>
          <w:trHeight w:hRule="exact" w:val="680"/>
          <w:jc w:val="center"/>
        </w:trPr>
        <w:tc>
          <w:tcPr>
            <w:tcW w:w="806" w:type="dxa"/>
            <w:tcBorders>
              <w:top w:val="single" w:sz="4" w:space="0" w:color="auto"/>
              <w:left w:val="single" w:sz="4" w:space="0" w:color="auto"/>
              <w:bottom w:val="single" w:sz="4" w:space="0" w:color="auto"/>
              <w:right w:val="single" w:sz="4" w:space="0" w:color="auto"/>
            </w:tcBorders>
            <w:vAlign w:val="center"/>
          </w:tcPr>
          <w:p w14:paraId="2008D526"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4</w:t>
            </w:r>
          </w:p>
        </w:tc>
        <w:tc>
          <w:tcPr>
            <w:tcW w:w="1469" w:type="dxa"/>
            <w:tcBorders>
              <w:top w:val="single" w:sz="4" w:space="0" w:color="auto"/>
              <w:left w:val="nil"/>
              <w:bottom w:val="single" w:sz="4" w:space="0" w:color="auto"/>
              <w:right w:val="single" w:sz="4" w:space="0" w:color="auto"/>
            </w:tcBorders>
            <w:vAlign w:val="center"/>
          </w:tcPr>
          <w:p w14:paraId="0DE5D9C4"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互联网区</w:t>
            </w:r>
          </w:p>
        </w:tc>
        <w:tc>
          <w:tcPr>
            <w:tcW w:w="1726" w:type="dxa"/>
            <w:tcBorders>
              <w:top w:val="single" w:sz="4" w:space="0" w:color="auto"/>
              <w:left w:val="nil"/>
              <w:bottom w:val="single" w:sz="4" w:space="0" w:color="auto"/>
              <w:right w:val="single" w:sz="4" w:space="0" w:color="auto"/>
            </w:tcBorders>
            <w:vAlign w:val="center"/>
          </w:tcPr>
          <w:p w14:paraId="45DFE834"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应用服务器</w:t>
            </w:r>
          </w:p>
        </w:tc>
        <w:tc>
          <w:tcPr>
            <w:tcW w:w="1453" w:type="dxa"/>
            <w:tcBorders>
              <w:top w:val="single" w:sz="4" w:space="0" w:color="auto"/>
              <w:left w:val="nil"/>
              <w:bottom w:val="single" w:sz="4" w:space="0" w:color="auto"/>
              <w:right w:val="single" w:sz="4" w:space="0" w:color="auto"/>
            </w:tcBorders>
            <w:vAlign w:val="center"/>
          </w:tcPr>
          <w:p w14:paraId="39DBEEFA"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8</w:t>
            </w:r>
          </w:p>
        </w:tc>
        <w:tc>
          <w:tcPr>
            <w:tcW w:w="1271" w:type="dxa"/>
            <w:tcBorders>
              <w:top w:val="single" w:sz="4" w:space="0" w:color="auto"/>
              <w:left w:val="nil"/>
              <w:bottom w:val="single" w:sz="4" w:space="0" w:color="auto"/>
              <w:right w:val="single" w:sz="4" w:space="0" w:color="auto"/>
            </w:tcBorders>
            <w:vAlign w:val="center"/>
          </w:tcPr>
          <w:p w14:paraId="456BCFBA"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16G</w:t>
            </w:r>
          </w:p>
        </w:tc>
        <w:tc>
          <w:tcPr>
            <w:tcW w:w="1386" w:type="dxa"/>
            <w:tcBorders>
              <w:top w:val="single" w:sz="4" w:space="0" w:color="auto"/>
              <w:left w:val="nil"/>
              <w:bottom w:val="single" w:sz="4" w:space="0" w:color="auto"/>
              <w:right w:val="single" w:sz="4" w:space="0" w:color="auto"/>
            </w:tcBorders>
            <w:vAlign w:val="center"/>
          </w:tcPr>
          <w:p w14:paraId="540CE36B"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500</w:t>
            </w:r>
          </w:p>
        </w:tc>
        <w:tc>
          <w:tcPr>
            <w:tcW w:w="1347" w:type="dxa"/>
            <w:tcBorders>
              <w:top w:val="single" w:sz="4" w:space="0" w:color="auto"/>
              <w:left w:val="nil"/>
              <w:bottom w:val="single" w:sz="4" w:space="0" w:color="auto"/>
              <w:right w:val="single" w:sz="4" w:space="0" w:color="auto"/>
            </w:tcBorders>
            <w:vAlign w:val="center"/>
          </w:tcPr>
          <w:p w14:paraId="0D7D5957" w14:textId="77777777" w:rsidR="009A259D" w:rsidRDefault="00000000">
            <w:pPr>
              <w:pStyle w:val="a5"/>
              <w:snapToGrid w:val="0"/>
              <w:spacing w:line="240" w:lineRule="auto"/>
              <w:jc w:val="center"/>
              <w:rPr>
                <w:rFonts w:ascii="仿宋_GB2312" w:eastAsia="仿宋_GB2312" w:hAnsi="仿宋_GB2312" w:cs="仿宋_GB2312" w:hint="eastAsia"/>
                <w:bCs/>
                <w:sz w:val="24"/>
              </w:rPr>
            </w:pPr>
            <w:r>
              <w:rPr>
                <w:rFonts w:ascii="仿宋_GB2312" w:eastAsia="仿宋_GB2312" w:hAnsi="仿宋_GB2312" w:cs="仿宋_GB2312" w:hint="eastAsia"/>
                <w:bCs/>
                <w:sz w:val="24"/>
              </w:rPr>
              <w:t>中标麒麟</w:t>
            </w:r>
          </w:p>
        </w:tc>
      </w:tr>
    </w:tbl>
    <w:p w14:paraId="4DE54952" w14:textId="77777777" w:rsidR="009A259D" w:rsidRDefault="00000000">
      <w:pPr>
        <w:pStyle w:val="1"/>
        <w:spacing w:before="60" w:after="60" w:line="600" w:lineRule="exact"/>
        <w:ind w:firstLineChars="200" w:firstLine="640"/>
        <w:rPr>
          <w:rFonts w:ascii="黑体" w:hAnsi="黑体" w:cs="黑体" w:hint="eastAsia"/>
          <w:b w:val="0"/>
          <w:bCs w:val="0"/>
          <w:szCs w:val="32"/>
        </w:rPr>
      </w:pPr>
      <w:bookmarkStart w:id="19" w:name="_Toc63785503"/>
      <w:r>
        <w:rPr>
          <w:rFonts w:ascii="黑体" w:hAnsi="黑体" w:cs="黑体" w:hint="eastAsia"/>
          <w:b w:val="0"/>
          <w:bCs w:val="0"/>
          <w:szCs w:val="32"/>
        </w:rPr>
        <w:t>其他工作要求</w:t>
      </w:r>
      <w:bookmarkEnd w:id="19"/>
    </w:p>
    <w:p w14:paraId="703A9B23"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bookmarkStart w:id="20" w:name="_Toc63785439"/>
      <w:bookmarkStart w:id="21" w:name="_Toc63151871"/>
      <w:bookmarkStart w:id="22" w:name="_Toc63762370"/>
      <w:bookmarkStart w:id="23" w:name="_Toc62219358"/>
      <w:bookmarkStart w:id="24" w:name="_Toc61968111"/>
      <w:bookmarkStart w:id="25" w:name="_Toc62209488"/>
      <w:bookmarkStart w:id="26" w:name="_Toc63785504"/>
      <w:bookmarkStart w:id="27" w:name="_Toc63585480"/>
      <w:bookmarkStart w:id="28" w:name="_Toc63785505"/>
      <w:bookmarkEnd w:id="20"/>
      <w:bookmarkEnd w:id="21"/>
      <w:bookmarkEnd w:id="22"/>
      <w:bookmarkEnd w:id="23"/>
      <w:bookmarkEnd w:id="24"/>
      <w:bookmarkEnd w:id="25"/>
      <w:bookmarkEnd w:id="26"/>
      <w:bookmarkEnd w:id="27"/>
      <w:r>
        <w:rPr>
          <w:rFonts w:ascii="楷体_GB2312" w:eastAsia="楷体_GB2312" w:hAnsi="楷体_GB2312" w:cs="楷体_GB2312" w:hint="eastAsia"/>
          <w:sz w:val="32"/>
        </w:rPr>
        <w:t>（一）售后服务要求</w:t>
      </w:r>
      <w:bookmarkEnd w:id="28"/>
    </w:p>
    <w:p w14:paraId="135E9171" w14:textId="77777777" w:rsidR="009A259D" w:rsidRDefault="00000000">
      <w:pPr>
        <w:pStyle w:val="10"/>
        <w:snapToGrid w:val="0"/>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本项目从系统验收通过之日起1年内提供7*24小时免费技</w:t>
      </w:r>
      <w:r>
        <w:rPr>
          <w:rFonts w:ascii="仿宋_GB2312" w:eastAsia="仿宋_GB2312" w:hAnsi="仿宋_GB2312" w:cs="仿宋_GB2312" w:hint="eastAsia"/>
          <w:sz w:val="32"/>
          <w:szCs w:val="32"/>
        </w:rPr>
        <w:lastRenderedPageBreak/>
        <w:t>术支持和售后服务，1年后进入有偿维护期。</w:t>
      </w:r>
    </w:p>
    <w:p w14:paraId="2DFE5C1E" w14:textId="77777777" w:rsidR="009A259D" w:rsidRDefault="00000000">
      <w:pPr>
        <w:pStyle w:val="10"/>
        <w:snapToGrid w:val="0"/>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在质量保证期内，供应商将按照售后服务的承诺提供保修和运行维护服务，如果厂商对信息系统中软、硬件设备等产品中的部分保修期超过上述期限的，则按照厂商的规定进行免费保修。</w:t>
      </w:r>
    </w:p>
    <w:p w14:paraId="1220A9FE" w14:textId="77777777" w:rsidR="009A259D" w:rsidRDefault="00000000">
      <w:pPr>
        <w:pStyle w:val="10"/>
        <w:snapToGrid w:val="0"/>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在质量保证期内，供应商负责信息系统的运行维护工作，确保信息系统安全、稳定、可靠地运行。</w:t>
      </w:r>
    </w:p>
    <w:p w14:paraId="0A262681"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bookmarkStart w:id="29" w:name="_Toc63785506"/>
      <w:r>
        <w:rPr>
          <w:rFonts w:ascii="楷体_GB2312" w:eastAsia="楷体_GB2312" w:hAnsi="楷体_GB2312" w:cs="楷体_GB2312" w:hint="eastAsia"/>
          <w:sz w:val="32"/>
        </w:rPr>
        <w:t>（二）应急响应要求</w:t>
      </w:r>
      <w:bookmarkEnd w:id="29"/>
    </w:p>
    <w:p w14:paraId="749FE34C" w14:textId="77777777" w:rsidR="009A259D" w:rsidRDefault="00000000">
      <w:pPr>
        <w:pStyle w:val="10"/>
        <w:snapToGrid w:val="0"/>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供应商对系统故障应能够实时响应，若系统发生故障，接到通知后30分钟之内响应，专业工程师2小时内到达现场。特殊故障与客户沟通协商后，按照协商的方式制定解决方案并进行处理。</w:t>
      </w:r>
    </w:p>
    <w:p w14:paraId="34DFE2E8" w14:textId="77777777" w:rsidR="009A259D" w:rsidRDefault="00000000">
      <w:pPr>
        <w:pStyle w:val="10"/>
        <w:snapToGrid w:val="0"/>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具体故障级别及对应的应急响应要求如下：</w:t>
      </w:r>
    </w:p>
    <w:p w14:paraId="0C10A158" w14:textId="77777777" w:rsidR="009A259D" w:rsidRDefault="00000000">
      <w:pPr>
        <w:pStyle w:val="10"/>
        <w:snapToGrid w:val="0"/>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一级故障：在1小时内确诊，总故障解决时间不超过4小时。</w:t>
      </w:r>
    </w:p>
    <w:p w14:paraId="750A763F" w14:textId="77777777" w:rsidR="009A259D" w:rsidRDefault="00000000">
      <w:pPr>
        <w:pStyle w:val="10"/>
        <w:snapToGrid w:val="0"/>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二级故障：在2小时内确诊，并在4小时内由专家到达现场确诊并解决，总故障解决时间不超过8小时；</w:t>
      </w:r>
    </w:p>
    <w:p w14:paraId="2D674174" w14:textId="77777777" w:rsidR="009A259D" w:rsidRDefault="00000000">
      <w:pPr>
        <w:pStyle w:val="10"/>
        <w:snapToGrid w:val="0"/>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三、四级故障：在4小时内确诊故障，总故障解决时间不超过16小时。</w:t>
      </w:r>
    </w:p>
    <w:p w14:paraId="6D46CEA3"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bookmarkStart w:id="30" w:name="_Toc63785507"/>
      <w:r>
        <w:rPr>
          <w:rFonts w:ascii="楷体_GB2312" w:eastAsia="楷体_GB2312" w:hAnsi="楷体_GB2312" w:cs="楷体_GB2312" w:hint="eastAsia"/>
          <w:sz w:val="32"/>
        </w:rPr>
        <w:t>（三）培训要求</w:t>
      </w:r>
      <w:bookmarkEnd w:id="30"/>
    </w:p>
    <w:p w14:paraId="507238B4"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对系统使用单位提供业务操作培训，应提供详细培训方案。</w:t>
      </w:r>
    </w:p>
    <w:p w14:paraId="48F62409"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1.在12个月的质量保证期内，提供2次与项目相关的必要培训。</w:t>
      </w:r>
    </w:p>
    <w:p w14:paraId="25D15486"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2.供应商需要开展分层次的人员培训工作，每次培训后应对参加培训人员进行测试，评估培训成果。培训应具有培训教材、培训环境和高水平的培训讲师。</w:t>
      </w:r>
    </w:p>
    <w:p w14:paraId="6AA457B1" w14:textId="77777777" w:rsidR="009A259D" w:rsidRDefault="00000000">
      <w:pPr>
        <w:spacing w:line="600" w:lineRule="exact"/>
        <w:ind w:firstLine="640"/>
        <w:rPr>
          <w:rFonts w:ascii="仿宋_GB2312" w:eastAsia="仿宋_GB2312" w:hAnsi="仿宋_GB2312" w:cs="仿宋_GB2312" w:hint="eastAsia"/>
          <w:strike/>
          <w:sz w:val="32"/>
          <w:szCs w:val="32"/>
        </w:rPr>
      </w:pPr>
      <w:r>
        <w:rPr>
          <w:rFonts w:ascii="仿宋_GB2312" w:eastAsia="仿宋_GB2312" w:hAnsi="仿宋_GB2312" w:cs="仿宋_GB2312" w:hint="eastAsia"/>
          <w:sz w:val="32"/>
          <w:szCs w:val="32"/>
        </w:rPr>
        <w:t>3.供应商应提供一般用户的基础操作培训和部门信息管理员的日常应用维护的培训，确保用户对象能够掌握对应的操作技能。</w:t>
      </w:r>
    </w:p>
    <w:p w14:paraId="3DC5184A"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bookmarkStart w:id="31" w:name="_Toc63785509"/>
      <w:r>
        <w:rPr>
          <w:rFonts w:ascii="楷体_GB2312" w:eastAsia="楷体_GB2312" w:hAnsi="楷体_GB2312" w:cs="楷体_GB2312" w:hint="eastAsia"/>
          <w:sz w:val="32"/>
        </w:rPr>
        <w:t>（四）进度要求</w:t>
      </w:r>
      <w:bookmarkEnd w:id="31"/>
    </w:p>
    <w:p w14:paraId="4D419371"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投标人应根据建设内容，分阶段制定合理的时间进度，并且应根据招标方要求进行调整和细化。</w:t>
      </w:r>
    </w:p>
    <w:p w14:paraId="67C2379B" w14:textId="672B676F"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总建设周期</w:t>
      </w:r>
      <w:r w:rsidR="00E43792">
        <w:rPr>
          <w:rFonts w:ascii="仿宋_GB2312" w:eastAsia="仿宋_GB2312" w:hAnsi="仿宋_GB2312" w:cs="仿宋_GB2312" w:hint="eastAsia"/>
          <w:sz w:val="32"/>
          <w:szCs w:val="32"/>
        </w:rPr>
        <w:t>需在</w:t>
      </w:r>
      <w:r w:rsidR="00E43792" w:rsidRPr="00E43792">
        <w:rPr>
          <w:rFonts w:ascii="仿宋_GB2312" w:eastAsia="仿宋_GB2312" w:hAnsi="仿宋_GB2312" w:cs="仿宋_GB2312" w:hint="eastAsia"/>
          <w:sz w:val="32"/>
          <w:szCs w:val="32"/>
        </w:rPr>
        <w:t>2026年11月30日前完成项目系统建设、部署上线试运行并通过验收</w:t>
      </w:r>
      <w:r>
        <w:rPr>
          <w:rFonts w:ascii="仿宋_GB2312" w:eastAsia="仿宋_GB2312" w:hAnsi="仿宋_GB2312" w:cs="仿宋_GB2312" w:hint="eastAsia"/>
          <w:sz w:val="32"/>
          <w:szCs w:val="32"/>
        </w:rPr>
        <w:t>，分为5个阶段。</w:t>
      </w:r>
    </w:p>
    <w:p w14:paraId="20DC222E"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第一阶段为1个月，完成需求调研和系统设计。</w:t>
      </w:r>
    </w:p>
    <w:p w14:paraId="381815A1"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第二阶段为4个月，完成系统开发、集成、内部测试、联调。</w:t>
      </w:r>
    </w:p>
    <w:p w14:paraId="0F028FF1"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第三阶段为1个月，完成系统部署、调试、实施。</w:t>
      </w:r>
    </w:p>
    <w:p w14:paraId="7058CAD8"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第四阶段为1个月，完成系统试运行。</w:t>
      </w:r>
    </w:p>
    <w:p w14:paraId="196AA673" w14:textId="63C9C1E1"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第五阶段</w:t>
      </w:r>
      <w:r w:rsidR="0075766D">
        <w:rPr>
          <w:rFonts w:ascii="仿宋_GB2312" w:eastAsia="仿宋_GB2312" w:hAnsi="仿宋_GB2312" w:cs="仿宋_GB2312" w:hint="eastAsia"/>
          <w:sz w:val="32"/>
          <w:szCs w:val="32"/>
        </w:rPr>
        <w:t>，</w:t>
      </w:r>
      <w:r w:rsidR="0075766D" w:rsidRPr="0075766D">
        <w:rPr>
          <w:rFonts w:ascii="仿宋_GB2312" w:eastAsia="仿宋_GB2312" w:hAnsi="仿宋_GB2312" w:cs="仿宋_GB2312" w:hint="eastAsia"/>
          <w:sz w:val="32"/>
          <w:szCs w:val="32"/>
        </w:rPr>
        <w:t>2026年11月30日前完成项目系统建设、部署上线试运行并通过采购人验收。</w:t>
      </w:r>
    </w:p>
    <w:p w14:paraId="2B80457F"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bookmarkStart w:id="32" w:name="_Toc63785510"/>
      <w:r>
        <w:rPr>
          <w:rFonts w:ascii="楷体_GB2312" w:eastAsia="楷体_GB2312" w:hAnsi="楷体_GB2312" w:cs="楷体_GB2312" w:hint="eastAsia"/>
          <w:sz w:val="32"/>
        </w:rPr>
        <w:t>（五）项目团队及驻场人员要求</w:t>
      </w:r>
      <w:bookmarkEnd w:id="32"/>
    </w:p>
    <w:p w14:paraId="72F6EA0E"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投标人须具有稳定的在职技术保障力量，能够提供及时的技术支援或服务，应针对本项目提供不少于4人的项目服务团队（包括项目经理、产品经理、技术负责人、研发等），投标单位的相关服务人员需具备相应的服务能力，需提供相关证明。</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2468"/>
        <w:gridCol w:w="1494"/>
        <w:gridCol w:w="2674"/>
        <w:gridCol w:w="1419"/>
      </w:tblGrid>
      <w:tr w:rsidR="009A259D" w14:paraId="4F3C4798" w14:textId="77777777">
        <w:trPr>
          <w:trHeight w:hRule="exact" w:val="850"/>
          <w:jc w:val="center"/>
        </w:trPr>
        <w:tc>
          <w:tcPr>
            <w:tcW w:w="1176" w:type="dxa"/>
            <w:shd w:val="clear" w:color="auto" w:fill="F2F2F2" w:themeFill="background1" w:themeFillShade="F2"/>
            <w:noWrap/>
            <w:vAlign w:val="center"/>
          </w:tcPr>
          <w:p w14:paraId="057E21E3"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lastRenderedPageBreak/>
              <w:t>角色</w:t>
            </w:r>
          </w:p>
        </w:tc>
        <w:tc>
          <w:tcPr>
            <w:tcW w:w="2468" w:type="dxa"/>
            <w:shd w:val="clear" w:color="auto" w:fill="F2F2F2" w:themeFill="background1" w:themeFillShade="F2"/>
            <w:noWrap/>
            <w:vAlign w:val="center"/>
          </w:tcPr>
          <w:p w14:paraId="52E6AC40"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主要职责</w:t>
            </w:r>
          </w:p>
        </w:tc>
        <w:tc>
          <w:tcPr>
            <w:tcW w:w="1494" w:type="dxa"/>
            <w:shd w:val="clear" w:color="auto" w:fill="F2F2F2" w:themeFill="background1" w:themeFillShade="F2"/>
            <w:noWrap/>
            <w:vAlign w:val="center"/>
          </w:tcPr>
          <w:p w14:paraId="766AE239"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人员数量</w:t>
            </w:r>
          </w:p>
        </w:tc>
        <w:tc>
          <w:tcPr>
            <w:tcW w:w="2674" w:type="dxa"/>
            <w:shd w:val="clear" w:color="auto" w:fill="F2F2F2" w:themeFill="background1" w:themeFillShade="F2"/>
            <w:vAlign w:val="center"/>
          </w:tcPr>
          <w:p w14:paraId="7D758FC7"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人员要求</w:t>
            </w:r>
          </w:p>
        </w:tc>
        <w:tc>
          <w:tcPr>
            <w:tcW w:w="1419" w:type="dxa"/>
            <w:shd w:val="clear" w:color="auto" w:fill="F2F2F2" w:themeFill="background1" w:themeFillShade="F2"/>
            <w:noWrap/>
            <w:vAlign w:val="center"/>
          </w:tcPr>
          <w:p w14:paraId="2219B4DD"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驻场要求</w:t>
            </w:r>
          </w:p>
        </w:tc>
      </w:tr>
      <w:tr w:rsidR="009A259D" w14:paraId="708C10B3" w14:textId="77777777">
        <w:trPr>
          <w:trHeight w:hRule="exact" w:val="850"/>
          <w:jc w:val="center"/>
        </w:trPr>
        <w:tc>
          <w:tcPr>
            <w:tcW w:w="1176" w:type="dxa"/>
            <w:noWrap/>
            <w:vAlign w:val="center"/>
          </w:tcPr>
          <w:p w14:paraId="56936CBB"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项目经理</w:t>
            </w:r>
          </w:p>
        </w:tc>
        <w:tc>
          <w:tcPr>
            <w:tcW w:w="2468" w:type="dxa"/>
            <w:vAlign w:val="center"/>
          </w:tcPr>
          <w:p w14:paraId="70BF2BF4"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负责项目质量和进度控制</w:t>
            </w:r>
          </w:p>
        </w:tc>
        <w:tc>
          <w:tcPr>
            <w:tcW w:w="1494" w:type="dxa"/>
            <w:noWrap/>
            <w:vAlign w:val="center"/>
          </w:tcPr>
          <w:p w14:paraId="710630AA"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1人</w:t>
            </w:r>
          </w:p>
        </w:tc>
        <w:tc>
          <w:tcPr>
            <w:tcW w:w="2674" w:type="dxa"/>
            <w:vAlign w:val="center"/>
          </w:tcPr>
          <w:p w14:paraId="1585E1DF" w14:textId="407EA736"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具备</w:t>
            </w:r>
            <w:r w:rsidR="0016447F" w:rsidRPr="0016447F">
              <w:rPr>
                <w:rFonts w:ascii="仿宋_GB2312" w:eastAsia="仿宋_GB2312" w:hAnsi="仿宋_GB2312" w:cs="仿宋_GB2312" w:hint="eastAsia"/>
              </w:rPr>
              <w:t>计算机技术与软件专业技术资格证书中级</w:t>
            </w:r>
            <w:r w:rsidR="0016447F">
              <w:rPr>
                <w:rFonts w:ascii="仿宋_GB2312" w:eastAsia="仿宋_GB2312" w:hAnsi="仿宋_GB2312" w:cs="仿宋_GB2312" w:hint="eastAsia"/>
              </w:rPr>
              <w:t>或以上</w:t>
            </w:r>
            <w:r>
              <w:rPr>
                <w:rFonts w:ascii="仿宋_GB2312" w:eastAsia="仿宋_GB2312" w:hAnsi="仿宋_GB2312" w:cs="仿宋_GB2312" w:hint="eastAsia"/>
              </w:rPr>
              <w:t>资质证书</w:t>
            </w:r>
          </w:p>
        </w:tc>
        <w:tc>
          <w:tcPr>
            <w:tcW w:w="1419" w:type="dxa"/>
            <w:noWrap/>
            <w:vAlign w:val="center"/>
          </w:tcPr>
          <w:p w14:paraId="4C36E215"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不驻场</w:t>
            </w:r>
          </w:p>
        </w:tc>
      </w:tr>
      <w:tr w:rsidR="009A259D" w14:paraId="1FB00A6A" w14:textId="77777777">
        <w:trPr>
          <w:trHeight w:hRule="exact" w:val="850"/>
          <w:jc w:val="center"/>
        </w:trPr>
        <w:tc>
          <w:tcPr>
            <w:tcW w:w="1176" w:type="dxa"/>
            <w:noWrap/>
            <w:vAlign w:val="center"/>
          </w:tcPr>
          <w:p w14:paraId="48699166"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产品经理</w:t>
            </w:r>
          </w:p>
        </w:tc>
        <w:tc>
          <w:tcPr>
            <w:tcW w:w="2468" w:type="dxa"/>
            <w:vAlign w:val="center"/>
          </w:tcPr>
          <w:p w14:paraId="14FBBEF6"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负责项目需求评估与产品设计</w:t>
            </w:r>
          </w:p>
        </w:tc>
        <w:tc>
          <w:tcPr>
            <w:tcW w:w="1494" w:type="dxa"/>
            <w:noWrap/>
            <w:vAlign w:val="center"/>
          </w:tcPr>
          <w:p w14:paraId="18D9B318"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1人</w:t>
            </w:r>
          </w:p>
        </w:tc>
        <w:tc>
          <w:tcPr>
            <w:tcW w:w="2674" w:type="dxa"/>
            <w:vAlign w:val="center"/>
          </w:tcPr>
          <w:p w14:paraId="72B85D62" w14:textId="77777777" w:rsidR="009A259D" w:rsidRDefault="009A259D">
            <w:pPr>
              <w:widowControl/>
              <w:spacing w:line="240" w:lineRule="auto"/>
              <w:ind w:firstLineChars="0" w:firstLine="0"/>
              <w:jc w:val="center"/>
              <w:rPr>
                <w:rFonts w:ascii="仿宋_GB2312" w:eastAsia="仿宋_GB2312" w:hAnsi="仿宋_GB2312" w:cs="仿宋_GB2312" w:hint="eastAsia"/>
              </w:rPr>
            </w:pPr>
          </w:p>
        </w:tc>
        <w:tc>
          <w:tcPr>
            <w:tcW w:w="1419" w:type="dxa"/>
            <w:noWrap/>
            <w:vAlign w:val="center"/>
          </w:tcPr>
          <w:p w14:paraId="25E36540"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不驻场</w:t>
            </w:r>
          </w:p>
        </w:tc>
      </w:tr>
      <w:tr w:rsidR="009A259D" w14:paraId="7C0EDBAE" w14:textId="77777777">
        <w:trPr>
          <w:trHeight w:hRule="exact" w:val="680"/>
          <w:jc w:val="center"/>
        </w:trPr>
        <w:tc>
          <w:tcPr>
            <w:tcW w:w="1176" w:type="dxa"/>
            <w:noWrap/>
            <w:vAlign w:val="center"/>
          </w:tcPr>
          <w:p w14:paraId="3F8C46E5"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研发</w:t>
            </w:r>
          </w:p>
        </w:tc>
        <w:tc>
          <w:tcPr>
            <w:tcW w:w="2468" w:type="dxa"/>
            <w:noWrap/>
            <w:vAlign w:val="center"/>
          </w:tcPr>
          <w:p w14:paraId="0388967D"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负责项目具体开发与实施</w:t>
            </w:r>
          </w:p>
        </w:tc>
        <w:tc>
          <w:tcPr>
            <w:tcW w:w="1494" w:type="dxa"/>
            <w:noWrap/>
            <w:vAlign w:val="center"/>
          </w:tcPr>
          <w:p w14:paraId="2A01DDFA"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2人</w:t>
            </w:r>
          </w:p>
        </w:tc>
        <w:tc>
          <w:tcPr>
            <w:tcW w:w="2674" w:type="dxa"/>
            <w:vAlign w:val="center"/>
          </w:tcPr>
          <w:p w14:paraId="24AD8BE0" w14:textId="77777777" w:rsidR="009A259D" w:rsidRDefault="009A259D">
            <w:pPr>
              <w:widowControl/>
              <w:spacing w:line="240" w:lineRule="auto"/>
              <w:ind w:firstLineChars="0" w:firstLine="0"/>
              <w:jc w:val="center"/>
              <w:rPr>
                <w:rFonts w:ascii="仿宋_GB2312" w:eastAsia="仿宋_GB2312" w:hAnsi="仿宋_GB2312" w:cs="仿宋_GB2312" w:hint="eastAsia"/>
              </w:rPr>
            </w:pPr>
          </w:p>
        </w:tc>
        <w:tc>
          <w:tcPr>
            <w:tcW w:w="1419" w:type="dxa"/>
            <w:noWrap/>
            <w:vAlign w:val="center"/>
          </w:tcPr>
          <w:p w14:paraId="30DBD1DD"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不驻场</w:t>
            </w:r>
          </w:p>
        </w:tc>
      </w:tr>
    </w:tbl>
    <w:p w14:paraId="610E9E97"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投标人应针对本项目提供不少于2人的质</w:t>
      </w:r>
      <w:proofErr w:type="gramStart"/>
      <w:r>
        <w:rPr>
          <w:rFonts w:ascii="仿宋_GB2312" w:eastAsia="仿宋_GB2312" w:hAnsi="仿宋_GB2312" w:cs="仿宋_GB2312" w:hint="eastAsia"/>
          <w:sz w:val="32"/>
          <w:szCs w:val="32"/>
        </w:rPr>
        <w:t>保期间</w:t>
      </w:r>
      <w:proofErr w:type="gramEnd"/>
      <w:r>
        <w:rPr>
          <w:rFonts w:ascii="仿宋_GB2312" w:eastAsia="仿宋_GB2312" w:hAnsi="仿宋_GB2312" w:cs="仿宋_GB2312" w:hint="eastAsia"/>
          <w:sz w:val="32"/>
          <w:szCs w:val="32"/>
        </w:rPr>
        <w:t>支撑团队；投标人的相关服务人员需具备相应的服务能力，需提供相关证明（最近一个季度依法缴纳社保费的证明）。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2164"/>
        <w:gridCol w:w="1451"/>
        <w:gridCol w:w="2688"/>
        <w:gridCol w:w="1341"/>
      </w:tblGrid>
      <w:tr w:rsidR="009A259D" w14:paraId="5E26BCB8" w14:textId="77777777">
        <w:trPr>
          <w:trHeight w:hRule="exact" w:val="850"/>
          <w:jc w:val="center"/>
        </w:trPr>
        <w:tc>
          <w:tcPr>
            <w:tcW w:w="1416" w:type="dxa"/>
            <w:shd w:val="clear" w:color="auto" w:fill="F2F2F2" w:themeFill="background1" w:themeFillShade="F2"/>
            <w:noWrap/>
            <w:vAlign w:val="center"/>
          </w:tcPr>
          <w:p w14:paraId="08E6F4C7"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角色</w:t>
            </w:r>
          </w:p>
        </w:tc>
        <w:tc>
          <w:tcPr>
            <w:tcW w:w="2164" w:type="dxa"/>
            <w:shd w:val="clear" w:color="auto" w:fill="F2F2F2" w:themeFill="background1" w:themeFillShade="F2"/>
            <w:noWrap/>
            <w:vAlign w:val="center"/>
          </w:tcPr>
          <w:p w14:paraId="1F493BAE"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主要职责</w:t>
            </w:r>
          </w:p>
        </w:tc>
        <w:tc>
          <w:tcPr>
            <w:tcW w:w="1451" w:type="dxa"/>
            <w:shd w:val="clear" w:color="auto" w:fill="F2F2F2" w:themeFill="background1" w:themeFillShade="F2"/>
            <w:noWrap/>
            <w:vAlign w:val="center"/>
          </w:tcPr>
          <w:p w14:paraId="57833D54"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人员数量</w:t>
            </w:r>
          </w:p>
        </w:tc>
        <w:tc>
          <w:tcPr>
            <w:tcW w:w="2688" w:type="dxa"/>
            <w:shd w:val="clear" w:color="auto" w:fill="F2F2F2" w:themeFill="background1" w:themeFillShade="F2"/>
            <w:vAlign w:val="center"/>
          </w:tcPr>
          <w:p w14:paraId="60D4A56B"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人员要求</w:t>
            </w:r>
          </w:p>
        </w:tc>
        <w:tc>
          <w:tcPr>
            <w:tcW w:w="1341" w:type="dxa"/>
            <w:shd w:val="clear" w:color="auto" w:fill="F2F2F2" w:themeFill="background1" w:themeFillShade="F2"/>
            <w:noWrap/>
            <w:vAlign w:val="center"/>
          </w:tcPr>
          <w:p w14:paraId="58DAD4E8" w14:textId="77777777" w:rsidR="009A259D" w:rsidRDefault="00000000">
            <w:pPr>
              <w:widowControl/>
              <w:spacing w:line="240" w:lineRule="auto"/>
              <w:ind w:firstLineChars="0" w:firstLine="0"/>
              <w:jc w:val="center"/>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驻场要求</w:t>
            </w:r>
          </w:p>
        </w:tc>
      </w:tr>
      <w:tr w:rsidR="009A259D" w14:paraId="5D339B1B" w14:textId="77777777">
        <w:trPr>
          <w:trHeight w:hRule="exact" w:val="850"/>
          <w:jc w:val="center"/>
        </w:trPr>
        <w:tc>
          <w:tcPr>
            <w:tcW w:w="1416" w:type="dxa"/>
            <w:noWrap/>
            <w:vAlign w:val="center"/>
          </w:tcPr>
          <w:p w14:paraId="0F22C307"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项目经理</w:t>
            </w:r>
          </w:p>
        </w:tc>
        <w:tc>
          <w:tcPr>
            <w:tcW w:w="2164" w:type="dxa"/>
            <w:vAlign w:val="center"/>
          </w:tcPr>
          <w:p w14:paraId="43A09166"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负责项目质量和进度控制</w:t>
            </w:r>
          </w:p>
        </w:tc>
        <w:tc>
          <w:tcPr>
            <w:tcW w:w="1451" w:type="dxa"/>
            <w:noWrap/>
            <w:vAlign w:val="center"/>
          </w:tcPr>
          <w:p w14:paraId="01F6D631"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1人</w:t>
            </w:r>
          </w:p>
        </w:tc>
        <w:tc>
          <w:tcPr>
            <w:tcW w:w="2688" w:type="dxa"/>
            <w:vAlign w:val="center"/>
          </w:tcPr>
          <w:p w14:paraId="7583CAFF"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具备软件中级资质证书</w:t>
            </w:r>
          </w:p>
        </w:tc>
        <w:tc>
          <w:tcPr>
            <w:tcW w:w="1341" w:type="dxa"/>
            <w:noWrap/>
            <w:vAlign w:val="center"/>
          </w:tcPr>
          <w:p w14:paraId="5C0F977E"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不驻场</w:t>
            </w:r>
          </w:p>
        </w:tc>
      </w:tr>
      <w:tr w:rsidR="009A259D" w14:paraId="64AA56D8" w14:textId="77777777">
        <w:trPr>
          <w:trHeight w:hRule="exact" w:val="850"/>
          <w:jc w:val="center"/>
        </w:trPr>
        <w:tc>
          <w:tcPr>
            <w:tcW w:w="1416" w:type="dxa"/>
            <w:noWrap/>
            <w:vAlign w:val="center"/>
          </w:tcPr>
          <w:p w14:paraId="1FD24EF3"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技术工程师</w:t>
            </w:r>
          </w:p>
        </w:tc>
        <w:tc>
          <w:tcPr>
            <w:tcW w:w="2164" w:type="dxa"/>
            <w:noWrap/>
            <w:vAlign w:val="center"/>
          </w:tcPr>
          <w:p w14:paraId="622B8895"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负责项目运行维护</w:t>
            </w:r>
          </w:p>
        </w:tc>
        <w:tc>
          <w:tcPr>
            <w:tcW w:w="1451" w:type="dxa"/>
            <w:noWrap/>
            <w:vAlign w:val="center"/>
          </w:tcPr>
          <w:p w14:paraId="3B23A0D5"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1人</w:t>
            </w:r>
          </w:p>
        </w:tc>
        <w:tc>
          <w:tcPr>
            <w:tcW w:w="2688" w:type="dxa"/>
            <w:vAlign w:val="center"/>
          </w:tcPr>
          <w:p w14:paraId="60DDEA03" w14:textId="77777777" w:rsidR="009A259D" w:rsidRDefault="009A259D">
            <w:pPr>
              <w:widowControl/>
              <w:spacing w:line="240" w:lineRule="auto"/>
              <w:ind w:firstLineChars="0" w:firstLine="0"/>
              <w:jc w:val="center"/>
              <w:rPr>
                <w:rFonts w:ascii="仿宋_GB2312" w:eastAsia="仿宋_GB2312" w:hAnsi="仿宋_GB2312" w:cs="仿宋_GB2312" w:hint="eastAsia"/>
              </w:rPr>
            </w:pPr>
          </w:p>
        </w:tc>
        <w:tc>
          <w:tcPr>
            <w:tcW w:w="1341" w:type="dxa"/>
            <w:noWrap/>
            <w:vAlign w:val="center"/>
          </w:tcPr>
          <w:p w14:paraId="3C675EBD" w14:textId="77777777" w:rsidR="009A259D" w:rsidRDefault="00000000">
            <w:pPr>
              <w:widowControl/>
              <w:spacing w:line="240" w:lineRule="auto"/>
              <w:ind w:firstLineChars="0" w:firstLine="0"/>
              <w:jc w:val="center"/>
              <w:rPr>
                <w:rFonts w:ascii="仿宋_GB2312" w:eastAsia="仿宋_GB2312" w:hAnsi="仿宋_GB2312" w:cs="仿宋_GB2312" w:hint="eastAsia"/>
              </w:rPr>
            </w:pPr>
            <w:r>
              <w:rPr>
                <w:rFonts w:ascii="仿宋_GB2312" w:eastAsia="仿宋_GB2312" w:hAnsi="仿宋_GB2312" w:cs="仿宋_GB2312" w:hint="eastAsia"/>
              </w:rPr>
              <w:t>不驻场</w:t>
            </w:r>
          </w:p>
        </w:tc>
      </w:tr>
    </w:tbl>
    <w:p w14:paraId="75D282AB"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bookmarkStart w:id="33" w:name="_Toc63785511"/>
      <w:r>
        <w:rPr>
          <w:rFonts w:ascii="楷体_GB2312" w:eastAsia="楷体_GB2312" w:hAnsi="楷体_GB2312" w:cs="楷体_GB2312" w:hint="eastAsia"/>
          <w:sz w:val="32"/>
        </w:rPr>
        <w:t>（六）等级保护要求</w:t>
      </w:r>
      <w:bookmarkEnd w:id="33"/>
    </w:p>
    <w:p w14:paraId="27EBD109" w14:textId="77777777" w:rsidR="009A259D" w:rsidRDefault="00000000">
      <w:pPr>
        <w:spacing w:line="600" w:lineRule="exact"/>
        <w:ind w:firstLine="640"/>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sz w:val="32"/>
          <w:szCs w:val="32"/>
        </w:rPr>
        <w:t>本项目等级保护要求：</w:t>
      </w:r>
      <w:r>
        <w:rPr>
          <w:rFonts w:ascii="仿宋_GB2312" w:eastAsia="仿宋_GB2312" w:hAnsi="仿宋_GB2312" w:cs="仿宋_GB2312" w:hint="eastAsia"/>
          <w:color w:val="000000"/>
          <w:kern w:val="0"/>
          <w:sz w:val="32"/>
          <w:szCs w:val="32"/>
        </w:rPr>
        <w:t>本系统运行于政务外网，属于内部业务系统，暂定网络安全等级为二级。</w:t>
      </w:r>
    </w:p>
    <w:p w14:paraId="1CBF03F0" w14:textId="77777777"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r>
        <w:rPr>
          <w:rFonts w:ascii="楷体_GB2312" w:eastAsia="楷体_GB2312" w:hAnsi="楷体_GB2312" w:cs="楷体_GB2312" w:hint="eastAsia"/>
          <w:sz w:val="32"/>
        </w:rPr>
        <w:t>（七）商业密码应用需求</w:t>
      </w:r>
    </w:p>
    <w:p w14:paraId="6706D478"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落实相关法律法规对于信息系统密码应用的要求，结合《国家政务信息化项目建设管理办法》《政务信息系统政府采购管理暂行办法》等规范性依据，我单位在对综合服务平台进行XC改造时同步规划、同步建设、同步运行密码保障系统，为综合服务平台提供安全可靠支撑保障。</w:t>
      </w:r>
    </w:p>
    <w:p w14:paraId="09DEF780" w14:textId="07412841" w:rsidR="0016447F" w:rsidRDefault="0016447F" w:rsidP="0016447F">
      <w:pPr>
        <w:pStyle w:val="2"/>
        <w:numPr>
          <w:ilvl w:val="1"/>
          <w:numId w:val="0"/>
        </w:numPr>
        <w:spacing w:before="60" w:after="60" w:line="600" w:lineRule="exact"/>
        <w:ind w:firstLineChars="200" w:firstLine="643"/>
        <w:rPr>
          <w:rFonts w:ascii="楷体_GB2312" w:eastAsia="楷体_GB2312" w:hAnsi="楷体_GB2312" w:cs="楷体_GB2312" w:hint="eastAsia"/>
          <w:sz w:val="32"/>
        </w:rPr>
      </w:pPr>
      <w:r>
        <w:rPr>
          <w:rFonts w:ascii="楷体_GB2312" w:eastAsia="楷体_GB2312" w:hAnsi="楷体_GB2312" w:cs="楷体_GB2312" w:hint="eastAsia"/>
          <w:sz w:val="32"/>
        </w:rPr>
        <w:t>（八）</w:t>
      </w:r>
      <w:r w:rsidRPr="0016447F">
        <w:rPr>
          <w:rFonts w:ascii="楷体_GB2312" w:eastAsia="楷体_GB2312" w:hAnsi="楷体_GB2312" w:cs="楷体_GB2312" w:hint="eastAsia"/>
          <w:sz w:val="32"/>
        </w:rPr>
        <w:t>技术创新和软件著作权</w:t>
      </w:r>
    </w:p>
    <w:p w14:paraId="732F994E" w14:textId="69B1F20B" w:rsidR="0016447F" w:rsidRDefault="0016447F">
      <w:pPr>
        <w:spacing w:line="600" w:lineRule="exact"/>
        <w:ind w:firstLine="640"/>
        <w:rPr>
          <w:rFonts w:ascii="仿宋_GB2312" w:eastAsia="仿宋_GB2312" w:hAnsi="仿宋_GB2312" w:cs="仿宋_GB2312" w:hint="eastAsia"/>
          <w:sz w:val="32"/>
          <w:szCs w:val="32"/>
        </w:rPr>
      </w:pPr>
      <w:r w:rsidRPr="0016447F">
        <w:rPr>
          <w:rFonts w:ascii="仿宋_GB2312" w:eastAsia="仿宋_GB2312" w:hAnsi="仿宋_GB2312" w:cs="仿宋_GB2312" w:hint="eastAsia"/>
          <w:sz w:val="32"/>
          <w:szCs w:val="32"/>
        </w:rPr>
        <w:t>投标人提供的系统成熟稳定且具有自主知识产权，可以提</w:t>
      </w:r>
      <w:r w:rsidRPr="0016447F">
        <w:rPr>
          <w:rFonts w:ascii="仿宋_GB2312" w:eastAsia="仿宋_GB2312" w:hAnsi="仿宋_GB2312" w:cs="仿宋_GB2312" w:hint="eastAsia"/>
          <w:sz w:val="32"/>
          <w:szCs w:val="32"/>
        </w:rPr>
        <w:lastRenderedPageBreak/>
        <w:t>供与本项目相关（社会福利相关，包括养老、儿童、精卫、重残养护等类型）的相关软件著作权登记证书。</w:t>
      </w:r>
    </w:p>
    <w:p w14:paraId="0C11E7F9" w14:textId="593134D2" w:rsidR="009A259D" w:rsidRDefault="00000000">
      <w:pPr>
        <w:pStyle w:val="2"/>
        <w:numPr>
          <w:ilvl w:val="1"/>
          <w:numId w:val="0"/>
        </w:numPr>
        <w:spacing w:before="60" w:after="60" w:line="600" w:lineRule="exact"/>
        <w:ind w:firstLineChars="200" w:firstLine="643"/>
        <w:rPr>
          <w:rFonts w:ascii="楷体_GB2312" w:eastAsia="楷体_GB2312" w:hAnsi="楷体_GB2312" w:cs="楷体_GB2312" w:hint="eastAsia"/>
          <w:sz w:val="32"/>
        </w:rPr>
      </w:pPr>
      <w:bookmarkStart w:id="34" w:name="_Toc63785512"/>
      <w:r>
        <w:rPr>
          <w:rFonts w:ascii="楷体_GB2312" w:eastAsia="楷体_GB2312" w:hAnsi="楷体_GB2312" w:cs="楷体_GB2312" w:hint="eastAsia"/>
          <w:sz w:val="32"/>
        </w:rPr>
        <w:t>（</w:t>
      </w:r>
      <w:r w:rsidR="0016447F">
        <w:rPr>
          <w:rFonts w:ascii="楷体_GB2312" w:eastAsia="楷体_GB2312" w:hAnsi="楷体_GB2312" w:cs="楷体_GB2312" w:hint="eastAsia"/>
          <w:sz w:val="32"/>
        </w:rPr>
        <w:t>九</w:t>
      </w:r>
      <w:r>
        <w:rPr>
          <w:rFonts w:ascii="楷体_GB2312" w:eastAsia="楷体_GB2312" w:hAnsi="楷体_GB2312" w:cs="楷体_GB2312" w:hint="eastAsia"/>
          <w:sz w:val="32"/>
        </w:rPr>
        <w:t>）技术文件要求</w:t>
      </w:r>
    </w:p>
    <w:p w14:paraId="25FCEFE9"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投标人提供的书面技术资料应能确保系统正常运行所需的管理、运营及维护有关的全套文件。技术文件应该全面、完整、详细。投标人提供的技术文件至少应包括：</w:t>
      </w:r>
    </w:p>
    <w:p w14:paraId="738C76D0"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1.系统说明文件；</w:t>
      </w:r>
    </w:p>
    <w:p w14:paraId="6EB6FA1A"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2.技术手册（安装、测试、操作、维护、故障排除等）；</w:t>
      </w:r>
    </w:p>
    <w:p w14:paraId="7CA5B10D"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3.项目文档，应该包括：</w:t>
      </w:r>
    </w:p>
    <w:p w14:paraId="7B86386E"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（1）软件需求说明书</w:t>
      </w:r>
    </w:p>
    <w:p w14:paraId="672FC5C6"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（2）系统总体设计说明书</w:t>
      </w:r>
    </w:p>
    <w:p w14:paraId="2EC339D6" w14:textId="77777777" w:rsidR="009A259D"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（3）应用软件功能清单</w:t>
      </w:r>
    </w:p>
    <w:p w14:paraId="128E98B8" w14:textId="77777777" w:rsidR="009A259D" w:rsidRDefault="00000000">
      <w:pPr>
        <w:pStyle w:val="20"/>
        <w:spacing w:line="600" w:lineRule="exact"/>
        <w:ind w:firstLine="640"/>
        <w:rPr>
          <w:rFonts w:ascii="仿宋_GB2312" w:eastAsia="仿宋_GB2312" w:hAnsi="仿宋_GB2312" w:cs="仿宋_GB2312" w:hint="eastAsia"/>
          <w:strike/>
          <w:sz w:val="32"/>
          <w:szCs w:val="32"/>
        </w:rPr>
      </w:pPr>
      <w:r>
        <w:rPr>
          <w:rFonts w:ascii="仿宋_GB2312" w:eastAsia="仿宋_GB2312" w:hAnsi="仿宋_GB2312" w:cs="仿宋_GB2312" w:hint="eastAsia"/>
          <w:sz w:val="32"/>
          <w:szCs w:val="32"/>
        </w:rPr>
        <w:t>提供全套技术文件纸介质3套以及电子文件1套。</w:t>
      </w:r>
      <w:bookmarkEnd w:id="34"/>
    </w:p>
    <w:p w14:paraId="03857362" w14:textId="77777777" w:rsidR="009A259D" w:rsidRDefault="00000000">
      <w:pPr>
        <w:pStyle w:val="1"/>
        <w:spacing w:before="60" w:after="60" w:line="600" w:lineRule="exact"/>
        <w:ind w:firstLineChars="200" w:firstLine="640"/>
        <w:rPr>
          <w:rFonts w:ascii="黑体" w:hAnsi="黑体" w:cs="黑体" w:hint="eastAsia"/>
          <w:b w:val="0"/>
          <w:bCs w:val="0"/>
          <w:szCs w:val="32"/>
        </w:rPr>
      </w:pPr>
      <w:bookmarkStart w:id="35" w:name="_Toc68798863"/>
      <w:r>
        <w:rPr>
          <w:rFonts w:ascii="黑体" w:hAnsi="黑体" w:cs="黑体" w:hint="eastAsia"/>
          <w:b w:val="0"/>
          <w:bCs w:val="0"/>
          <w:szCs w:val="32"/>
        </w:rPr>
        <w:t>附录</w:t>
      </w:r>
      <w:bookmarkEnd w:id="35"/>
    </w:p>
    <w:p w14:paraId="31A83458" w14:textId="77777777" w:rsidR="009A259D" w:rsidRDefault="00000000">
      <w:pPr>
        <w:spacing w:line="240" w:lineRule="auto"/>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1.《政务网络安全监测平台总体技术要求》</w:t>
      </w:r>
    </w:p>
    <w:p w14:paraId="1CECE139" w14:textId="77777777" w:rsidR="009A259D" w:rsidRDefault="00000000">
      <w:pPr>
        <w:spacing w:line="240" w:lineRule="auto"/>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object w:dxaOrig="1532" w:dyaOrig="1094" w14:anchorId="51EE3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4.7pt" o:ole="">
            <v:imagedata r:id="rId8" o:title=""/>
          </v:shape>
          <o:OLEObject Type="Embed" ProgID="Package" ShapeID="_x0000_i1025" DrawAspect="Icon" ObjectID="_1836567384" r:id="rId9"/>
        </w:object>
      </w:r>
    </w:p>
    <w:p w14:paraId="46890599" w14:textId="77777777" w:rsidR="009A259D" w:rsidRDefault="00000000">
      <w:pPr>
        <w:spacing w:line="240" w:lineRule="auto"/>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2.《上海市电子政务外网建设和运行管理指南（试行）》</w:t>
      </w:r>
    </w:p>
    <w:p w14:paraId="11A899C6" w14:textId="77777777" w:rsidR="009A259D" w:rsidRDefault="00000000">
      <w:pPr>
        <w:spacing w:line="240" w:lineRule="auto"/>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object w:dxaOrig="1532" w:dyaOrig="1094" w14:anchorId="3B1B5783">
          <v:shape id="_x0000_i1026" type="#_x0000_t75" style="width:76.6pt;height:54.7pt" o:ole="">
            <v:imagedata r:id="rId10" o:title=""/>
          </v:shape>
          <o:OLEObject Type="Embed" ProgID="Package" ShapeID="_x0000_i1026" DrawAspect="Icon" ObjectID="_1836567385" r:id="rId11"/>
        </w:object>
      </w:r>
    </w:p>
    <w:p w14:paraId="0C1FF695" w14:textId="77777777" w:rsidR="009A259D" w:rsidRDefault="00000000">
      <w:pPr>
        <w:spacing w:line="240" w:lineRule="auto"/>
        <w:ind w:firstLine="640"/>
        <w:jc w:val="left"/>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3.其他标准</w:t>
      </w:r>
    </w:p>
    <w:p w14:paraId="414367B4" w14:textId="77777777" w:rsidR="009A259D" w:rsidRDefault="009A259D">
      <w:pPr>
        <w:spacing w:line="600" w:lineRule="exact"/>
        <w:ind w:firstLine="640"/>
        <w:rPr>
          <w:rFonts w:ascii="仿宋_GB2312" w:eastAsia="仿宋_GB2312" w:hAnsi="仿宋_GB2312" w:cs="仿宋_GB2312" w:hint="eastAsia"/>
          <w:sz w:val="32"/>
          <w:szCs w:val="32"/>
        </w:rPr>
      </w:pPr>
    </w:p>
    <w:sectPr w:rsidR="009A259D">
      <w:headerReference w:type="even" r:id="rId12"/>
      <w:headerReference w:type="default" r:id="rId13"/>
      <w:footerReference w:type="even" r:id="rId14"/>
      <w:footerReference w:type="default" r:id="rId15"/>
      <w:headerReference w:type="first" r:id="rId16"/>
      <w:footerReference w:type="first" r:id="rId17"/>
      <w:pgSz w:w="11906" w:h="16838"/>
      <w:pgMar w:top="1134" w:right="1531" w:bottom="1135" w:left="1531" w:header="340" w:footer="7" w:gutter="0"/>
      <w:cols w:space="72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56E84" w14:textId="77777777" w:rsidR="00E9799D" w:rsidRDefault="00E9799D">
      <w:pPr>
        <w:spacing w:line="240" w:lineRule="auto"/>
        <w:rPr>
          <w:rFonts w:hint="eastAsia"/>
        </w:rPr>
      </w:pPr>
      <w:r>
        <w:separator/>
      </w:r>
    </w:p>
  </w:endnote>
  <w:endnote w:type="continuationSeparator" w:id="0">
    <w:p w14:paraId="0C243EDF" w14:textId="77777777" w:rsidR="00E9799D" w:rsidRDefault="00E9799D">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023F0A6B-3B01-41A7-90EF-459B610D533F}"/>
  </w:font>
  <w:font w:name="华文中宋">
    <w:panose1 w:val="02010600040101010101"/>
    <w:charset w:val="86"/>
    <w:family w:val="auto"/>
    <w:pitch w:val="variable"/>
    <w:sig w:usb0="00000287" w:usb1="080F0000" w:usb2="00000010" w:usb3="00000000" w:csb0="0004009F" w:csb1="00000000"/>
    <w:embedRegular r:id="rId2" w:subsetted="1" w:fontKey="{2C38475F-0FFA-4C50-A41E-51A96A00F5A8}"/>
  </w:font>
  <w:font w:name="楷体_GB2312">
    <w:panose1 w:val="02010609030101010101"/>
    <w:charset w:val="86"/>
    <w:family w:val="modern"/>
    <w:pitch w:val="fixed"/>
    <w:sig w:usb0="00000001" w:usb1="080E0000" w:usb2="00000010" w:usb3="00000000" w:csb0="00040000" w:csb1="00000000"/>
    <w:embedBold r:id="rId3" w:subsetted="1" w:fontKey="{DE2DAC32-2C8B-4812-B325-67182B2C147C}"/>
  </w:font>
  <w:font w:name="仿宋_GB2312">
    <w:panose1 w:val="02010609030101010101"/>
    <w:charset w:val="86"/>
    <w:family w:val="modern"/>
    <w:pitch w:val="fixed"/>
    <w:sig w:usb0="00000001" w:usb1="080E0000" w:usb2="00000010" w:usb3="00000000" w:csb0="00040000" w:csb1="00000000"/>
    <w:embedRegular r:id="rId4" w:subsetted="1" w:fontKey="{295551E8-F50D-4463-8AF0-2DE98C2BA0E9}"/>
    <w:embedBold r:id="rId5" w:subsetted="1" w:fontKey="{156DB022-3498-4B98-B354-84744A275D86}"/>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9A46" w14:textId="77777777" w:rsidR="0016447F" w:rsidRDefault="0016447F">
    <w:pPr>
      <w:pStyle w:val="a3"/>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ECE8" w14:textId="77777777" w:rsidR="009A259D" w:rsidRDefault="00000000">
    <w:pPr>
      <w:pStyle w:val="a3"/>
      <w:spacing w:line="720" w:lineRule="auto"/>
      <w:ind w:firstLine="360"/>
      <w:rPr>
        <w:rFonts w:hint="eastAsia"/>
      </w:rPr>
    </w:pPr>
    <w:r>
      <w:rPr>
        <w:noProof/>
      </w:rPr>
      <mc:AlternateContent>
        <mc:Choice Requires="wps">
          <w:drawing>
            <wp:anchor distT="0" distB="0" distL="114300" distR="114300" simplePos="0" relativeHeight="251660288" behindDoc="0" locked="0" layoutInCell="1" allowOverlap="1" wp14:anchorId="2DFF5BF3" wp14:editId="38774388">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B933E" w14:textId="77777777" w:rsidR="009A259D" w:rsidRDefault="00000000">
                          <w:pPr>
                            <w:pStyle w:val="a3"/>
                            <w:ind w:firstLine="36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FF5BF3" id="_x0000_t202" coordsize="21600,21600" o:spt="202" path="m,l,21600r21600,l21600,xe">
              <v:stroke joinstyle="miter"/>
              <v:path gradientshapeok="t" o:connecttype="rect"/>
            </v:shapetype>
            <v:shape id="文本框 8"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E2B933E" w14:textId="77777777" w:rsidR="009A259D" w:rsidRDefault="00000000">
                    <w:pPr>
                      <w:pStyle w:val="a3"/>
                      <w:ind w:firstLine="360"/>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7996" w14:textId="77777777" w:rsidR="009A259D" w:rsidRDefault="00000000">
    <w:pPr>
      <w:ind w:firstLineChars="0" w:firstLine="0"/>
      <w:rPr>
        <w:rFonts w:hint="eastAsia"/>
      </w:rPr>
    </w:pPr>
    <w:r>
      <w:rPr>
        <w:noProof/>
      </w:rPr>
      <mc:AlternateContent>
        <mc:Choice Requires="wps">
          <w:drawing>
            <wp:anchor distT="0" distB="0" distL="114300" distR="114300" simplePos="0" relativeHeight="251659264" behindDoc="0" locked="0" layoutInCell="1" allowOverlap="1" wp14:anchorId="52669278" wp14:editId="440DEC2C">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A2102" w14:textId="77777777" w:rsidR="009A259D" w:rsidRDefault="00000000">
                          <w:pPr>
                            <w:pStyle w:val="a3"/>
                            <w:ind w:firstLine="36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669278"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52A2102" w14:textId="77777777" w:rsidR="009A259D" w:rsidRDefault="00000000">
                    <w:pPr>
                      <w:pStyle w:val="a3"/>
                      <w:ind w:firstLine="360"/>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C2C05" w14:textId="77777777" w:rsidR="00E9799D" w:rsidRDefault="00E9799D">
      <w:pPr>
        <w:rPr>
          <w:rFonts w:hint="eastAsia"/>
        </w:rPr>
      </w:pPr>
      <w:r>
        <w:separator/>
      </w:r>
    </w:p>
  </w:footnote>
  <w:footnote w:type="continuationSeparator" w:id="0">
    <w:p w14:paraId="72AF72B2" w14:textId="77777777" w:rsidR="00E9799D" w:rsidRDefault="00E9799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9D41" w14:textId="77777777" w:rsidR="0016447F" w:rsidRDefault="0016447F">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D77D" w14:textId="77777777" w:rsidR="0016447F" w:rsidRDefault="0016447F">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1114" w14:textId="77777777" w:rsidR="0016447F" w:rsidRDefault="0016447F">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2F4AB3"/>
    <w:multiLevelType w:val="multilevel"/>
    <w:tmpl w:val="6A2F4AB3"/>
    <w:lvl w:ilvl="0">
      <w:start w:val="1"/>
      <w:numFmt w:val="chineseCountingThousand"/>
      <w:pStyle w:val="1"/>
      <w:suff w:val="nothing"/>
      <w:lvlText w:val="%1、"/>
      <w:lvlJc w:val="left"/>
      <w:pPr>
        <w:ind w:left="425" w:hanging="425"/>
      </w:pPr>
      <w:rPr>
        <w:rFonts w:hint="eastAsia"/>
        <w:sz w:val="32"/>
        <w:szCs w:val="32"/>
      </w:rPr>
    </w:lvl>
    <w:lvl w:ilvl="1">
      <w:start w:val="1"/>
      <w:numFmt w:val="decimal"/>
      <w:pStyle w:val="2"/>
      <w:isLgl/>
      <w:suff w:val="nothing"/>
      <w:lvlText w:val="%1.%2、"/>
      <w:lvlJc w:val="left"/>
      <w:pPr>
        <w:ind w:left="1135" w:hanging="567"/>
      </w:pPr>
    </w:lvl>
    <w:lvl w:ilvl="2">
      <w:start w:val="1"/>
      <w:numFmt w:val="decimal"/>
      <w:isLgl/>
      <w:suff w:val="nothing"/>
      <w:lvlText w:val="%1.%2.%3、"/>
      <w:lvlJc w:val="left"/>
      <w:pPr>
        <w:ind w:left="1069" w:hanging="1069"/>
      </w:pPr>
      <w:rPr>
        <w:rFonts w:ascii="宋体" w:eastAsia="宋体" w:hAnsi="宋体" w:cs="Arial" w:hint="default"/>
      </w:rPr>
    </w:lvl>
    <w:lvl w:ilvl="3">
      <w:start w:val="1"/>
      <w:numFmt w:val="decimal"/>
      <w:isLgl/>
      <w:suff w:val="nothing"/>
      <w:lvlText w:val="%1.%2.%3.%4、"/>
      <w:lvlJc w:val="left"/>
      <w:pPr>
        <w:ind w:left="3403" w:hanging="851"/>
      </w:pPr>
    </w:lvl>
    <w:lvl w:ilvl="4">
      <w:start w:val="1"/>
      <w:numFmt w:val="decimal"/>
      <w:isLgl/>
      <w:suff w:val="nothing"/>
      <w:lvlText w:val="%1.%2.%3.%4.%5、"/>
      <w:lvlJc w:val="left"/>
      <w:pPr>
        <w:ind w:left="3544" w:hanging="992"/>
      </w:pPr>
      <w:rPr>
        <w:rFonts w:hint="eastAsia"/>
      </w:rPr>
    </w:lvl>
    <w:lvl w:ilvl="5">
      <w:start w:val="1"/>
      <w:numFmt w:val="decimal"/>
      <w:isLgl/>
      <w:suff w:val="nothing"/>
      <w:lvlText w:val="%1.%2.%3.%4.%5.%6、"/>
      <w:lvlJc w:val="left"/>
      <w:pPr>
        <w:ind w:left="1134" w:hanging="1134"/>
      </w:pPr>
      <w:rPr>
        <w:rFonts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16cid:durableId="338849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M1OTMyYmVkNDBiZGZjOTJjNzg0ZTljMGM2NGM1NWEifQ=="/>
  </w:docVars>
  <w:rsids>
    <w:rsidRoot w:val="009A259D"/>
    <w:rsid w:val="0016447F"/>
    <w:rsid w:val="0075766D"/>
    <w:rsid w:val="009A259D"/>
    <w:rsid w:val="00B81B2C"/>
    <w:rsid w:val="00E43792"/>
    <w:rsid w:val="00E9799D"/>
    <w:rsid w:val="00EC044E"/>
    <w:rsid w:val="076E445B"/>
    <w:rsid w:val="09FF054E"/>
    <w:rsid w:val="0B667D1A"/>
    <w:rsid w:val="0DDE4FD5"/>
    <w:rsid w:val="0F7855D6"/>
    <w:rsid w:val="123E7F36"/>
    <w:rsid w:val="13FFAC7D"/>
    <w:rsid w:val="169437E8"/>
    <w:rsid w:val="197A625B"/>
    <w:rsid w:val="1EEFE8AF"/>
    <w:rsid w:val="2390319A"/>
    <w:rsid w:val="23923578"/>
    <w:rsid w:val="261111A8"/>
    <w:rsid w:val="26600825"/>
    <w:rsid w:val="288E6F90"/>
    <w:rsid w:val="2A3E0A99"/>
    <w:rsid w:val="2D7B2EE6"/>
    <w:rsid w:val="2DF7445B"/>
    <w:rsid w:val="2E717347"/>
    <w:rsid w:val="2FE806A3"/>
    <w:rsid w:val="32613F66"/>
    <w:rsid w:val="34777CB5"/>
    <w:rsid w:val="35FF411F"/>
    <w:rsid w:val="37FD9FBB"/>
    <w:rsid w:val="37FF7C4A"/>
    <w:rsid w:val="387F24D2"/>
    <w:rsid w:val="39EF8EB5"/>
    <w:rsid w:val="39FB2140"/>
    <w:rsid w:val="3A287454"/>
    <w:rsid w:val="3AADD86F"/>
    <w:rsid w:val="3BD67DCE"/>
    <w:rsid w:val="3BD74C38"/>
    <w:rsid w:val="3C027831"/>
    <w:rsid w:val="3D8FA8FF"/>
    <w:rsid w:val="3DDB7FE6"/>
    <w:rsid w:val="3E5DCBA7"/>
    <w:rsid w:val="3EEA09C3"/>
    <w:rsid w:val="3EEED9DC"/>
    <w:rsid w:val="3EFF08DE"/>
    <w:rsid w:val="3F025E26"/>
    <w:rsid w:val="3F3B4EA1"/>
    <w:rsid w:val="3FEF4BFD"/>
    <w:rsid w:val="43FECAF3"/>
    <w:rsid w:val="4A630034"/>
    <w:rsid w:val="4B2C6678"/>
    <w:rsid w:val="4BA821A3"/>
    <w:rsid w:val="4BEB325E"/>
    <w:rsid w:val="4CFF4044"/>
    <w:rsid w:val="4DF10474"/>
    <w:rsid w:val="4FBA0CC3"/>
    <w:rsid w:val="4FFFED1A"/>
    <w:rsid w:val="50D90043"/>
    <w:rsid w:val="53EE87A2"/>
    <w:rsid w:val="53FA446D"/>
    <w:rsid w:val="548C4DC5"/>
    <w:rsid w:val="5536095F"/>
    <w:rsid w:val="5AFB06B8"/>
    <w:rsid w:val="5CA1173A"/>
    <w:rsid w:val="5DDFB44D"/>
    <w:rsid w:val="5E0DEF47"/>
    <w:rsid w:val="5E5A63E2"/>
    <w:rsid w:val="5FD7F53A"/>
    <w:rsid w:val="5FF71A0E"/>
    <w:rsid w:val="60D817AC"/>
    <w:rsid w:val="62BD4BD6"/>
    <w:rsid w:val="643A455D"/>
    <w:rsid w:val="645D785C"/>
    <w:rsid w:val="645E311C"/>
    <w:rsid w:val="64744152"/>
    <w:rsid w:val="64B906AD"/>
    <w:rsid w:val="666F593F"/>
    <w:rsid w:val="66D10925"/>
    <w:rsid w:val="678E1E10"/>
    <w:rsid w:val="67EE8B2F"/>
    <w:rsid w:val="697D07B6"/>
    <w:rsid w:val="6A8F77CF"/>
    <w:rsid w:val="6BEF8EFE"/>
    <w:rsid w:val="6C0C59DE"/>
    <w:rsid w:val="6DD3F401"/>
    <w:rsid w:val="6DEDA14A"/>
    <w:rsid w:val="6EBBC60F"/>
    <w:rsid w:val="6EBF5B92"/>
    <w:rsid w:val="6ECE3E81"/>
    <w:rsid w:val="6FB92A75"/>
    <w:rsid w:val="6FEF5979"/>
    <w:rsid w:val="6FF95F0C"/>
    <w:rsid w:val="736B4CD7"/>
    <w:rsid w:val="74CA2310"/>
    <w:rsid w:val="75F7C393"/>
    <w:rsid w:val="75FBE7CC"/>
    <w:rsid w:val="76FB91C7"/>
    <w:rsid w:val="76FD1610"/>
    <w:rsid w:val="7795C5F6"/>
    <w:rsid w:val="77BE9113"/>
    <w:rsid w:val="77CF21F2"/>
    <w:rsid w:val="77DF3D87"/>
    <w:rsid w:val="77F784F1"/>
    <w:rsid w:val="79EF47BD"/>
    <w:rsid w:val="7B1936DD"/>
    <w:rsid w:val="7DC6D106"/>
    <w:rsid w:val="7DDD44F1"/>
    <w:rsid w:val="7DFF207C"/>
    <w:rsid w:val="7E9D78A3"/>
    <w:rsid w:val="7EEF5D8F"/>
    <w:rsid w:val="7F17B4DE"/>
    <w:rsid w:val="7F5FC60A"/>
    <w:rsid w:val="7F79A08E"/>
    <w:rsid w:val="7FBE1733"/>
    <w:rsid w:val="7FCF7C38"/>
    <w:rsid w:val="7FEEC468"/>
    <w:rsid w:val="7FF3CC2A"/>
    <w:rsid w:val="7FFCD289"/>
    <w:rsid w:val="7FFD067B"/>
    <w:rsid w:val="7FFD918E"/>
    <w:rsid w:val="7FFE5BE3"/>
    <w:rsid w:val="89FF3719"/>
    <w:rsid w:val="97BFB341"/>
    <w:rsid w:val="9DF45E03"/>
    <w:rsid w:val="9DFBA82C"/>
    <w:rsid w:val="9DFFBAE7"/>
    <w:rsid w:val="9EF3A7DC"/>
    <w:rsid w:val="A7CB0211"/>
    <w:rsid w:val="AF7023B5"/>
    <w:rsid w:val="AF776B1F"/>
    <w:rsid w:val="B7F7D55F"/>
    <w:rsid w:val="BB3AA1B9"/>
    <w:rsid w:val="BC9B5C63"/>
    <w:rsid w:val="BCEFFBF6"/>
    <w:rsid w:val="BD5444E5"/>
    <w:rsid w:val="BFAE3F69"/>
    <w:rsid w:val="BFD6AB1F"/>
    <w:rsid w:val="BFFBBEE9"/>
    <w:rsid w:val="BFFD7F1F"/>
    <w:rsid w:val="CECF2151"/>
    <w:rsid w:val="CFD3A4A8"/>
    <w:rsid w:val="D53BD615"/>
    <w:rsid w:val="DCFBC432"/>
    <w:rsid w:val="DDEEFD62"/>
    <w:rsid w:val="DDFF7994"/>
    <w:rsid w:val="E73B48D7"/>
    <w:rsid w:val="E7773023"/>
    <w:rsid w:val="E8FDA975"/>
    <w:rsid w:val="EB5F54BE"/>
    <w:rsid w:val="EB99BE93"/>
    <w:rsid w:val="EBEFFDFA"/>
    <w:rsid w:val="ED6E474B"/>
    <w:rsid w:val="EDABE436"/>
    <w:rsid w:val="EEFB18C4"/>
    <w:rsid w:val="EFF30513"/>
    <w:rsid w:val="EFFBA231"/>
    <w:rsid w:val="F1DE7144"/>
    <w:rsid w:val="F6C65FDE"/>
    <w:rsid w:val="F79FF70B"/>
    <w:rsid w:val="F7FEFA92"/>
    <w:rsid w:val="F8EF9960"/>
    <w:rsid w:val="F9BF40B4"/>
    <w:rsid w:val="F9FF04A4"/>
    <w:rsid w:val="FA7BD2FD"/>
    <w:rsid w:val="FA7F2EB4"/>
    <w:rsid w:val="FACE1E93"/>
    <w:rsid w:val="FAEBD868"/>
    <w:rsid w:val="FCEE0137"/>
    <w:rsid w:val="FCFFC2FE"/>
    <w:rsid w:val="FD8E2A0B"/>
    <w:rsid w:val="FDBC37C9"/>
    <w:rsid w:val="FDF8EAB5"/>
    <w:rsid w:val="FDFB67E9"/>
    <w:rsid w:val="FE7E1BD6"/>
    <w:rsid w:val="FF063731"/>
    <w:rsid w:val="FF77ACF4"/>
    <w:rsid w:val="FF7D5CB4"/>
    <w:rsid w:val="FFAF1155"/>
    <w:rsid w:val="FFBE7CEA"/>
    <w:rsid w:val="FFEF9EA5"/>
    <w:rsid w:val="FFF7DB40"/>
    <w:rsid w:val="FFFA3ADC"/>
    <w:rsid w:val="FFFD0095"/>
    <w:rsid w:val="FFFF7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EF9771"/>
  <w15:docId w15:val="{BE2E1340-3EE8-41C7-B32D-F4989890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spacing w:line="360" w:lineRule="auto"/>
      <w:ind w:firstLineChars="200" w:firstLine="480"/>
      <w:jc w:val="both"/>
    </w:pPr>
    <w:rPr>
      <w:rFonts w:ascii="宋体" w:eastAsia="宋体" w:hAnsi="宋体" w:cs="Times New Roman"/>
      <w:kern w:val="2"/>
      <w:sz w:val="24"/>
      <w:szCs w:val="24"/>
    </w:rPr>
  </w:style>
  <w:style w:type="paragraph" w:styleId="1">
    <w:name w:val="heading 1"/>
    <w:basedOn w:val="a"/>
    <w:next w:val="a"/>
    <w:qFormat/>
    <w:pPr>
      <w:keepNext/>
      <w:keepLines/>
      <w:numPr>
        <w:numId w:val="1"/>
      </w:numPr>
      <w:spacing w:before="120" w:after="120" w:line="240" w:lineRule="auto"/>
      <w:ind w:left="0" w:firstLineChars="0" w:firstLine="0"/>
      <w:outlineLvl w:val="0"/>
    </w:pPr>
    <w:rPr>
      <w:rFonts w:eastAsia="黑体"/>
      <w:b/>
      <w:bCs/>
      <w:kern w:val="44"/>
      <w:sz w:val="32"/>
      <w:szCs w:val="28"/>
    </w:rPr>
  </w:style>
  <w:style w:type="paragraph" w:styleId="2">
    <w:name w:val="heading 2"/>
    <w:basedOn w:val="a"/>
    <w:next w:val="a"/>
    <w:uiPriority w:val="9"/>
    <w:qFormat/>
    <w:pPr>
      <w:keepNext/>
      <w:keepLines/>
      <w:numPr>
        <w:ilvl w:val="1"/>
        <w:numId w:val="1"/>
      </w:numPr>
      <w:spacing w:before="120" w:after="120" w:line="240" w:lineRule="auto"/>
      <w:ind w:left="1134" w:firstLineChars="0" w:firstLine="0"/>
      <w:outlineLvl w:val="1"/>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uiPriority w:val="99"/>
    <w:qFormat/>
    <w:pPr>
      <w:pBdr>
        <w:bottom w:val="single" w:sz="4" w:space="0" w:color="auto"/>
      </w:pBdr>
      <w:tabs>
        <w:tab w:val="center" w:pos="4153"/>
        <w:tab w:val="right" w:pos="8306"/>
      </w:tabs>
      <w:snapToGrid w:val="0"/>
      <w:jc w:val="center"/>
    </w:pPr>
    <w:rPr>
      <w:rFonts w:ascii="Times New Roman" w:hAnsi="Times New Roman"/>
      <w:sz w:val="18"/>
      <w:szCs w:val="18"/>
    </w:rPr>
  </w:style>
  <w:style w:type="paragraph" w:customStyle="1" w:styleId="10">
    <w:name w:val="正文缩进1"/>
    <w:basedOn w:val="a"/>
    <w:autoRedefine/>
    <w:qFormat/>
    <w:pPr>
      <w:spacing w:line="240" w:lineRule="auto"/>
      <w:ind w:firstLine="420"/>
    </w:pPr>
    <w:rPr>
      <w:rFonts w:ascii="Times New Roman" w:hAnsi="Times New Roman"/>
      <w:sz w:val="21"/>
      <w:szCs w:val="20"/>
    </w:rPr>
  </w:style>
  <w:style w:type="paragraph" w:customStyle="1" w:styleId="20">
    <w:name w:val="正文正文2"/>
    <w:basedOn w:val="a"/>
    <w:autoRedefine/>
    <w:qFormat/>
    <w:pPr>
      <w:ind w:firstLine="460"/>
    </w:pPr>
    <w:rPr>
      <w:sz w:val="21"/>
      <w:szCs w:val="21"/>
    </w:rPr>
  </w:style>
  <w:style w:type="paragraph" w:customStyle="1" w:styleId="21">
    <w:name w:val="样式2"/>
    <w:basedOn w:val="a"/>
    <w:qFormat/>
    <w:pPr>
      <w:widowControl/>
      <w:adjustRightInd w:val="0"/>
    </w:pPr>
    <w:rPr>
      <w:kern w:val="0"/>
      <w:lang w:eastAsia="en-US"/>
    </w:rPr>
  </w:style>
  <w:style w:type="paragraph" w:customStyle="1" w:styleId="a5">
    <w:name w:val="表格正文"/>
    <w:basedOn w:val="a"/>
    <w:qFormat/>
    <w:pPr>
      <w:ind w:firstLineChars="0" w:firstLine="0"/>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955</Words>
  <Characters>5450</Characters>
  <Application>Microsoft Office Word</Application>
  <DocSecurity>0</DocSecurity>
  <Lines>45</Lines>
  <Paragraphs>12</Paragraphs>
  <ScaleCrop>false</ScaleCrop>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晋一民</cp:lastModifiedBy>
  <cp:revision>4</cp:revision>
  <dcterms:created xsi:type="dcterms:W3CDTF">2024-05-15T23:04:00Z</dcterms:created>
  <dcterms:modified xsi:type="dcterms:W3CDTF">2026-04-01T08:50:00Z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C0333D9C9EDC434881011F08177B8D11_12</vt:lpwstr>
  </property>
  <property fmtid="{D5CDD505-2E9C-101B-9397-08002B2CF9AE}" pid="4" name="KSOTemplateDocerSaveRecord">
    <vt:lpwstr>eyJoZGlkIjoiYjMxOWQ1YmZiOTEyY2U1ZjA5ZjFkMTU0MTdjNTNiNWIiLCJ1c2VySWQiOiIzNjMwOTI1MzcifQ==</vt:lpwstr>
  </property>
</Properties>
</file>