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B37F68">
      <w:pPr>
        <w:jc w:val="center"/>
        <w:rPr>
          <w:rFonts w:hint="eastAsia" w:ascii="宋体" w:hAnsi="宋体" w:cs="宋体"/>
          <w:b/>
          <w:bCs/>
          <w:sz w:val="44"/>
          <w:szCs w:val="44"/>
          <w:lang w:val="zh-TW"/>
        </w:rPr>
      </w:pPr>
      <w:r>
        <w:rPr>
          <w:rFonts w:hint="eastAsia" w:ascii="宋体" w:hAnsi="宋体" w:cs="宋体"/>
          <w:b/>
          <w:bCs/>
          <w:sz w:val="44"/>
          <w:szCs w:val="44"/>
          <w:lang w:val="zh-TW"/>
        </w:rPr>
        <w:t>上海科技大学GPCR蛋白动态构象解析研发平台</w:t>
      </w:r>
    </w:p>
    <w:p w14:paraId="4B2B8A87">
      <w:pPr>
        <w:jc w:val="center"/>
        <w:rPr>
          <w:rFonts w:hint="eastAsia" w:ascii="宋体" w:hAnsi="宋体" w:cs="宋体"/>
          <w:b/>
          <w:bCs/>
          <w:sz w:val="44"/>
          <w:szCs w:val="44"/>
          <w:lang w:val="zh-TW"/>
        </w:rPr>
      </w:pPr>
      <w:r>
        <w:rPr>
          <w:rFonts w:hint="eastAsia" w:ascii="宋体" w:hAnsi="宋体" w:cs="宋体"/>
          <w:b/>
          <w:bCs/>
          <w:sz w:val="44"/>
          <w:szCs w:val="44"/>
          <w:lang w:val="zh-TW"/>
        </w:rPr>
        <w:t>GPU计算集群设备采购需求</w:t>
      </w:r>
    </w:p>
    <w:p w14:paraId="606E3D66">
      <w:pPr>
        <w:spacing w:line="360" w:lineRule="auto"/>
        <w:jc w:val="left"/>
        <w:rPr>
          <w:sz w:val="24"/>
          <w:szCs w:val="32"/>
          <w:lang w:val="zh-TW"/>
        </w:rPr>
      </w:pPr>
    </w:p>
    <w:p w14:paraId="00366287">
      <w:pPr>
        <w:spacing w:line="360" w:lineRule="auto"/>
        <w:ind w:firstLine="480" w:firstLineChars="200"/>
        <w:jc w:val="left"/>
        <w:rPr>
          <w:sz w:val="24"/>
          <w:szCs w:val="32"/>
          <w:lang w:val="zh-TW"/>
        </w:rPr>
      </w:pPr>
      <w:r>
        <w:rPr>
          <w:rFonts w:hint="eastAsia"/>
          <w:sz w:val="24"/>
          <w:szCs w:val="32"/>
          <w:lang w:val="zh-TW"/>
        </w:rPr>
        <w:t>本项目采购内容：GPU计算服务器、GPU加速卡、数据中心高速以太网交换机及配套安装、调试、培训、质保和技术支持服务。</w:t>
      </w:r>
    </w:p>
    <w:p w14:paraId="416E7ACF">
      <w:pPr>
        <w:spacing w:line="360" w:lineRule="auto"/>
        <w:ind w:firstLine="480" w:firstLineChars="200"/>
        <w:jc w:val="left"/>
        <w:rPr>
          <w:sz w:val="24"/>
          <w:szCs w:val="32"/>
          <w:lang w:val="zh-TW"/>
        </w:rPr>
      </w:pPr>
      <w:r>
        <w:rPr>
          <w:rFonts w:hint="eastAsia"/>
          <w:sz w:val="24"/>
          <w:szCs w:val="32"/>
          <w:lang w:val="zh-TW"/>
        </w:rPr>
        <w:t>交货期：合同签订后四十五个自然日内完成送货上门、安装、调试直至验收合格。</w:t>
      </w:r>
    </w:p>
    <w:p w14:paraId="466A1FA8">
      <w:pPr>
        <w:spacing w:line="360" w:lineRule="auto"/>
        <w:ind w:firstLine="480" w:firstLineChars="200"/>
        <w:jc w:val="left"/>
        <w:rPr>
          <w:sz w:val="24"/>
          <w:szCs w:val="32"/>
        </w:rPr>
      </w:pPr>
      <w:r>
        <w:rPr>
          <w:rFonts w:hint="eastAsia"/>
          <w:sz w:val="24"/>
          <w:szCs w:val="32"/>
          <w:lang w:val="zh-TW"/>
        </w:rPr>
        <w:t>交付地点：上海市华夏中路393号上海科技大学指定机房。</w:t>
      </w:r>
    </w:p>
    <w:p w14:paraId="704D4AB1">
      <w:pPr>
        <w:pStyle w:val="2"/>
        <w:numPr>
          <w:ilvl w:val="0"/>
          <w:numId w:val="8"/>
        </w:numPr>
      </w:pPr>
      <w:r>
        <w:rPr>
          <w:rFonts w:hint="eastAsia"/>
        </w:rPr>
        <w:t>采购标的及数量</w:t>
      </w:r>
    </w:p>
    <w:p w14:paraId="60376042">
      <w:pPr>
        <w:spacing w:line="360" w:lineRule="auto"/>
        <w:ind w:firstLine="480" w:firstLineChars="200"/>
        <w:jc w:val="left"/>
        <w:rPr>
          <w:sz w:val="24"/>
          <w:szCs w:val="32"/>
          <w:lang w:val="zh-TW"/>
        </w:rPr>
      </w:pPr>
      <w:r>
        <w:rPr>
          <w:rFonts w:hint="eastAsia"/>
          <w:sz w:val="24"/>
          <w:szCs w:val="32"/>
          <w:lang w:val="zh-TW"/>
        </w:rPr>
        <w:t>本项目拟采购</w:t>
      </w:r>
      <w:r>
        <w:rPr>
          <w:sz w:val="24"/>
          <w:szCs w:val="32"/>
          <w:lang w:val="zh-TW"/>
        </w:rPr>
        <w:t>GPU</w:t>
      </w:r>
      <w:r>
        <w:rPr>
          <w:rFonts w:hint="eastAsia"/>
          <w:sz w:val="24"/>
          <w:szCs w:val="32"/>
          <w:lang w:val="zh-TW"/>
        </w:rPr>
        <w:t>计算集群设备及配套服务，具体货物需求如下。供货范围应包括设备本体、安装附件、导轨、电源线、光模块、光纤线缆、网线、</w:t>
      </w:r>
      <w:r>
        <w:rPr>
          <w:sz w:val="24"/>
          <w:szCs w:val="32"/>
          <w:lang w:val="zh-TW"/>
        </w:rPr>
        <w:t>GPU</w:t>
      </w:r>
      <w:r>
        <w:rPr>
          <w:rFonts w:hint="eastAsia"/>
          <w:sz w:val="24"/>
          <w:szCs w:val="32"/>
          <w:lang w:val="zh-TW"/>
        </w:rPr>
        <w:t>供电组件、必要转接线</w:t>
      </w:r>
      <w:r>
        <w:rPr>
          <w:sz w:val="24"/>
          <w:szCs w:val="32"/>
          <w:lang w:val="zh-TW"/>
        </w:rPr>
        <w:t>/</w:t>
      </w:r>
      <w:r>
        <w:rPr>
          <w:rFonts w:hint="eastAsia"/>
          <w:sz w:val="24"/>
          <w:szCs w:val="32"/>
          <w:lang w:val="zh-TW"/>
        </w:rPr>
        <w:t>固定件、管理模块以及完成安装调试所需的其他配件。</w:t>
      </w:r>
    </w:p>
    <w:tbl>
      <w:tblPr>
        <w:tblStyle w:val="3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7"/>
        <w:gridCol w:w="3151"/>
        <w:gridCol w:w="1984"/>
        <w:gridCol w:w="1984"/>
        <w:gridCol w:w="1984"/>
      </w:tblGrid>
      <w:tr w14:paraId="12A5B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17" w:type="dxa"/>
            <w:vAlign w:val="center"/>
          </w:tcPr>
          <w:p w14:paraId="4774BCD6">
            <w:pPr>
              <w:jc w:val="center"/>
            </w:pPr>
            <w:r>
              <w:rPr>
                <w:rFonts w:hint="eastAsia"/>
              </w:rPr>
              <w:t>序号</w:t>
            </w:r>
          </w:p>
        </w:tc>
        <w:tc>
          <w:tcPr>
            <w:tcW w:w="3151" w:type="dxa"/>
            <w:vAlign w:val="center"/>
          </w:tcPr>
          <w:p w14:paraId="647D370E">
            <w:pPr>
              <w:jc w:val="center"/>
            </w:pPr>
            <w:r>
              <w:rPr>
                <w:rFonts w:hint="eastAsia"/>
              </w:rPr>
              <w:t>设备名称</w:t>
            </w:r>
          </w:p>
        </w:tc>
        <w:tc>
          <w:tcPr>
            <w:tcW w:w="1984" w:type="dxa"/>
            <w:vAlign w:val="center"/>
          </w:tcPr>
          <w:p w14:paraId="32B601B5">
            <w:pPr>
              <w:jc w:val="center"/>
            </w:pPr>
            <w:r>
              <w:rPr>
                <w:rFonts w:hint="eastAsia"/>
              </w:rPr>
              <w:t>单位</w:t>
            </w:r>
          </w:p>
        </w:tc>
        <w:tc>
          <w:tcPr>
            <w:tcW w:w="1984" w:type="dxa"/>
            <w:vAlign w:val="center"/>
          </w:tcPr>
          <w:p w14:paraId="0B6C4CA2">
            <w:pPr>
              <w:jc w:val="center"/>
            </w:pPr>
            <w:r>
              <w:rPr>
                <w:rFonts w:hint="eastAsia"/>
              </w:rPr>
              <w:t>数量</w:t>
            </w:r>
          </w:p>
        </w:tc>
        <w:tc>
          <w:tcPr>
            <w:tcW w:w="1984" w:type="dxa"/>
            <w:vAlign w:val="center"/>
          </w:tcPr>
          <w:p w14:paraId="54C48817">
            <w:pPr>
              <w:jc w:val="center"/>
            </w:pPr>
            <w:r>
              <w:rPr>
                <w:rFonts w:hint="eastAsia"/>
              </w:rPr>
              <w:t>技术要求</w:t>
            </w:r>
          </w:p>
        </w:tc>
      </w:tr>
      <w:tr w14:paraId="55B12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17" w:type="dxa"/>
            <w:vAlign w:val="center"/>
          </w:tcPr>
          <w:p w14:paraId="7B940199">
            <w:pPr>
              <w:jc w:val="center"/>
            </w:pPr>
            <w:r>
              <w:rPr>
                <w:rFonts w:hint="eastAsia"/>
              </w:rPr>
              <w:t>1</w:t>
            </w:r>
          </w:p>
        </w:tc>
        <w:tc>
          <w:tcPr>
            <w:tcW w:w="3151" w:type="dxa"/>
            <w:vAlign w:val="center"/>
          </w:tcPr>
          <w:p w14:paraId="780E44B6">
            <w:pPr>
              <w:jc w:val="center"/>
            </w:pPr>
            <w:r>
              <w:t>GPU计算服务器</w:t>
            </w:r>
            <w:r>
              <w:rPr>
                <w:rFonts w:hint="eastAsia"/>
              </w:rPr>
              <w:t>（核心产品）</w:t>
            </w:r>
          </w:p>
        </w:tc>
        <w:tc>
          <w:tcPr>
            <w:tcW w:w="1984" w:type="dxa"/>
            <w:vAlign w:val="center"/>
          </w:tcPr>
          <w:p w14:paraId="566EFD51">
            <w:pPr>
              <w:jc w:val="center"/>
            </w:pPr>
            <w:r>
              <w:rPr>
                <w:rFonts w:hint="eastAsia"/>
              </w:rPr>
              <w:t>台</w:t>
            </w:r>
          </w:p>
        </w:tc>
        <w:tc>
          <w:tcPr>
            <w:tcW w:w="1984" w:type="dxa"/>
            <w:vAlign w:val="center"/>
          </w:tcPr>
          <w:p w14:paraId="7AF8E85C">
            <w:pPr>
              <w:jc w:val="center"/>
            </w:pPr>
            <w:r>
              <w:rPr>
                <w:rFonts w:hint="eastAsia"/>
              </w:rPr>
              <w:t>2</w:t>
            </w:r>
          </w:p>
        </w:tc>
        <w:tc>
          <w:tcPr>
            <w:tcW w:w="1984" w:type="dxa"/>
            <w:vAlign w:val="center"/>
          </w:tcPr>
          <w:p w14:paraId="39F70CC1">
            <w:pPr>
              <w:jc w:val="center"/>
            </w:pPr>
            <w:r>
              <w:rPr>
                <w:rFonts w:hint="eastAsia"/>
              </w:rPr>
              <w:t>每台实际安装8张GPU，2台合计安装16张；详见技术规格要求。</w:t>
            </w:r>
          </w:p>
        </w:tc>
      </w:tr>
      <w:tr w14:paraId="30D39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17" w:type="dxa"/>
            <w:vAlign w:val="center"/>
          </w:tcPr>
          <w:p w14:paraId="0759605A">
            <w:pPr>
              <w:jc w:val="center"/>
            </w:pPr>
            <w:r>
              <w:rPr>
                <w:rFonts w:hint="eastAsia"/>
              </w:rPr>
              <w:t>2</w:t>
            </w:r>
          </w:p>
        </w:tc>
        <w:tc>
          <w:tcPr>
            <w:tcW w:w="3151" w:type="dxa"/>
            <w:vAlign w:val="center"/>
          </w:tcPr>
          <w:p w14:paraId="0AD20A55">
            <w:pPr>
              <w:jc w:val="center"/>
            </w:pPr>
            <w:r>
              <w:t>GPU加速卡</w:t>
            </w:r>
          </w:p>
        </w:tc>
        <w:tc>
          <w:tcPr>
            <w:tcW w:w="1984" w:type="dxa"/>
            <w:vAlign w:val="center"/>
          </w:tcPr>
          <w:p w14:paraId="36E303BF">
            <w:pPr>
              <w:jc w:val="center"/>
            </w:pPr>
            <w:r>
              <w:rPr>
                <w:rFonts w:hint="eastAsia"/>
              </w:rPr>
              <w:t>张</w:t>
            </w:r>
          </w:p>
        </w:tc>
        <w:tc>
          <w:tcPr>
            <w:tcW w:w="1984" w:type="dxa"/>
            <w:vAlign w:val="center"/>
          </w:tcPr>
          <w:p w14:paraId="3E1377F3">
            <w:pPr>
              <w:jc w:val="center"/>
            </w:pPr>
            <w:r>
              <w:rPr>
                <w:rFonts w:hint="eastAsia"/>
              </w:rPr>
              <w:t>8</w:t>
            </w:r>
          </w:p>
        </w:tc>
        <w:tc>
          <w:tcPr>
            <w:tcW w:w="1984" w:type="dxa"/>
            <w:vAlign w:val="center"/>
          </w:tcPr>
          <w:p w14:paraId="0BED7CA6">
            <w:pPr>
              <w:jc w:val="center"/>
            </w:pPr>
            <w:r>
              <w:rPr>
                <w:rFonts w:hint="eastAsia"/>
              </w:rPr>
              <w:t>8张独立包装交付，并与服务器内置16张GPU同品牌、同型号、同规格；详见技术规格要求。</w:t>
            </w:r>
          </w:p>
        </w:tc>
      </w:tr>
      <w:tr w14:paraId="4EA092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817" w:type="dxa"/>
            <w:vAlign w:val="center"/>
          </w:tcPr>
          <w:p w14:paraId="4074DB09">
            <w:pPr>
              <w:jc w:val="center"/>
            </w:pPr>
            <w:r>
              <w:rPr>
                <w:rFonts w:hint="eastAsia"/>
              </w:rPr>
              <w:t>3</w:t>
            </w:r>
          </w:p>
        </w:tc>
        <w:tc>
          <w:tcPr>
            <w:tcW w:w="3151" w:type="dxa"/>
            <w:vAlign w:val="center"/>
          </w:tcPr>
          <w:p w14:paraId="5E03D07E">
            <w:pPr>
              <w:jc w:val="center"/>
            </w:pPr>
            <w:r>
              <w:t>数据中心高速以太网交换机</w:t>
            </w:r>
          </w:p>
        </w:tc>
        <w:tc>
          <w:tcPr>
            <w:tcW w:w="1984" w:type="dxa"/>
            <w:vAlign w:val="center"/>
          </w:tcPr>
          <w:p w14:paraId="53626503">
            <w:pPr>
              <w:jc w:val="center"/>
            </w:pPr>
            <w:r>
              <w:rPr>
                <w:rFonts w:hint="eastAsia"/>
              </w:rPr>
              <w:t>台</w:t>
            </w:r>
          </w:p>
        </w:tc>
        <w:tc>
          <w:tcPr>
            <w:tcW w:w="1984" w:type="dxa"/>
            <w:vAlign w:val="center"/>
          </w:tcPr>
          <w:p w14:paraId="00CA0BDF">
            <w:pPr>
              <w:jc w:val="center"/>
            </w:pPr>
            <w:r>
              <w:rPr>
                <w:rFonts w:hint="eastAsia"/>
              </w:rPr>
              <w:t>1</w:t>
            </w:r>
          </w:p>
        </w:tc>
        <w:tc>
          <w:tcPr>
            <w:tcW w:w="1984" w:type="dxa"/>
            <w:vAlign w:val="center"/>
          </w:tcPr>
          <w:p w14:paraId="62360D14">
            <w:pPr>
              <w:jc w:val="center"/>
            </w:pPr>
            <w:r>
              <w:rPr>
                <w:rFonts w:hint="eastAsia"/>
              </w:rPr>
              <w:t>详见技术规格要求</w:t>
            </w:r>
          </w:p>
        </w:tc>
      </w:tr>
    </w:tbl>
    <w:p w14:paraId="011D726E">
      <w:pPr>
        <w:pStyle w:val="2"/>
        <w:numPr>
          <w:ilvl w:val="0"/>
          <w:numId w:val="8"/>
        </w:numPr>
      </w:pPr>
      <w:r>
        <w:rPr>
          <w:rFonts w:hint="eastAsia"/>
        </w:rPr>
        <w:t>技术规格要求</w:t>
      </w:r>
    </w:p>
    <w:p w14:paraId="61BBA6D9">
      <w:pPr>
        <w:spacing w:line="360" w:lineRule="auto"/>
        <w:ind w:firstLine="480" w:firstLineChars="200"/>
        <w:jc w:val="left"/>
        <w:rPr>
          <w:sz w:val="24"/>
          <w:szCs w:val="32"/>
          <w:lang w:val="zh-TW"/>
        </w:rPr>
      </w:pPr>
      <w:r>
        <w:rPr>
          <w:rFonts w:hint="eastAsia"/>
          <w:sz w:val="24"/>
          <w:szCs w:val="32"/>
          <w:lang w:val="zh-TW"/>
        </w:rPr>
        <w:t>以下技术规格要求为采购人对设备功能、性能、兼容性、可靠性和可扩展性的基本要求。</w:t>
      </w:r>
    </w:p>
    <w:p w14:paraId="76FCB835">
      <w:pPr>
        <w:spacing w:line="360" w:lineRule="auto"/>
        <w:ind w:firstLine="480" w:firstLineChars="200"/>
        <w:jc w:val="left"/>
        <w:rPr>
          <w:sz w:val="24"/>
          <w:szCs w:val="32"/>
          <w:lang w:val="zh-TW"/>
        </w:rPr>
      </w:pPr>
      <w:r>
        <w:rPr>
          <w:rFonts w:hint="eastAsia"/>
          <w:sz w:val="24"/>
          <w:szCs w:val="32"/>
          <w:lang w:val="zh-TW"/>
        </w:rPr>
        <w:t>表中“★”为实质性要求；“</w:t>
      </w:r>
      <w:r>
        <w:rPr>
          <w:rFonts w:hint="eastAsia" w:ascii="东文宋体" w:hAnsi="东文宋体" w:eastAsia="东文宋体" w:cs="东文宋体"/>
          <w:sz w:val="24"/>
          <w:szCs w:val="32"/>
          <w:lang w:val="zh-TW"/>
        </w:rPr>
        <w:t>■</w:t>
      </w:r>
      <w:r>
        <w:rPr>
          <w:rFonts w:hint="eastAsia"/>
          <w:sz w:val="24"/>
          <w:szCs w:val="32"/>
          <w:lang w:val="zh-TW"/>
        </w:rPr>
        <w:t>”“▲”代表评审因素（</w:t>
      </w:r>
      <w:r>
        <w:rPr>
          <w:rFonts w:hint="eastAsia" w:ascii="东文宋体" w:hAnsi="东文宋体" w:eastAsia="东文宋体" w:cs="东文宋体"/>
          <w:sz w:val="24"/>
          <w:szCs w:val="32"/>
          <w:lang w:val="zh-TW"/>
        </w:rPr>
        <w:t>■</w:t>
      </w:r>
      <w:r>
        <w:rPr>
          <w:rFonts w:hint="eastAsia"/>
          <w:sz w:val="24"/>
          <w:szCs w:val="32"/>
          <w:lang w:val="zh-TW"/>
        </w:rPr>
        <w:t>、▲技术参数）。</w:t>
      </w:r>
    </w:p>
    <w:p w14:paraId="5833CBB4">
      <w:pPr>
        <w:spacing w:line="360" w:lineRule="auto"/>
        <w:ind w:firstLine="482" w:firstLineChars="200"/>
        <w:jc w:val="left"/>
        <w:rPr>
          <w:b/>
          <w:bCs/>
          <w:sz w:val="24"/>
          <w:szCs w:val="32"/>
          <w:lang w:val="zh-TW"/>
        </w:rPr>
      </w:pPr>
      <w:r>
        <w:rPr>
          <w:rFonts w:hint="eastAsia"/>
          <w:b/>
          <w:bCs/>
          <w:sz w:val="24"/>
          <w:szCs w:val="32"/>
          <w:lang w:val="zh-TW"/>
        </w:rPr>
        <w:t>“★”指标需提供加盖投标人公章的承诺函，否则视为无效投标。</w:t>
      </w:r>
    </w:p>
    <w:p w14:paraId="561A9B5F">
      <w:pPr>
        <w:spacing w:line="360" w:lineRule="auto"/>
        <w:ind w:firstLine="482" w:firstLineChars="200"/>
        <w:jc w:val="left"/>
        <w:rPr>
          <w:b/>
          <w:bCs/>
          <w:sz w:val="24"/>
          <w:szCs w:val="32"/>
          <w:lang w:val="zh-TW"/>
        </w:rPr>
      </w:pPr>
      <w:r>
        <w:rPr>
          <w:rFonts w:hint="eastAsia"/>
          <w:b/>
          <w:bCs/>
          <w:sz w:val="24"/>
          <w:szCs w:val="32"/>
          <w:lang w:val="zh-TW"/>
        </w:rPr>
        <w:t>“</w:t>
      </w:r>
      <w:r>
        <w:rPr>
          <w:rFonts w:hint="eastAsia" w:ascii="东文宋体" w:hAnsi="东文宋体" w:eastAsia="东文宋体" w:cs="东文宋体"/>
          <w:b/>
          <w:bCs/>
          <w:sz w:val="24"/>
          <w:szCs w:val="32"/>
          <w:lang w:val="zh-TW"/>
        </w:rPr>
        <w:t>■</w:t>
      </w:r>
      <w:r>
        <w:rPr>
          <w:rFonts w:hint="eastAsia"/>
          <w:b/>
          <w:bCs/>
          <w:sz w:val="24"/>
          <w:szCs w:val="32"/>
          <w:lang w:val="zh-TW"/>
        </w:rPr>
        <w:t>”“▲”指标均需提供技术支持资料。其中技术支持资料以制造商公开发布的印刷资料（产品彩页、产品说明书、产品白皮书、官网截图）、界面截图、第三方检测机构出具的检测报告或在有效期内的证书扫描件等为准，投标人可以只提供上述材料关键页的复印件，关键页需体现投标产品的品牌、规格型号、相关性能指标，相关性能指标需以醒目的方式标明招标文件技术要求对应的序号，凡不符合上述要求的视为无效技术支持资料。</w:t>
      </w:r>
    </w:p>
    <w:tbl>
      <w:tblPr>
        <w:tblStyle w:val="36"/>
        <w:tblW w:w="0" w:type="auto"/>
        <w:tblInd w:w="-147" w:type="dxa"/>
        <w:tblLayout w:type="fixed"/>
        <w:tblCellMar>
          <w:top w:w="80" w:type="dxa"/>
          <w:left w:w="50" w:type="dxa"/>
          <w:bottom w:w="80" w:type="dxa"/>
          <w:right w:w="80" w:type="dxa"/>
        </w:tblCellMar>
      </w:tblPr>
      <w:tblGrid>
        <w:gridCol w:w="1418"/>
        <w:gridCol w:w="1076"/>
        <w:gridCol w:w="7713"/>
      </w:tblGrid>
      <w:tr w14:paraId="326210E2">
        <w:tblPrEx>
          <w:tblCellMar>
            <w:top w:w="80" w:type="dxa"/>
            <w:left w:w="50" w:type="dxa"/>
            <w:bottom w:w="80" w:type="dxa"/>
            <w:right w:w="80" w:type="dxa"/>
          </w:tblCellMar>
        </w:tblPrEx>
        <w:trPr>
          <w:trHeight w:val="320" w:hRule="atLeast"/>
        </w:trPr>
        <w:tc>
          <w:tcPr>
            <w:tcW w:w="1418" w:type="dxa"/>
            <w:tcBorders>
              <w:top w:val="single" w:color="000001" w:sz="4" w:space="0"/>
              <w:left w:val="single" w:color="000001" w:sz="4" w:space="0"/>
              <w:bottom w:val="single" w:color="000001" w:sz="4" w:space="0"/>
            </w:tcBorders>
            <w:shd w:val="clear" w:color="auto" w:fill="FFFFFF"/>
            <w:vAlign w:val="center"/>
          </w:tcPr>
          <w:p w14:paraId="55C76354">
            <w:pPr>
              <w:pStyle w:val="171"/>
              <w:jc w:val="center"/>
              <w:rPr>
                <w:rFonts w:hint="eastAsia"/>
                <w:sz w:val="21"/>
                <w:szCs w:val="21"/>
              </w:rPr>
            </w:pPr>
            <w:r>
              <w:rPr>
                <w:rFonts w:hint="eastAsia"/>
                <w:sz w:val="21"/>
                <w:szCs w:val="21"/>
                <w:lang w:val="zh-TW" w:eastAsia="zh-TW"/>
              </w:rPr>
              <w:t>设备名称</w:t>
            </w:r>
          </w:p>
        </w:tc>
        <w:tc>
          <w:tcPr>
            <w:tcW w:w="1076" w:type="dxa"/>
            <w:tcBorders>
              <w:top w:val="single" w:color="000001" w:sz="4" w:space="0"/>
              <w:left w:val="single" w:color="000001" w:sz="4" w:space="0"/>
              <w:bottom w:val="single" w:color="000001" w:sz="4" w:space="0"/>
            </w:tcBorders>
            <w:shd w:val="clear" w:color="auto" w:fill="FFFFFF"/>
            <w:vAlign w:val="center"/>
          </w:tcPr>
          <w:p w14:paraId="5D3A62DC">
            <w:pPr>
              <w:pStyle w:val="171"/>
              <w:jc w:val="center"/>
              <w:rPr>
                <w:rFonts w:hint="eastAsia"/>
                <w:sz w:val="21"/>
                <w:szCs w:val="21"/>
              </w:rPr>
            </w:pPr>
            <w:r>
              <w:rPr>
                <w:rFonts w:hint="eastAsia"/>
                <w:sz w:val="21"/>
                <w:szCs w:val="21"/>
                <w:lang w:val="zh-TW" w:eastAsia="zh-TW"/>
              </w:rPr>
              <w:t>指标项</w:t>
            </w:r>
          </w:p>
        </w:tc>
        <w:tc>
          <w:tcPr>
            <w:tcW w:w="7713" w:type="dxa"/>
            <w:tcBorders>
              <w:top w:val="single" w:color="000001" w:sz="4" w:space="0"/>
              <w:left w:val="single" w:color="000001" w:sz="4" w:space="0"/>
              <w:bottom w:val="single" w:color="000001" w:sz="4" w:space="0"/>
              <w:right w:val="single" w:color="000001" w:sz="4" w:space="0"/>
            </w:tcBorders>
            <w:shd w:val="clear" w:color="auto" w:fill="FFFFFF"/>
            <w:vAlign w:val="center"/>
          </w:tcPr>
          <w:p w14:paraId="23EF677E">
            <w:pPr>
              <w:pStyle w:val="171"/>
              <w:jc w:val="center"/>
              <w:rPr>
                <w:rFonts w:hint="eastAsia"/>
                <w:sz w:val="21"/>
                <w:szCs w:val="21"/>
              </w:rPr>
            </w:pPr>
            <w:r>
              <w:rPr>
                <w:rFonts w:hint="eastAsia"/>
                <w:sz w:val="21"/>
                <w:szCs w:val="21"/>
                <w:lang w:val="zh-TW" w:eastAsia="zh-TW"/>
              </w:rPr>
              <w:t>技术规格要求</w:t>
            </w:r>
          </w:p>
        </w:tc>
      </w:tr>
      <w:tr w14:paraId="13B1171B">
        <w:tblPrEx>
          <w:tblCellMar>
            <w:top w:w="80" w:type="dxa"/>
            <w:left w:w="50" w:type="dxa"/>
            <w:bottom w:w="80" w:type="dxa"/>
            <w:right w:w="80" w:type="dxa"/>
          </w:tblCellMar>
        </w:tblPrEx>
        <w:trPr>
          <w:cantSplit/>
          <w:trHeight w:val="320" w:hRule="atLeast"/>
        </w:trPr>
        <w:tc>
          <w:tcPr>
            <w:tcW w:w="1418" w:type="dxa"/>
            <w:vMerge w:val="restart"/>
            <w:tcBorders>
              <w:top w:val="single" w:color="000001" w:sz="4" w:space="0"/>
              <w:left w:val="single" w:color="000001" w:sz="4" w:space="0"/>
              <w:bottom w:val="single" w:color="000001" w:sz="4" w:space="0"/>
            </w:tcBorders>
            <w:shd w:val="clear" w:color="auto" w:fill="FFFFFF"/>
            <w:vAlign w:val="center"/>
          </w:tcPr>
          <w:p w14:paraId="772E8C35">
            <w:pPr>
              <w:pStyle w:val="171"/>
              <w:jc w:val="center"/>
              <w:rPr>
                <w:rFonts w:hint="eastAsia"/>
                <w:sz w:val="21"/>
                <w:szCs w:val="21"/>
                <w:lang w:val="zh-TW" w:eastAsia="zh-TW"/>
              </w:rPr>
            </w:pPr>
            <w:r>
              <w:rPr>
                <w:rFonts w:hint="eastAsia"/>
                <w:sz w:val="21"/>
                <w:szCs w:val="21"/>
              </w:rPr>
              <w:t>GPU</w:t>
            </w:r>
            <w:r>
              <w:rPr>
                <w:rFonts w:hint="eastAsia"/>
                <w:sz w:val="21"/>
                <w:szCs w:val="21"/>
                <w:lang w:val="zh-TW" w:eastAsia="zh-TW"/>
              </w:rPr>
              <w:t>计算</w:t>
            </w:r>
          </w:p>
          <w:p w14:paraId="4FC5D2DA">
            <w:pPr>
              <w:pStyle w:val="171"/>
              <w:jc w:val="center"/>
              <w:rPr>
                <w:rFonts w:hint="eastAsia"/>
                <w:sz w:val="21"/>
                <w:szCs w:val="21"/>
              </w:rPr>
            </w:pPr>
            <w:r>
              <w:rPr>
                <w:rFonts w:hint="eastAsia"/>
                <w:sz w:val="21"/>
                <w:szCs w:val="21"/>
              </w:rPr>
              <w:t>服务器</w:t>
            </w:r>
          </w:p>
          <w:p w14:paraId="7336C9F0">
            <w:pPr>
              <w:pStyle w:val="171"/>
              <w:jc w:val="center"/>
              <w:rPr>
                <w:rFonts w:hint="eastAsia"/>
                <w:sz w:val="21"/>
                <w:szCs w:val="21"/>
              </w:rPr>
            </w:pPr>
          </w:p>
        </w:tc>
        <w:tc>
          <w:tcPr>
            <w:tcW w:w="1076" w:type="dxa"/>
            <w:tcBorders>
              <w:top w:val="single" w:color="000001" w:sz="4" w:space="0"/>
              <w:left w:val="single" w:color="000001" w:sz="4" w:space="0"/>
              <w:bottom w:val="single" w:color="000001" w:sz="4" w:space="0"/>
            </w:tcBorders>
            <w:shd w:val="clear" w:color="auto" w:fill="FFFFFF"/>
            <w:vAlign w:val="center"/>
          </w:tcPr>
          <w:p w14:paraId="17EDE6BD">
            <w:pPr>
              <w:pStyle w:val="171"/>
              <w:jc w:val="center"/>
              <w:rPr>
                <w:rFonts w:hint="eastAsia"/>
                <w:sz w:val="21"/>
                <w:szCs w:val="21"/>
              </w:rPr>
            </w:pPr>
            <w:r>
              <w:rPr>
                <w:rFonts w:hint="eastAsia"/>
                <w:sz w:val="21"/>
                <w:szCs w:val="21"/>
                <w:lang w:val="zh-TW" w:eastAsia="zh-TW"/>
              </w:rPr>
              <w:t>规格</w:t>
            </w:r>
          </w:p>
        </w:tc>
        <w:tc>
          <w:tcPr>
            <w:tcW w:w="7713" w:type="dxa"/>
            <w:tcBorders>
              <w:top w:val="single" w:color="000001" w:sz="4" w:space="0"/>
              <w:left w:val="single" w:color="000001" w:sz="4" w:space="0"/>
              <w:bottom w:val="single" w:color="000001" w:sz="4" w:space="0"/>
              <w:right w:val="single" w:color="000001" w:sz="4" w:space="0"/>
            </w:tcBorders>
            <w:shd w:val="clear" w:color="auto" w:fill="FFFFFF"/>
          </w:tcPr>
          <w:p w14:paraId="1CB99F87">
            <w:pPr>
              <w:pStyle w:val="171"/>
              <w:rPr>
                <w:rFonts w:hint="eastAsia"/>
                <w:sz w:val="21"/>
                <w:szCs w:val="21"/>
                <w:lang w:val="zh-TW"/>
              </w:rPr>
            </w:pPr>
            <w:r>
              <w:rPr>
                <w:rFonts w:hint="eastAsia"/>
                <w:sz w:val="21"/>
                <w:szCs w:val="21"/>
                <w:lang w:val="zh-TW" w:eastAsia="zh-TW"/>
              </w:rPr>
              <w:t>每台设备为机架式GPU服务器，含安装导轨；</w:t>
            </w:r>
          </w:p>
          <w:p w14:paraId="1829C0BB">
            <w:pPr>
              <w:pStyle w:val="171"/>
              <w:rPr>
                <w:rFonts w:hint="eastAsia"/>
                <w:sz w:val="21"/>
                <w:szCs w:val="21"/>
                <w:lang w:val="zh-TW"/>
              </w:rPr>
            </w:pPr>
            <w:r>
              <w:rPr>
                <w:rFonts w:hint="eastAsia"/>
                <w:sz w:val="21"/>
                <w:szCs w:val="21"/>
                <w:lang w:val="zh-TW" w:eastAsia="zh-TW"/>
              </w:rPr>
              <w:t>高度不低于4U；</w:t>
            </w:r>
          </w:p>
          <w:p w14:paraId="14D392BD">
            <w:pPr>
              <w:pStyle w:val="171"/>
              <w:rPr>
                <w:rFonts w:hint="eastAsia"/>
                <w:sz w:val="21"/>
                <w:szCs w:val="21"/>
                <w:lang w:val="zh-TW"/>
              </w:rPr>
            </w:pPr>
            <w:r>
              <w:rPr>
                <w:rFonts w:hint="eastAsia"/>
                <w:sz w:val="21"/>
                <w:szCs w:val="21"/>
                <w:lang w:val="zh-TW" w:eastAsia="zh-TW"/>
              </w:rPr>
              <w:t>每台服务器实际配置并安装8张双宽全高GPU加速卡，8张GPU均须能够同时正常工作；不得仅以机箱可容纳8卡、预留插槽或后期选配代替实际交付。</w:t>
            </w:r>
          </w:p>
        </w:tc>
      </w:tr>
      <w:tr w14:paraId="37AECD97">
        <w:tblPrEx>
          <w:tblCellMar>
            <w:top w:w="80" w:type="dxa"/>
            <w:left w:w="50" w:type="dxa"/>
            <w:bottom w:w="80" w:type="dxa"/>
            <w:right w:w="80" w:type="dxa"/>
          </w:tblCellMar>
        </w:tblPrEx>
        <w:trPr>
          <w:cantSplit/>
          <w:trHeight w:val="320" w:hRule="atLeast"/>
        </w:trPr>
        <w:tc>
          <w:tcPr>
            <w:tcW w:w="1418" w:type="dxa"/>
            <w:vMerge w:val="continue"/>
            <w:tcBorders>
              <w:top w:val="single" w:color="000001" w:sz="4" w:space="0"/>
              <w:left w:val="single" w:color="000001" w:sz="4" w:space="0"/>
              <w:bottom w:val="single" w:color="000001" w:sz="4" w:space="0"/>
            </w:tcBorders>
            <w:shd w:val="clear" w:color="auto" w:fill="FFFFFF"/>
          </w:tcPr>
          <w:p w14:paraId="0BD0345D">
            <w:pPr>
              <w:snapToGrid w:val="0"/>
              <w:rPr>
                <w:rFonts w:hint="eastAsia" w:ascii="宋体" w:hAnsi="宋体" w:cs="宋体"/>
                <w:szCs w:val="21"/>
              </w:rPr>
            </w:pPr>
          </w:p>
        </w:tc>
        <w:tc>
          <w:tcPr>
            <w:tcW w:w="1076" w:type="dxa"/>
            <w:tcBorders>
              <w:top w:val="single" w:color="000001" w:sz="4" w:space="0"/>
              <w:left w:val="single" w:color="000001" w:sz="4" w:space="0"/>
              <w:bottom w:val="single" w:color="000001" w:sz="4" w:space="0"/>
            </w:tcBorders>
            <w:shd w:val="clear" w:color="auto" w:fill="FFFFFF"/>
            <w:vAlign w:val="center"/>
          </w:tcPr>
          <w:p w14:paraId="4D75872F">
            <w:pPr>
              <w:pStyle w:val="171"/>
              <w:jc w:val="center"/>
              <w:rPr>
                <w:rFonts w:hint="eastAsia"/>
                <w:sz w:val="21"/>
                <w:szCs w:val="21"/>
              </w:rPr>
            </w:pPr>
            <w:r>
              <w:rPr>
                <w:rFonts w:hint="eastAsia"/>
                <w:sz w:val="21"/>
                <w:szCs w:val="21"/>
                <w:lang w:val="zh-TW" w:eastAsia="zh-TW"/>
              </w:rPr>
              <w:t>处理器</w:t>
            </w:r>
          </w:p>
        </w:tc>
        <w:tc>
          <w:tcPr>
            <w:tcW w:w="7713" w:type="dxa"/>
            <w:tcBorders>
              <w:top w:val="single" w:color="000001" w:sz="4" w:space="0"/>
              <w:left w:val="single" w:color="000001" w:sz="4" w:space="0"/>
              <w:bottom w:val="single" w:color="000001" w:sz="4" w:space="0"/>
              <w:right w:val="single" w:color="000001" w:sz="4" w:space="0"/>
            </w:tcBorders>
            <w:shd w:val="clear" w:color="auto" w:fill="FFFFFF"/>
          </w:tcPr>
          <w:p w14:paraId="7241A4F0">
            <w:pPr>
              <w:pStyle w:val="171"/>
              <w:rPr>
                <w:sz w:val="21"/>
                <w:szCs w:val="21"/>
                <w:lang w:val="zh-TW" w:eastAsia="zh-TW"/>
              </w:rPr>
            </w:pPr>
            <w:r>
              <w:rPr>
                <w:sz w:val="21"/>
                <w:szCs w:val="21"/>
                <w:lang w:val="zh-TW" w:eastAsia="zh-TW"/>
              </w:rPr>
              <w:t>每台设备实际配置不少于2颗同型号、支持双路互联的x86-64服务器处理器。</w:t>
            </w:r>
          </w:p>
          <w:p w14:paraId="3298571C">
            <w:pPr>
              <w:pStyle w:val="171"/>
              <w:rPr>
                <w:rFonts w:hint="eastAsia" w:eastAsia="宋体"/>
                <w:sz w:val="21"/>
                <w:szCs w:val="21"/>
                <w:lang w:val="zh-TW" w:eastAsia="zh-CN"/>
              </w:rPr>
            </w:pPr>
            <w:r>
              <w:rPr>
                <w:rFonts w:hint="eastAsia"/>
                <w:sz w:val="21"/>
                <w:szCs w:val="21"/>
                <w:lang w:val="zh-TW" w:eastAsia="zh-TW"/>
              </w:rPr>
              <w:t>★</w:t>
            </w:r>
            <w:r>
              <w:rPr>
                <w:sz w:val="21"/>
                <w:szCs w:val="21"/>
                <w:lang w:val="zh-TW" w:eastAsia="zh-TW"/>
              </w:rPr>
              <w:t>单颗处理器物理核心数不少于96核且原厂默认基础频率不低于2.4GHz，或者物理核心数不少于48核且原厂默认基础频率不低于2.7GHz</w:t>
            </w:r>
            <w:r>
              <w:rPr>
                <w:rFonts w:hint="eastAsia"/>
                <w:sz w:val="21"/>
                <w:szCs w:val="21"/>
                <w:lang w:val="zh-TW" w:eastAsia="zh-CN"/>
              </w:rPr>
              <w:t>。</w:t>
            </w:r>
            <w:bookmarkStart w:id="0" w:name="_GoBack"/>
            <w:bookmarkEnd w:id="0"/>
          </w:p>
          <w:p w14:paraId="30D00724">
            <w:pPr>
              <w:pStyle w:val="171"/>
              <w:rPr>
                <w:rFonts w:hint="eastAsia"/>
                <w:sz w:val="21"/>
                <w:szCs w:val="21"/>
                <w:lang w:val="zh-TW"/>
              </w:rPr>
            </w:pPr>
            <w:r>
              <w:rPr>
                <w:sz w:val="21"/>
                <w:szCs w:val="21"/>
                <w:lang w:val="zh-TW" w:eastAsia="zh-TW"/>
              </w:rPr>
              <w:t>处理器须支持DDR5 ECC内存及PCIe 5.0或以上标准，单颗处理器原生提供的PCIe通道数不少于8</w:t>
            </w:r>
            <w:r>
              <w:rPr>
                <w:rFonts w:hint="eastAsia"/>
                <w:sz w:val="21"/>
                <w:szCs w:val="21"/>
                <w:lang w:val="zh-TW"/>
              </w:rPr>
              <w:t>0</w:t>
            </w:r>
            <w:r>
              <w:rPr>
                <w:sz w:val="21"/>
                <w:szCs w:val="21"/>
                <w:lang w:val="zh-TW" w:eastAsia="zh-TW"/>
              </w:rPr>
              <w:t>条。</w:t>
            </w:r>
          </w:p>
        </w:tc>
      </w:tr>
      <w:tr w14:paraId="4849E1A7">
        <w:tblPrEx>
          <w:tblCellMar>
            <w:top w:w="80" w:type="dxa"/>
            <w:left w:w="50" w:type="dxa"/>
            <w:bottom w:w="80" w:type="dxa"/>
            <w:right w:w="80" w:type="dxa"/>
          </w:tblCellMar>
        </w:tblPrEx>
        <w:trPr>
          <w:cantSplit/>
          <w:trHeight w:val="620" w:hRule="atLeast"/>
        </w:trPr>
        <w:tc>
          <w:tcPr>
            <w:tcW w:w="1418" w:type="dxa"/>
            <w:vMerge w:val="continue"/>
            <w:tcBorders>
              <w:top w:val="single" w:color="000001" w:sz="4" w:space="0"/>
              <w:left w:val="single" w:color="000001" w:sz="4" w:space="0"/>
              <w:bottom w:val="single" w:color="000001" w:sz="4" w:space="0"/>
            </w:tcBorders>
            <w:shd w:val="clear" w:color="auto" w:fill="FFFFFF"/>
          </w:tcPr>
          <w:p w14:paraId="4811E7B5">
            <w:pPr>
              <w:snapToGrid w:val="0"/>
              <w:rPr>
                <w:rFonts w:hint="eastAsia" w:ascii="宋体" w:hAnsi="宋体" w:cs="宋体"/>
                <w:szCs w:val="21"/>
              </w:rPr>
            </w:pPr>
          </w:p>
        </w:tc>
        <w:tc>
          <w:tcPr>
            <w:tcW w:w="1076" w:type="dxa"/>
            <w:tcBorders>
              <w:top w:val="single" w:color="000001" w:sz="4" w:space="0"/>
              <w:left w:val="single" w:color="000001" w:sz="4" w:space="0"/>
              <w:bottom w:val="single" w:color="000001" w:sz="4" w:space="0"/>
            </w:tcBorders>
            <w:shd w:val="clear" w:color="auto" w:fill="FFFFFF"/>
            <w:vAlign w:val="center"/>
          </w:tcPr>
          <w:p w14:paraId="71F2DA06">
            <w:pPr>
              <w:pStyle w:val="171"/>
              <w:jc w:val="center"/>
              <w:rPr>
                <w:rFonts w:hint="eastAsia"/>
                <w:sz w:val="21"/>
                <w:szCs w:val="21"/>
                <w:lang w:val="zh-TW" w:eastAsia="zh-TW"/>
              </w:rPr>
            </w:pPr>
            <w:r>
              <w:rPr>
                <w:rFonts w:hint="eastAsia"/>
                <w:sz w:val="21"/>
                <w:szCs w:val="21"/>
                <w:lang w:val="zh-TW" w:eastAsia="zh-TW"/>
              </w:rPr>
              <w:t>内存</w:t>
            </w:r>
          </w:p>
        </w:tc>
        <w:tc>
          <w:tcPr>
            <w:tcW w:w="7713" w:type="dxa"/>
            <w:tcBorders>
              <w:top w:val="single" w:color="000001" w:sz="4" w:space="0"/>
              <w:left w:val="single" w:color="000001" w:sz="4" w:space="0"/>
              <w:bottom w:val="single" w:color="000001" w:sz="4" w:space="0"/>
              <w:right w:val="single" w:color="000001" w:sz="4" w:space="0"/>
            </w:tcBorders>
            <w:shd w:val="clear" w:color="auto" w:fill="FFFFFF"/>
          </w:tcPr>
          <w:p w14:paraId="0CA31F21">
            <w:pPr>
              <w:pStyle w:val="171"/>
              <w:rPr>
                <w:rFonts w:hint="eastAsia"/>
                <w:sz w:val="21"/>
                <w:szCs w:val="21"/>
                <w:lang w:val="zh-TW"/>
              </w:rPr>
            </w:pPr>
            <w:r>
              <w:rPr>
                <w:rFonts w:hint="eastAsia"/>
                <w:sz w:val="21"/>
                <w:szCs w:val="21"/>
                <w:lang w:val="zh-TW" w:eastAsia="zh-TW"/>
              </w:rPr>
              <w:t>★每台设备实际配置不少于</w:t>
            </w:r>
            <w:r>
              <w:rPr>
                <w:rFonts w:hint="eastAsia"/>
                <w:sz w:val="21"/>
                <w:szCs w:val="21"/>
                <w:lang w:val="zh-TW"/>
              </w:rPr>
              <w:t>512</w:t>
            </w:r>
            <w:r>
              <w:rPr>
                <w:rFonts w:hint="eastAsia"/>
                <w:sz w:val="21"/>
                <w:szCs w:val="21"/>
                <w:lang w:val="zh-TW" w:eastAsia="zh-TW"/>
              </w:rPr>
              <w:t>GB DDR5 ECC内存；</w:t>
            </w:r>
          </w:p>
          <w:p w14:paraId="68EDEDB5">
            <w:pPr>
              <w:pStyle w:val="171"/>
              <w:rPr>
                <w:rFonts w:hint="eastAsia"/>
                <w:sz w:val="21"/>
                <w:szCs w:val="21"/>
                <w:lang w:val="zh-TW"/>
              </w:rPr>
            </w:pPr>
            <w:r>
              <w:rPr>
                <w:rFonts w:hint="eastAsia"/>
                <w:sz w:val="21"/>
                <w:szCs w:val="21"/>
                <w:lang w:val="zh-TW" w:eastAsia="zh-TW"/>
              </w:rPr>
              <w:t>内存按CPU内存通道对称配置；</w:t>
            </w:r>
          </w:p>
          <w:p w14:paraId="0AC525DA">
            <w:pPr>
              <w:pStyle w:val="171"/>
              <w:rPr>
                <w:rFonts w:hint="eastAsia"/>
                <w:sz w:val="21"/>
                <w:szCs w:val="21"/>
                <w:lang w:val="zh-TW"/>
              </w:rPr>
            </w:pPr>
            <w:r>
              <w:rPr>
                <w:rFonts w:hint="eastAsia"/>
                <w:sz w:val="21"/>
                <w:szCs w:val="21"/>
                <w:lang w:val="zh-TW" w:eastAsia="zh-TW"/>
              </w:rPr>
              <w:t>▲在不更换CPU及主板的前提下，支持扩展至不少于1TB内存。</w:t>
            </w:r>
          </w:p>
        </w:tc>
      </w:tr>
      <w:tr w14:paraId="0B943544">
        <w:tblPrEx>
          <w:tblCellMar>
            <w:top w:w="80" w:type="dxa"/>
            <w:left w:w="50" w:type="dxa"/>
            <w:bottom w:w="80" w:type="dxa"/>
            <w:right w:w="80" w:type="dxa"/>
          </w:tblCellMar>
        </w:tblPrEx>
        <w:trPr>
          <w:cantSplit/>
          <w:trHeight w:val="620" w:hRule="atLeast"/>
        </w:trPr>
        <w:tc>
          <w:tcPr>
            <w:tcW w:w="1418" w:type="dxa"/>
            <w:vMerge w:val="continue"/>
            <w:tcBorders>
              <w:top w:val="single" w:color="000001" w:sz="4" w:space="0"/>
              <w:left w:val="single" w:color="000001" w:sz="4" w:space="0"/>
              <w:bottom w:val="single" w:color="000001" w:sz="4" w:space="0"/>
            </w:tcBorders>
            <w:shd w:val="clear" w:color="auto" w:fill="FFFFFF"/>
          </w:tcPr>
          <w:p w14:paraId="5562AC1E">
            <w:pPr>
              <w:snapToGrid w:val="0"/>
              <w:rPr>
                <w:rFonts w:hint="eastAsia" w:ascii="宋体" w:hAnsi="宋体" w:cs="宋体"/>
                <w:szCs w:val="21"/>
              </w:rPr>
            </w:pPr>
          </w:p>
        </w:tc>
        <w:tc>
          <w:tcPr>
            <w:tcW w:w="1076" w:type="dxa"/>
            <w:tcBorders>
              <w:top w:val="single" w:color="000001" w:sz="4" w:space="0"/>
              <w:left w:val="single" w:color="000001" w:sz="4" w:space="0"/>
              <w:bottom w:val="single" w:color="000001" w:sz="4" w:space="0"/>
            </w:tcBorders>
            <w:shd w:val="clear" w:color="auto" w:fill="FFFFFF"/>
            <w:vAlign w:val="center"/>
          </w:tcPr>
          <w:p w14:paraId="4571DCAE">
            <w:pPr>
              <w:pStyle w:val="171"/>
              <w:jc w:val="center"/>
              <w:rPr>
                <w:rFonts w:hint="eastAsia"/>
                <w:sz w:val="21"/>
                <w:szCs w:val="21"/>
              </w:rPr>
            </w:pPr>
            <w:r>
              <w:rPr>
                <w:sz w:val="21"/>
                <w:szCs w:val="21"/>
                <w:lang w:val="zh-TW" w:eastAsia="zh-TW"/>
              </w:rPr>
              <w:t>本地存储</w:t>
            </w:r>
          </w:p>
        </w:tc>
        <w:tc>
          <w:tcPr>
            <w:tcW w:w="7713" w:type="dxa"/>
            <w:tcBorders>
              <w:top w:val="single" w:color="000001" w:sz="4" w:space="0"/>
              <w:left w:val="single" w:color="000001" w:sz="4" w:space="0"/>
              <w:bottom w:val="single" w:color="000001" w:sz="4" w:space="0"/>
              <w:right w:val="single" w:color="000001" w:sz="4" w:space="0"/>
            </w:tcBorders>
            <w:shd w:val="clear" w:color="auto" w:fill="FFFFFF"/>
          </w:tcPr>
          <w:p w14:paraId="3C2BDAA0">
            <w:pPr>
              <w:pStyle w:val="171"/>
              <w:rPr>
                <w:rFonts w:hint="eastAsia"/>
                <w:sz w:val="21"/>
                <w:szCs w:val="21"/>
              </w:rPr>
            </w:pPr>
            <w:r>
              <w:rPr>
                <w:rFonts w:hint="eastAsia"/>
                <w:sz w:val="21"/>
                <w:szCs w:val="21"/>
                <w:lang w:val="zh-TW" w:eastAsia="zh-TW"/>
              </w:rPr>
              <w:t>▲每台设备配置不少于2×480GB SSD作为系统盘，并配置RAID 1或等效冗余保护；同时配置不少于2×3.84TB NVMe SSD作为数据/缓存盘；</w:t>
            </w:r>
          </w:p>
          <w:p w14:paraId="796EF6AD">
            <w:pPr>
              <w:pStyle w:val="171"/>
              <w:rPr>
                <w:rFonts w:hint="eastAsia"/>
                <w:sz w:val="21"/>
                <w:szCs w:val="21"/>
              </w:rPr>
            </w:pPr>
            <w:r>
              <w:rPr>
                <w:rFonts w:hint="eastAsia"/>
                <w:sz w:val="21"/>
                <w:szCs w:val="21"/>
                <w:lang w:val="zh-TW" w:eastAsia="zh-TW"/>
              </w:rPr>
              <w:t>具备不少于4个NVMe硬盘位或等效扩展能力，并支持RAID 0/1/10或等效磁盘阵列配置；</w:t>
            </w:r>
          </w:p>
          <w:p w14:paraId="30FA40C9">
            <w:pPr>
              <w:pStyle w:val="171"/>
              <w:rPr>
                <w:rFonts w:hint="eastAsia"/>
                <w:sz w:val="21"/>
                <w:szCs w:val="21"/>
              </w:rPr>
            </w:pPr>
            <w:r>
              <w:rPr>
                <w:rFonts w:hint="eastAsia"/>
                <w:sz w:val="21"/>
                <w:szCs w:val="21"/>
                <w:lang w:val="zh-TW" w:eastAsia="zh-TW"/>
              </w:rPr>
              <w:t>投标人须提供本地存储配置、控制器或软件阵列方式及可用容量说明。</w:t>
            </w:r>
          </w:p>
        </w:tc>
      </w:tr>
      <w:tr w14:paraId="01EA2E31">
        <w:tblPrEx>
          <w:tblCellMar>
            <w:top w:w="80" w:type="dxa"/>
            <w:left w:w="50" w:type="dxa"/>
            <w:bottom w:w="80" w:type="dxa"/>
            <w:right w:w="80" w:type="dxa"/>
          </w:tblCellMar>
        </w:tblPrEx>
        <w:trPr>
          <w:cantSplit/>
          <w:trHeight w:val="320" w:hRule="atLeast"/>
        </w:trPr>
        <w:tc>
          <w:tcPr>
            <w:tcW w:w="1418" w:type="dxa"/>
            <w:vMerge w:val="continue"/>
            <w:tcBorders>
              <w:top w:val="single" w:color="000001" w:sz="4" w:space="0"/>
              <w:left w:val="single" w:color="000001" w:sz="4" w:space="0"/>
              <w:bottom w:val="single" w:color="000001" w:sz="4" w:space="0"/>
            </w:tcBorders>
            <w:shd w:val="clear" w:color="auto" w:fill="FFFFFF"/>
          </w:tcPr>
          <w:p w14:paraId="4FCC27CD">
            <w:pPr>
              <w:snapToGrid w:val="0"/>
              <w:rPr>
                <w:rFonts w:hint="eastAsia" w:ascii="宋体" w:hAnsi="宋体" w:cs="宋体"/>
                <w:szCs w:val="21"/>
              </w:rPr>
            </w:pPr>
          </w:p>
        </w:tc>
        <w:tc>
          <w:tcPr>
            <w:tcW w:w="1076" w:type="dxa"/>
            <w:tcBorders>
              <w:top w:val="single" w:color="000001" w:sz="4" w:space="0"/>
              <w:left w:val="single" w:color="000001" w:sz="4" w:space="0"/>
              <w:bottom w:val="single" w:color="000001" w:sz="4" w:space="0"/>
            </w:tcBorders>
            <w:shd w:val="clear" w:color="auto" w:fill="FFFFFF"/>
            <w:vAlign w:val="center"/>
          </w:tcPr>
          <w:p w14:paraId="661FC2DB">
            <w:pPr>
              <w:pStyle w:val="171"/>
              <w:jc w:val="center"/>
              <w:rPr>
                <w:rFonts w:hint="eastAsia"/>
                <w:sz w:val="21"/>
                <w:szCs w:val="21"/>
              </w:rPr>
            </w:pPr>
            <w:r>
              <w:rPr>
                <w:rFonts w:hint="eastAsia"/>
                <w:sz w:val="21"/>
                <w:szCs w:val="21"/>
                <w:lang w:val="zh-TW" w:eastAsia="zh-TW"/>
              </w:rPr>
              <w:t>GPU交付及安装</w:t>
            </w:r>
          </w:p>
        </w:tc>
        <w:tc>
          <w:tcPr>
            <w:tcW w:w="7713" w:type="dxa"/>
            <w:tcBorders>
              <w:top w:val="single" w:color="000001" w:sz="4" w:space="0"/>
              <w:left w:val="single" w:color="000001" w:sz="4" w:space="0"/>
              <w:bottom w:val="single" w:color="000001" w:sz="4" w:space="0"/>
              <w:right w:val="single" w:color="000001" w:sz="4" w:space="0"/>
            </w:tcBorders>
            <w:shd w:val="clear" w:color="auto" w:fill="FFFFFF"/>
          </w:tcPr>
          <w:p w14:paraId="6B832E29">
            <w:pPr>
              <w:pStyle w:val="171"/>
              <w:rPr>
                <w:rFonts w:hint="eastAsia"/>
                <w:sz w:val="21"/>
                <w:szCs w:val="21"/>
                <w:lang w:val="zh-TW" w:eastAsia="zh-TW"/>
              </w:rPr>
            </w:pPr>
            <w:r>
              <w:rPr>
                <w:rFonts w:hint="eastAsia"/>
                <w:sz w:val="21"/>
                <w:szCs w:val="21"/>
                <w:lang w:val="zh-TW" w:eastAsia="zh-TW"/>
              </w:rPr>
              <w:t>本项目共交付</w:t>
            </w:r>
            <w:r>
              <w:rPr>
                <w:rFonts w:hint="eastAsia"/>
                <w:sz w:val="21"/>
                <w:szCs w:val="21"/>
                <w:lang w:val="zh-TW"/>
              </w:rPr>
              <w:t>24</w:t>
            </w:r>
            <w:r>
              <w:rPr>
                <w:rFonts w:hint="eastAsia"/>
                <w:sz w:val="21"/>
                <w:szCs w:val="21"/>
                <w:lang w:val="zh-TW" w:eastAsia="zh-TW"/>
              </w:rPr>
              <w:t>张</w:t>
            </w:r>
            <w:r>
              <w:rPr>
                <w:sz w:val="21"/>
                <w:szCs w:val="21"/>
                <w:lang w:val="zh-TW" w:eastAsia="zh-TW"/>
              </w:rPr>
              <w:t>GPU</w:t>
            </w:r>
            <w:r>
              <w:rPr>
                <w:rFonts w:hint="eastAsia"/>
                <w:sz w:val="21"/>
                <w:szCs w:val="21"/>
                <w:lang w:val="zh-TW" w:eastAsia="zh-TW"/>
              </w:rPr>
              <w:t>加速卡，其中</w:t>
            </w:r>
            <w:r>
              <w:rPr>
                <w:rFonts w:hint="eastAsia"/>
                <w:sz w:val="21"/>
                <w:szCs w:val="21"/>
                <w:lang w:val="zh-TW"/>
              </w:rPr>
              <w:t>16</w:t>
            </w:r>
            <w:r>
              <w:rPr>
                <w:rFonts w:hint="eastAsia"/>
                <w:sz w:val="21"/>
                <w:szCs w:val="21"/>
                <w:lang w:val="zh-TW" w:eastAsia="zh-TW"/>
              </w:rPr>
              <w:t>张随</w:t>
            </w:r>
            <w:r>
              <w:rPr>
                <w:rFonts w:hint="eastAsia"/>
                <w:sz w:val="21"/>
                <w:szCs w:val="21"/>
                <w:lang w:val="en-US" w:eastAsia="zh-CN"/>
              </w:rPr>
              <w:t>2</w:t>
            </w:r>
            <w:r>
              <w:rPr>
                <w:rFonts w:hint="eastAsia"/>
                <w:sz w:val="21"/>
                <w:szCs w:val="21"/>
                <w:lang w:val="zh-TW" w:eastAsia="zh-TW"/>
              </w:rPr>
              <w:t>台</w:t>
            </w:r>
            <w:r>
              <w:rPr>
                <w:sz w:val="21"/>
                <w:szCs w:val="21"/>
                <w:lang w:val="zh-TW" w:eastAsia="zh-TW"/>
              </w:rPr>
              <w:t>GPU</w:t>
            </w:r>
            <w:r>
              <w:rPr>
                <w:rFonts w:hint="eastAsia"/>
                <w:sz w:val="21"/>
                <w:szCs w:val="21"/>
                <w:lang w:val="zh-TW" w:eastAsia="zh-TW"/>
              </w:rPr>
              <w:t>计算服务器安装交付，每台实际安装</w:t>
            </w:r>
            <w:r>
              <w:rPr>
                <w:sz w:val="21"/>
                <w:szCs w:val="21"/>
                <w:lang w:val="zh-TW" w:eastAsia="zh-TW"/>
              </w:rPr>
              <w:t>8</w:t>
            </w:r>
            <w:r>
              <w:rPr>
                <w:rFonts w:hint="eastAsia"/>
                <w:sz w:val="21"/>
                <w:szCs w:val="21"/>
                <w:lang w:val="zh-TW" w:eastAsia="zh-TW"/>
              </w:rPr>
              <w:t>张；另</w:t>
            </w:r>
            <w:r>
              <w:rPr>
                <w:rFonts w:hint="eastAsia"/>
                <w:sz w:val="21"/>
                <w:szCs w:val="21"/>
                <w:lang w:val="zh-TW"/>
              </w:rPr>
              <w:t>8</w:t>
            </w:r>
            <w:r>
              <w:rPr>
                <w:rFonts w:hint="eastAsia"/>
                <w:sz w:val="21"/>
                <w:szCs w:val="21"/>
                <w:lang w:val="zh-TW" w:eastAsia="zh-TW"/>
              </w:rPr>
              <w:t>张独立包装交付。</w:t>
            </w:r>
          </w:p>
          <w:p w14:paraId="228EDC99">
            <w:pPr>
              <w:pStyle w:val="171"/>
              <w:rPr>
                <w:rFonts w:hint="eastAsia"/>
                <w:sz w:val="21"/>
                <w:szCs w:val="21"/>
                <w:lang w:val="zh-TW" w:eastAsia="zh-TW"/>
              </w:rPr>
            </w:pPr>
            <w:r>
              <w:rPr>
                <w:rFonts w:hint="eastAsia"/>
                <w:sz w:val="21"/>
                <w:szCs w:val="21"/>
                <w:lang w:val="zh-TW" w:eastAsia="zh-TW"/>
              </w:rPr>
              <w:t>每台服务器须采用制造商正式发布并承担售后责任的</w:t>
            </w:r>
            <w:r>
              <w:rPr>
                <w:sz w:val="21"/>
                <w:szCs w:val="21"/>
                <w:lang w:val="zh-TW" w:eastAsia="zh-TW"/>
              </w:rPr>
              <w:t>8</w:t>
            </w:r>
            <w:r>
              <w:rPr>
                <w:rFonts w:hint="eastAsia"/>
                <w:sz w:val="21"/>
                <w:szCs w:val="21"/>
                <w:lang w:val="zh-TW" w:eastAsia="zh-TW"/>
              </w:rPr>
              <w:t>卡整机配置，能够在</w:t>
            </w:r>
            <w:r>
              <w:rPr>
                <w:sz w:val="21"/>
                <w:szCs w:val="21"/>
                <w:lang w:val="zh-TW" w:eastAsia="zh-TW"/>
              </w:rPr>
              <w:t>8</w:t>
            </w:r>
            <w:r>
              <w:rPr>
                <w:rFonts w:hint="eastAsia"/>
                <w:sz w:val="21"/>
                <w:szCs w:val="21"/>
                <w:lang w:val="zh-TW" w:eastAsia="zh-TW"/>
              </w:rPr>
              <w:t>卡满配条件下长期稳定运行；投标人须提供整机</w:t>
            </w:r>
            <w:r>
              <w:rPr>
                <w:sz w:val="21"/>
                <w:szCs w:val="21"/>
                <w:lang w:val="zh-TW" w:eastAsia="zh-TW"/>
              </w:rPr>
              <w:t>BOM</w:t>
            </w:r>
            <w:r>
              <w:rPr>
                <w:rFonts w:hint="eastAsia"/>
                <w:sz w:val="21"/>
                <w:szCs w:val="21"/>
                <w:lang w:val="zh-TW" w:eastAsia="zh-TW"/>
              </w:rPr>
              <w:t>、</w:t>
            </w:r>
            <w:r>
              <w:rPr>
                <w:sz w:val="21"/>
                <w:szCs w:val="21"/>
                <w:lang w:val="zh-TW" w:eastAsia="zh-TW"/>
              </w:rPr>
              <w:t>GPU</w:t>
            </w:r>
            <w:r>
              <w:rPr>
                <w:rFonts w:hint="eastAsia"/>
                <w:sz w:val="21"/>
                <w:szCs w:val="21"/>
                <w:lang w:val="zh-TW" w:eastAsia="zh-TW"/>
              </w:rPr>
              <w:t>槽位布局、</w:t>
            </w:r>
            <w:r>
              <w:rPr>
                <w:sz w:val="21"/>
                <w:szCs w:val="21"/>
                <w:lang w:val="zh-TW" w:eastAsia="zh-TW"/>
              </w:rPr>
              <w:t>PCIe</w:t>
            </w:r>
            <w:r>
              <w:rPr>
                <w:rFonts w:hint="eastAsia"/>
                <w:sz w:val="21"/>
                <w:szCs w:val="21"/>
                <w:lang w:val="zh-TW" w:eastAsia="zh-TW"/>
              </w:rPr>
              <w:t>拓扑、供电功率、</w:t>
            </w:r>
            <w:r>
              <w:rPr>
                <w:sz w:val="21"/>
                <w:szCs w:val="21"/>
                <w:lang w:val="zh-TW" w:eastAsia="zh-TW"/>
              </w:rPr>
              <w:t>GPU</w:t>
            </w:r>
            <w:r>
              <w:rPr>
                <w:rFonts w:hint="eastAsia"/>
                <w:sz w:val="21"/>
                <w:szCs w:val="21"/>
                <w:lang w:val="zh-TW" w:eastAsia="zh-TW"/>
              </w:rPr>
              <w:t>供电线缆及风道散热或热设计说明；</w:t>
            </w:r>
          </w:p>
          <w:p w14:paraId="5DB19D3E">
            <w:pPr>
              <w:pStyle w:val="171"/>
              <w:rPr>
                <w:rFonts w:hint="eastAsia"/>
                <w:sz w:val="21"/>
                <w:szCs w:val="21"/>
                <w:lang w:val="zh-TW" w:eastAsia="zh-TW"/>
              </w:rPr>
            </w:pPr>
            <w:r>
              <w:rPr>
                <w:rFonts w:hint="eastAsia"/>
                <w:sz w:val="21"/>
                <w:szCs w:val="21"/>
                <w:lang w:val="zh-TW" w:eastAsia="zh-TW"/>
              </w:rPr>
              <w:t>所投</w:t>
            </w:r>
            <w:r>
              <w:rPr>
                <w:sz w:val="21"/>
                <w:szCs w:val="21"/>
                <w:lang w:val="zh-TW" w:eastAsia="zh-TW"/>
              </w:rPr>
              <w:t>GPU</w:t>
            </w:r>
            <w:r>
              <w:rPr>
                <w:rFonts w:hint="eastAsia"/>
                <w:sz w:val="21"/>
                <w:szCs w:val="21"/>
                <w:lang w:val="zh-TW" w:eastAsia="zh-TW"/>
              </w:rPr>
              <w:t>应适配服务器结构、供电和散热设计。</w:t>
            </w:r>
          </w:p>
        </w:tc>
      </w:tr>
      <w:tr w14:paraId="0C467648">
        <w:tblPrEx>
          <w:tblCellMar>
            <w:top w:w="80" w:type="dxa"/>
            <w:left w:w="50" w:type="dxa"/>
            <w:bottom w:w="80" w:type="dxa"/>
            <w:right w:w="80" w:type="dxa"/>
          </w:tblCellMar>
        </w:tblPrEx>
        <w:trPr>
          <w:cantSplit/>
          <w:trHeight w:val="320" w:hRule="atLeast"/>
        </w:trPr>
        <w:tc>
          <w:tcPr>
            <w:tcW w:w="1418" w:type="dxa"/>
            <w:vMerge w:val="continue"/>
            <w:tcBorders>
              <w:top w:val="single" w:color="000001" w:sz="4" w:space="0"/>
              <w:left w:val="single" w:color="000001" w:sz="4" w:space="0"/>
              <w:bottom w:val="single" w:color="000001" w:sz="4" w:space="0"/>
            </w:tcBorders>
            <w:shd w:val="clear" w:color="auto" w:fill="FFFFFF"/>
          </w:tcPr>
          <w:p w14:paraId="0FFAB90A">
            <w:pPr>
              <w:snapToGrid w:val="0"/>
              <w:rPr>
                <w:rFonts w:hint="eastAsia" w:ascii="宋体" w:hAnsi="宋体" w:cs="宋体"/>
                <w:szCs w:val="21"/>
              </w:rPr>
            </w:pPr>
          </w:p>
        </w:tc>
        <w:tc>
          <w:tcPr>
            <w:tcW w:w="1076" w:type="dxa"/>
            <w:tcBorders>
              <w:top w:val="single" w:color="000001" w:sz="4" w:space="0"/>
              <w:left w:val="single" w:color="000001" w:sz="4" w:space="0"/>
              <w:bottom w:val="single" w:color="000001" w:sz="4" w:space="0"/>
            </w:tcBorders>
            <w:shd w:val="clear" w:color="auto" w:fill="FFFFFF"/>
            <w:vAlign w:val="center"/>
          </w:tcPr>
          <w:p w14:paraId="209960B2">
            <w:pPr>
              <w:pStyle w:val="171"/>
              <w:jc w:val="center"/>
              <w:rPr>
                <w:rFonts w:hint="eastAsia"/>
                <w:sz w:val="21"/>
                <w:szCs w:val="21"/>
              </w:rPr>
            </w:pPr>
            <w:r>
              <w:rPr>
                <w:sz w:val="21"/>
                <w:szCs w:val="21"/>
              </w:rPr>
              <w:t>冗余电源</w:t>
            </w:r>
          </w:p>
        </w:tc>
        <w:tc>
          <w:tcPr>
            <w:tcW w:w="7713" w:type="dxa"/>
            <w:tcBorders>
              <w:top w:val="single" w:color="000001" w:sz="4" w:space="0"/>
              <w:left w:val="single" w:color="000001" w:sz="4" w:space="0"/>
              <w:bottom w:val="single" w:color="000001" w:sz="4" w:space="0"/>
              <w:right w:val="single" w:color="000001" w:sz="4" w:space="0"/>
            </w:tcBorders>
            <w:shd w:val="clear" w:color="auto" w:fill="FFFFFF"/>
          </w:tcPr>
          <w:p w14:paraId="371F4FA7">
            <w:pPr>
              <w:pStyle w:val="171"/>
              <w:rPr>
                <w:rFonts w:hint="eastAsia"/>
                <w:sz w:val="21"/>
                <w:szCs w:val="21"/>
              </w:rPr>
            </w:pPr>
            <w:r>
              <w:rPr>
                <w:sz w:val="21"/>
                <w:szCs w:val="21"/>
              </w:rPr>
              <w:t>每台服务器配置与制造商8卡方案一致的热插拔冗余电源，冗余等级不低于N+1；</w:t>
            </w:r>
          </w:p>
          <w:p w14:paraId="473F7BFB">
            <w:pPr>
              <w:pStyle w:val="171"/>
              <w:rPr>
                <w:rFonts w:hint="eastAsia"/>
                <w:sz w:val="21"/>
                <w:szCs w:val="21"/>
              </w:rPr>
            </w:pPr>
            <w:r>
              <w:rPr>
                <w:sz w:val="21"/>
                <w:szCs w:val="21"/>
              </w:rPr>
              <w:t>电源系统在冗余状态下应满足8张GPU、CPU、内存、NVMe及网络组件长期满载稳定运行；</w:t>
            </w:r>
          </w:p>
          <w:p w14:paraId="69841C81">
            <w:pPr>
              <w:pStyle w:val="171"/>
              <w:rPr>
                <w:rFonts w:hint="eastAsia"/>
                <w:sz w:val="21"/>
                <w:szCs w:val="21"/>
              </w:rPr>
            </w:pPr>
            <w:r>
              <w:rPr>
                <w:sz w:val="21"/>
                <w:szCs w:val="21"/>
              </w:rPr>
              <w:t>投标人须提供电源模块数量、单模块额定输出功率、冗余拓扑及整机满负荷功耗预算，电源和散热系统应支持故障告警与在线维护。</w:t>
            </w:r>
          </w:p>
        </w:tc>
      </w:tr>
      <w:tr w14:paraId="05BF3C8A">
        <w:tblPrEx>
          <w:tblCellMar>
            <w:top w:w="80" w:type="dxa"/>
            <w:left w:w="50" w:type="dxa"/>
            <w:bottom w:w="80" w:type="dxa"/>
            <w:right w:w="80" w:type="dxa"/>
          </w:tblCellMar>
        </w:tblPrEx>
        <w:trPr>
          <w:cantSplit/>
          <w:trHeight w:val="90" w:hRule="atLeast"/>
        </w:trPr>
        <w:tc>
          <w:tcPr>
            <w:tcW w:w="1418" w:type="dxa"/>
            <w:vMerge w:val="continue"/>
            <w:tcBorders>
              <w:top w:val="single" w:color="000001" w:sz="4" w:space="0"/>
              <w:left w:val="single" w:color="000001" w:sz="4" w:space="0"/>
              <w:bottom w:val="single" w:color="000001" w:sz="4" w:space="0"/>
            </w:tcBorders>
            <w:shd w:val="clear" w:color="auto" w:fill="FFFFFF"/>
          </w:tcPr>
          <w:p w14:paraId="06344D79">
            <w:pPr>
              <w:snapToGrid w:val="0"/>
              <w:rPr>
                <w:rFonts w:hint="eastAsia" w:ascii="宋体" w:hAnsi="宋体" w:cs="宋体"/>
                <w:szCs w:val="21"/>
              </w:rPr>
            </w:pPr>
          </w:p>
        </w:tc>
        <w:tc>
          <w:tcPr>
            <w:tcW w:w="1076" w:type="dxa"/>
            <w:tcBorders>
              <w:top w:val="single" w:color="000001" w:sz="4" w:space="0"/>
              <w:left w:val="single" w:color="000001" w:sz="4" w:space="0"/>
              <w:bottom w:val="single" w:color="000001" w:sz="4" w:space="0"/>
            </w:tcBorders>
            <w:shd w:val="clear" w:color="auto" w:fill="FFFFFF"/>
            <w:vAlign w:val="center"/>
          </w:tcPr>
          <w:p w14:paraId="1F8CDFF8">
            <w:pPr>
              <w:pStyle w:val="171"/>
              <w:jc w:val="center"/>
              <w:rPr>
                <w:rFonts w:hint="eastAsia"/>
                <w:sz w:val="21"/>
                <w:szCs w:val="21"/>
              </w:rPr>
            </w:pPr>
            <w:r>
              <w:rPr>
                <w:rFonts w:hint="eastAsia"/>
                <w:sz w:val="21"/>
                <w:szCs w:val="21"/>
                <w:lang w:val="zh-TW" w:eastAsia="zh-TW"/>
              </w:rPr>
              <w:t>系统管理</w:t>
            </w:r>
          </w:p>
        </w:tc>
        <w:tc>
          <w:tcPr>
            <w:tcW w:w="7713" w:type="dxa"/>
            <w:tcBorders>
              <w:top w:val="single" w:color="000001" w:sz="4" w:space="0"/>
              <w:left w:val="single" w:color="000001" w:sz="4" w:space="0"/>
              <w:bottom w:val="single" w:color="000001" w:sz="4" w:space="0"/>
              <w:right w:val="single" w:color="000001" w:sz="4" w:space="0"/>
            </w:tcBorders>
            <w:shd w:val="clear" w:color="auto" w:fill="FFFFFF"/>
          </w:tcPr>
          <w:p w14:paraId="7A78EBBB">
            <w:pPr>
              <w:pStyle w:val="171"/>
              <w:rPr>
                <w:rFonts w:hint="eastAsia"/>
                <w:sz w:val="21"/>
                <w:szCs w:val="21"/>
                <w:lang w:val="zh-TW" w:eastAsia="zh-TW"/>
              </w:rPr>
            </w:pPr>
            <w:r>
              <w:rPr>
                <w:rFonts w:hint="eastAsia"/>
                <w:sz w:val="21"/>
                <w:szCs w:val="21"/>
                <w:lang w:val="zh-TW" w:eastAsia="zh-TW"/>
              </w:rPr>
              <w:t>配置独立带外管理接口，支持IPMI或等效标准管理方式；</w:t>
            </w:r>
          </w:p>
          <w:p w14:paraId="0BF85F72">
            <w:pPr>
              <w:pStyle w:val="171"/>
              <w:rPr>
                <w:rFonts w:hint="eastAsia"/>
                <w:sz w:val="21"/>
                <w:szCs w:val="21"/>
                <w:lang w:val="zh-TW" w:eastAsia="zh-TW"/>
              </w:rPr>
            </w:pPr>
            <w:r>
              <w:rPr>
                <w:rFonts w:hint="eastAsia"/>
                <w:sz w:val="21"/>
                <w:szCs w:val="21"/>
                <w:lang w:val="zh-TW" w:eastAsia="zh-TW"/>
              </w:rPr>
              <w:t>▲支持Redfish或等效RESTful自动化管理接口，并支持远程开关机、重启、KVM over IP、远程介质、硬件状态监控、日志查看、告警管理和固件升级。</w:t>
            </w:r>
          </w:p>
          <w:p w14:paraId="52724B4A">
            <w:pPr>
              <w:pStyle w:val="171"/>
              <w:rPr>
                <w:rFonts w:hint="eastAsia"/>
                <w:sz w:val="21"/>
                <w:szCs w:val="21"/>
                <w:lang w:val="zh-TW" w:eastAsia="zh-TW"/>
              </w:rPr>
            </w:pPr>
            <w:r>
              <w:rPr>
                <w:rFonts w:hint="eastAsia"/>
                <w:sz w:val="21"/>
                <w:szCs w:val="21"/>
                <w:lang w:val="zh-TW" w:eastAsia="zh-TW"/>
              </w:rPr>
              <w:t>▲带外管理界面或统一管理平台可按卡监测8张GPU的在位及健康状态、温度、功耗和ECC告警，并支持告警日志导出。</w:t>
            </w:r>
          </w:p>
        </w:tc>
      </w:tr>
      <w:tr w14:paraId="1FEA5F34">
        <w:tblPrEx>
          <w:tblCellMar>
            <w:top w:w="80" w:type="dxa"/>
            <w:left w:w="50" w:type="dxa"/>
            <w:bottom w:w="80" w:type="dxa"/>
            <w:right w:w="80" w:type="dxa"/>
          </w:tblCellMar>
        </w:tblPrEx>
        <w:trPr>
          <w:cantSplit/>
          <w:trHeight w:val="320" w:hRule="atLeast"/>
        </w:trPr>
        <w:tc>
          <w:tcPr>
            <w:tcW w:w="1418" w:type="dxa"/>
            <w:vMerge w:val="continue"/>
            <w:tcBorders>
              <w:top w:val="single" w:color="000001" w:sz="4" w:space="0"/>
              <w:left w:val="single" w:color="000001" w:sz="4" w:space="0"/>
              <w:bottom w:val="single" w:color="000001" w:sz="4" w:space="0"/>
            </w:tcBorders>
            <w:shd w:val="clear" w:color="auto" w:fill="FFFFFF"/>
          </w:tcPr>
          <w:p w14:paraId="148227C4">
            <w:pPr>
              <w:snapToGrid w:val="0"/>
              <w:rPr>
                <w:rFonts w:hint="eastAsia" w:ascii="宋体" w:hAnsi="宋体" w:cs="宋体"/>
                <w:szCs w:val="21"/>
              </w:rPr>
            </w:pPr>
          </w:p>
        </w:tc>
        <w:tc>
          <w:tcPr>
            <w:tcW w:w="1076" w:type="dxa"/>
            <w:tcBorders>
              <w:top w:val="single" w:color="000001" w:sz="4" w:space="0"/>
              <w:left w:val="single" w:color="000001" w:sz="4" w:space="0"/>
              <w:bottom w:val="single" w:color="000001" w:sz="4" w:space="0"/>
            </w:tcBorders>
            <w:shd w:val="clear" w:color="auto" w:fill="FFFFFF"/>
            <w:vAlign w:val="center"/>
          </w:tcPr>
          <w:p w14:paraId="603C556E">
            <w:pPr>
              <w:pStyle w:val="171"/>
              <w:jc w:val="center"/>
              <w:rPr>
                <w:rFonts w:hint="eastAsia"/>
                <w:sz w:val="21"/>
                <w:szCs w:val="21"/>
              </w:rPr>
            </w:pPr>
            <w:r>
              <w:rPr>
                <w:rFonts w:hint="eastAsia"/>
                <w:sz w:val="21"/>
                <w:szCs w:val="21"/>
              </w:rPr>
              <w:t>网络接口</w:t>
            </w:r>
          </w:p>
        </w:tc>
        <w:tc>
          <w:tcPr>
            <w:tcW w:w="7713" w:type="dxa"/>
            <w:tcBorders>
              <w:top w:val="single" w:color="000001" w:sz="4" w:space="0"/>
              <w:left w:val="single" w:color="000001" w:sz="4" w:space="0"/>
              <w:bottom w:val="single" w:color="000001" w:sz="4" w:space="0"/>
              <w:right w:val="single" w:color="000001" w:sz="4" w:space="0"/>
            </w:tcBorders>
            <w:shd w:val="clear" w:color="auto" w:fill="FFFFFF"/>
          </w:tcPr>
          <w:p w14:paraId="05A644E4">
            <w:pPr>
              <w:pStyle w:val="171"/>
              <w:rPr>
                <w:rFonts w:hint="eastAsia"/>
                <w:sz w:val="21"/>
                <w:szCs w:val="21"/>
                <w:lang w:val="zh-TW"/>
              </w:rPr>
            </w:pPr>
            <w:r>
              <w:rPr>
                <w:rFonts w:hint="eastAsia"/>
                <w:sz w:val="21"/>
                <w:szCs w:val="21"/>
                <w:lang w:val="zh-TW" w:eastAsia="zh-TW"/>
              </w:rPr>
              <w:t>★</w:t>
            </w:r>
            <w:r>
              <w:rPr>
                <w:rFonts w:hint="eastAsia"/>
                <w:sz w:val="21"/>
                <w:szCs w:val="21"/>
                <w:lang w:val="zh-TW"/>
              </w:rPr>
              <w:t>每台服务器配置不少于2个200GbE高速网络接口；</w:t>
            </w:r>
          </w:p>
          <w:p w14:paraId="56AD8FD5">
            <w:pPr>
              <w:pStyle w:val="171"/>
              <w:rPr>
                <w:rFonts w:hint="eastAsia"/>
                <w:sz w:val="21"/>
                <w:szCs w:val="21"/>
                <w:lang w:val="zh-TW" w:eastAsia="zh-TW"/>
              </w:rPr>
            </w:pPr>
            <w:r>
              <w:rPr>
                <w:rFonts w:hint="eastAsia"/>
                <w:sz w:val="21"/>
                <w:szCs w:val="21"/>
                <w:lang w:val="zh-TW" w:eastAsia="zh-TW"/>
              </w:rPr>
              <w:t>▲高速网络接口应支持RoCE（RDMA over Converged Ethernet） 或等效远程直接内存访问能力；</w:t>
            </w:r>
          </w:p>
          <w:p w14:paraId="5B73B046">
            <w:pPr>
              <w:pStyle w:val="171"/>
              <w:rPr>
                <w:rFonts w:hint="eastAsia"/>
                <w:sz w:val="21"/>
                <w:szCs w:val="21"/>
                <w:lang w:val="zh-TW" w:eastAsia="zh-TW"/>
              </w:rPr>
            </w:pPr>
            <w:r>
              <w:rPr>
                <w:sz w:val="21"/>
                <w:szCs w:val="21"/>
                <w:lang w:val="zh-TW" w:eastAsia="zh-TW"/>
              </w:rPr>
              <w:t>应兼容100GbE/200GbE网络环境；</w:t>
            </w:r>
          </w:p>
          <w:p w14:paraId="003E5BBA">
            <w:pPr>
              <w:pStyle w:val="171"/>
              <w:rPr>
                <w:rFonts w:hint="eastAsia"/>
                <w:sz w:val="21"/>
                <w:szCs w:val="21"/>
                <w:lang w:val="zh-TW" w:eastAsia="zh-TW"/>
              </w:rPr>
            </w:pPr>
            <w:r>
              <w:rPr>
                <w:rFonts w:hint="eastAsia"/>
                <w:sz w:val="21"/>
                <w:szCs w:val="21"/>
                <w:lang w:val="zh-TW" w:eastAsia="zh-TW"/>
              </w:rPr>
              <w:t>支持主流Linux操作系统及人工智能训练、推理、高性能计算场景下的驱动部署与运行；</w:t>
            </w:r>
          </w:p>
          <w:p w14:paraId="7351B06E">
            <w:pPr>
              <w:pStyle w:val="171"/>
              <w:rPr>
                <w:rFonts w:hint="eastAsia"/>
                <w:sz w:val="21"/>
                <w:szCs w:val="21"/>
                <w:lang w:val="zh-TW"/>
              </w:rPr>
            </w:pPr>
            <w:r>
              <w:rPr>
                <w:rFonts w:hint="eastAsia"/>
                <w:sz w:val="21"/>
                <w:szCs w:val="21"/>
                <w:lang w:val="zh-TW"/>
              </w:rPr>
              <w:t>支持与所配交换机和线缆模块配套使用，满足集群低时延、高吞吐互联需求。</w:t>
            </w:r>
          </w:p>
        </w:tc>
      </w:tr>
      <w:tr w14:paraId="795E758D">
        <w:tblPrEx>
          <w:tblCellMar>
            <w:top w:w="80" w:type="dxa"/>
            <w:left w:w="50" w:type="dxa"/>
            <w:bottom w:w="80" w:type="dxa"/>
            <w:right w:w="80" w:type="dxa"/>
          </w:tblCellMar>
        </w:tblPrEx>
        <w:trPr>
          <w:cantSplit/>
          <w:trHeight w:val="320" w:hRule="atLeast"/>
        </w:trPr>
        <w:tc>
          <w:tcPr>
            <w:tcW w:w="1418" w:type="dxa"/>
            <w:vMerge w:val="continue"/>
            <w:tcBorders>
              <w:top w:val="single" w:color="000001" w:sz="4" w:space="0"/>
              <w:left w:val="single" w:color="000001" w:sz="4" w:space="0"/>
              <w:bottom w:val="single" w:color="000001" w:sz="4" w:space="0"/>
            </w:tcBorders>
            <w:shd w:val="clear" w:color="auto" w:fill="FFFFFF"/>
          </w:tcPr>
          <w:p w14:paraId="7D531DB0">
            <w:pPr>
              <w:snapToGrid w:val="0"/>
              <w:rPr>
                <w:rFonts w:hint="eastAsia" w:ascii="宋体" w:hAnsi="宋体" w:cs="宋体"/>
                <w:szCs w:val="21"/>
              </w:rPr>
            </w:pPr>
          </w:p>
        </w:tc>
        <w:tc>
          <w:tcPr>
            <w:tcW w:w="1076" w:type="dxa"/>
            <w:tcBorders>
              <w:top w:val="single" w:color="000001" w:sz="4" w:space="0"/>
              <w:left w:val="single" w:color="000001" w:sz="4" w:space="0"/>
              <w:bottom w:val="single" w:color="000001" w:sz="4" w:space="0"/>
            </w:tcBorders>
            <w:shd w:val="clear" w:color="auto" w:fill="FFFFFF"/>
            <w:vAlign w:val="center"/>
          </w:tcPr>
          <w:p w14:paraId="78A6D3EF">
            <w:pPr>
              <w:pStyle w:val="171"/>
              <w:jc w:val="center"/>
              <w:rPr>
                <w:rFonts w:hint="eastAsia"/>
                <w:sz w:val="21"/>
                <w:szCs w:val="21"/>
              </w:rPr>
            </w:pPr>
            <w:r>
              <w:rPr>
                <w:sz w:val="21"/>
                <w:szCs w:val="21"/>
                <w:lang w:val="zh-TW" w:eastAsia="zh-TW"/>
              </w:rPr>
              <w:t>扩展能力</w:t>
            </w:r>
          </w:p>
        </w:tc>
        <w:tc>
          <w:tcPr>
            <w:tcW w:w="7713" w:type="dxa"/>
            <w:tcBorders>
              <w:top w:val="single" w:color="000001" w:sz="4" w:space="0"/>
              <w:left w:val="single" w:color="000001" w:sz="4" w:space="0"/>
              <w:bottom w:val="single" w:color="000001" w:sz="4" w:space="0"/>
              <w:right w:val="single" w:color="000001" w:sz="4" w:space="0"/>
            </w:tcBorders>
            <w:shd w:val="clear" w:color="auto" w:fill="FFFFFF"/>
          </w:tcPr>
          <w:p w14:paraId="331D605A">
            <w:pPr>
              <w:pStyle w:val="171"/>
              <w:rPr>
                <w:rFonts w:hint="eastAsia"/>
                <w:sz w:val="21"/>
                <w:szCs w:val="21"/>
                <w:lang w:val="zh-TW" w:eastAsia="zh-TW"/>
              </w:rPr>
            </w:pPr>
            <w:r>
              <w:rPr>
                <w:rFonts w:hint="eastAsia"/>
                <w:sz w:val="21"/>
                <w:szCs w:val="21"/>
                <w:lang w:val="zh-TW" w:eastAsia="zh-TW"/>
              </w:rPr>
              <w:t>服务器应具备满足8张GPU、2个200GbE高速网络接口和本地NVMe存储同时工作的PCIe扩展能力；</w:t>
            </w:r>
          </w:p>
          <w:p w14:paraId="09061F29">
            <w:pPr>
              <w:pStyle w:val="171"/>
              <w:rPr>
                <w:rFonts w:hint="eastAsia"/>
                <w:sz w:val="21"/>
                <w:szCs w:val="21"/>
                <w:lang w:val="zh-TW" w:eastAsia="zh-TW"/>
              </w:rPr>
            </w:pPr>
            <w:r>
              <w:rPr>
                <w:rFonts w:hint="eastAsia"/>
                <w:sz w:val="21"/>
                <w:szCs w:val="21"/>
                <w:lang w:val="zh-TW" w:eastAsia="zh-TW"/>
              </w:rPr>
              <w:t>支持不少于1个OCP 3.0或以上标准网络扩展插槽，或提供等效的独立网络扩展能力；</w:t>
            </w:r>
          </w:p>
          <w:p w14:paraId="4AE61FCA">
            <w:pPr>
              <w:pStyle w:val="171"/>
              <w:rPr>
                <w:rFonts w:hint="eastAsia"/>
                <w:sz w:val="21"/>
                <w:szCs w:val="21"/>
                <w:lang w:val="zh-TW" w:eastAsia="zh-TW"/>
              </w:rPr>
            </w:pPr>
            <w:r>
              <w:rPr>
                <w:rFonts w:hint="eastAsia"/>
                <w:sz w:val="21"/>
                <w:szCs w:val="21"/>
                <w:lang w:val="zh-TW" w:eastAsia="zh-TW"/>
              </w:rPr>
              <w:t>投标人须提供满配状态下GPU、CPU、网络接口和NVMe设备的PCIe拓扑及总线带宽说明。</w:t>
            </w:r>
          </w:p>
        </w:tc>
      </w:tr>
      <w:tr w14:paraId="60C85644">
        <w:tblPrEx>
          <w:tblCellMar>
            <w:top w:w="80" w:type="dxa"/>
            <w:left w:w="50" w:type="dxa"/>
            <w:bottom w:w="80" w:type="dxa"/>
            <w:right w:w="80" w:type="dxa"/>
          </w:tblCellMar>
        </w:tblPrEx>
        <w:trPr>
          <w:cantSplit/>
          <w:trHeight w:val="320" w:hRule="atLeast"/>
        </w:trPr>
        <w:tc>
          <w:tcPr>
            <w:tcW w:w="1418" w:type="dxa"/>
            <w:tcBorders>
              <w:top w:val="single" w:color="000001" w:sz="4" w:space="0"/>
              <w:left w:val="single" w:color="000001" w:sz="4" w:space="0"/>
              <w:bottom w:val="single" w:color="000001" w:sz="4" w:space="0"/>
            </w:tcBorders>
            <w:shd w:val="clear" w:color="auto" w:fill="FFFFFF"/>
            <w:vAlign w:val="center"/>
          </w:tcPr>
          <w:p w14:paraId="37D09503">
            <w:pPr>
              <w:snapToGrid w:val="0"/>
              <w:jc w:val="center"/>
              <w:rPr>
                <w:rFonts w:hint="eastAsia" w:ascii="宋体" w:hAnsi="宋体" w:cs="宋体"/>
                <w:szCs w:val="21"/>
              </w:rPr>
            </w:pPr>
            <w:r>
              <w:t>GPU加速卡（适用于全部</w:t>
            </w:r>
            <w:r>
              <w:rPr>
                <w:rFonts w:hint="eastAsia"/>
              </w:rPr>
              <w:t>24</w:t>
            </w:r>
            <w:r>
              <w:t>张）</w:t>
            </w:r>
          </w:p>
        </w:tc>
        <w:tc>
          <w:tcPr>
            <w:tcW w:w="1076" w:type="dxa"/>
            <w:tcBorders>
              <w:top w:val="single" w:color="000001" w:sz="4" w:space="0"/>
              <w:left w:val="single" w:color="000001" w:sz="4" w:space="0"/>
              <w:bottom w:val="single" w:color="000001" w:sz="4" w:space="0"/>
            </w:tcBorders>
            <w:shd w:val="clear" w:color="auto" w:fill="FFFFFF"/>
            <w:vAlign w:val="center"/>
          </w:tcPr>
          <w:p w14:paraId="57F1786B">
            <w:pPr>
              <w:pStyle w:val="171"/>
              <w:jc w:val="center"/>
              <w:rPr>
                <w:rFonts w:hint="eastAsia"/>
                <w:sz w:val="21"/>
                <w:szCs w:val="21"/>
                <w:lang w:val="zh-TW" w:eastAsia="zh-TW"/>
              </w:rPr>
            </w:pPr>
            <w:r>
              <w:rPr>
                <w:rFonts w:hint="eastAsia"/>
                <w:sz w:val="21"/>
                <w:szCs w:val="21"/>
                <w:lang w:val="zh-TW" w:eastAsia="zh-TW"/>
              </w:rPr>
              <w:t>具体要求</w:t>
            </w:r>
          </w:p>
        </w:tc>
        <w:tc>
          <w:tcPr>
            <w:tcW w:w="7713" w:type="dxa"/>
            <w:tcBorders>
              <w:top w:val="single" w:color="000001" w:sz="4" w:space="0"/>
              <w:left w:val="single" w:color="000001" w:sz="4" w:space="0"/>
              <w:bottom w:val="single" w:color="000001" w:sz="4" w:space="0"/>
              <w:right w:val="single" w:color="000001" w:sz="4" w:space="0"/>
            </w:tcBorders>
            <w:shd w:val="clear" w:color="auto" w:fill="FFFFFF"/>
          </w:tcPr>
          <w:p w14:paraId="65A58306">
            <w:pPr>
              <w:pStyle w:val="171"/>
              <w:rPr>
                <w:rFonts w:hint="eastAsia"/>
                <w:sz w:val="21"/>
                <w:szCs w:val="21"/>
                <w:lang w:val="zh-TW" w:eastAsia="zh-TW"/>
              </w:rPr>
            </w:pPr>
            <w:r>
              <w:t>★</w:t>
            </w:r>
            <w:r>
              <w:rPr>
                <w:rFonts w:hint="eastAsia"/>
              </w:rPr>
              <w:t>24</w:t>
            </w:r>
            <w:r>
              <w:t>张GPU加速卡须同品牌、同型号、同规格；单卡显存容量不低于</w:t>
            </w:r>
            <w:r>
              <w:rPr>
                <w:rFonts w:hint="eastAsia"/>
              </w:rPr>
              <w:t>80</w:t>
            </w:r>
            <w:r>
              <w:t>GB，并支持ECC显存保护；</w:t>
            </w:r>
          </w:p>
          <w:p w14:paraId="3CAC2DA3">
            <w:pPr>
              <w:pStyle w:val="171"/>
              <w:rPr>
                <w:rFonts w:hint="eastAsia"/>
                <w:sz w:val="21"/>
                <w:szCs w:val="21"/>
                <w:lang w:val="zh-TW" w:eastAsia="zh-TW"/>
              </w:rPr>
            </w:pPr>
            <w:r>
              <w:t>■单卡显存带宽不低于1.3TB/s；</w:t>
            </w:r>
          </w:p>
          <w:p w14:paraId="345F97AA">
            <w:pPr>
              <w:pStyle w:val="171"/>
              <w:rPr>
                <w:rFonts w:hint="eastAsia"/>
                <w:sz w:val="21"/>
                <w:szCs w:val="21"/>
                <w:lang w:val="zh-TW" w:eastAsia="zh-TW"/>
              </w:rPr>
            </w:pPr>
            <w:r>
              <w:rPr>
                <w:lang w:eastAsia="zh-TW"/>
              </w:rPr>
              <w:t>■单卡稠密、非稀疏TF32 Tensor理论性能不低于70TFLOPS；</w:t>
            </w:r>
          </w:p>
          <w:p w14:paraId="524A193E">
            <w:pPr>
              <w:pStyle w:val="171"/>
              <w:rPr>
                <w:rFonts w:hint="eastAsia"/>
                <w:sz w:val="21"/>
                <w:szCs w:val="21"/>
                <w:lang w:val="zh-TW" w:eastAsia="zh-TW"/>
              </w:rPr>
            </w:pPr>
            <w:r>
              <w:rPr>
                <w:lang w:eastAsia="zh-TW"/>
              </w:rPr>
              <w:t>■支持FP16和BF16，且单卡稠密、非稀疏FP16/BF16 Tensor理论性能不低于140TFLOPS；</w:t>
            </w:r>
          </w:p>
          <w:p w14:paraId="7FB73A1C">
            <w:pPr>
              <w:pStyle w:val="171"/>
              <w:rPr>
                <w:rFonts w:hint="eastAsia"/>
                <w:sz w:val="21"/>
                <w:szCs w:val="21"/>
                <w:lang w:val="zh-TW" w:eastAsia="zh-TW"/>
              </w:rPr>
            </w:pPr>
            <w:r>
              <w:rPr>
                <w:lang w:eastAsia="zh-TW"/>
              </w:rPr>
              <w:t>■支持FP8，且单卡稠密、非稀疏FP8 Tensor理论性能不低于280TFLOPS；</w:t>
            </w:r>
          </w:p>
          <w:p w14:paraId="333D352A">
            <w:pPr>
              <w:pStyle w:val="171"/>
              <w:rPr>
                <w:rFonts w:hint="eastAsia"/>
                <w:sz w:val="21"/>
                <w:szCs w:val="21"/>
                <w:lang w:val="zh-TW" w:eastAsia="zh-TW"/>
              </w:rPr>
            </w:pPr>
            <w:r>
              <w:rPr>
                <w:lang w:eastAsia="zh-TW"/>
              </w:rPr>
              <w:t>■GPU接口支持PCIe 5.0 x16或等效高速接口；</w:t>
            </w:r>
          </w:p>
          <w:p w14:paraId="4E2D62CD">
            <w:pPr>
              <w:pStyle w:val="171"/>
              <w:rPr>
                <w:rFonts w:hint="eastAsia"/>
                <w:sz w:val="21"/>
                <w:szCs w:val="21"/>
                <w:lang w:val="zh-TW" w:eastAsia="zh-TW"/>
              </w:rPr>
            </w:pPr>
            <w:r>
              <w:rPr>
                <w:lang w:eastAsia="zh-TW"/>
              </w:rPr>
              <w:t>■单卡最大功耗不高于600W，并适配所投8卡服务器的供电与散热设计；</w:t>
            </w:r>
          </w:p>
          <w:p w14:paraId="3E342472">
            <w:pPr>
              <w:pStyle w:val="171"/>
              <w:rPr>
                <w:rFonts w:hint="eastAsia"/>
                <w:sz w:val="21"/>
                <w:szCs w:val="21"/>
                <w:lang w:val="zh-TW" w:eastAsia="zh-TW"/>
              </w:rPr>
            </w:pPr>
            <w:r>
              <w:t>上述理论性能均以制造商公开技术资料标注的单卡峰值为准，不采用稀疏加速倍增值；</w:t>
            </w:r>
          </w:p>
          <w:p w14:paraId="7166F850">
            <w:pPr>
              <w:pStyle w:val="171"/>
              <w:rPr>
                <w:rFonts w:hint="eastAsia"/>
                <w:sz w:val="21"/>
                <w:szCs w:val="21"/>
                <w:lang w:val="zh-TW" w:eastAsia="zh-TW"/>
              </w:rPr>
            </w:pPr>
            <w:r>
              <w:t>▲支持GPU显存与RDMA网卡之间直接数据传输（无需经主机内存中转）或等效能力；</w:t>
            </w:r>
          </w:p>
          <w:p w14:paraId="1650F92B">
            <w:pPr>
              <w:pStyle w:val="171"/>
              <w:rPr>
                <w:rFonts w:hint="eastAsia"/>
                <w:sz w:val="21"/>
                <w:szCs w:val="21"/>
                <w:lang w:val="zh-TW" w:eastAsia="zh-TW"/>
              </w:rPr>
            </w:pPr>
            <w:r>
              <w:t>支持同一服务器内GPU之间基于PCIe的点对点直接访问或等效机制；</w:t>
            </w:r>
          </w:p>
          <w:p w14:paraId="3B73B3DF">
            <w:pPr>
              <w:pStyle w:val="171"/>
              <w:rPr>
                <w:rFonts w:hint="eastAsia"/>
                <w:sz w:val="21"/>
                <w:szCs w:val="21"/>
                <w:lang w:val="zh-TW" w:eastAsia="zh-TW"/>
              </w:rPr>
            </w:pPr>
            <w:r>
              <w:t>支持将单张GPU划分为不少于2个相互隔离的计算实例，或提供等效硬件资源隔离能力。</w:t>
            </w:r>
          </w:p>
        </w:tc>
      </w:tr>
      <w:tr w14:paraId="47EE25C6">
        <w:tblPrEx>
          <w:tblCellMar>
            <w:top w:w="80" w:type="dxa"/>
            <w:left w:w="50" w:type="dxa"/>
            <w:bottom w:w="80" w:type="dxa"/>
            <w:right w:w="80" w:type="dxa"/>
          </w:tblCellMar>
        </w:tblPrEx>
        <w:trPr>
          <w:cantSplit/>
          <w:trHeight w:val="320" w:hRule="atLeast"/>
        </w:trPr>
        <w:tc>
          <w:tcPr>
            <w:tcW w:w="1418" w:type="dxa"/>
            <w:vMerge w:val="restart"/>
            <w:tcBorders>
              <w:top w:val="single" w:color="000001" w:sz="4" w:space="0"/>
              <w:left w:val="single" w:color="000001" w:sz="4" w:space="0"/>
              <w:bottom w:val="single" w:color="000001" w:sz="4" w:space="0"/>
            </w:tcBorders>
            <w:shd w:val="clear" w:color="auto" w:fill="FFFFFF"/>
            <w:vAlign w:val="center"/>
          </w:tcPr>
          <w:p w14:paraId="00A249E5">
            <w:pPr>
              <w:pStyle w:val="171"/>
              <w:jc w:val="center"/>
              <w:rPr>
                <w:rFonts w:hint="eastAsia"/>
                <w:sz w:val="21"/>
                <w:szCs w:val="21"/>
              </w:rPr>
            </w:pPr>
            <w:r>
              <w:t>数据中心高速以太网交换机</w:t>
            </w:r>
          </w:p>
        </w:tc>
        <w:tc>
          <w:tcPr>
            <w:tcW w:w="1076" w:type="dxa"/>
            <w:tcBorders>
              <w:top w:val="single" w:color="000001" w:sz="4" w:space="0"/>
              <w:left w:val="single" w:color="000001" w:sz="4" w:space="0"/>
              <w:bottom w:val="single" w:color="000001" w:sz="4" w:space="0"/>
            </w:tcBorders>
            <w:shd w:val="clear" w:color="auto" w:fill="FFFFFF"/>
            <w:vAlign w:val="center"/>
          </w:tcPr>
          <w:p w14:paraId="6CF98BD6">
            <w:pPr>
              <w:widowControl/>
              <w:jc w:val="center"/>
              <w:rPr>
                <w:rFonts w:hint="eastAsia" w:ascii="宋体" w:hAnsi="宋体" w:cs="宋体"/>
                <w:szCs w:val="21"/>
              </w:rPr>
            </w:pPr>
            <w:r>
              <w:rPr>
                <w:rFonts w:ascii="宋体" w:hAnsi="宋体" w:cs="宋体"/>
                <w:szCs w:val="21"/>
                <w:lang w:val="zh-TW" w:eastAsia="zh-TW"/>
              </w:rPr>
              <w:t>规格</w:t>
            </w:r>
          </w:p>
        </w:tc>
        <w:tc>
          <w:tcPr>
            <w:tcW w:w="7713" w:type="dxa"/>
            <w:tcBorders>
              <w:top w:val="single" w:color="000001" w:sz="4" w:space="0"/>
              <w:left w:val="single" w:color="000001" w:sz="4" w:space="0"/>
              <w:bottom w:val="single" w:color="000001" w:sz="4" w:space="0"/>
              <w:right w:val="single" w:color="000001" w:sz="4" w:space="0"/>
            </w:tcBorders>
            <w:shd w:val="clear" w:color="auto" w:fill="FFFFFF"/>
          </w:tcPr>
          <w:p w14:paraId="3C76930B">
            <w:pPr>
              <w:rPr>
                <w:rFonts w:hint="eastAsia" w:ascii="宋体" w:hAnsi="宋体" w:cs="宋体"/>
                <w:szCs w:val="21"/>
              </w:rPr>
            </w:pPr>
            <w:r>
              <w:rPr>
                <w:rFonts w:hint="eastAsia" w:ascii="宋体" w:hAnsi="宋体" w:cs="宋体"/>
                <w:szCs w:val="21"/>
              </w:rPr>
              <w:t>每台设备为机架式固定交换机，含安装附件；</w:t>
            </w:r>
          </w:p>
          <w:p w14:paraId="2BF3ED95">
            <w:pPr>
              <w:rPr>
                <w:rFonts w:hint="eastAsia" w:ascii="宋体" w:hAnsi="宋体" w:cs="宋体"/>
                <w:szCs w:val="21"/>
              </w:rPr>
            </w:pPr>
            <w:r>
              <w:rPr>
                <w:rFonts w:hint="eastAsia" w:ascii="宋体" w:hAnsi="宋体" w:cs="宋体"/>
                <w:szCs w:val="21"/>
              </w:rPr>
              <w:t>适用于数据中心、高性能计算及人工智能训练集群网络环境。</w:t>
            </w:r>
          </w:p>
        </w:tc>
      </w:tr>
      <w:tr w14:paraId="18424AD1">
        <w:tblPrEx>
          <w:tblCellMar>
            <w:top w:w="80" w:type="dxa"/>
            <w:left w:w="50" w:type="dxa"/>
            <w:bottom w:w="80" w:type="dxa"/>
            <w:right w:w="80" w:type="dxa"/>
          </w:tblCellMar>
        </w:tblPrEx>
        <w:trPr>
          <w:cantSplit/>
          <w:trHeight w:val="320" w:hRule="atLeast"/>
        </w:trPr>
        <w:tc>
          <w:tcPr>
            <w:tcW w:w="1418" w:type="dxa"/>
            <w:vMerge w:val="continue"/>
            <w:tcBorders>
              <w:top w:val="single" w:color="000001" w:sz="4" w:space="0"/>
              <w:left w:val="single" w:color="000001" w:sz="4" w:space="0"/>
              <w:bottom w:val="single" w:color="000001" w:sz="4" w:space="0"/>
            </w:tcBorders>
            <w:shd w:val="clear" w:color="auto" w:fill="FFFFFF"/>
          </w:tcPr>
          <w:p w14:paraId="162C030F">
            <w:pPr>
              <w:snapToGrid w:val="0"/>
              <w:rPr>
                <w:rFonts w:hint="eastAsia" w:ascii="宋体" w:hAnsi="宋体" w:cs="宋体"/>
                <w:szCs w:val="21"/>
              </w:rPr>
            </w:pPr>
          </w:p>
        </w:tc>
        <w:tc>
          <w:tcPr>
            <w:tcW w:w="1076" w:type="dxa"/>
            <w:tcBorders>
              <w:top w:val="single" w:color="000001" w:sz="4" w:space="0"/>
              <w:left w:val="single" w:color="000001" w:sz="4" w:space="0"/>
              <w:bottom w:val="single" w:color="000001" w:sz="4" w:space="0"/>
            </w:tcBorders>
            <w:shd w:val="clear" w:color="auto" w:fill="FFFFFF"/>
            <w:vAlign w:val="center"/>
          </w:tcPr>
          <w:p w14:paraId="317E2008">
            <w:pPr>
              <w:jc w:val="center"/>
              <w:rPr>
                <w:rFonts w:hint="eastAsia" w:ascii="宋体" w:hAnsi="宋体" w:cs="宋体"/>
                <w:szCs w:val="21"/>
              </w:rPr>
            </w:pPr>
            <w:r>
              <w:rPr>
                <w:rFonts w:ascii="宋体" w:hAnsi="宋体" w:cs="宋体"/>
                <w:szCs w:val="21"/>
                <w:lang w:val="zh-TW" w:eastAsia="zh-TW"/>
              </w:rPr>
              <w:t>端口配置</w:t>
            </w:r>
          </w:p>
        </w:tc>
        <w:tc>
          <w:tcPr>
            <w:tcW w:w="7713" w:type="dxa"/>
            <w:tcBorders>
              <w:top w:val="single" w:color="000001" w:sz="4" w:space="0"/>
              <w:left w:val="single" w:color="000001" w:sz="4" w:space="0"/>
              <w:bottom w:val="single" w:color="000001" w:sz="4" w:space="0"/>
              <w:right w:val="single" w:color="000001" w:sz="4" w:space="0"/>
            </w:tcBorders>
            <w:shd w:val="clear" w:color="auto" w:fill="FFFFFF"/>
          </w:tcPr>
          <w:p w14:paraId="4E9F949E">
            <w:pPr>
              <w:rPr>
                <w:rFonts w:hint="eastAsia" w:ascii="宋体" w:hAnsi="宋体" w:cs="宋体"/>
              </w:rPr>
            </w:pPr>
            <w:r>
              <w:rPr>
                <w:rFonts w:hint="eastAsia"/>
                <w:szCs w:val="21"/>
                <w:lang w:val="zh-TW" w:eastAsia="zh-TW"/>
              </w:rPr>
              <w:t>★</w:t>
            </w:r>
            <w:r>
              <w:rPr>
                <w:rFonts w:hint="eastAsia" w:ascii="宋体" w:hAnsi="宋体" w:cs="宋体"/>
              </w:rPr>
              <w:t>每台设备应提供不少于24个200GbE服务器侧接入端口；</w:t>
            </w:r>
          </w:p>
          <w:p w14:paraId="5B1556B3">
            <w:pPr>
              <w:rPr>
                <w:rFonts w:hint="eastAsia" w:ascii="宋体" w:hAnsi="宋体" w:cs="宋体"/>
              </w:rPr>
            </w:pPr>
            <w:r>
              <w:t>▲</w:t>
            </w:r>
            <w:r>
              <w:rPr>
                <w:rFonts w:hint="eastAsia" w:ascii="宋体" w:hAnsi="宋体" w:cs="宋体"/>
              </w:rPr>
              <w:t>每台设备应提供不少于8个400GbE上行端口；</w:t>
            </w:r>
          </w:p>
          <w:p w14:paraId="5CAC010B">
            <w:pPr>
              <w:rPr>
                <w:rFonts w:hint="eastAsia" w:ascii="宋体" w:hAnsi="宋体" w:cs="宋体"/>
              </w:rPr>
            </w:pPr>
            <w:r>
              <w:rPr>
                <w:rFonts w:ascii="宋体" w:hAnsi="宋体" w:cs="宋体"/>
              </w:rPr>
              <w:t>其中上行端口应支持按需工作于400GbE、200GbE 或100GbE模式，或支持通过端口分拆方式提供等效的100GbE/200GbE 上行能力；</w:t>
            </w:r>
          </w:p>
          <w:p w14:paraId="4DB0F20A">
            <w:pPr>
              <w:rPr>
                <w:rFonts w:hint="eastAsia" w:ascii="宋体" w:hAnsi="宋体" w:cs="宋体"/>
                <w:szCs w:val="21"/>
              </w:rPr>
            </w:pPr>
            <w:r>
              <w:rPr>
                <w:rFonts w:hint="eastAsia" w:ascii="宋体" w:hAnsi="宋体" w:cs="宋体"/>
              </w:rPr>
              <w:t>交换机应支持与所配服务器侧200GbE网络接口、光模块及线缆配套使用。</w:t>
            </w:r>
          </w:p>
        </w:tc>
      </w:tr>
      <w:tr w14:paraId="78EC7E32">
        <w:tblPrEx>
          <w:tblCellMar>
            <w:top w:w="80" w:type="dxa"/>
            <w:left w:w="50" w:type="dxa"/>
            <w:bottom w:w="80" w:type="dxa"/>
            <w:right w:w="80" w:type="dxa"/>
          </w:tblCellMar>
        </w:tblPrEx>
        <w:trPr>
          <w:cantSplit/>
          <w:trHeight w:val="320" w:hRule="atLeast"/>
        </w:trPr>
        <w:tc>
          <w:tcPr>
            <w:tcW w:w="1418" w:type="dxa"/>
            <w:vMerge w:val="continue"/>
            <w:tcBorders>
              <w:top w:val="single" w:color="000001" w:sz="4" w:space="0"/>
              <w:left w:val="single" w:color="000001" w:sz="4" w:space="0"/>
              <w:bottom w:val="single" w:color="000001" w:sz="4" w:space="0"/>
            </w:tcBorders>
            <w:shd w:val="clear" w:color="auto" w:fill="FFFFFF"/>
          </w:tcPr>
          <w:p w14:paraId="423CFDF5">
            <w:pPr>
              <w:snapToGrid w:val="0"/>
              <w:rPr>
                <w:rFonts w:hint="eastAsia" w:ascii="宋体" w:hAnsi="宋体" w:cs="宋体"/>
                <w:szCs w:val="21"/>
              </w:rPr>
            </w:pPr>
          </w:p>
        </w:tc>
        <w:tc>
          <w:tcPr>
            <w:tcW w:w="1076" w:type="dxa"/>
            <w:tcBorders>
              <w:top w:val="single" w:color="000001" w:sz="4" w:space="0"/>
              <w:left w:val="single" w:color="000001" w:sz="4" w:space="0"/>
              <w:bottom w:val="single" w:color="000001" w:sz="4" w:space="0"/>
            </w:tcBorders>
            <w:shd w:val="clear" w:color="auto" w:fill="FFFFFF"/>
            <w:vAlign w:val="center"/>
          </w:tcPr>
          <w:p w14:paraId="38E7652A">
            <w:pPr>
              <w:jc w:val="center"/>
              <w:rPr>
                <w:rFonts w:hint="eastAsia" w:ascii="宋体" w:hAnsi="宋体" w:cs="宋体"/>
                <w:szCs w:val="21"/>
              </w:rPr>
            </w:pPr>
            <w:r>
              <w:rPr>
                <w:rFonts w:ascii="宋体" w:hAnsi="宋体" w:cs="宋体"/>
                <w:szCs w:val="21"/>
                <w:lang w:val="zh-TW" w:eastAsia="zh-TW"/>
              </w:rPr>
              <w:t>RoCEv2能力</w:t>
            </w:r>
          </w:p>
        </w:tc>
        <w:tc>
          <w:tcPr>
            <w:tcW w:w="7713" w:type="dxa"/>
            <w:tcBorders>
              <w:top w:val="single" w:color="000001" w:sz="4" w:space="0"/>
              <w:left w:val="single" w:color="000001" w:sz="4" w:space="0"/>
              <w:bottom w:val="single" w:color="000001" w:sz="4" w:space="0"/>
              <w:right w:val="single" w:color="000001" w:sz="4" w:space="0"/>
            </w:tcBorders>
            <w:shd w:val="clear" w:color="auto" w:fill="FFFFFF"/>
          </w:tcPr>
          <w:p w14:paraId="2020C8D6">
            <w:pPr>
              <w:rPr>
                <w:rFonts w:hint="eastAsia" w:ascii="宋体" w:hAnsi="宋体" w:cs="宋体"/>
              </w:rPr>
            </w:pPr>
            <w:r>
              <w:t>▲</w:t>
            </w:r>
            <w:r>
              <w:rPr>
                <w:rFonts w:hint="eastAsia" w:ascii="宋体" w:hAnsi="宋体" w:cs="宋体"/>
              </w:rPr>
              <w:t>支持RoCEv2；</w:t>
            </w:r>
          </w:p>
          <w:p w14:paraId="24C585A6">
            <w:pPr>
              <w:rPr>
                <w:rFonts w:hint="eastAsia" w:ascii="宋体" w:hAnsi="宋体" w:cs="宋体"/>
              </w:rPr>
            </w:pPr>
            <w:r>
              <w:rPr>
                <w:rFonts w:hint="eastAsia" w:ascii="宋体" w:hAnsi="宋体" w:cs="宋体"/>
              </w:rPr>
              <w:t>支持无损或近无损以太网相关特性，包括但不限于PFC、ECN，并支持RoCEv2 场景下的拥塞管理能力；</w:t>
            </w:r>
          </w:p>
          <w:p w14:paraId="48A4E4DB">
            <w:pPr>
              <w:rPr>
                <w:rFonts w:hint="eastAsia" w:ascii="宋体" w:hAnsi="宋体" w:cs="宋体"/>
              </w:rPr>
            </w:pPr>
            <w:r>
              <w:rPr>
                <w:rFonts w:hint="eastAsia" w:ascii="宋体" w:hAnsi="宋体" w:cs="宋体"/>
              </w:rPr>
              <w:t>支持数据中心桥接（DCB）或等效能力。</w:t>
            </w:r>
          </w:p>
        </w:tc>
      </w:tr>
      <w:tr w14:paraId="2978D1E5">
        <w:tblPrEx>
          <w:tblCellMar>
            <w:top w:w="80" w:type="dxa"/>
            <w:left w:w="50" w:type="dxa"/>
            <w:bottom w:w="80" w:type="dxa"/>
            <w:right w:w="80" w:type="dxa"/>
          </w:tblCellMar>
        </w:tblPrEx>
        <w:trPr>
          <w:cantSplit/>
          <w:trHeight w:val="320" w:hRule="atLeast"/>
        </w:trPr>
        <w:tc>
          <w:tcPr>
            <w:tcW w:w="1418" w:type="dxa"/>
            <w:vMerge w:val="continue"/>
            <w:tcBorders>
              <w:top w:val="single" w:color="000001" w:sz="4" w:space="0"/>
              <w:left w:val="single" w:color="000001" w:sz="4" w:space="0"/>
              <w:bottom w:val="single" w:color="000001" w:sz="4" w:space="0"/>
            </w:tcBorders>
            <w:shd w:val="clear" w:color="auto" w:fill="FFFFFF"/>
          </w:tcPr>
          <w:p w14:paraId="23B23FCC">
            <w:pPr>
              <w:snapToGrid w:val="0"/>
              <w:rPr>
                <w:rFonts w:hint="eastAsia" w:ascii="宋体" w:hAnsi="宋体" w:cs="宋体"/>
                <w:szCs w:val="21"/>
              </w:rPr>
            </w:pPr>
          </w:p>
        </w:tc>
        <w:tc>
          <w:tcPr>
            <w:tcW w:w="1076" w:type="dxa"/>
            <w:tcBorders>
              <w:top w:val="single" w:color="000001" w:sz="4" w:space="0"/>
              <w:left w:val="single" w:color="000001" w:sz="4" w:space="0"/>
              <w:bottom w:val="single" w:color="000001" w:sz="4" w:space="0"/>
            </w:tcBorders>
            <w:shd w:val="clear" w:color="auto" w:fill="FFFFFF"/>
            <w:vAlign w:val="center"/>
          </w:tcPr>
          <w:p w14:paraId="084643DD">
            <w:pPr>
              <w:jc w:val="center"/>
              <w:rPr>
                <w:rFonts w:hint="eastAsia" w:ascii="宋体" w:hAnsi="宋体" w:cs="宋体"/>
                <w:szCs w:val="21"/>
              </w:rPr>
            </w:pPr>
            <w:r>
              <w:rPr>
                <w:rFonts w:ascii="宋体" w:hAnsi="宋体" w:cs="宋体"/>
                <w:szCs w:val="21"/>
                <w:lang w:val="zh-TW" w:eastAsia="zh-TW"/>
              </w:rPr>
              <w:t>系统管理</w:t>
            </w:r>
          </w:p>
        </w:tc>
        <w:tc>
          <w:tcPr>
            <w:tcW w:w="7713" w:type="dxa"/>
            <w:tcBorders>
              <w:top w:val="single" w:color="000001" w:sz="4" w:space="0"/>
              <w:left w:val="single" w:color="000001" w:sz="4" w:space="0"/>
              <w:bottom w:val="single" w:color="000001" w:sz="4" w:space="0"/>
              <w:right w:val="single" w:color="000001" w:sz="4" w:space="0"/>
            </w:tcBorders>
            <w:shd w:val="clear" w:color="auto" w:fill="FFFFFF"/>
          </w:tcPr>
          <w:p w14:paraId="0AA62518">
            <w:pPr>
              <w:rPr>
                <w:rFonts w:hint="eastAsia" w:ascii="宋体" w:hAnsi="宋体" w:cs="宋体"/>
                <w:szCs w:val="21"/>
              </w:rPr>
            </w:pPr>
            <w:r>
              <w:rPr>
                <w:rFonts w:hint="eastAsia" w:ascii="宋体" w:hAnsi="宋体" w:cs="宋体"/>
                <w:szCs w:val="21"/>
              </w:rPr>
              <w:t>支持独立管理接口；</w:t>
            </w:r>
          </w:p>
          <w:p w14:paraId="22E9B8DA">
            <w:pPr>
              <w:rPr>
                <w:rFonts w:hint="eastAsia" w:ascii="宋体" w:hAnsi="宋体" w:cs="宋体"/>
                <w:szCs w:val="21"/>
              </w:rPr>
            </w:pPr>
            <w:r>
              <w:rPr>
                <w:rFonts w:hint="eastAsia" w:ascii="宋体" w:hAnsi="宋体" w:cs="宋体"/>
                <w:szCs w:val="21"/>
              </w:rPr>
              <w:t>支持命令行、Web、SNMP、Syslog、Telemetry或等效管理方式；</w:t>
            </w:r>
          </w:p>
          <w:p w14:paraId="7B654055">
            <w:pPr>
              <w:rPr>
                <w:rFonts w:hint="eastAsia" w:ascii="宋体" w:hAnsi="宋体" w:cs="宋体"/>
                <w:szCs w:val="21"/>
              </w:rPr>
            </w:pPr>
            <w:r>
              <w:rPr>
                <w:rFonts w:hint="eastAsia" w:ascii="宋体" w:hAnsi="宋体" w:cs="宋体"/>
                <w:szCs w:val="21"/>
              </w:rPr>
              <w:t>支持配置备份、日志查看、端口状态监控、故障告警和软件升级；</w:t>
            </w:r>
          </w:p>
          <w:p w14:paraId="76620578">
            <w:pPr>
              <w:rPr>
                <w:rFonts w:hint="eastAsia" w:ascii="宋体" w:hAnsi="宋体" w:cs="宋体"/>
                <w:szCs w:val="21"/>
              </w:rPr>
            </w:pPr>
            <w:r>
              <w:rPr>
                <w:rFonts w:hint="eastAsia" w:ascii="宋体" w:hAnsi="宋体" w:cs="宋体"/>
                <w:szCs w:val="21"/>
              </w:rPr>
              <w:t>支持带外管理或等效管理能力。</w:t>
            </w:r>
          </w:p>
        </w:tc>
      </w:tr>
      <w:tr w14:paraId="4EEA15A7">
        <w:tblPrEx>
          <w:tblCellMar>
            <w:top w:w="80" w:type="dxa"/>
            <w:left w:w="50" w:type="dxa"/>
            <w:bottom w:w="80" w:type="dxa"/>
            <w:right w:w="80" w:type="dxa"/>
          </w:tblCellMar>
        </w:tblPrEx>
        <w:trPr>
          <w:cantSplit/>
          <w:trHeight w:val="320" w:hRule="atLeast"/>
        </w:trPr>
        <w:tc>
          <w:tcPr>
            <w:tcW w:w="1418" w:type="dxa"/>
            <w:vMerge w:val="continue"/>
            <w:tcBorders>
              <w:top w:val="single" w:color="000001" w:sz="4" w:space="0"/>
              <w:left w:val="single" w:color="000001" w:sz="4" w:space="0"/>
              <w:bottom w:val="single" w:color="000001" w:sz="4" w:space="0"/>
            </w:tcBorders>
            <w:shd w:val="clear" w:color="auto" w:fill="FFFFFF"/>
          </w:tcPr>
          <w:p w14:paraId="1B18F711">
            <w:pPr>
              <w:snapToGrid w:val="0"/>
              <w:rPr>
                <w:rFonts w:hint="eastAsia" w:ascii="宋体" w:hAnsi="宋体" w:cs="宋体"/>
                <w:szCs w:val="21"/>
              </w:rPr>
            </w:pPr>
          </w:p>
        </w:tc>
        <w:tc>
          <w:tcPr>
            <w:tcW w:w="1076" w:type="dxa"/>
            <w:tcBorders>
              <w:top w:val="single" w:color="000001" w:sz="4" w:space="0"/>
              <w:left w:val="single" w:color="000001" w:sz="4" w:space="0"/>
              <w:bottom w:val="single" w:color="000001" w:sz="4" w:space="0"/>
            </w:tcBorders>
            <w:shd w:val="clear" w:color="auto" w:fill="FFFFFF"/>
            <w:vAlign w:val="center"/>
          </w:tcPr>
          <w:p w14:paraId="27CAF57C">
            <w:pPr>
              <w:jc w:val="center"/>
              <w:rPr>
                <w:rFonts w:hint="eastAsia" w:ascii="宋体" w:hAnsi="宋体" w:cs="宋体"/>
                <w:szCs w:val="21"/>
                <w:lang w:val="zh-TW" w:eastAsia="zh-TW"/>
              </w:rPr>
            </w:pPr>
            <w:r>
              <w:rPr>
                <w:rFonts w:ascii="宋体" w:hAnsi="宋体" w:cs="宋体"/>
                <w:szCs w:val="21"/>
                <w:lang w:val="zh-TW" w:eastAsia="zh-TW"/>
              </w:rPr>
              <w:t>可靠性</w:t>
            </w:r>
          </w:p>
        </w:tc>
        <w:tc>
          <w:tcPr>
            <w:tcW w:w="7713" w:type="dxa"/>
            <w:tcBorders>
              <w:top w:val="single" w:color="000001" w:sz="4" w:space="0"/>
              <w:left w:val="single" w:color="000001" w:sz="4" w:space="0"/>
              <w:bottom w:val="single" w:color="000001" w:sz="4" w:space="0"/>
              <w:right w:val="single" w:color="000001" w:sz="4" w:space="0"/>
            </w:tcBorders>
            <w:shd w:val="clear" w:color="auto" w:fill="FFFFFF"/>
          </w:tcPr>
          <w:p w14:paraId="30385344">
            <w:pPr>
              <w:rPr>
                <w:rFonts w:hint="eastAsia" w:ascii="宋体" w:hAnsi="宋体" w:cs="宋体"/>
                <w:szCs w:val="21"/>
              </w:rPr>
            </w:pPr>
            <w:r>
              <w:rPr>
                <w:rFonts w:hint="eastAsia" w:ascii="宋体" w:hAnsi="宋体" w:cs="宋体"/>
                <w:szCs w:val="21"/>
              </w:rPr>
              <w:t>配置冗余热插拔电源模块和冗余热插拔风扇模块；</w:t>
            </w:r>
          </w:p>
          <w:p w14:paraId="7BDF1A89">
            <w:pPr>
              <w:rPr>
                <w:rFonts w:hint="eastAsia" w:ascii="宋体" w:hAnsi="宋体" w:cs="宋体"/>
                <w:szCs w:val="21"/>
              </w:rPr>
            </w:pPr>
            <w:r>
              <w:rPr>
                <w:rFonts w:hint="eastAsia" w:ascii="宋体" w:hAnsi="宋体" w:cs="宋体"/>
                <w:szCs w:val="21"/>
              </w:rPr>
              <w:t>支持长期满载稳定运行；</w:t>
            </w:r>
          </w:p>
          <w:p w14:paraId="3909FADF">
            <w:pPr>
              <w:rPr>
                <w:rFonts w:hint="eastAsia" w:ascii="宋体" w:hAnsi="宋体" w:cs="宋体"/>
                <w:szCs w:val="21"/>
              </w:rPr>
            </w:pPr>
            <w:r>
              <w:rPr>
                <w:rFonts w:hint="eastAsia" w:ascii="宋体" w:hAnsi="宋体" w:cs="宋体"/>
                <w:szCs w:val="21"/>
              </w:rPr>
              <w:t>支持对电源、风扇、温度、端口状态等关键硬件信息进行监控和告警。</w:t>
            </w:r>
          </w:p>
        </w:tc>
      </w:tr>
      <w:tr w14:paraId="7936610F">
        <w:tblPrEx>
          <w:tblCellMar>
            <w:top w:w="80" w:type="dxa"/>
            <w:left w:w="50" w:type="dxa"/>
            <w:bottom w:w="80" w:type="dxa"/>
            <w:right w:w="80" w:type="dxa"/>
          </w:tblCellMar>
        </w:tblPrEx>
        <w:trPr>
          <w:cantSplit/>
          <w:trHeight w:val="320" w:hRule="atLeast"/>
        </w:trPr>
        <w:tc>
          <w:tcPr>
            <w:tcW w:w="1418" w:type="dxa"/>
            <w:vMerge w:val="continue"/>
            <w:tcBorders>
              <w:top w:val="single" w:color="000001" w:sz="4" w:space="0"/>
              <w:left w:val="single" w:color="000001" w:sz="4" w:space="0"/>
              <w:bottom w:val="single" w:color="000001" w:sz="4" w:space="0"/>
            </w:tcBorders>
            <w:shd w:val="clear" w:color="auto" w:fill="FFFFFF"/>
          </w:tcPr>
          <w:p w14:paraId="054D7CF1">
            <w:pPr>
              <w:snapToGrid w:val="0"/>
              <w:rPr>
                <w:rFonts w:hint="eastAsia" w:ascii="宋体" w:hAnsi="宋体" w:cs="宋体"/>
                <w:szCs w:val="21"/>
              </w:rPr>
            </w:pPr>
          </w:p>
        </w:tc>
        <w:tc>
          <w:tcPr>
            <w:tcW w:w="1076" w:type="dxa"/>
            <w:tcBorders>
              <w:top w:val="single" w:color="000001" w:sz="4" w:space="0"/>
              <w:left w:val="single" w:color="000001" w:sz="4" w:space="0"/>
              <w:bottom w:val="single" w:color="000001" w:sz="4" w:space="0"/>
            </w:tcBorders>
            <w:shd w:val="clear" w:color="auto" w:fill="FFFFFF"/>
            <w:vAlign w:val="center"/>
          </w:tcPr>
          <w:p w14:paraId="08BED1CA">
            <w:pPr>
              <w:jc w:val="center"/>
              <w:rPr>
                <w:rFonts w:hint="eastAsia" w:ascii="宋体" w:hAnsi="宋体" w:cs="宋体"/>
                <w:szCs w:val="21"/>
              </w:rPr>
            </w:pPr>
            <w:r>
              <w:rPr>
                <w:rFonts w:hint="eastAsia" w:ascii="宋体" w:hAnsi="宋体" w:cs="宋体"/>
                <w:szCs w:val="21"/>
                <w:lang w:val="zh-TW" w:eastAsia="zh-TW"/>
              </w:rPr>
              <w:t>光模块及线缆</w:t>
            </w:r>
          </w:p>
        </w:tc>
        <w:tc>
          <w:tcPr>
            <w:tcW w:w="7713" w:type="dxa"/>
            <w:tcBorders>
              <w:top w:val="single" w:color="000001" w:sz="4" w:space="0"/>
              <w:left w:val="single" w:color="000001" w:sz="4" w:space="0"/>
              <w:bottom w:val="single" w:color="000001" w:sz="4" w:space="0"/>
              <w:right w:val="single" w:color="000001" w:sz="4" w:space="0"/>
            </w:tcBorders>
            <w:shd w:val="clear" w:color="auto" w:fill="FFFFFF"/>
          </w:tcPr>
          <w:p w14:paraId="1B82FA9E">
            <w:pPr>
              <w:rPr>
                <w:rFonts w:hint="eastAsia" w:ascii="宋体" w:hAnsi="宋体" w:cs="宋体"/>
              </w:rPr>
            </w:pPr>
            <w:r>
              <w:rPr>
                <w:rFonts w:hint="eastAsia" w:ascii="宋体" w:hAnsi="宋体" w:cs="宋体"/>
              </w:rPr>
              <w:t>应提供与所投交换机、服务器侧网络接口及现有上行交换机配套的全部光模块和连接线缆；</w:t>
            </w:r>
          </w:p>
          <w:p w14:paraId="0AD536C6">
            <w:pPr>
              <w:rPr>
                <w:rFonts w:hint="eastAsia" w:ascii="宋体" w:hAnsi="宋体" w:cs="宋体"/>
              </w:rPr>
            </w:pPr>
            <w:r>
              <w:rPr>
                <w:rFonts w:hint="eastAsia" w:ascii="宋体" w:hAnsi="宋体" w:cs="宋体"/>
              </w:rPr>
              <w:t>所配光模块、线缆类型、数量及长度应满足本项目200GbE接入、400GbE上行以及与现有100GbE上行口互联的实际需求；</w:t>
            </w:r>
          </w:p>
          <w:p w14:paraId="30A30653">
            <w:pPr>
              <w:rPr>
                <w:rFonts w:hint="eastAsia" w:ascii="宋体" w:hAnsi="宋体" w:cs="宋体"/>
                <w:szCs w:val="21"/>
              </w:rPr>
            </w:pPr>
            <w:r>
              <w:rPr>
                <w:rFonts w:ascii="宋体" w:hAnsi="宋体" w:cs="宋体"/>
                <w:szCs w:val="21"/>
              </w:rPr>
              <w:t>投标人应保证所提供光模块、线缆及配套方案满足设备安装、连接、调试、验收及稳定运行要求。</w:t>
            </w:r>
          </w:p>
        </w:tc>
      </w:tr>
    </w:tbl>
    <w:p w14:paraId="0CA5523A">
      <w:pPr>
        <w:pStyle w:val="2"/>
        <w:numPr>
          <w:ilvl w:val="0"/>
          <w:numId w:val="8"/>
        </w:numPr>
        <w:spacing w:line="360" w:lineRule="auto"/>
      </w:pPr>
      <w:r>
        <w:rPr>
          <w:rFonts w:hint="eastAsia"/>
        </w:rPr>
        <w:t>设备交付、安装及服务要求</w:t>
      </w:r>
    </w:p>
    <w:p w14:paraId="3D503823">
      <w:pPr>
        <w:spacing w:line="360" w:lineRule="auto"/>
        <w:rPr>
          <w:rFonts w:hint="eastAsia" w:ascii="宋体" w:hAnsi="宋体" w:cs="宋体"/>
          <w:b/>
          <w:bCs/>
          <w:sz w:val="28"/>
          <w:szCs w:val="36"/>
        </w:rPr>
      </w:pPr>
      <w:r>
        <w:rPr>
          <w:rFonts w:hint="eastAsia" w:ascii="宋体" w:hAnsi="宋体" w:cs="宋体"/>
          <w:sz w:val="28"/>
          <w:szCs w:val="36"/>
        </w:rPr>
        <w:t>1.</w:t>
      </w:r>
      <w:r>
        <w:rPr>
          <w:rFonts w:hint="eastAsia" w:ascii="宋体" w:hAnsi="宋体" w:cs="宋体"/>
          <w:b/>
          <w:bCs/>
          <w:sz w:val="28"/>
          <w:szCs w:val="36"/>
        </w:rPr>
        <w:t>设备环境与兼容性</w:t>
      </w:r>
    </w:p>
    <w:p w14:paraId="498671FA">
      <w:pPr>
        <w:spacing w:after="120" w:line="276" w:lineRule="auto"/>
        <w:ind w:firstLine="440"/>
      </w:pPr>
      <w:r>
        <w:rPr>
          <w:rFonts w:ascii="宋体" w:hAnsi="宋体"/>
          <w:sz w:val="22"/>
        </w:rPr>
        <w:t>（1）所供设备应适应标准19英寸机柜安装，GPU计算服务器高度不低于4U；工作温度范围5℃至35℃，相对湿度20%至80%。</w:t>
      </w:r>
    </w:p>
    <w:p w14:paraId="45CF66CD">
      <w:pPr>
        <w:spacing w:after="120" w:line="276" w:lineRule="auto"/>
        <w:ind w:firstLine="440"/>
      </w:pPr>
      <w:r>
        <w:rPr>
          <w:rFonts w:ascii="宋体" w:hAnsi="宋体"/>
          <w:sz w:val="22"/>
        </w:rPr>
        <w:t>（2）机房提供标准220V交流电，设备电源模块应支持热插拔冗余，整机功耗应满足满配GPU条件下长期满载稳定运行，投标人须提供设备满负荷功耗清单。</w:t>
      </w:r>
    </w:p>
    <w:p w14:paraId="40A79E4A">
      <w:pPr>
        <w:widowControl/>
        <w:spacing w:after="120" w:line="276" w:lineRule="auto"/>
        <w:ind w:firstLine="440"/>
        <w:rPr>
          <w:rFonts w:hint="eastAsia" w:ascii="宋体" w:hAnsi="宋体"/>
          <w:sz w:val="22"/>
        </w:rPr>
      </w:pPr>
      <w:r>
        <w:rPr>
          <w:rFonts w:ascii="宋体" w:hAnsi="宋体"/>
          <w:sz w:val="22"/>
        </w:rPr>
        <w:t>（3）所供服务器、GPU卡及交换机应兼容主流Linux操作系统，并提供相应驱动程序；交换机须支持RoCEv2无损或近无损以太网特性。</w:t>
      </w:r>
    </w:p>
    <w:p w14:paraId="79705239">
      <w:pPr>
        <w:widowControl/>
        <w:spacing w:after="120" w:line="276" w:lineRule="auto"/>
        <w:ind w:firstLine="440"/>
        <w:rPr>
          <w:rFonts w:hint="eastAsia" w:ascii="宋体" w:hAnsi="宋体"/>
          <w:sz w:val="22"/>
        </w:rPr>
      </w:pPr>
      <w:r>
        <w:rPr>
          <w:rFonts w:ascii="宋体" w:hAnsi="宋体"/>
          <w:sz w:val="22"/>
        </w:rPr>
        <w:t>（4）服务器高速网络接口速率不低于200GbE，支持RoCE；交换机接入端口速率不低于200GbE，上行端口速率不低于400GbE，并可按需兼容200GbE/100GbE。</w:t>
      </w:r>
    </w:p>
    <w:p w14:paraId="650F50A3">
      <w:pPr>
        <w:spacing w:line="360" w:lineRule="auto"/>
        <w:rPr>
          <w:rFonts w:hint="eastAsia" w:ascii="宋体" w:hAnsi="宋体" w:cs="宋体"/>
          <w:b/>
          <w:bCs/>
          <w:sz w:val="28"/>
          <w:szCs w:val="36"/>
        </w:rPr>
      </w:pPr>
      <w:r>
        <w:rPr>
          <w:rFonts w:hint="eastAsia" w:ascii="宋体" w:hAnsi="宋体" w:cs="宋体"/>
          <w:sz w:val="28"/>
          <w:szCs w:val="36"/>
        </w:rPr>
        <w:t>2.</w:t>
      </w:r>
      <w:r>
        <w:rPr>
          <w:rFonts w:hint="eastAsia" w:ascii="宋体" w:hAnsi="宋体" w:cs="宋体"/>
          <w:b/>
          <w:bCs/>
          <w:sz w:val="28"/>
          <w:szCs w:val="36"/>
        </w:rPr>
        <w:t>设备配套与文档</w:t>
      </w:r>
    </w:p>
    <w:p w14:paraId="179567D7">
      <w:pPr>
        <w:spacing w:after="120" w:line="276" w:lineRule="auto"/>
        <w:ind w:firstLine="440"/>
      </w:pPr>
      <w:r>
        <w:rPr>
          <w:rFonts w:ascii="宋体" w:hAnsi="宋体"/>
          <w:sz w:val="22"/>
        </w:rPr>
        <w:t>（1）投标人应提供完整技术文档，包括硬件安装手册、用户操作指南、管理软件说明、故障排除指南等。</w:t>
      </w:r>
    </w:p>
    <w:p w14:paraId="59BD68CA">
      <w:pPr>
        <w:spacing w:after="120" w:line="276" w:lineRule="auto"/>
        <w:ind w:firstLine="440"/>
      </w:pPr>
      <w:r>
        <w:rPr>
          <w:rFonts w:ascii="宋体" w:hAnsi="宋体"/>
          <w:sz w:val="22"/>
        </w:rPr>
        <w:t>（2）投标人应提供全部附件，包括电源线、导轨、光模块、光纤线缆、网线等，确保设备到货后可直接上架安装。</w:t>
      </w:r>
    </w:p>
    <w:p w14:paraId="5269E460">
      <w:pPr>
        <w:widowControl/>
        <w:spacing w:after="120" w:line="276" w:lineRule="auto"/>
        <w:ind w:firstLine="440"/>
        <w:rPr>
          <w:rFonts w:hint="eastAsia" w:ascii="宋体" w:hAnsi="宋体"/>
          <w:sz w:val="22"/>
        </w:rPr>
      </w:pPr>
      <w:r>
        <w:rPr>
          <w:rFonts w:ascii="宋体" w:hAnsi="宋体"/>
          <w:sz w:val="22"/>
        </w:rPr>
        <w:t>（3）所供光模块、线缆类型及长度应满足机房实际布线距离要求，保证网络连通性。</w:t>
      </w:r>
    </w:p>
    <w:p w14:paraId="436B0C4B">
      <w:pPr>
        <w:spacing w:line="360" w:lineRule="auto"/>
        <w:rPr>
          <w:rFonts w:hint="eastAsia" w:ascii="宋体" w:hAnsi="宋体" w:cs="宋体"/>
          <w:b/>
          <w:bCs/>
          <w:sz w:val="28"/>
          <w:szCs w:val="36"/>
        </w:rPr>
      </w:pPr>
      <w:r>
        <w:rPr>
          <w:rFonts w:hint="eastAsia" w:ascii="宋体" w:hAnsi="宋体" w:cs="宋体"/>
          <w:sz w:val="28"/>
          <w:szCs w:val="36"/>
        </w:rPr>
        <w:t>3.</w:t>
      </w:r>
      <w:r>
        <w:rPr>
          <w:rFonts w:hint="eastAsia" w:ascii="宋体" w:hAnsi="宋体" w:cs="宋体"/>
          <w:b/>
          <w:bCs/>
          <w:sz w:val="28"/>
          <w:szCs w:val="36"/>
        </w:rPr>
        <w:t>质保及售后</w:t>
      </w:r>
    </w:p>
    <w:p w14:paraId="7CC375C7">
      <w:pPr>
        <w:spacing w:after="120" w:line="276" w:lineRule="auto"/>
        <w:ind w:firstLine="440"/>
      </w:pPr>
      <w:r>
        <w:rPr>
          <w:rFonts w:ascii="宋体" w:hAnsi="宋体"/>
          <w:sz w:val="22"/>
        </w:rPr>
        <w:t>（1）提供自验收通过之日起不少于3年的硬件质保服务，质保期内免费维修并更换故障备件。</w:t>
      </w:r>
    </w:p>
    <w:p w14:paraId="718A6001">
      <w:pPr>
        <w:spacing w:after="120" w:line="276" w:lineRule="auto"/>
        <w:ind w:firstLine="440"/>
      </w:pPr>
      <w:r>
        <w:rPr>
          <w:rFonts w:ascii="宋体" w:hAnsi="宋体"/>
          <w:sz w:val="22"/>
        </w:rPr>
        <w:t>（2）质保期内提供7×24小时技术支持服务，支持电话、邮件和远程诊断等方式。</w:t>
      </w:r>
    </w:p>
    <w:p w14:paraId="64920B5C">
      <w:pPr>
        <w:spacing w:after="120" w:line="276" w:lineRule="auto"/>
        <w:ind w:firstLine="440"/>
      </w:pPr>
      <w:r>
        <w:rPr>
          <w:rFonts w:ascii="宋体" w:hAnsi="宋体"/>
          <w:sz w:val="22"/>
        </w:rPr>
        <w:t>（3）投标人须提供售后服务组织、联系人、报修渠道和重大故障升级处理流程。</w:t>
      </w:r>
    </w:p>
    <w:p w14:paraId="51CAB225">
      <w:pPr>
        <w:spacing w:after="120" w:line="276" w:lineRule="auto"/>
        <w:ind w:firstLine="440"/>
      </w:pPr>
      <w:r>
        <w:rPr>
          <w:rFonts w:ascii="宋体" w:hAnsi="宋体"/>
          <w:sz w:val="22"/>
        </w:rPr>
        <w:t>（4）接到故障申告后应在2小时内响应、4小时内启动远程诊断并提供初步处理方案；需要现场处理的，应在24小时内到达现场。</w:t>
      </w:r>
    </w:p>
    <w:p w14:paraId="68211A98">
      <w:pPr>
        <w:widowControl/>
        <w:spacing w:after="120" w:line="276" w:lineRule="auto"/>
        <w:ind w:firstLine="440"/>
        <w:rPr>
          <w:rFonts w:hint="eastAsia" w:ascii="宋体" w:hAnsi="宋体"/>
          <w:sz w:val="22"/>
        </w:rPr>
      </w:pPr>
      <w:r>
        <w:rPr>
          <w:rFonts w:ascii="宋体" w:hAnsi="宋体"/>
          <w:sz w:val="22"/>
        </w:rPr>
        <w:t>（5）质保期内每年提供不少于1次巡检服务，包括性能诊断、日志分析、固件版本检查和隐患排查。</w:t>
      </w:r>
    </w:p>
    <w:p w14:paraId="59061B4C">
      <w:pPr>
        <w:widowControl/>
        <w:spacing w:after="120" w:line="276" w:lineRule="auto"/>
        <w:ind w:firstLine="440"/>
        <w:rPr>
          <w:rFonts w:hint="eastAsia" w:ascii="宋体" w:hAnsi="宋体"/>
          <w:sz w:val="22"/>
        </w:rPr>
      </w:pPr>
      <w:r>
        <w:rPr>
          <w:rFonts w:ascii="宋体" w:hAnsi="宋体"/>
          <w:sz w:val="22"/>
        </w:rPr>
        <w:t>（6）关键设备故障在48小时内无法修复的，应提供不低于故障设备配置的备机或替代部件，直至故障修复。</w:t>
      </w:r>
    </w:p>
    <w:p w14:paraId="5A5229E5">
      <w:pPr>
        <w:spacing w:line="360" w:lineRule="auto"/>
        <w:rPr>
          <w:rFonts w:hint="eastAsia" w:ascii="宋体" w:hAnsi="宋体" w:cs="宋体"/>
          <w:b/>
          <w:bCs/>
          <w:sz w:val="28"/>
          <w:szCs w:val="36"/>
        </w:rPr>
      </w:pPr>
      <w:r>
        <w:rPr>
          <w:rFonts w:hint="eastAsia" w:ascii="宋体" w:hAnsi="宋体" w:cs="宋体"/>
          <w:sz w:val="28"/>
          <w:szCs w:val="36"/>
        </w:rPr>
        <w:t>4.安装实施与培训</w:t>
      </w:r>
    </w:p>
    <w:p w14:paraId="1D1E16A0">
      <w:pPr>
        <w:spacing w:after="120" w:line="276" w:lineRule="auto"/>
        <w:ind w:firstLine="440"/>
      </w:pPr>
      <w:r>
        <w:rPr>
          <w:rFonts w:ascii="宋体" w:hAnsi="宋体"/>
          <w:sz w:val="22"/>
        </w:rPr>
        <w:t>（1）投标人应指派原厂认证工程师或具有同等资质的工程师负责现场安装、调试。</w:t>
      </w:r>
    </w:p>
    <w:p w14:paraId="2656C933">
      <w:pPr>
        <w:spacing w:after="120" w:line="276" w:lineRule="auto"/>
        <w:ind w:firstLine="440"/>
      </w:pPr>
      <w:r>
        <w:rPr>
          <w:rFonts w:ascii="宋体" w:hAnsi="宋体"/>
          <w:sz w:val="22"/>
        </w:rPr>
        <w:t>（2）安装前应提交《设备上架部署方案》，包括机柜位置规划、网络拓扑图、电源及网络线缆布线图、设备功耗清单等，经采购人确认后实施。</w:t>
      </w:r>
    </w:p>
    <w:p w14:paraId="6A717188">
      <w:pPr>
        <w:spacing w:after="120" w:line="276" w:lineRule="auto"/>
        <w:ind w:firstLine="440"/>
      </w:pPr>
      <w:r>
        <w:rPr>
          <w:rFonts w:ascii="宋体" w:hAnsi="宋体"/>
          <w:sz w:val="22"/>
        </w:rPr>
        <w:t>（3）完成网络配置、操作系统安装协助、所投GPU适配的驱动及计算软件环境安装、交换机RoCE配置及调优。</w:t>
      </w:r>
    </w:p>
    <w:p w14:paraId="1D1D5D9A">
      <w:pPr>
        <w:spacing w:after="120" w:line="276" w:lineRule="auto"/>
        <w:ind w:firstLine="440"/>
      </w:pPr>
      <w:r>
        <w:rPr>
          <w:rFonts w:ascii="宋体" w:hAnsi="宋体"/>
          <w:sz w:val="22"/>
        </w:rPr>
        <w:t>（4）提供项目验收前性能测试报告，包括GPU Linpack、内存带宽、200GbE网络带宽及时延、RoCEv2性能验证等。</w:t>
      </w:r>
    </w:p>
    <w:p w14:paraId="0A9CA5B4">
      <w:pPr>
        <w:widowControl/>
        <w:spacing w:after="120" w:line="276" w:lineRule="auto"/>
        <w:ind w:firstLine="440"/>
        <w:rPr>
          <w:rFonts w:hint="eastAsia" w:ascii="宋体" w:hAnsi="宋体"/>
          <w:sz w:val="22"/>
        </w:rPr>
      </w:pPr>
      <w:r>
        <w:rPr>
          <w:rFonts w:ascii="宋体" w:hAnsi="宋体"/>
          <w:sz w:val="22"/>
        </w:rPr>
        <w:t>（5）在设备交付和调试阶段提供不少于2个工作日的现场培训，内容包括系统安装配置、操作使用、运行维护和故障排除；提供电子版培训教材、用户手册和维护手册。</w:t>
      </w:r>
    </w:p>
    <w:p w14:paraId="368DAC2E">
      <w:pPr>
        <w:pStyle w:val="2"/>
        <w:numPr>
          <w:ilvl w:val="0"/>
          <w:numId w:val="8"/>
        </w:numPr>
        <w:spacing w:line="360" w:lineRule="auto"/>
      </w:pPr>
      <w:r>
        <w:rPr>
          <w:rFonts w:hint="eastAsia"/>
        </w:rPr>
        <w:t>验收标准</w:t>
      </w:r>
    </w:p>
    <w:tbl>
      <w:tblPr>
        <w:tblStyle w:val="37"/>
        <w:tblW w:w="0" w:type="auto"/>
        <w:jc w:val="center"/>
        <w:tblBorders>
          <w:top w:val="single" w:color="A6A6A6" w:sz="6" w:space="0"/>
          <w:left w:val="single" w:color="A6A6A6" w:sz="6" w:space="0"/>
          <w:bottom w:val="single" w:color="A6A6A6" w:sz="6" w:space="0"/>
          <w:right w:val="single" w:color="A6A6A6" w:sz="6" w:space="0"/>
          <w:insideH w:val="single" w:color="A6A6A6" w:sz="6" w:space="0"/>
          <w:insideV w:val="single" w:color="A6A6A6" w:sz="6" w:space="0"/>
        </w:tblBorders>
        <w:tblLayout w:type="fixed"/>
        <w:tblCellMar>
          <w:top w:w="0" w:type="dxa"/>
          <w:left w:w="108" w:type="dxa"/>
          <w:bottom w:w="0" w:type="dxa"/>
          <w:right w:w="108" w:type="dxa"/>
        </w:tblCellMar>
      </w:tblPr>
      <w:tblGrid>
        <w:gridCol w:w="1201"/>
        <w:gridCol w:w="2018"/>
        <w:gridCol w:w="6078"/>
      </w:tblGrid>
      <w:tr w14:paraId="1137326C">
        <w:tblPrEx>
          <w:tblBorders>
            <w:top w:val="single" w:color="A6A6A6" w:sz="6" w:space="0"/>
            <w:left w:val="single" w:color="A6A6A6" w:sz="6" w:space="0"/>
            <w:bottom w:val="single" w:color="A6A6A6" w:sz="6" w:space="0"/>
            <w:right w:val="single" w:color="A6A6A6" w:sz="6" w:space="0"/>
            <w:insideH w:val="single" w:color="A6A6A6" w:sz="6" w:space="0"/>
            <w:insideV w:val="single" w:color="A6A6A6" w:sz="6" w:space="0"/>
          </w:tblBorders>
          <w:tblCellMar>
            <w:top w:w="0" w:type="dxa"/>
            <w:left w:w="108" w:type="dxa"/>
            <w:bottom w:w="0" w:type="dxa"/>
            <w:right w:w="108" w:type="dxa"/>
          </w:tblCellMar>
        </w:tblPrEx>
        <w:trPr>
          <w:tblHeader/>
          <w:jc w:val="center"/>
        </w:trPr>
        <w:tc>
          <w:tcPr>
            <w:tcW w:w="1201" w:type="dxa"/>
            <w:tcBorders>
              <w:top w:val="single" w:color="000000" w:sz="4" w:space="0"/>
              <w:left w:val="single" w:color="000000" w:sz="4" w:space="0"/>
              <w:bottom w:val="single" w:color="000000" w:sz="4" w:space="0"/>
              <w:right w:val="single" w:color="000000" w:sz="4" w:space="0"/>
              <w:tl2br w:val="nil"/>
            </w:tcBorders>
            <w:shd w:val="clear" w:color="auto" w:fill="FFFFFF"/>
            <w:tcMar>
              <w:top w:w="90" w:type="dxa"/>
              <w:left w:w="120" w:type="dxa"/>
              <w:bottom w:w="90" w:type="dxa"/>
              <w:right w:w="120" w:type="dxa"/>
            </w:tcMar>
            <w:vAlign w:val="center"/>
          </w:tcPr>
          <w:p w14:paraId="7413269E">
            <w:pPr>
              <w:spacing w:after="60" w:line="264" w:lineRule="auto"/>
              <w:jc w:val="center"/>
              <w:rPr>
                <w:rFonts w:hint="eastAsia" w:ascii="国标黑体" w:hAnsi="国标黑体" w:eastAsia="国标黑体" w:cs="国标黑体"/>
                <w:b/>
                <w:bCs/>
                <w:color w:val="000000"/>
                <w:sz w:val="22"/>
                <w:szCs w:val="28"/>
              </w:rPr>
            </w:pPr>
            <w:r>
              <w:rPr>
                <w:rFonts w:hint="eastAsia" w:ascii="国标黑体" w:hAnsi="国标黑体" w:eastAsia="国标黑体" w:cs="国标黑体"/>
                <w:b/>
                <w:bCs/>
                <w:color w:val="000000"/>
                <w:sz w:val="20"/>
                <w:szCs w:val="28"/>
              </w:rPr>
              <w:t>序号</w:t>
            </w:r>
          </w:p>
        </w:tc>
        <w:tc>
          <w:tcPr>
            <w:tcW w:w="2018" w:type="dxa"/>
            <w:tcBorders>
              <w:top w:val="single" w:color="000000" w:sz="4" w:space="0"/>
              <w:left w:val="single" w:color="000000" w:sz="4" w:space="0"/>
              <w:bottom w:val="single" w:color="000000" w:sz="4" w:space="0"/>
              <w:right w:val="single" w:color="000000" w:sz="4" w:space="0"/>
            </w:tcBorders>
            <w:shd w:val="clear" w:color="auto" w:fill="FFFFFF"/>
            <w:tcMar>
              <w:top w:w="90" w:type="dxa"/>
              <w:left w:w="120" w:type="dxa"/>
              <w:bottom w:w="90" w:type="dxa"/>
              <w:right w:w="120" w:type="dxa"/>
            </w:tcMar>
            <w:vAlign w:val="center"/>
          </w:tcPr>
          <w:p w14:paraId="1DBD674C">
            <w:pPr>
              <w:spacing w:after="60" w:line="264" w:lineRule="auto"/>
              <w:jc w:val="center"/>
              <w:rPr>
                <w:rFonts w:hint="eastAsia" w:ascii="国标黑体" w:hAnsi="国标黑体" w:eastAsia="国标黑体" w:cs="国标黑体"/>
                <w:b/>
                <w:bCs/>
                <w:color w:val="000000"/>
                <w:sz w:val="22"/>
                <w:szCs w:val="28"/>
              </w:rPr>
            </w:pPr>
            <w:r>
              <w:rPr>
                <w:rFonts w:hint="eastAsia" w:ascii="国标黑体" w:hAnsi="国标黑体" w:eastAsia="国标黑体" w:cs="国标黑体"/>
                <w:b/>
                <w:bCs/>
                <w:color w:val="000000"/>
                <w:sz w:val="20"/>
                <w:szCs w:val="28"/>
              </w:rPr>
              <w:t>验收项</w:t>
            </w:r>
          </w:p>
        </w:tc>
        <w:tc>
          <w:tcPr>
            <w:tcW w:w="6078" w:type="dxa"/>
            <w:tcBorders>
              <w:top w:val="single" w:color="000000" w:sz="4" w:space="0"/>
              <w:left w:val="single" w:color="000000" w:sz="4" w:space="0"/>
              <w:bottom w:val="single" w:color="000000" w:sz="4" w:space="0"/>
              <w:right w:val="single" w:color="000000" w:sz="4" w:space="0"/>
            </w:tcBorders>
            <w:shd w:val="clear" w:color="auto" w:fill="FFFFFF"/>
            <w:tcMar>
              <w:top w:w="90" w:type="dxa"/>
              <w:left w:w="120" w:type="dxa"/>
              <w:bottom w:w="90" w:type="dxa"/>
              <w:right w:w="120" w:type="dxa"/>
            </w:tcMar>
            <w:vAlign w:val="center"/>
          </w:tcPr>
          <w:p w14:paraId="063097AB">
            <w:pPr>
              <w:spacing w:after="60" w:line="264" w:lineRule="auto"/>
              <w:jc w:val="center"/>
              <w:rPr>
                <w:rFonts w:hint="eastAsia" w:ascii="国标黑体" w:hAnsi="国标黑体" w:eastAsia="国标黑体" w:cs="国标黑体"/>
                <w:b/>
                <w:bCs/>
                <w:color w:val="000000"/>
                <w:sz w:val="22"/>
                <w:szCs w:val="28"/>
              </w:rPr>
            </w:pPr>
            <w:r>
              <w:rPr>
                <w:rFonts w:hint="eastAsia" w:ascii="国标黑体" w:hAnsi="国标黑体" w:eastAsia="国标黑体" w:cs="国标黑体"/>
                <w:b/>
                <w:bCs/>
                <w:color w:val="000000"/>
                <w:sz w:val="20"/>
                <w:szCs w:val="28"/>
              </w:rPr>
              <w:t>验收标准</w:t>
            </w:r>
          </w:p>
        </w:tc>
      </w:tr>
      <w:tr w14:paraId="2BCBD06E">
        <w:tblPrEx>
          <w:tblBorders>
            <w:top w:val="single" w:color="A6A6A6" w:sz="6" w:space="0"/>
            <w:left w:val="single" w:color="A6A6A6" w:sz="6" w:space="0"/>
            <w:bottom w:val="single" w:color="A6A6A6" w:sz="6" w:space="0"/>
            <w:right w:val="single" w:color="A6A6A6" w:sz="6" w:space="0"/>
            <w:insideH w:val="single" w:color="A6A6A6" w:sz="6" w:space="0"/>
            <w:insideV w:val="single" w:color="A6A6A6" w:sz="6" w:space="0"/>
          </w:tblBorders>
          <w:tblCellMar>
            <w:top w:w="0" w:type="dxa"/>
            <w:left w:w="108" w:type="dxa"/>
            <w:bottom w:w="0" w:type="dxa"/>
            <w:right w:w="108" w:type="dxa"/>
          </w:tblCellMar>
        </w:tblPrEx>
        <w:trPr>
          <w:cantSplit/>
          <w:jc w:val="center"/>
        </w:trPr>
        <w:tc>
          <w:tcPr>
            <w:tcW w:w="1201" w:type="dxa"/>
            <w:tcBorders>
              <w:top w:val="single" w:color="000000" w:sz="4" w:space="0"/>
              <w:left w:val="single" w:color="000000" w:sz="4" w:space="0"/>
              <w:bottom w:val="single" w:color="000000" w:sz="4" w:space="0"/>
              <w:right w:val="single" w:color="000000" w:sz="4" w:space="0"/>
            </w:tcBorders>
            <w:shd w:val="clear" w:color="auto" w:fill="FFFFFF"/>
            <w:tcMar>
              <w:top w:w="90" w:type="dxa"/>
              <w:left w:w="120" w:type="dxa"/>
              <w:bottom w:w="90" w:type="dxa"/>
              <w:right w:w="120" w:type="dxa"/>
            </w:tcMar>
            <w:vAlign w:val="center"/>
          </w:tcPr>
          <w:p w14:paraId="0D960EA9">
            <w:pPr>
              <w:spacing w:after="60" w:line="264" w:lineRule="auto"/>
              <w:jc w:val="center"/>
              <w:rPr>
                <w:rFonts w:hint="eastAsia" w:asciiTheme="minorEastAsia" w:hAnsiTheme="minorEastAsia" w:eastAsiaTheme="minorEastAsia" w:cstheme="minorEastAsia"/>
                <w:color w:val="000000"/>
                <w:sz w:val="22"/>
                <w:szCs w:val="28"/>
              </w:rPr>
            </w:pPr>
            <w:r>
              <w:rPr>
                <w:rFonts w:hint="eastAsia" w:asciiTheme="minorEastAsia" w:hAnsiTheme="minorEastAsia" w:eastAsiaTheme="minorEastAsia" w:cstheme="minorEastAsia"/>
                <w:color w:val="000000"/>
                <w:sz w:val="20"/>
                <w:szCs w:val="28"/>
              </w:rPr>
              <w:t>1</w:t>
            </w:r>
          </w:p>
        </w:tc>
        <w:tc>
          <w:tcPr>
            <w:tcW w:w="2018" w:type="dxa"/>
            <w:tcBorders>
              <w:top w:val="single" w:color="000000" w:sz="4" w:space="0"/>
              <w:left w:val="single" w:color="000000" w:sz="4" w:space="0"/>
              <w:bottom w:val="single" w:color="000000" w:sz="4" w:space="0"/>
              <w:right w:val="single" w:color="000000" w:sz="4" w:space="0"/>
            </w:tcBorders>
            <w:shd w:val="clear" w:color="auto" w:fill="FFFFFF"/>
            <w:tcMar>
              <w:top w:w="90" w:type="dxa"/>
              <w:left w:w="120" w:type="dxa"/>
              <w:bottom w:w="90" w:type="dxa"/>
              <w:right w:w="120" w:type="dxa"/>
            </w:tcMar>
            <w:vAlign w:val="center"/>
          </w:tcPr>
          <w:p w14:paraId="50BD306D">
            <w:pPr>
              <w:spacing w:after="60" w:line="264" w:lineRule="auto"/>
              <w:jc w:val="center"/>
              <w:rPr>
                <w:rFonts w:hint="eastAsia" w:asciiTheme="minorEastAsia" w:hAnsiTheme="minorEastAsia" w:eastAsiaTheme="minorEastAsia" w:cstheme="minorEastAsia"/>
                <w:color w:val="000000"/>
                <w:sz w:val="22"/>
                <w:szCs w:val="28"/>
              </w:rPr>
            </w:pPr>
            <w:r>
              <w:rPr>
                <w:rFonts w:hint="eastAsia" w:asciiTheme="minorEastAsia" w:hAnsiTheme="minorEastAsia" w:eastAsiaTheme="minorEastAsia" w:cstheme="minorEastAsia"/>
                <w:color w:val="000000"/>
                <w:sz w:val="20"/>
                <w:szCs w:val="28"/>
              </w:rPr>
              <w:t>到货核验</w:t>
            </w:r>
          </w:p>
        </w:tc>
        <w:tc>
          <w:tcPr>
            <w:tcW w:w="6078" w:type="dxa"/>
            <w:tcBorders>
              <w:top w:val="single" w:color="000000" w:sz="4" w:space="0"/>
              <w:left w:val="single" w:color="000000" w:sz="4" w:space="0"/>
              <w:bottom w:val="single" w:color="000000" w:sz="4" w:space="0"/>
              <w:right w:val="single" w:color="000000" w:sz="4" w:space="0"/>
            </w:tcBorders>
            <w:shd w:val="clear" w:color="auto" w:fill="FFFFFF"/>
            <w:tcMar>
              <w:top w:w="90" w:type="dxa"/>
              <w:left w:w="120" w:type="dxa"/>
              <w:bottom w:w="90" w:type="dxa"/>
              <w:right w:w="120" w:type="dxa"/>
            </w:tcMar>
            <w:vAlign w:val="center"/>
          </w:tcPr>
          <w:p w14:paraId="04F7A6EF">
            <w:pPr>
              <w:spacing w:after="60" w:line="264" w:lineRule="auto"/>
              <w:rPr>
                <w:rFonts w:hint="eastAsia" w:asciiTheme="minorEastAsia" w:hAnsiTheme="minorEastAsia" w:eastAsiaTheme="minorEastAsia" w:cstheme="minorEastAsia"/>
                <w:color w:val="000000"/>
                <w:sz w:val="22"/>
                <w:szCs w:val="28"/>
              </w:rPr>
            </w:pPr>
            <w:r>
              <w:rPr>
                <w:rFonts w:hint="eastAsia" w:asciiTheme="minorEastAsia" w:hAnsiTheme="minorEastAsia" w:eastAsiaTheme="minorEastAsia" w:cstheme="minorEastAsia"/>
                <w:color w:val="000000"/>
                <w:sz w:val="20"/>
                <w:szCs w:val="28"/>
              </w:rPr>
              <w:t>设备外观、型号、序列号和配件与合同一致；2台服务器均实际安装8张GPU，共16张，另有8张同品牌、同型号、同规格GPU独立包装交付，合计24张；无破损、无缺失。</w:t>
            </w:r>
          </w:p>
        </w:tc>
      </w:tr>
      <w:tr w14:paraId="65C2F256">
        <w:tblPrEx>
          <w:tblBorders>
            <w:top w:val="single" w:color="A6A6A6" w:sz="6" w:space="0"/>
            <w:left w:val="single" w:color="A6A6A6" w:sz="6" w:space="0"/>
            <w:bottom w:val="single" w:color="A6A6A6" w:sz="6" w:space="0"/>
            <w:right w:val="single" w:color="A6A6A6" w:sz="6" w:space="0"/>
            <w:insideH w:val="single" w:color="A6A6A6" w:sz="6" w:space="0"/>
            <w:insideV w:val="single" w:color="A6A6A6" w:sz="6" w:space="0"/>
          </w:tblBorders>
          <w:tblCellMar>
            <w:top w:w="0" w:type="dxa"/>
            <w:left w:w="108" w:type="dxa"/>
            <w:bottom w:w="0" w:type="dxa"/>
            <w:right w:w="108" w:type="dxa"/>
          </w:tblCellMar>
        </w:tblPrEx>
        <w:trPr>
          <w:cantSplit/>
          <w:jc w:val="center"/>
        </w:trPr>
        <w:tc>
          <w:tcPr>
            <w:tcW w:w="1201" w:type="dxa"/>
            <w:tcBorders>
              <w:top w:val="single" w:color="000000" w:sz="4" w:space="0"/>
              <w:left w:val="single" w:color="000000" w:sz="4" w:space="0"/>
              <w:bottom w:val="single" w:color="000000" w:sz="4" w:space="0"/>
              <w:right w:val="single" w:color="000000" w:sz="4" w:space="0"/>
            </w:tcBorders>
            <w:shd w:val="clear" w:color="auto" w:fill="FFFFFF"/>
            <w:tcMar>
              <w:top w:w="90" w:type="dxa"/>
              <w:left w:w="120" w:type="dxa"/>
              <w:bottom w:w="90" w:type="dxa"/>
              <w:right w:w="120" w:type="dxa"/>
            </w:tcMar>
            <w:vAlign w:val="center"/>
          </w:tcPr>
          <w:p w14:paraId="4507C8E1">
            <w:pPr>
              <w:spacing w:after="60" w:line="264" w:lineRule="auto"/>
              <w:jc w:val="center"/>
              <w:rPr>
                <w:rFonts w:hint="eastAsia" w:asciiTheme="minorEastAsia" w:hAnsiTheme="minorEastAsia" w:eastAsiaTheme="minorEastAsia" w:cstheme="minorEastAsia"/>
                <w:color w:val="000000"/>
                <w:sz w:val="22"/>
                <w:szCs w:val="28"/>
              </w:rPr>
            </w:pPr>
            <w:r>
              <w:rPr>
                <w:rFonts w:hint="eastAsia" w:asciiTheme="minorEastAsia" w:hAnsiTheme="minorEastAsia" w:eastAsiaTheme="minorEastAsia" w:cstheme="minorEastAsia"/>
                <w:color w:val="000000"/>
                <w:sz w:val="20"/>
                <w:szCs w:val="28"/>
              </w:rPr>
              <w:t>2</w:t>
            </w:r>
          </w:p>
        </w:tc>
        <w:tc>
          <w:tcPr>
            <w:tcW w:w="2018" w:type="dxa"/>
            <w:tcBorders>
              <w:top w:val="single" w:color="000000" w:sz="4" w:space="0"/>
              <w:left w:val="single" w:color="000000" w:sz="4" w:space="0"/>
              <w:bottom w:val="single" w:color="000000" w:sz="4" w:space="0"/>
              <w:right w:val="single" w:color="000000" w:sz="4" w:space="0"/>
            </w:tcBorders>
            <w:shd w:val="clear" w:color="auto" w:fill="FFFFFF"/>
            <w:tcMar>
              <w:top w:w="90" w:type="dxa"/>
              <w:left w:w="120" w:type="dxa"/>
              <w:bottom w:w="90" w:type="dxa"/>
              <w:right w:w="120" w:type="dxa"/>
            </w:tcMar>
            <w:vAlign w:val="center"/>
          </w:tcPr>
          <w:p w14:paraId="56B22D10">
            <w:pPr>
              <w:spacing w:after="60" w:line="264" w:lineRule="auto"/>
              <w:jc w:val="center"/>
              <w:rPr>
                <w:rFonts w:hint="eastAsia" w:asciiTheme="minorEastAsia" w:hAnsiTheme="minorEastAsia" w:eastAsiaTheme="minorEastAsia" w:cstheme="minorEastAsia"/>
                <w:color w:val="000000"/>
                <w:sz w:val="22"/>
                <w:szCs w:val="28"/>
              </w:rPr>
            </w:pPr>
            <w:r>
              <w:rPr>
                <w:rFonts w:hint="eastAsia" w:asciiTheme="minorEastAsia" w:hAnsiTheme="minorEastAsia" w:eastAsiaTheme="minorEastAsia" w:cstheme="minorEastAsia"/>
                <w:color w:val="000000"/>
                <w:sz w:val="20"/>
                <w:szCs w:val="28"/>
              </w:rPr>
              <w:t>安装规范</w:t>
            </w:r>
          </w:p>
        </w:tc>
        <w:tc>
          <w:tcPr>
            <w:tcW w:w="6078" w:type="dxa"/>
            <w:tcBorders>
              <w:top w:val="single" w:color="000000" w:sz="4" w:space="0"/>
              <w:left w:val="single" w:color="000000" w:sz="4" w:space="0"/>
              <w:bottom w:val="single" w:color="000000" w:sz="4" w:space="0"/>
              <w:right w:val="single" w:color="000000" w:sz="4" w:space="0"/>
            </w:tcBorders>
            <w:shd w:val="clear" w:color="auto" w:fill="FFFFFF"/>
            <w:tcMar>
              <w:top w:w="90" w:type="dxa"/>
              <w:left w:w="120" w:type="dxa"/>
              <w:bottom w:w="90" w:type="dxa"/>
              <w:right w:w="120" w:type="dxa"/>
            </w:tcMar>
            <w:vAlign w:val="center"/>
          </w:tcPr>
          <w:p w14:paraId="0C77AA0A">
            <w:pPr>
              <w:spacing w:after="60" w:line="264" w:lineRule="auto"/>
              <w:rPr>
                <w:rFonts w:hint="eastAsia" w:asciiTheme="minorEastAsia" w:hAnsiTheme="minorEastAsia" w:eastAsiaTheme="minorEastAsia" w:cstheme="minorEastAsia"/>
                <w:color w:val="000000"/>
                <w:sz w:val="22"/>
                <w:szCs w:val="28"/>
              </w:rPr>
            </w:pPr>
            <w:r>
              <w:rPr>
                <w:rFonts w:hint="eastAsia" w:asciiTheme="minorEastAsia" w:hAnsiTheme="minorEastAsia" w:eastAsiaTheme="minorEastAsia" w:cstheme="minorEastAsia"/>
                <w:color w:val="000000"/>
                <w:sz w:val="20"/>
                <w:szCs w:val="28"/>
              </w:rPr>
              <w:t>设备上架安装规范，线缆连接正确，标签清晰，通电后无异常报警。</w:t>
            </w:r>
          </w:p>
        </w:tc>
      </w:tr>
      <w:tr w14:paraId="015DA4E9">
        <w:tblPrEx>
          <w:tblBorders>
            <w:top w:val="single" w:color="A6A6A6" w:sz="6" w:space="0"/>
            <w:left w:val="single" w:color="A6A6A6" w:sz="6" w:space="0"/>
            <w:bottom w:val="single" w:color="A6A6A6" w:sz="6" w:space="0"/>
            <w:right w:val="single" w:color="A6A6A6" w:sz="6" w:space="0"/>
            <w:insideH w:val="single" w:color="A6A6A6" w:sz="6" w:space="0"/>
            <w:insideV w:val="single" w:color="A6A6A6" w:sz="6" w:space="0"/>
          </w:tblBorders>
          <w:tblCellMar>
            <w:top w:w="0" w:type="dxa"/>
            <w:left w:w="108" w:type="dxa"/>
            <w:bottom w:w="0" w:type="dxa"/>
            <w:right w:w="108" w:type="dxa"/>
          </w:tblCellMar>
        </w:tblPrEx>
        <w:trPr>
          <w:cantSplit/>
          <w:jc w:val="center"/>
        </w:trPr>
        <w:tc>
          <w:tcPr>
            <w:tcW w:w="1201" w:type="dxa"/>
            <w:tcBorders>
              <w:top w:val="single" w:color="000000" w:sz="4" w:space="0"/>
              <w:left w:val="single" w:color="000000" w:sz="4" w:space="0"/>
              <w:bottom w:val="single" w:color="000000" w:sz="4" w:space="0"/>
              <w:right w:val="single" w:color="000000" w:sz="4" w:space="0"/>
            </w:tcBorders>
            <w:shd w:val="clear" w:color="auto" w:fill="FFFFFF"/>
            <w:tcMar>
              <w:top w:w="90" w:type="dxa"/>
              <w:left w:w="120" w:type="dxa"/>
              <w:bottom w:w="90" w:type="dxa"/>
              <w:right w:w="120" w:type="dxa"/>
            </w:tcMar>
            <w:vAlign w:val="center"/>
          </w:tcPr>
          <w:p w14:paraId="02D7A9A2">
            <w:pPr>
              <w:spacing w:after="60" w:line="264" w:lineRule="auto"/>
              <w:jc w:val="center"/>
              <w:rPr>
                <w:rFonts w:hint="eastAsia" w:asciiTheme="minorEastAsia" w:hAnsiTheme="minorEastAsia" w:eastAsiaTheme="minorEastAsia" w:cstheme="minorEastAsia"/>
                <w:color w:val="000000"/>
                <w:sz w:val="22"/>
                <w:szCs w:val="28"/>
              </w:rPr>
            </w:pPr>
            <w:r>
              <w:rPr>
                <w:rFonts w:hint="eastAsia" w:asciiTheme="minorEastAsia" w:hAnsiTheme="minorEastAsia" w:eastAsiaTheme="minorEastAsia" w:cstheme="minorEastAsia"/>
                <w:color w:val="000000"/>
                <w:sz w:val="20"/>
                <w:szCs w:val="28"/>
              </w:rPr>
              <w:t>3</w:t>
            </w:r>
          </w:p>
        </w:tc>
        <w:tc>
          <w:tcPr>
            <w:tcW w:w="2018" w:type="dxa"/>
            <w:tcBorders>
              <w:top w:val="single" w:color="000000" w:sz="4" w:space="0"/>
              <w:left w:val="single" w:color="000000" w:sz="4" w:space="0"/>
              <w:bottom w:val="single" w:color="000000" w:sz="4" w:space="0"/>
              <w:right w:val="single" w:color="000000" w:sz="4" w:space="0"/>
            </w:tcBorders>
            <w:shd w:val="clear" w:color="auto" w:fill="FFFFFF"/>
            <w:tcMar>
              <w:top w:w="90" w:type="dxa"/>
              <w:left w:w="120" w:type="dxa"/>
              <w:bottom w:w="90" w:type="dxa"/>
              <w:right w:w="120" w:type="dxa"/>
            </w:tcMar>
            <w:vAlign w:val="center"/>
          </w:tcPr>
          <w:p w14:paraId="26935DE8">
            <w:pPr>
              <w:spacing w:after="60" w:line="264" w:lineRule="auto"/>
              <w:jc w:val="center"/>
              <w:rPr>
                <w:rFonts w:hint="eastAsia" w:asciiTheme="minorEastAsia" w:hAnsiTheme="minorEastAsia" w:eastAsiaTheme="minorEastAsia" w:cstheme="minorEastAsia"/>
                <w:color w:val="000000"/>
                <w:sz w:val="22"/>
                <w:szCs w:val="28"/>
              </w:rPr>
            </w:pPr>
            <w:r>
              <w:rPr>
                <w:rFonts w:hint="eastAsia" w:asciiTheme="minorEastAsia" w:hAnsiTheme="minorEastAsia" w:eastAsiaTheme="minorEastAsia" w:cstheme="minorEastAsia"/>
                <w:color w:val="000000"/>
                <w:sz w:val="20"/>
                <w:szCs w:val="28"/>
              </w:rPr>
              <w:t>系统识别</w:t>
            </w:r>
          </w:p>
        </w:tc>
        <w:tc>
          <w:tcPr>
            <w:tcW w:w="6078" w:type="dxa"/>
            <w:tcBorders>
              <w:top w:val="single" w:color="000000" w:sz="4" w:space="0"/>
              <w:left w:val="single" w:color="000000" w:sz="4" w:space="0"/>
              <w:bottom w:val="single" w:color="000000" w:sz="4" w:space="0"/>
              <w:right w:val="single" w:color="000000" w:sz="4" w:space="0"/>
            </w:tcBorders>
            <w:shd w:val="clear" w:color="auto" w:fill="FFFFFF"/>
            <w:tcMar>
              <w:top w:w="90" w:type="dxa"/>
              <w:left w:w="120" w:type="dxa"/>
              <w:bottom w:w="90" w:type="dxa"/>
              <w:right w:w="120" w:type="dxa"/>
            </w:tcMar>
            <w:vAlign w:val="center"/>
          </w:tcPr>
          <w:p w14:paraId="7E864DA5">
            <w:pPr>
              <w:spacing w:after="60" w:line="264" w:lineRule="auto"/>
              <w:rPr>
                <w:rFonts w:hint="eastAsia" w:asciiTheme="minorEastAsia" w:hAnsiTheme="minorEastAsia" w:eastAsiaTheme="minorEastAsia" w:cstheme="minorEastAsia"/>
                <w:color w:val="000000"/>
                <w:sz w:val="22"/>
                <w:szCs w:val="28"/>
              </w:rPr>
            </w:pPr>
            <w:r>
              <w:rPr>
                <w:rFonts w:hint="eastAsia" w:asciiTheme="minorEastAsia" w:hAnsiTheme="minorEastAsia" w:eastAsiaTheme="minorEastAsia" w:cstheme="minorEastAsia"/>
                <w:color w:val="000000"/>
                <w:sz w:val="20"/>
                <w:szCs w:val="28"/>
              </w:rPr>
              <w:t>操作系统、驱动和管理软件安装正确；每台服务器的CPU、512GB及以上内存、8张GPU、硬盘、网卡、电源和风扇均被正确识别，型号、数量和容量与投标承诺一致。</w:t>
            </w:r>
          </w:p>
        </w:tc>
      </w:tr>
      <w:tr w14:paraId="79AD1024">
        <w:tblPrEx>
          <w:tblBorders>
            <w:top w:val="single" w:color="A6A6A6" w:sz="6" w:space="0"/>
            <w:left w:val="single" w:color="A6A6A6" w:sz="6" w:space="0"/>
            <w:bottom w:val="single" w:color="A6A6A6" w:sz="6" w:space="0"/>
            <w:right w:val="single" w:color="A6A6A6" w:sz="6" w:space="0"/>
            <w:insideH w:val="single" w:color="A6A6A6" w:sz="6" w:space="0"/>
            <w:insideV w:val="single" w:color="A6A6A6" w:sz="6" w:space="0"/>
          </w:tblBorders>
          <w:tblCellMar>
            <w:top w:w="0" w:type="dxa"/>
            <w:left w:w="108" w:type="dxa"/>
            <w:bottom w:w="0" w:type="dxa"/>
            <w:right w:w="108" w:type="dxa"/>
          </w:tblCellMar>
        </w:tblPrEx>
        <w:trPr>
          <w:cantSplit/>
          <w:jc w:val="center"/>
        </w:trPr>
        <w:tc>
          <w:tcPr>
            <w:tcW w:w="1201" w:type="dxa"/>
            <w:tcBorders>
              <w:top w:val="single" w:color="000000" w:sz="4" w:space="0"/>
              <w:left w:val="single" w:color="000000" w:sz="4" w:space="0"/>
              <w:bottom w:val="single" w:color="000000" w:sz="4" w:space="0"/>
              <w:right w:val="single" w:color="000000" w:sz="4" w:space="0"/>
            </w:tcBorders>
            <w:shd w:val="clear" w:color="auto" w:fill="FFFFFF"/>
            <w:tcMar>
              <w:top w:w="90" w:type="dxa"/>
              <w:left w:w="120" w:type="dxa"/>
              <w:bottom w:w="90" w:type="dxa"/>
              <w:right w:w="120" w:type="dxa"/>
            </w:tcMar>
            <w:vAlign w:val="center"/>
          </w:tcPr>
          <w:p w14:paraId="008C3CC4">
            <w:pPr>
              <w:spacing w:after="60" w:line="264" w:lineRule="auto"/>
              <w:jc w:val="center"/>
              <w:rPr>
                <w:rFonts w:hint="eastAsia" w:asciiTheme="minorEastAsia" w:hAnsiTheme="minorEastAsia" w:eastAsiaTheme="minorEastAsia" w:cstheme="minorEastAsia"/>
                <w:color w:val="000000"/>
                <w:sz w:val="22"/>
                <w:szCs w:val="28"/>
              </w:rPr>
            </w:pPr>
            <w:r>
              <w:rPr>
                <w:rFonts w:hint="eastAsia" w:asciiTheme="minorEastAsia" w:hAnsiTheme="minorEastAsia" w:eastAsiaTheme="minorEastAsia" w:cstheme="minorEastAsia"/>
                <w:color w:val="000000"/>
                <w:sz w:val="20"/>
                <w:szCs w:val="28"/>
              </w:rPr>
              <w:t>4</w:t>
            </w:r>
          </w:p>
        </w:tc>
        <w:tc>
          <w:tcPr>
            <w:tcW w:w="2018" w:type="dxa"/>
            <w:tcBorders>
              <w:top w:val="single" w:color="000000" w:sz="4" w:space="0"/>
              <w:left w:val="single" w:color="000000" w:sz="4" w:space="0"/>
              <w:bottom w:val="single" w:color="000000" w:sz="4" w:space="0"/>
              <w:right w:val="single" w:color="000000" w:sz="4" w:space="0"/>
            </w:tcBorders>
            <w:shd w:val="clear" w:color="auto" w:fill="FFFFFF"/>
            <w:tcMar>
              <w:top w:w="90" w:type="dxa"/>
              <w:left w:w="120" w:type="dxa"/>
              <w:bottom w:w="90" w:type="dxa"/>
              <w:right w:w="120" w:type="dxa"/>
            </w:tcMar>
            <w:vAlign w:val="center"/>
          </w:tcPr>
          <w:p w14:paraId="1F03CE93">
            <w:pPr>
              <w:spacing w:after="60" w:line="264" w:lineRule="auto"/>
              <w:jc w:val="center"/>
              <w:rPr>
                <w:rFonts w:hint="eastAsia" w:asciiTheme="minorEastAsia" w:hAnsiTheme="minorEastAsia" w:eastAsiaTheme="minorEastAsia" w:cstheme="minorEastAsia"/>
                <w:color w:val="000000"/>
                <w:sz w:val="22"/>
                <w:szCs w:val="28"/>
              </w:rPr>
            </w:pPr>
            <w:r>
              <w:rPr>
                <w:rFonts w:hint="eastAsia" w:asciiTheme="minorEastAsia" w:hAnsiTheme="minorEastAsia" w:eastAsiaTheme="minorEastAsia" w:cstheme="minorEastAsia"/>
                <w:color w:val="000000"/>
                <w:sz w:val="20"/>
                <w:szCs w:val="28"/>
              </w:rPr>
              <w:t>网络连通</w:t>
            </w:r>
          </w:p>
        </w:tc>
        <w:tc>
          <w:tcPr>
            <w:tcW w:w="6078" w:type="dxa"/>
            <w:tcBorders>
              <w:top w:val="single" w:color="000000" w:sz="4" w:space="0"/>
              <w:left w:val="single" w:color="000000" w:sz="4" w:space="0"/>
              <w:bottom w:val="single" w:color="000000" w:sz="4" w:space="0"/>
              <w:right w:val="single" w:color="000000" w:sz="4" w:space="0"/>
            </w:tcBorders>
            <w:shd w:val="clear" w:color="auto" w:fill="FFFFFF"/>
            <w:tcMar>
              <w:top w:w="90" w:type="dxa"/>
              <w:left w:w="120" w:type="dxa"/>
              <w:bottom w:w="90" w:type="dxa"/>
              <w:right w:w="120" w:type="dxa"/>
            </w:tcMar>
            <w:vAlign w:val="center"/>
          </w:tcPr>
          <w:p w14:paraId="7018922F">
            <w:pPr>
              <w:spacing w:after="60" w:line="264" w:lineRule="auto"/>
              <w:rPr>
                <w:rFonts w:hint="eastAsia" w:asciiTheme="minorEastAsia" w:hAnsiTheme="minorEastAsia" w:eastAsiaTheme="minorEastAsia" w:cstheme="minorEastAsia"/>
                <w:color w:val="000000"/>
                <w:sz w:val="22"/>
                <w:szCs w:val="28"/>
              </w:rPr>
            </w:pPr>
            <w:r>
              <w:rPr>
                <w:rFonts w:hint="eastAsia" w:asciiTheme="minorEastAsia" w:hAnsiTheme="minorEastAsia" w:eastAsiaTheme="minorEastAsia" w:cstheme="minorEastAsia"/>
                <w:color w:val="000000"/>
                <w:sz w:val="20"/>
                <w:szCs w:val="28"/>
              </w:rPr>
              <w:t>服务器与交换机、交换机与现有网络通信正常；每个200GbE接口单向有效带宽不低于180Gb/s，RoCEv2连通正常，RDMA端到端时延不高于2微秒。测试方法、报文大小和并发参数由采购人与中标人验收前书面确认。</w:t>
            </w:r>
          </w:p>
        </w:tc>
      </w:tr>
      <w:tr w14:paraId="7BC45FF3">
        <w:tblPrEx>
          <w:tblBorders>
            <w:top w:val="single" w:color="A6A6A6" w:sz="6" w:space="0"/>
            <w:left w:val="single" w:color="A6A6A6" w:sz="6" w:space="0"/>
            <w:bottom w:val="single" w:color="A6A6A6" w:sz="6" w:space="0"/>
            <w:right w:val="single" w:color="A6A6A6" w:sz="6" w:space="0"/>
            <w:insideH w:val="single" w:color="A6A6A6" w:sz="6" w:space="0"/>
            <w:insideV w:val="single" w:color="A6A6A6" w:sz="6" w:space="0"/>
          </w:tblBorders>
          <w:tblCellMar>
            <w:top w:w="0" w:type="dxa"/>
            <w:left w:w="108" w:type="dxa"/>
            <w:bottom w:w="0" w:type="dxa"/>
            <w:right w:w="108" w:type="dxa"/>
          </w:tblCellMar>
        </w:tblPrEx>
        <w:trPr>
          <w:cantSplit/>
          <w:jc w:val="center"/>
        </w:trPr>
        <w:tc>
          <w:tcPr>
            <w:tcW w:w="1201" w:type="dxa"/>
            <w:tcBorders>
              <w:top w:val="single" w:color="000000" w:sz="4" w:space="0"/>
              <w:left w:val="single" w:color="000000" w:sz="4" w:space="0"/>
              <w:bottom w:val="single" w:color="000000" w:sz="4" w:space="0"/>
              <w:right w:val="single" w:color="000000" w:sz="4" w:space="0"/>
            </w:tcBorders>
            <w:shd w:val="clear" w:color="auto" w:fill="FFFFFF"/>
            <w:tcMar>
              <w:top w:w="90" w:type="dxa"/>
              <w:left w:w="120" w:type="dxa"/>
              <w:bottom w:w="90" w:type="dxa"/>
              <w:right w:w="120" w:type="dxa"/>
            </w:tcMar>
            <w:vAlign w:val="center"/>
          </w:tcPr>
          <w:p w14:paraId="7F512F6F">
            <w:pPr>
              <w:spacing w:after="60" w:line="264" w:lineRule="auto"/>
              <w:jc w:val="center"/>
              <w:rPr>
                <w:rFonts w:hint="eastAsia" w:asciiTheme="minorEastAsia" w:hAnsiTheme="minorEastAsia" w:eastAsiaTheme="minorEastAsia" w:cstheme="minorEastAsia"/>
                <w:color w:val="000000"/>
                <w:sz w:val="22"/>
                <w:szCs w:val="28"/>
              </w:rPr>
            </w:pPr>
            <w:r>
              <w:rPr>
                <w:rFonts w:hint="eastAsia" w:asciiTheme="minorEastAsia" w:hAnsiTheme="minorEastAsia" w:eastAsiaTheme="minorEastAsia" w:cstheme="minorEastAsia"/>
                <w:color w:val="000000"/>
                <w:sz w:val="20"/>
                <w:szCs w:val="28"/>
              </w:rPr>
              <w:t>5</w:t>
            </w:r>
          </w:p>
        </w:tc>
        <w:tc>
          <w:tcPr>
            <w:tcW w:w="2018" w:type="dxa"/>
            <w:tcBorders>
              <w:top w:val="single" w:color="000000" w:sz="4" w:space="0"/>
              <w:left w:val="single" w:color="000000" w:sz="4" w:space="0"/>
              <w:bottom w:val="single" w:color="000000" w:sz="4" w:space="0"/>
              <w:right w:val="single" w:color="000000" w:sz="4" w:space="0"/>
            </w:tcBorders>
            <w:shd w:val="clear" w:color="auto" w:fill="FFFFFF"/>
            <w:tcMar>
              <w:top w:w="90" w:type="dxa"/>
              <w:left w:w="120" w:type="dxa"/>
              <w:bottom w:w="90" w:type="dxa"/>
              <w:right w:w="120" w:type="dxa"/>
            </w:tcMar>
            <w:vAlign w:val="center"/>
          </w:tcPr>
          <w:p w14:paraId="6895A6FD">
            <w:pPr>
              <w:spacing w:after="60" w:line="264" w:lineRule="auto"/>
              <w:jc w:val="center"/>
              <w:rPr>
                <w:rFonts w:hint="eastAsia" w:asciiTheme="minorEastAsia" w:hAnsiTheme="minorEastAsia" w:eastAsiaTheme="minorEastAsia" w:cstheme="minorEastAsia"/>
                <w:color w:val="000000"/>
                <w:sz w:val="22"/>
                <w:szCs w:val="28"/>
              </w:rPr>
            </w:pPr>
            <w:r>
              <w:rPr>
                <w:rFonts w:hint="eastAsia" w:asciiTheme="minorEastAsia" w:hAnsiTheme="minorEastAsia" w:eastAsiaTheme="minorEastAsia" w:cstheme="minorEastAsia"/>
                <w:color w:val="000000"/>
                <w:sz w:val="20"/>
                <w:szCs w:val="28"/>
              </w:rPr>
              <w:t>性能测试</w:t>
            </w:r>
          </w:p>
        </w:tc>
        <w:tc>
          <w:tcPr>
            <w:tcW w:w="6078" w:type="dxa"/>
            <w:tcBorders>
              <w:top w:val="single" w:color="000000" w:sz="4" w:space="0"/>
              <w:left w:val="single" w:color="000000" w:sz="4" w:space="0"/>
              <w:bottom w:val="single" w:color="000000" w:sz="4" w:space="0"/>
              <w:right w:val="single" w:color="000000" w:sz="4" w:space="0"/>
            </w:tcBorders>
            <w:shd w:val="clear" w:color="auto" w:fill="FFFFFF"/>
            <w:tcMar>
              <w:top w:w="90" w:type="dxa"/>
              <w:left w:w="120" w:type="dxa"/>
              <w:bottom w:w="90" w:type="dxa"/>
              <w:right w:w="120" w:type="dxa"/>
            </w:tcMar>
            <w:vAlign w:val="center"/>
          </w:tcPr>
          <w:p w14:paraId="503426E1">
            <w:pPr>
              <w:spacing w:after="60" w:line="264" w:lineRule="auto"/>
              <w:rPr>
                <w:rFonts w:hint="eastAsia" w:asciiTheme="minorEastAsia" w:hAnsiTheme="minorEastAsia" w:eastAsiaTheme="minorEastAsia" w:cstheme="minorEastAsia"/>
                <w:color w:val="000000"/>
                <w:sz w:val="22"/>
                <w:szCs w:val="28"/>
              </w:rPr>
            </w:pPr>
            <w:r>
              <w:rPr>
                <w:rFonts w:hint="eastAsia" w:asciiTheme="minorEastAsia" w:hAnsiTheme="minorEastAsia" w:eastAsiaTheme="minorEastAsia" w:cstheme="minorEastAsia"/>
                <w:color w:val="000000"/>
                <w:sz w:val="20"/>
                <w:szCs w:val="28"/>
              </w:rPr>
              <w:t>完成GPU、系统内存和本地存储性能测试。GPU显存容量及ECC状态与合同一致，TF32、FP16/BF16、FP8理论性能及PCIe接口与投标技术支持资料一致，实测显存带宽不低于投标承诺值的80%，并完成FP32计算正确性和压力测试；系统内存带宽不低于180GB/s。对投标文件中承诺得分的▲增强功能逐项进行功能验证。测试软件、版本和参数由双方验收前书面确认。</w:t>
            </w:r>
          </w:p>
        </w:tc>
      </w:tr>
      <w:tr w14:paraId="5A058143">
        <w:tblPrEx>
          <w:tblBorders>
            <w:top w:val="single" w:color="A6A6A6" w:sz="6" w:space="0"/>
            <w:left w:val="single" w:color="A6A6A6" w:sz="6" w:space="0"/>
            <w:bottom w:val="single" w:color="A6A6A6" w:sz="6" w:space="0"/>
            <w:right w:val="single" w:color="A6A6A6" w:sz="6" w:space="0"/>
            <w:insideH w:val="single" w:color="A6A6A6" w:sz="6" w:space="0"/>
            <w:insideV w:val="single" w:color="A6A6A6" w:sz="6" w:space="0"/>
          </w:tblBorders>
          <w:tblCellMar>
            <w:top w:w="0" w:type="dxa"/>
            <w:left w:w="108" w:type="dxa"/>
            <w:bottom w:w="0" w:type="dxa"/>
            <w:right w:w="108" w:type="dxa"/>
          </w:tblCellMar>
        </w:tblPrEx>
        <w:trPr>
          <w:cantSplit/>
          <w:jc w:val="center"/>
        </w:trPr>
        <w:tc>
          <w:tcPr>
            <w:tcW w:w="1201" w:type="dxa"/>
            <w:tcBorders>
              <w:top w:val="single" w:color="000000" w:sz="4" w:space="0"/>
              <w:left w:val="single" w:color="000000" w:sz="4" w:space="0"/>
              <w:bottom w:val="single" w:color="000000" w:sz="4" w:space="0"/>
              <w:right w:val="single" w:color="000000" w:sz="4" w:space="0"/>
            </w:tcBorders>
            <w:shd w:val="clear" w:color="auto" w:fill="FFFFFF"/>
            <w:tcMar>
              <w:top w:w="90" w:type="dxa"/>
              <w:left w:w="120" w:type="dxa"/>
              <w:bottom w:w="90" w:type="dxa"/>
              <w:right w:w="120" w:type="dxa"/>
            </w:tcMar>
            <w:vAlign w:val="center"/>
          </w:tcPr>
          <w:p w14:paraId="37A1E1CB">
            <w:pPr>
              <w:spacing w:after="60" w:line="264" w:lineRule="auto"/>
              <w:jc w:val="center"/>
              <w:rPr>
                <w:rFonts w:hint="eastAsia" w:asciiTheme="minorEastAsia" w:hAnsiTheme="minorEastAsia" w:eastAsiaTheme="minorEastAsia" w:cstheme="minorEastAsia"/>
                <w:color w:val="000000"/>
                <w:sz w:val="22"/>
                <w:szCs w:val="28"/>
              </w:rPr>
            </w:pPr>
            <w:r>
              <w:rPr>
                <w:rFonts w:hint="eastAsia" w:asciiTheme="minorEastAsia" w:hAnsiTheme="minorEastAsia" w:eastAsiaTheme="minorEastAsia" w:cstheme="minorEastAsia"/>
                <w:color w:val="000000"/>
                <w:sz w:val="20"/>
                <w:szCs w:val="28"/>
              </w:rPr>
              <w:t>6</w:t>
            </w:r>
          </w:p>
        </w:tc>
        <w:tc>
          <w:tcPr>
            <w:tcW w:w="2018" w:type="dxa"/>
            <w:tcBorders>
              <w:top w:val="single" w:color="000000" w:sz="4" w:space="0"/>
              <w:left w:val="single" w:color="000000" w:sz="4" w:space="0"/>
              <w:bottom w:val="single" w:color="000000" w:sz="4" w:space="0"/>
              <w:right w:val="single" w:color="000000" w:sz="4" w:space="0"/>
            </w:tcBorders>
            <w:shd w:val="clear" w:color="auto" w:fill="FFFFFF"/>
            <w:tcMar>
              <w:top w:w="90" w:type="dxa"/>
              <w:left w:w="120" w:type="dxa"/>
              <w:bottom w:w="90" w:type="dxa"/>
              <w:right w:w="120" w:type="dxa"/>
            </w:tcMar>
            <w:vAlign w:val="center"/>
          </w:tcPr>
          <w:p w14:paraId="585FED9B">
            <w:pPr>
              <w:spacing w:after="60" w:line="264" w:lineRule="auto"/>
              <w:jc w:val="center"/>
              <w:rPr>
                <w:rFonts w:hint="eastAsia" w:asciiTheme="minorEastAsia" w:hAnsiTheme="minorEastAsia" w:eastAsiaTheme="minorEastAsia" w:cstheme="minorEastAsia"/>
                <w:color w:val="000000"/>
                <w:sz w:val="22"/>
                <w:szCs w:val="28"/>
              </w:rPr>
            </w:pPr>
            <w:r>
              <w:rPr>
                <w:rFonts w:hint="eastAsia" w:asciiTheme="minorEastAsia" w:hAnsiTheme="minorEastAsia" w:eastAsiaTheme="minorEastAsia" w:cstheme="minorEastAsia"/>
                <w:color w:val="000000"/>
                <w:sz w:val="20"/>
                <w:szCs w:val="28"/>
              </w:rPr>
              <w:t>散卡适配</w:t>
            </w:r>
          </w:p>
        </w:tc>
        <w:tc>
          <w:tcPr>
            <w:tcW w:w="6078" w:type="dxa"/>
            <w:tcBorders>
              <w:top w:val="single" w:color="000000" w:sz="4" w:space="0"/>
              <w:left w:val="single" w:color="000000" w:sz="4" w:space="0"/>
              <w:bottom w:val="single" w:color="000000" w:sz="4" w:space="0"/>
              <w:right w:val="single" w:color="000000" w:sz="4" w:space="0"/>
            </w:tcBorders>
            <w:shd w:val="clear" w:color="auto" w:fill="FFFFFF"/>
            <w:tcMar>
              <w:top w:w="90" w:type="dxa"/>
              <w:left w:w="120" w:type="dxa"/>
              <w:bottom w:w="90" w:type="dxa"/>
              <w:right w:w="120" w:type="dxa"/>
            </w:tcMar>
            <w:vAlign w:val="center"/>
          </w:tcPr>
          <w:p w14:paraId="732B2A5F">
            <w:pPr>
              <w:spacing w:after="60" w:line="264" w:lineRule="auto"/>
              <w:rPr>
                <w:rFonts w:hint="eastAsia" w:asciiTheme="minorEastAsia" w:hAnsiTheme="minorEastAsia" w:eastAsiaTheme="minorEastAsia" w:cstheme="minorEastAsia"/>
                <w:color w:val="000000"/>
                <w:sz w:val="22"/>
                <w:szCs w:val="28"/>
              </w:rPr>
            </w:pPr>
            <w:r>
              <w:rPr>
                <w:rFonts w:hint="eastAsia" w:asciiTheme="minorEastAsia" w:hAnsiTheme="minorEastAsia" w:eastAsiaTheme="minorEastAsia" w:cstheme="minorEastAsia"/>
                <w:color w:val="000000"/>
                <w:sz w:val="20"/>
                <w:szCs w:val="28"/>
              </w:rPr>
              <w:t>8张独立交付GPU须逐张在本项目所供GPU服务器上完成安装识别、显存容量及ECC状态核验，并分别完成不少于30分钟的基础压力测试。</w:t>
            </w:r>
          </w:p>
        </w:tc>
      </w:tr>
      <w:tr w14:paraId="13D54DDA">
        <w:tblPrEx>
          <w:tblBorders>
            <w:top w:val="single" w:color="A6A6A6" w:sz="6" w:space="0"/>
            <w:left w:val="single" w:color="A6A6A6" w:sz="6" w:space="0"/>
            <w:bottom w:val="single" w:color="A6A6A6" w:sz="6" w:space="0"/>
            <w:right w:val="single" w:color="A6A6A6" w:sz="6" w:space="0"/>
            <w:insideH w:val="single" w:color="A6A6A6" w:sz="6" w:space="0"/>
            <w:insideV w:val="single" w:color="A6A6A6" w:sz="6" w:space="0"/>
          </w:tblBorders>
          <w:tblCellMar>
            <w:top w:w="0" w:type="dxa"/>
            <w:left w:w="108" w:type="dxa"/>
            <w:bottom w:w="0" w:type="dxa"/>
            <w:right w:w="108" w:type="dxa"/>
          </w:tblCellMar>
        </w:tblPrEx>
        <w:trPr>
          <w:cantSplit/>
          <w:jc w:val="center"/>
        </w:trPr>
        <w:tc>
          <w:tcPr>
            <w:tcW w:w="1201" w:type="dxa"/>
            <w:tcBorders>
              <w:top w:val="single" w:color="000000" w:sz="4" w:space="0"/>
              <w:left w:val="single" w:color="000000" w:sz="4" w:space="0"/>
              <w:bottom w:val="single" w:color="000000" w:sz="4" w:space="0"/>
              <w:right w:val="single" w:color="000000" w:sz="4" w:space="0"/>
            </w:tcBorders>
            <w:shd w:val="clear" w:color="auto" w:fill="FFFFFF"/>
            <w:tcMar>
              <w:top w:w="90" w:type="dxa"/>
              <w:left w:w="120" w:type="dxa"/>
              <w:bottom w:w="90" w:type="dxa"/>
              <w:right w:w="120" w:type="dxa"/>
            </w:tcMar>
            <w:vAlign w:val="center"/>
          </w:tcPr>
          <w:p w14:paraId="203CBFD5">
            <w:pPr>
              <w:spacing w:after="60" w:line="264" w:lineRule="auto"/>
              <w:jc w:val="center"/>
              <w:rPr>
                <w:rFonts w:hint="eastAsia" w:asciiTheme="minorEastAsia" w:hAnsiTheme="minorEastAsia" w:eastAsiaTheme="minorEastAsia" w:cstheme="minorEastAsia"/>
                <w:color w:val="000000"/>
                <w:sz w:val="22"/>
                <w:szCs w:val="28"/>
              </w:rPr>
            </w:pPr>
            <w:r>
              <w:rPr>
                <w:rFonts w:hint="eastAsia" w:asciiTheme="minorEastAsia" w:hAnsiTheme="minorEastAsia" w:eastAsiaTheme="minorEastAsia" w:cstheme="minorEastAsia"/>
                <w:color w:val="000000"/>
                <w:sz w:val="20"/>
                <w:szCs w:val="28"/>
              </w:rPr>
              <w:t>7</w:t>
            </w:r>
          </w:p>
        </w:tc>
        <w:tc>
          <w:tcPr>
            <w:tcW w:w="2018" w:type="dxa"/>
            <w:tcBorders>
              <w:top w:val="single" w:color="000000" w:sz="4" w:space="0"/>
              <w:left w:val="single" w:color="000000" w:sz="4" w:space="0"/>
              <w:bottom w:val="single" w:color="000000" w:sz="4" w:space="0"/>
              <w:right w:val="single" w:color="000000" w:sz="4" w:space="0"/>
            </w:tcBorders>
            <w:shd w:val="clear" w:color="auto" w:fill="FFFFFF"/>
            <w:tcMar>
              <w:top w:w="90" w:type="dxa"/>
              <w:left w:w="120" w:type="dxa"/>
              <w:bottom w:w="90" w:type="dxa"/>
              <w:right w:w="120" w:type="dxa"/>
            </w:tcMar>
            <w:vAlign w:val="center"/>
          </w:tcPr>
          <w:p w14:paraId="559815B6">
            <w:pPr>
              <w:spacing w:after="60" w:line="264" w:lineRule="auto"/>
              <w:jc w:val="center"/>
              <w:rPr>
                <w:rFonts w:hint="eastAsia" w:asciiTheme="minorEastAsia" w:hAnsiTheme="minorEastAsia" w:eastAsiaTheme="minorEastAsia" w:cstheme="minorEastAsia"/>
                <w:color w:val="000000"/>
                <w:sz w:val="22"/>
                <w:szCs w:val="28"/>
              </w:rPr>
            </w:pPr>
            <w:r>
              <w:rPr>
                <w:rFonts w:hint="eastAsia" w:asciiTheme="minorEastAsia" w:hAnsiTheme="minorEastAsia" w:eastAsiaTheme="minorEastAsia" w:cstheme="minorEastAsia"/>
                <w:color w:val="000000"/>
                <w:sz w:val="20"/>
                <w:szCs w:val="28"/>
              </w:rPr>
              <w:t>稳定性</w:t>
            </w:r>
          </w:p>
        </w:tc>
        <w:tc>
          <w:tcPr>
            <w:tcW w:w="6078" w:type="dxa"/>
            <w:tcBorders>
              <w:top w:val="single" w:color="000000" w:sz="4" w:space="0"/>
              <w:left w:val="single" w:color="000000" w:sz="4" w:space="0"/>
              <w:bottom w:val="single" w:color="000000" w:sz="4" w:space="0"/>
              <w:right w:val="single" w:color="000000" w:sz="4" w:space="0"/>
            </w:tcBorders>
            <w:shd w:val="clear" w:color="auto" w:fill="FFFFFF"/>
            <w:tcMar>
              <w:top w:w="90" w:type="dxa"/>
              <w:left w:w="120" w:type="dxa"/>
              <w:bottom w:w="90" w:type="dxa"/>
              <w:right w:w="120" w:type="dxa"/>
            </w:tcMar>
            <w:vAlign w:val="center"/>
          </w:tcPr>
          <w:p w14:paraId="4685BDF6">
            <w:pPr>
              <w:spacing w:after="60" w:line="264" w:lineRule="auto"/>
              <w:rPr>
                <w:rFonts w:hint="eastAsia" w:asciiTheme="minorEastAsia" w:hAnsiTheme="minorEastAsia" w:eastAsiaTheme="minorEastAsia" w:cstheme="minorEastAsia"/>
                <w:color w:val="000000"/>
                <w:sz w:val="22"/>
                <w:szCs w:val="28"/>
              </w:rPr>
            </w:pPr>
            <w:r>
              <w:rPr>
                <w:rFonts w:hint="eastAsia" w:asciiTheme="minorEastAsia" w:hAnsiTheme="minorEastAsia" w:eastAsiaTheme="minorEastAsia" w:cstheme="minorEastAsia"/>
                <w:color w:val="000000"/>
                <w:sz w:val="20"/>
                <w:szCs w:val="28"/>
              </w:rPr>
              <w:t>2台服务器均在8卡满配状态下连续满载运行48小时，无宕机、掉卡、未纠正ECC错误、过温、供电或散热告警；交换机和网络链路保持稳定。</w:t>
            </w:r>
          </w:p>
        </w:tc>
      </w:tr>
      <w:tr w14:paraId="6C6F0F90">
        <w:tblPrEx>
          <w:tblBorders>
            <w:top w:val="single" w:color="A6A6A6" w:sz="6" w:space="0"/>
            <w:left w:val="single" w:color="A6A6A6" w:sz="6" w:space="0"/>
            <w:bottom w:val="single" w:color="A6A6A6" w:sz="6" w:space="0"/>
            <w:right w:val="single" w:color="A6A6A6" w:sz="6" w:space="0"/>
            <w:insideH w:val="single" w:color="A6A6A6" w:sz="6" w:space="0"/>
            <w:insideV w:val="single" w:color="A6A6A6" w:sz="6" w:space="0"/>
          </w:tblBorders>
          <w:tblCellMar>
            <w:top w:w="0" w:type="dxa"/>
            <w:left w:w="108" w:type="dxa"/>
            <w:bottom w:w="0" w:type="dxa"/>
            <w:right w:w="108" w:type="dxa"/>
          </w:tblCellMar>
        </w:tblPrEx>
        <w:trPr>
          <w:cantSplit/>
          <w:jc w:val="center"/>
        </w:trPr>
        <w:tc>
          <w:tcPr>
            <w:tcW w:w="1201" w:type="dxa"/>
            <w:tcBorders>
              <w:top w:val="single" w:color="000000" w:sz="4" w:space="0"/>
              <w:left w:val="single" w:color="000000" w:sz="4" w:space="0"/>
              <w:bottom w:val="single" w:color="000000" w:sz="4" w:space="0"/>
              <w:right w:val="single" w:color="000000" w:sz="4" w:space="0"/>
            </w:tcBorders>
            <w:shd w:val="clear" w:color="auto" w:fill="FFFFFF"/>
            <w:tcMar>
              <w:top w:w="90" w:type="dxa"/>
              <w:left w:w="120" w:type="dxa"/>
              <w:bottom w:w="90" w:type="dxa"/>
              <w:right w:w="120" w:type="dxa"/>
            </w:tcMar>
            <w:vAlign w:val="center"/>
          </w:tcPr>
          <w:p w14:paraId="7918629C">
            <w:pPr>
              <w:spacing w:after="60" w:line="264" w:lineRule="auto"/>
              <w:jc w:val="center"/>
              <w:rPr>
                <w:rFonts w:hint="eastAsia" w:asciiTheme="minorEastAsia" w:hAnsiTheme="minorEastAsia" w:eastAsiaTheme="minorEastAsia" w:cstheme="minorEastAsia"/>
                <w:color w:val="000000"/>
                <w:sz w:val="22"/>
                <w:szCs w:val="28"/>
              </w:rPr>
            </w:pPr>
            <w:r>
              <w:rPr>
                <w:rFonts w:hint="eastAsia" w:asciiTheme="minorEastAsia" w:hAnsiTheme="minorEastAsia" w:eastAsiaTheme="minorEastAsia" w:cstheme="minorEastAsia"/>
                <w:color w:val="000000"/>
                <w:sz w:val="20"/>
                <w:szCs w:val="28"/>
              </w:rPr>
              <w:t>8</w:t>
            </w:r>
          </w:p>
        </w:tc>
        <w:tc>
          <w:tcPr>
            <w:tcW w:w="2018" w:type="dxa"/>
            <w:tcBorders>
              <w:top w:val="single" w:color="000000" w:sz="4" w:space="0"/>
              <w:left w:val="single" w:color="000000" w:sz="4" w:space="0"/>
              <w:bottom w:val="single" w:color="000000" w:sz="4" w:space="0"/>
              <w:right w:val="single" w:color="000000" w:sz="4" w:space="0"/>
            </w:tcBorders>
            <w:shd w:val="clear" w:color="auto" w:fill="FFFFFF"/>
            <w:tcMar>
              <w:top w:w="90" w:type="dxa"/>
              <w:left w:w="120" w:type="dxa"/>
              <w:bottom w:w="90" w:type="dxa"/>
              <w:right w:w="120" w:type="dxa"/>
            </w:tcMar>
            <w:vAlign w:val="center"/>
          </w:tcPr>
          <w:p w14:paraId="378BE047">
            <w:pPr>
              <w:spacing w:after="60" w:line="264" w:lineRule="auto"/>
              <w:jc w:val="center"/>
              <w:rPr>
                <w:rFonts w:hint="eastAsia" w:asciiTheme="minorEastAsia" w:hAnsiTheme="minorEastAsia" w:eastAsiaTheme="minorEastAsia" w:cstheme="minorEastAsia"/>
                <w:color w:val="000000"/>
                <w:sz w:val="22"/>
                <w:szCs w:val="28"/>
              </w:rPr>
            </w:pPr>
            <w:r>
              <w:rPr>
                <w:rFonts w:hint="eastAsia" w:asciiTheme="minorEastAsia" w:hAnsiTheme="minorEastAsia" w:eastAsiaTheme="minorEastAsia" w:cstheme="minorEastAsia"/>
                <w:color w:val="000000"/>
                <w:sz w:val="20"/>
                <w:szCs w:val="28"/>
              </w:rPr>
              <w:t>验收文档</w:t>
            </w:r>
          </w:p>
        </w:tc>
        <w:tc>
          <w:tcPr>
            <w:tcW w:w="6078" w:type="dxa"/>
            <w:tcBorders>
              <w:top w:val="single" w:color="000000" w:sz="4" w:space="0"/>
              <w:left w:val="single" w:color="000000" w:sz="4" w:space="0"/>
              <w:bottom w:val="single" w:color="000000" w:sz="4" w:space="0"/>
              <w:right w:val="single" w:color="000000" w:sz="4" w:space="0"/>
            </w:tcBorders>
            <w:shd w:val="clear" w:color="auto" w:fill="FFFFFF"/>
            <w:tcMar>
              <w:top w:w="90" w:type="dxa"/>
              <w:left w:w="120" w:type="dxa"/>
              <w:bottom w:w="90" w:type="dxa"/>
              <w:right w:w="120" w:type="dxa"/>
            </w:tcMar>
            <w:vAlign w:val="center"/>
          </w:tcPr>
          <w:p w14:paraId="0C27C2F6">
            <w:pPr>
              <w:spacing w:after="60" w:line="264" w:lineRule="auto"/>
              <w:rPr>
                <w:rFonts w:hint="eastAsia" w:asciiTheme="minorEastAsia" w:hAnsiTheme="minorEastAsia" w:eastAsiaTheme="minorEastAsia" w:cstheme="minorEastAsia"/>
                <w:color w:val="000000"/>
                <w:sz w:val="22"/>
                <w:szCs w:val="28"/>
              </w:rPr>
            </w:pPr>
            <w:r>
              <w:rPr>
                <w:rFonts w:hint="eastAsia" w:asciiTheme="minorEastAsia" w:hAnsiTheme="minorEastAsia" w:eastAsiaTheme="minorEastAsia" w:cstheme="minorEastAsia"/>
                <w:color w:val="000000"/>
                <w:sz w:val="20"/>
                <w:szCs w:val="28"/>
              </w:rPr>
              <w:t>提交安装调试报告、性能测试报告、设备配置清单、线缆路由表、培训签到表及培训资料等完整文档。</w:t>
            </w:r>
          </w:p>
        </w:tc>
      </w:tr>
    </w:tbl>
    <w:p w14:paraId="7BB4E9FD">
      <w:pPr>
        <w:pStyle w:val="2"/>
        <w:numPr>
          <w:ilvl w:val="0"/>
          <w:numId w:val="8"/>
        </w:numPr>
        <w:spacing w:line="360" w:lineRule="auto"/>
      </w:pPr>
      <w:r>
        <w:rPr>
          <w:rFonts w:hint="eastAsia"/>
        </w:rPr>
        <w:t>其他要求</w:t>
      </w:r>
    </w:p>
    <w:p w14:paraId="08822961">
      <w:pPr>
        <w:spacing w:after="120" w:line="276" w:lineRule="auto"/>
        <w:ind w:firstLine="440" w:firstLineChars="0"/>
        <w:rPr>
          <w:rFonts w:ascii="宋体" w:hAnsi="宋体" w:eastAsia="宋体"/>
          <w:sz w:val="22"/>
        </w:rPr>
      </w:pPr>
      <w:r>
        <w:rPr>
          <w:rFonts w:ascii="宋体" w:hAnsi="宋体" w:eastAsia="宋体"/>
          <w:sz w:val="22"/>
        </w:rPr>
        <w:t>提供投标人或GPU计算服务器原厂商近三年内类似高性能GPU计算设备项目业绩的，优先考虑。</w:t>
      </w:r>
    </w:p>
    <w:sectPr>
      <w:headerReference r:id="rId3" w:type="first"/>
      <w:pgSz w:w="12240" w:h="15840"/>
      <w:pgMar w:top="1134" w:right="335" w:bottom="1134" w:left="1134" w:header="720" w:footer="720" w:gutter="0"/>
      <w:cols w:space="720" w:num="1"/>
      <w:docGrid w:linePitch="240" w:charSpace="-655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Arial Unicode MS">
    <w:altName w:val="DejaVu Sans"/>
    <w:panose1 w:val="020B0604020202020204"/>
    <w:charset w:val="86"/>
    <w:family w:val="swiss"/>
    <w:pitch w:val="default"/>
    <w:sig w:usb0="00000000" w:usb1="00000000" w:usb2="0000003F" w:usb3="00000000" w:csb0="003F01FF" w:csb1="00000000"/>
  </w:font>
  <w:font w:name="Lohit Devanagari">
    <w:panose1 w:val="020B0600000000000000"/>
    <w:charset w:val="01"/>
    <w:family w:val="auto"/>
    <w:pitch w:val="default"/>
    <w:sig w:usb0="80008023" w:usb1="00002042" w:usb2="00000000" w:usb3="00000000" w:csb0="00000001" w:csb1="00000000"/>
  </w:font>
  <w:font w:name="隶书">
    <w:altName w:val="方正隶书_GBK"/>
    <w:panose1 w:val="02010509060101010101"/>
    <w:charset w:val="86"/>
    <w:family w:val="modern"/>
    <w:pitch w:val="default"/>
    <w:sig w:usb0="00000000" w:usb1="00000000" w:usb2="00000010" w:usb3="00000000" w:csb0="00040000" w:csb1="00000000"/>
  </w:font>
  <w:font w:name="方正隶书_GBK">
    <w:panose1 w:val="02000000000000000000"/>
    <w:charset w:val="86"/>
    <w:family w:val="auto"/>
    <w:pitch w:val="default"/>
    <w:sig w:usb0="00000001" w:usb1="08000000" w:usb2="00000000" w:usb3="00000000" w:csb0="00040000" w:csb1="00000000"/>
  </w:font>
  <w:font w:name="Book Antiqua">
    <w:altName w:val="Liberation Serif"/>
    <w:panose1 w:val="02040602050305030304"/>
    <w:charset w:val="00"/>
    <w:family w:val="roman"/>
    <w:pitch w:val="default"/>
    <w:sig w:usb0="00000000" w:usb1="00000000" w:usb2="00000000" w:usb3="00000000" w:csb0="0000009F" w:csb1="00000000"/>
  </w:font>
  <w:font w:name="Liberation Serif">
    <w:panose1 w:val="02020603050405020304"/>
    <w:charset w:val="00"/>
    <w:family w:val="auto"/>
    <w:pitch w:val="default"/>
    <w:sig w:usb0="A00002AF" w:usb1="500078FB" w:usb2="00000000" w:usb3="00000000" w:csb0="6000009F" w:csb1="DFD70000"/>
  </w:font>
  <w:font w:name="Cambria">
    <w:altName w:val="Noto Sans Syriac Eastern"/>
    <w:panose1 w:val="02040503050406030204"/>
    <w:charset w:val="00"/>
    <w:family w:val="roman"/>
    <w:pitch w:val="default"/>
    <w:sig w:usb0="00000000" w:usb1="00000000" w:usb2="02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Arial Narrow">
    <w:altName w:val="DejaVu Sans"/>
    <w:panose1 w:val="020B0606020202030204"/>
    <w:charset w:val="00"/>
    <w:family w:val="swiss"/>
    <w:pitch w:val="default"/>
    <w:sig w:usb0="00000000" w:usb1="00000000" w:usb2="00000000" w:usb3="00000000" w:csb0="0000009F" w:csb1="00000000"/>
  </w:font>
  <w:font w:name="Consolas">
    <w:altName w:val="Liberation Sans Narrow"/>
    <w:panose1 w:val="020B0609020204030204"/>
    <w:charset w:val="00"/>
    <w:family w:val="modern"/>
    <w:pitch w:val="default"/>
    <w:sig w:usb0="00000000" w:usb1="00000000" w:usb2="00000001" w:usb3="00000000" w:csb0="0000019F" w:csb1="00000000"/>
  </w:font>
  <w:font w:name="Liberation Sans Narrow">
    <w:panose1 w:val="020B0606020202030204"/>
    <w:charset w:val="00"/>
    <w:family w:val="auto"/>
    <w:pitch w:val="default"/>
    <w:sig w:usb0="A00002AF" w:usb1="500078FB" w:usb2="00000000" w:usb3="00000000" w:csb0="6000009F" w:csb1="DFD70000"/>
  </w:font>
  <w:font w:name="Tahoma">
    <w:altName w:val="noto sans thai"/>
    <w:panose1 w:val="020B0604030504040204"/>
    <w:charset w:val="00"/>
    <w:family w:val="swiss"/>
    <w:pitch w:val="default"/>
    <w:sig w:usb0="00000000" w:usb1="00000000" w:usb2="00000029" w:usb3="00000000" w:csb0="000101FF" w:csb1="00000000"/>
  </w:font>
  <w:font w:name="noto sans thai">
    <w:panose1 w:val="020B0502040504020204"/>
    <w:charset w:val="00"/>
    <w:family w:val="auto"/>
    <w:pitch w:val="default"/>
    <w:sig w:usb0="81000063" w:usb1="00002000" w:usb2="00000000" w:usb3="00000000" w:csb0="00010000" w:csb1="00000000"/>
  </w:font>
  <w:font w:name="Verdana">
    <w:altName w:val="DejaVu Sans"/>
    <w:panose1 w:val="020B0604030504040204"/>
    <w:charset w:val="00"/>
    <w:family w:val="swiss"/>
    <w:pitch w:val="default"/>
    <w:sig w:usb0="00000000" w:usb1="00000000" w:usb2="00000010" w:usb3="00000000" w:csb0="0000019F" w:csb1="00000000"/>
  </w:font>
  <w:font w:name="Calibri Light">
    <w:altName w:val="DejaVu Sans"/>
    <w:panose1 w:val="020F0302020204030204"/>
    <w:charset w:val="00"/>
    <w:family w:val="swiss"/>
    <w:pitch w:val="default"/>
    <w:sig w:usb0="00000000" w:usb1="00000000" w:usb2="00000009" w:usb3="00000000" w:csb0="000001FF" w:csb1="00000000"/>
  </w:font>
  <w:font w:name="Liberation Sans">
    <w:panose1 w:val="020B0604020202020204"/>
    <w:charset w:val="01"/>
    <w:family w:val="roman"/>
    <w:pitch w:val="default"/>
    <w:sig w:usb0="A00002AF" w:usb1="500078FB" w:usb2="00000000" w:usb3="00000000" w:csb0="6000009F" w:csb1="DFD70000"/>
  </w:font>
  <w:font w:name="WenQuanYi Zen Hei Sharp">
    <w:altName w:val="仿宋_GB2312"/>
    <w:panose1 w:val="00000000000000000000"/>
    <w:charset w:val="01"/>
    <w:family w:val="roman"/>
    <w:pitch w:val="default"/>
    <w:sig w:usb0="00000000" w:usb1="00000000" w:usb2="00000000" w:usb3="00000000" w:csb0="00000000" w:csb1="00000000"/>
  </w:font>
  <w:font w:name="Helvetica">
    <w:altName w:val="Liberation Sans"/>
    <w:panose1 w:val="020B0604020202020204"/>
    <w:charset w:val="00"/>
    <w:family w:val="swiss"/>
    <w:pitch w:val="default"/>
    <w:sig w:usb0="00000000" w:usb1="00000000" w:usb2="00000000" w:usb3="00000000" w:csb0="00000001" w:csb1="00000000"/>
  </w:font>
  <w:font w:name="楷体_GB2312">
    <w:panose1 w:val="02010609030101010101"/>
    <w:charset w:val="86"/>
    <w:family w:val="modern"/>
    <w:pitch w:val="default"/>
    <w:sig w:usb0="00000001" w:usb1="080E0000" w:usb2="00000000" w:usb3="00000000" w:csb0="00040000" w:csb1="00000000"/>
  </w:font>
  <w:font w:name="东文宋体">
    <w:altName w:val="方正书宋_GBK"/>
    <w:panose1 w:val="00000000000000000000"/>
    <w:charset w:val="00"/>
    <w:family w:val="auto"/>
    <w:pitch w:val="default"/>
    <w:sig w:usb0="00000000" w:usb1="00000000" w:usb2="00000000" w:usb3="00000000" w:csb0="00000000" w:csb1="00000000"/>
  </w:font>
  <w:font w:name="国标黑体">
    <w:panose1 w:val="02000500000000000000"/>
    <w:charset w:val="86"/>
    <w:family w:val="auto"/>
    <w:pitch w:val="default"/>
    <w:sig w:usb0="00000001" w:usb1="08000000" w:usb2="00000000" w:usb3="00000000" w:csb0="00040000" w:csb1="00000000"/>
  </w:font>
  <w:font w:name="微软雅黑">
    <w:altName w:val="方正黑体_GBK"/>
    <w:panose1 w:val="00000000000000000000"/>
    <w:charset w:val="00"/>
    <w:family w:val="auto"/>
    <w:pitch w:val="default"/>
    <w:sig w:usb0="00000000" w:usb1="00000000" w:usb2="00000000" w:usb3="00000000" w:csb0="00000000" w:csb1="00000000"/>
  </w:font>
  <w:font w:name="方正仿宋_GBK">
    <w:panose1 w:val="02000000000000000000"/>
    <w:charset w:val="86"/>
    <w:family w:val="auto"/>
    <w:pitch w:val="default"/>
    <w:sig w:usb0="00000001" w:usb1="08000000" w:usb2="00000000" w:usb3="00000000" w:csb0="00040000" w:csb1="00000000"/>
  </w:font>
  <w:font w:name="Arial">
    <w:altName w:val="DejaVu Sans"/>
    <w:panose1 w:val="00000000000000000000"/>
    <w:charset w:val="00"/>
    <w:family w:val="auto"/>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36"/>
      <w:tblW w:w="0" w:type="auto"/>
      <w:tblInd w:w="108"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460"/>
      <w:gridCol w:w="4200"/>
    </w:tblGrid>
    <w:tr w14:paraId="291AA026">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5460" w:type="dxa"/>
          <w:tcBorders>
            <w:bottom w:val="single" w:color="auto" w:sz="4" w:space="0"/>
          </w:tcBorders>
          <w:vAlign w:val="bottom"/>
        </w:tcPr>
        <w:p w14:paraId="4EF16765">
          <w:pPr>
            <w:pStyle w:val="182"/>
            <w:rPr>
              <w:rFonts w:cs="Times New Roman"/>
              <w:szCs w:val="24"/>
            </w:rPr>
          </w:pPr>
        </w:p>
      </w:tc>
      <w:tc>
        <w:tcPr>
          <w:tcW w:w="4200" w:type="dxa"/>
          <w:tcBorders>
            <w:bottom w:val="single" w:color="auto" w:sz="4" w:space="0"/>
          </w:tcBorders>
          <w:vAlign w:val="bottom"/>
        </w:tcPr>
        <w:p w14:paraId="1E186655">
          <w:pPr>
            <w:pStyle w:val="183"/>
            <w:rPr>
              <w:rFonts w:cs="Times New Roman"/>
              <w:szCs w:val="24"/>
            </w:rPr>
          </w:pPr>
        </w:p>
      </w:tc>
    </w:tr>
  </w:tbl>
  <w:p w14:paraId="7D7EA067">
    <w:pPr>
      <w:pStyle w:val="183"/>
      <w:rPr>
        <w:rFonts w:cs="Times New Roman"/>
        <w:szCs w:val="24"/>
      </w:rPr>
    </w:pPr>
  </w:p>
  <w:p w14:paraId="7DDC7E02"/>
  <w:tbl>
    <w:tblPr>
      <w:tblStyle w:val="36"/>
      <w:tblW w:w="0" w:type="auto"/>
      <w:tblInd w:w="108"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5460"/>
      <w:gridCol w:w="4200"/>
    </w:tblGrid>
    <w:tr w14:paraId="68B281ED">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1" w:hRule="atLeast"/>
      </w:trPr>
      <w:tc>
        <w:tcPr>
          <w:tcW w:w="5460" w:type="dxa"/>
          <w:tcBorders>
            <w:bottom w:val="single" w:color="auto" w:sz="4" w:space="0"/>
          </w:tcBorders>
          <w:vAlign w:val="bottom"/>
        </w:tcPr>
        <w:p w14:paraId="0EDB16D4">
          <w:pPr>
            <w:pStyle w:val="182"/>
            <w:rPr>
              <w:rFonts w:cs="Times New Roman"/>
              <w:szCs w:val="24"/>
            </w:rPr>
          </w:pPr>
        </w:p>
      </w:tc>
      <w:tc>
        <w:tcPr>
          <w:tcW w:w="4200" w:type="dxa"/>
          <w:tcBorders>
            <w:bottom w:val="single" w:color="auto" w:sz="4" w:space="0"/>
          </w:tcBorders>
          <w:vAlign w:val="bottom"/>
        </w:tcPr>
        <w:p w14:paraId="06077F7D">
          <w:pPr>
            <w:pStyle w:val="183"/>
            <w:rPr>
              <w:rFonts w:cs="Times New Roman"/>
              <w:szCs w:val="24"/>
            </w:rPr>
          </w:pPr>
        </w:p>
      </w:tc>
    </w:tr>
  </w:tbl>
  <w:p w14:paraId="232F3EAF">
    <w:pPr>
      <w:pStyle w:val="183"/>
      <w:rPr>
        <w:rFonts w:cs="Times New Roman"/>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D"/>
    <w:multiLevelType w:val="singleLevel"/>
    <w:tmpl w:val="FFFFFF7D"/>
    <w:lvl w:ilvl="0" w:tentative="0">
      <w:start w:val="1"/>
      <w:numFmt w:val="decimal"/>
      <w:pStyle w:val="21"/>
      <w:lvlText w:val="%1."/>
      <w:lvlJc w:val="left"/>
      <w:pPr>
        <w:tabs>
          <w:tab w:val="left" w:pos="1620"/>
        </w:tabs>
        <w:ind w:left="1620" w:hanging="360"/>
      </w:pPr>
    </w:lvl>
  </w:abstractNum>
  <w:abstractNum w:abstractNumId="1">
    <w:nsid w:val="FFFFFFFB"/>
    <w:multiLevelType w:val="multilevel"/>
    <w:tmpl w:val="FFFFFFFB"/>
    <w:lvl w:ilvl="0" w:tentative="0">
      <w:start w:val="2"/>
      <w:numFmt w:val="decimal"/>
      <w:lvlText w:val="%1"/>
      <w:lvlJc w:val="left"/>
      <w:pPr>
        <w:tabs>
          <w:tab w:val="left" w:pos="425"/>
        </w:tabs>
        <w:ind w:left="425" w:hanging="425"/>
      </w:pPr>
    </w:lvl>
    <w:lvl w:ilvl="1" w:tentative="0">
      <w:start w:val="2"/>
      <w:numFmt w:val="decimal"/>
      <w:lvlText w:val="%1.%2"/>
      <w:lvlJc w:val="left"/>
      <w:pPr>
        <w:tabs>
          <w:tab w:val="left" w:pos="992"/>
        </w:tabs>
        <w:ind w:left="992" w:hanging="567"/>
      </w:pPr>
    </w:lvl>
    <w:lvl w:ilvl="2" w:tentative="0">
      <w:start w:val="1"/>
      <w:numFmt w:val="decimal"/>
      <w:lvlText w:val="%1.%2.%3"/>
      <w:lvlJc w:val="left"/>
      <w:pPr>
        <w:tabs>
          <w:tab w:val="left" w:pos="1571"/>
        </w:tabs>
        <w:ind w:left="1418" w:hanging="567"/>
      </w:pPr>
    </w:lvl>
    <w:lvl w:ilvl="3" w:tentative="0">
      <w:start w:val="1"/>
      <w:numFmt w:val="decimal"/>
      <w:lvlText w:val="%1.%2.%3.%4"/>
      <w:lvlJc w:val="left"/>
      <w:pPr>
        <w:tabs>
          <w:tab w:val="left" w:pos="2356"/>
        </w:tabs>
        <w:ind w:left="1984" w:hanging="708"/>
      </w:pPr>
    </w:lvl>
    <w:lvl w:ilvl="4" w:tentative="0">
      <w:start w:val="1"/>
      <w:numFmt w:val="decimal"/>
      <w:pStyle w:val="7"/>
      <w:lvlText w:val="%1.%2.%3.%4.%5"/>
      <w:lvlJc w:val="left"/>
      <w:pPr>
        <w:tabs>
          <w:tab w:val="left" w:pos="3141"/>
        </w:tabs>
        <w:ind w:left="2551" w:hanging="850"/>
      </w:pPr>
    </w:lvl>
    <w:lvl w:ilvl="5" w:tentative="0">
      <w:start w:val="1"/>
      <w:numFmt w:val="decimal"/>
      <w:pStyle w:val="8"/>
      <w:lvlText w:val="%1.%2.%3.%4.%5.%6"/>
      <w:lvlJc w:val="left"/>
      <w:pPr>
        <w:tabs>
          <w:tab w:val="left" w:pos="3926"/>
        </w:tabs>
        <w:ind w:left="3260" w:hanging="1134"/>
      </w:pPr>
    </w:lvl>
    <w:lvl w:ilvl="6" w:tentative="0">
      <w:start w:val="1"/>
      <w:numFmt w:val="decimal"/>
      <w:pStyle w:val="9"/>
      <w:lvlText w:val="%1.%2.%3.%4.%5.%6.%7"/>
      <w:lvlJc w:val="left"/>
      <w:pPr>
        <w:tabs>
          <w:tab w:val="left" w:pos="4711"/>
        </w:tabs>
        <w:ind w:left="3827" w:hanging="1276"/>
      </w:pPr>
    </w:lvl>
    <w:lvl w:ilvl="7" w:tentative="0">
      <w:start w:val="1"/>
      <w:numFmt w:val="decimal"/>
      <w:pStyle w:val="10"/>
      <w:lvlText w:val="%1.%2.%3.%4.%5.%6.%7.%8"/>
      <w:lvlJc w:val="left"/>
      <w:pPr>
        <w:tabs>
          <w:tab w:val="left" w:pos="5136"/>
        </w:tabs>
        <w:ind w:left="4394" w:hanging="1418"/>
      </w:pPr>
    </w:lvl>
    <w:lvl w:ilvl="8" w:tentative="0">
      <w:start w:val="1"/>
      <w:numFmt w:val="decimal"/>
      <w:pStyle w:val="11"/>
      <w:lvlText w:val="%1.%2.%3.%4.%5.%6.%7.%8.%9"/>
      <w:lvlJc w:val="left"/>
      <w:pPr>
        <w:tabs>
          <w:tab w:val="left" w:pos="5922"/>
        </w:tabs>
        <w:ind w:left="5102" w:hanging="1700"/>
      </w:pPr>
    </w:lvl>
  </w:abstractNum>
  <w:abstractNum w:abstractNumId="2">
    <w:nsid w:val="13A674F3"/>
    <w:multiLevelType w:val="multilevel"/>
    <w:tmpl w:val="13A674F3"/>
    <w:lvl w:ilvl="0" w:tentative="0">
      <w:start w:val="1"/>
      <w:numFmt w:val="bullet"/>
      <w:pStyle w:val="190"/>
      <w:lvlText w:val=""/>
      <w:lvlJc w:val="left"/>
      <w:pPr>
        <w:tabs>
          <w:tab w:val="left" w:pos="340"/>
        </w:tabs>
        <w:ind w:left="340" w:hanging="170"/>
      </w:pPr>
      <w:rPr>
        <w:rFonts w:hint="default" w:ascii="Wingdings" w:hAnsi="Wingdings"/>
        <w:color w:val="auto"/>
        <w:spacing w:val="0"/>
        <w:w w:val="100"/>
        <w:position w:val="1"/>
        <w:sz w:val="13"/>
        <w:szCs w:val="13"/>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
    <w:nsid w:val="2F1F76D8"/>
    <w:multiLevelType w:val="multilevel"/>
    <w:tmpl w:val="2F1F76D8"/>
    <w:lvl w:ilvl="0" w:tentative="0">
      <w:start w:val="1"/>
      <w:numFmt w:val="japaneseCounting"/>
      <w:lvlText w:val="%1、"/>
      <w:lvlJc w:val="left"/>
      <w:pPr>
        <w:ind w:left="750" w:hanging="750"/>
      </w:pPr>
      <w:rPr>
        <w:rFonts w:hint="default"/>
      </w:r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4">
    <w:nsid w:val="42CF4755"/>
    <w:multiLevelType w:val="multilevel"/>
    <w:tmpl w:val="42CF4755"/>
    <w:lvl w:ilvl="0" w:tentative="0">
      <w:start w:val="1"/>
      <w:numFmt w:val="bullet"/>
      <w:pStyle w:val="184"/>
      <w:lvlText w:val=""/>
      <w:lvlJc w:val="left"/>
      <w:pPr>
        <w:tabs>
          <w:tab w:val="left" w:pos="2126"/>
        </w:tabs>
        <w:ind w:left="2126" w:hanging="425"/>
      </w:pPr>
      <w:rPr>
        <w:rFonts w:hint="default" w:ascii="Wingdings" w:hAnsi="Wingdings" w:cs="Wingdings"/>
        <w:b w:val="0"/>
        <w:bCs w:val="0"/>
        <w:i w:val="0"/>
        <w:iCs w:val="0"/>
        <w:caps w:val="0"/>
        <w:strike w:val="0"/>
        <w:dstrike w:val="0"/>
        <w:vanish w:val="0"/>
        <w:color w:val="000000"/>
        <w:spacing w:val="0"/>
        <w:w w:val="100"/>
        <w:position w:val="2"/>
        <w:sz w:val="16"/>
        <w:szCs w:val="16"/>
        <w:vertAlign w:val="baseline"/>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5">
    <w:nsid w:val="463C3DB5"/>
    <w:multiLevelType w:val="multilevel"/>
    <w:tmpl w:val="463C3DB5"/>
    <w:lvl w:ilvl="0" w:tentative="0">
      <w:start w:val="1"/>
      <w:numFmt w:val="decimal"/>
      <w:pStyle w:val="189"/>
      <w:lvlText w:val="%1."/>
      <w:lvlJc w:val="left"/>
      <w:pPr>
        <w:tabs>
          <w:tab w:val="left" w:pos="284"/>
        </w:tabs>
        <w:ind w:left="284" w:hanging="284"/>
      </w:pPr>
      <w:rPr>
        <w:rFonts w:hint="default" w:ascii="Times New Roman" w:hAnsi="Times New Roman" w:cs="Times New Roman"/>
        <w:i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667437AC"/>
    <w:multiLevelType w:val="multilevel"/>
    <w:tmpl w:val="667437AC"/>
    <w:lvl w:ilvl="0" w:tentative="0">
      <w:start w:val="1"/>
      <w:numFmt w:val="bullet"/>
      <w:pStyle w:val="191"/>
      <w:lvlText w:val=""/>
      <w:lvlJc w:val="left"/>
      <w:pPr>
        <w:tabs>
          <w:tab w:val="left" w:pos="2359"/>
        </w:tabs>
        <w:ind w:left="2359" w:hanging="284"/>
      </w:pPr>
      <w:rPr>
        <w:rFonts w:hint="default" w:ascii="Wingdings" w:hAnsi="Wingdings" w:cs="Wingdings"/>
        <w:position w:val="1"/>
        <w:sz w:val="13"/>
        <w:szCs w:val="13"/>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7">
    <w:nsid w:val="6E230785"/>
    <w:multiLevelType w:val="multilevel"/>
    <w:tmpl w:val="6E230785"/>
    <w:lvl w:ilvl="0" w:tentative="0">
      <w:start w:val="1"/>
      <w:numFmt w:val="bullet"/>
      <w:pStyle w:val="185"/>
      <w:lvlText w:val=""/>
      <w:lvlJc w:val="left"/>
      <w:pPr>
        <w:tabs>
          <w:tab w:val="left" w:pos="170"/>
        </w:tabs>
        <w:ind w:left="170" w:hanging="170"/>
      </w:pPr>
      <w:rPr>
        <w:rFonts w:hint="default" w:ascii="Wingdings" w:hAnsi="Wingdings" w:eastAsia="宋体"/>
        <w:b w:val="0"/>
        <w:i w:val="0"/>
        <w:color w:val="auto"/>
        <w:position w:val="3"/>
        <w:sz w:val="13"/>
        <w:szCs w:val="13"/>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num w:numId="1">
    <w:abstractNumId w:val="1"/>
  </w:num>
  <w:num w:numId="2">
    <w:abstractNumId w:val="0"/>
  </w:num>
  <w:num w:numId="3">
    <w:abstractNumId w:val="4"/>
  </w:num>
  <w:num w:numId="4">
    <w:abstractNumId w:val="7"/>
  </w:num>
  <w:num w:numId="5">
    <w:abstractNumId w:val="5"/>
  </w:num>
  <w:num w:numId="6">
    <w:abstractNumId w:val="2"/>
  </w:num>
  <w:num w:numId="7">
    <w:abstractNumId w:val="6"/>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720"/>
  <w:noPunctuationKerning w:val="1"/>
  <w:characterSpacingControl w:val="doNotCompress"/>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7A8"/>
    <w:rsid w:val="00043945"/>
    <w:rsid w:val="000466EE"/>
    <w:rsid w:val="000614C6"/>
    <w:rsid w:val="0007100E"/>
    <w:rsid w:val="000733C8"/>
    <w:rsid w:val="00092D68"/>
    <w:rsid w:val="00094354"/>
    <w:rsid w:val="000A6E4A"/>
    <w:rsid w:val="000B1BEB"/>
    <w:rsid w:val="000C3FFC"/>
    <w:rsid w:val="000C5B4A"/>
    <w:rsid w:val="000E34CE"/>
    <w:rsid w:val="00110289"/>
    <w:rsid w:val="001132D4"/>
    <w:rsid w:val="0011740E"/>
    <w:rsid w:val="00127B72"/>
    <w:rsid w:val="00137101"/>
    <w:rsid w:val="00141259"/>
    <w:rsid w:val="0015114E"/>
    <w:rsid w:val="0016412E"/>
    <w:rsid w:val="00166A07"/>
    <w:rsid w:val="00176476"/>
    <w:rsid w:val="00181B03"/>
    <w:rsid w:val="001A28EE"/>
    <w:rsid w:val="001A4847"/>
    <w:rsid w:val="001B3424"/>
    <w:rsid w:val="001D01B5"/>
    <w:rsid w:val="001E1DAD"/>
    <w:rsid w:val="001E2E7B"/>
    <w:rsid w:val="00206FA4"/>
    <w:rsid w:val="00213EB4"/>
    <w:rsid w:val="0022151B"/>
    <w:rsid w:val="00226550"/>
    <w:rsid w:val="00232F7A"/>
    <w:rsid w:val="00254A33"/>
    <w:rsid w:val="002667E0"/>
    <w:rsid w:val="002A0521"/>
    <w:rsid w:val="002C3D2E"/>
    <w:rsid w:val="002F289B"/>
    <w:rsid w:val="00303363"/>
    <w:rsid w:val="003211A6"/>
    <w:rsid w:val="00343012"/>
    <w:rsid w:val="00351DE9"/>
    <w:rsid w:val="00355690"/>
    <w:rsid w:val="00391DB1"/>
    <w:rsid w:val="00392427"/>
    <w:rsid w:val="00394D2C"/>
    <w:rsid w:val="003A4E2D"/>
    <w:rsid w:val="003A6605"/>
    <w:rsid w:val="003F0362"/>
    <w:rsid w:val="003F1D1C"/>
    <w:rsid w:val="003F343A"/>
    <w:rsid w:val="00401DFD"/>
    <w:rsid w:val="004024C7"/>
    <w:rsid w:val="00411EBA"/>
    <w:rsid w:val="00414052"/>
    <w:rsid w:val="00447E95"/>
    <w:rsid w:val="00451092"/>
    <w:rsid w:val="00461394"/>
    <w:rsid w:val="00466BAB"/>
    <w:rsid w:val="004A2EFE"/>
    <w:rsid w:val="004B6D5E"/>
    <w:rsid w:val="004C7930"/>
    <w:rsid w:val="005065EB"/>
    <w:rsid w:val="00513280"/>
    <w:rsid w:val="00517274"/>
    <w:rsid w:val="005317A8"/>
    <w:rsid w:val="0053452F"/>
    <w:rsid w:val="00546207"/>
    <w:rsid w:val="00552238"/>
    <w:rsid w:val="005538BD"/>
    <w:rsid w:val="00557CE7"/>
    <w:rsid w:val="00564E36"/>
    <w:rsid w:val="00592935"/>
    <w:rsid w:val="005A0DCF"/>
    <w:rsid w:val="005F687D"/>
    <w:rsid w:val="00601B53"/>
    <w:rsid w:val="00613238"/>
    <w:rsid w:val="00615ACF"/>
    <w:rsid w:val="006172E3"/>
    <w:rsid w:val="0064575C"/>
    <w:rsid w:val="00663116"/>
    <w:rsid w:val="00663F53"/>
    <w:rsid w:val="00664C51"/>
    <w:rsid w:val="00686AB9"/>
    <w:rsid w:val="00694D51"/>
    <w:rsid w:val="00694E11"/>
    <w:rsid w:val="006A0CB2"/>
    <w:rsid w:val="006C53F4"/>
    <w:rsid w:val="006E7DA1"/>
    <w:rsid w:val="0074236A"/>
    <w:rsid w:val="00753EC9"/>
    <w:rsid w:val="00770A2D"/>
    <w:rsid w:val="00771797"/>
    <w:rsid w:val="00776EF1"/>
    <w:rsid w:val="007D16F3"/>
    <w:rsid w:val="007D30AF"/>
    <w:rsid w:val="00814441"/>
    <w:rsid w:val="0082028D"/>
    <w:rsid w:val="008209A7"/>
    <w:rsid w:val="00821C87"/>
    <w:rsid w:val="0082676F"/>
    <w:rsid w:val="00846C75"/>
    <w:rsid w:val="00855D4B"/>
    <w:rsid w:val="00874C14"/>
    <w:rsid w:val="0087736E"/>
    <w:rsid w:val="008C33C4"/>
    <w:rsid w:val="008D53B0"/>
    <w:rsid w:val="008E22FF"/>
    <w:rsid w:val="008F71CB"/>
    <w:rsid w:val="0090139B"/>
    <w:rsid w:val="00904CEF"/>
    <w:rsid w:val="0095728A"/>
    <w:rsid w:val="00957AB5"/>
    <w:rsid w:val="00961D57"/>
    <w:rsid w:val="00964194"/>
    <w:rsid w:val="00966D95"/>
    <w:rsid w:val="00970B2C"/>
    <w:rsid w:val="00982D47"/>
    <w:rsid w:val="009902B5"/>
    <w:rsid w:val="009C4E59"/>
    <w:rsid w:val="009D33A3"/>
    <w:rsid w:val="009E2029"/>
    <w:rsid w:val="009E34FC"/>
    <w:rsid w:val="009E6160"/>
    <w:rsid w:val="00A00D05"/>
    <w:rsid w:val="00A04387"/>
    <w:rsid w:val="00A2450D"/>
    <w:rsid w:val="00A36E4F"/>
    <w:rsid w:val="00A74BB0"/>
    <w:rsid w:val="00AA2FE9"/>
    <w:rsid w:val="00AA7298"/>
    <w:rsid w:val="00B05ACE"/>
    <w:rsid w:val="00B8349C"/>
    <w:rsid w:val="00B91FD0"/>
    <w:rsid w:val="00B935A6"/>
    <w:rsid w:val="00BA3E67"/>
    <w:rsid w:val="00BB1642"/>
    <w:rsid w:val="00BE0AB8"/>
    <w:rsid w:val="00C02B40"/>
    <w:rsid w:val="00C06C1C"/>
    <w:rsid w:val="00C142E7"/>
    <w:rsid w:val="00C24E70"/>
    <w:rsid w:val="00C47B00"/>
    <w:rsid w:val="00C51F09"/>
    <w:rsid w:val="00C81058"/>
    <w:rsid w:val="00C839F4"/>
    <w:rsid w:val="00CA1FAE"/>
    <w:rsid w:val="00CA377F"/>
    <w:rsid w:val="00CE2482"/>
    <w:rsid w:val="00CE63B2"/>
    <w:rsid w:val="00CF0BD4"/>
    <w:rsid w:val="00D04501"/>
    <w:rsid w:val="00D06CEC"/>
    <w:rsid w:val="00D12BC3"/>
    <w:rsid w:val="00D17B61"/>
    <w:rsid w:val="00D17B63"/>
    <w:rsid w:val="00D2277B"/>
    <w:rsid w:val="00D23EA9"/>
    <w:rsid w:val="00D328DA"/>
    <w:rsid w:val="00D3592A"/>
    <w:rsid w:val="00D4785A"/>
    <w:rsid w:val="00D53186"/>
    <w:rsid w:val="00D53967"/>
    <w:rsid w:val="00D7016C"/>
    <w:rsid w:val="00D737E1"/>
    <w:rsid w:val="00D85773"/>
    <w:rsid w:val="00D86EBB"/>
    <w:rsid w:val="00DA2215"/>
    <w:rsid w:val="00DA4CDA"/>
    <w:rsid w:val="00DC4173"/>
    <w:rsid w:val="00DD0CF8"/>
    <w:rsid w:val="00E0303D"/>
    <w:rsid w:val="00E16EEE"/>
    <w:rsid w:val="00E46051"/>
    <w:rsid w:val="00E70669"/>
    <w:rsid w:val="00E84AFD"/>
    <w:rsid w:val="00E913AB"/>
    <w:rsid w:val="00EA1C7B"/>
    <w:rsid w:val="00EC70EE"/>
    <w:rsid w:val="00ED0A56"/>
    <w:rsid w:val="00F33729"/>
    <w:rsid w:val="00F37747"/>
    <w:rsid w:val="00F63503"/>
    <w:rsid w:val="00F90770"/>
    <w:rsid w:val="00F94B0C"/>
    <w:rsid w:val="00FB3627"/>
    <w:rsid w:val="00FD2E47"/>
    <w:rsid w:val="00FD6E64"/>
    <w:rsid w:val="00FE0CB7"/>
    <w:rsid w:val="077F5459"/>
    <w:rsid w:val="08473B93"/>
    <w:rsid w:val="0FEDF9F3"/>
    <w:rsid w:val="14241086"/>
    <w:rsid w:val="1540328F"/>
    <w:rsid w:val="18DE0C7F"/>
    <w:rsid w:val="207A2CD0"/>
    <w:rsid w:val="21A0144E"/>
    <w:rsid w:val="253E2B45"/>
    <w:rsid w:val="27DD2C51"/>
    <w:rsid w:val="296765C2"/>
    <w:rsid w:val="2A950CCB"/>
    <w:rsid w:val="2D45741E"/>
    <w:rsid w:val="2F4FC7EB"/>
    <w:rsid w:val="2FFE7C6F"/>
    <w:rsid w:val="32602ACB"/>
    <w:rsid w:val="34FB204F"/>
    <w:rsid w:val="35F9823E"/>
    <w:rsid w:val="3BA914DB"/>
    <w:rsid w:val="3BAF4CD9"/>
    <w:rsid w:val="3C57412B"/>
    <w:rsid w:val="3C7FB73E"/>
    <w:rsid w:val="3CED3653"/>
    <w:rsid w:val="3F7F2319"/>
    <w:rsid w:val="42673A60"/>
    <w:rsid w:val="44047198"/>
    <w:rsid w:val="46BA9BEE"/>
    <w:rsid w:val="4DFAD987"/>
    <w:rsid w:val="4EFC78D1"/>
    <w:rsid w:val="4FE96AF2"/>
    <w:rsid w:val="506278A1"/>
    <w:rsid w:val="52D95337"/>
    <w:rsid w:val="53CF7958"/>
    <w:rsid w:val="53FD29D9"/>
    <w:rsid w:val="559E4FAD"/>
    <w:rsid w:val="561C3854"/>
    <w:rsid w:val="577107E2"/>
    <w:rsid w:val="57DF7487"/>
    <w:rsid w:val="5BAF6AD4"/>
    <w:rsid w:val="5DA74652"/>
    <w:rsid w:val="5F0F697F"/>
    <w:rsid w:val="5F2BBBCC"/>
    <w:rsid w:val="5F7FF6F4"/>
    <w:rsid w:val="5F9B871A"/>
    <w:rsid w:val="63FDB953"/>
    <w:rsid w:val="64B85661"/>
    <w:rsid w:val="66FF74F5"/>
    <w:rsid w:val="68063D9C"/>
    <w:rsid w:val="6AD5BA64"/>
    <w:rsid w:val="6BFB7C18"/>
    <w:rsid w:val="6DB21BE3"/>
    <w:rsid w:val="6EEBD662"/>
    <w:rsid w:val="6F46474F"/>
    <w:rsid w:val="6FDE06A8"/>
    <w:rsid w:val="6FE99955"/>
    <w:rsid w:val="6FF9EA63"/>
    <w:rsid w:val="6FFEF8FF"/>
    <w:rsid w:val="757F10F4"/>
    <w:rsid w:val="757FD142"/>
    <w:rsid w:val="75EE1F8A"/>
    <w:rsid w:val="76475DA7"/>
    <w:rsid w:val="777FDFAA"/>
    <w:rsid w:val="7AD3ED67"/>
    <w:rsid w:val="7B3E9C72"/>
    <w:rsid w:val="7B3FEE70"/>
    <w:rsid w:val="7B4C229B"/>
    <w:rsid w:val="7B5FC3C9"/>
    <w:rsid w:val="7B77F4B1"/>
    <w:rsid w:val="7B7D155A"/>
    <w:rsid w:val="7CBE598D"/>
    <w:rsid w:val="7CCA889C"/>
    <w:rsid w:val="7D7A20F4"/>
    <w:rsid w:val="7DDBFD50"/>
    <w:rsid w:val="7DF6201E"/>
    <w:rsid w:val="7DFFEC78"/>
    <w:rsid w:val="7F7FFE2D"/>
    <w:rsid w:val="7F842A39"/>
    <w:rsid w:val="7F8F114E"/>
    <w:rsid w:val="7FB15CB6"/>
    <w:rsid w:val="7FEBCF35"/>
    <w:rsid w:val="7FEFF6D4"/>
    <w:rsid w:val="7FF1E005"/>
    <w:rsid w:val="7FFB1D23"/>
    <w:rsid w:val="7FFF04E6"/>
    <w:rsid w:val="8FF60003"/>
    <w:rsid w:val="9469B70C"/>
    <w:rsid w:val="9DD8FBD5"/>
    <w:rsid w:val="A4EACF2D"/>
    <w:rsid w:val="A639ACA8"/>
    <w:rsid w:val="A6BE24D3"/>
    <w:rsid w:val="AF6B2E1D"/>
    <w:rsid w:val="B15F21F9"/>
    <w:rsid w:val="B7BDE8C1"/>
    <w:rsid w:val="BBE624E8"/>
    <w:rsid w:val="BBF44693"/>
    <w:rsid w:val="BEFEEBF7"/>
    <w:rsid w:val="C3DF1AA8"/>
    <w:rsid w:val="C47F3A21"/>
    <w:rsid w:val="CD966A5C"/>
    <w:rsid w:val="CF2FE71C"/>
    <w:rsid w:val="D7B740D7"/>
    <w:rsid w:val="D91FE865"/>
    <w:rsid w:val="DDD3E8BB"/>
    <w:rsid w:val="DFFFC06B"/>
    <w:rsid w:val="E3F37A71"/>
    <w:rsid w:val="E5AFBC3C"/>
    <w:rsid w:val="E78FB2AB"/>
    <w:rsid w:val="E7FF92DC"/>
    <w:rsid w:val="EDD3228C"/>
    <w:rsid w:val="EF4DD6AC"/>
    <w:rsid w:val="EFBDA255"/>
    <w:rsid w:val="EFEB2972"/>
    <w:rsid w:val="F5FB7F24"/>
    <w:rsid w:val="F73EADC9"/>
    <w:rsid w:val="F7555944"/>
    <w:rsid w:val="F79F5A0A"/>
    <w:rsid w:val="F7A6F219"/>
    <w:rsid w:val="F7FD9A0F"/>
    <w:rsid w:val="F96F6284"/>
    <w:rsid w:val="FAB7D373"/>
    <w:rsid w:val="FAEF2DF6"/>
    <w:rsid w:val="FBDDF6D6"/>
    <w:rsid w:val="FDBBD0AA"/>
    <w:rsid w:val="FDBF8702"/>
    <w:rsid w:val="FFD76BE9"/>
    <w:rsid w:val="FFD7F074"/>
    <w:rsid w:val="FFF5CFBA"/>
    <w:rsid w:val="FFF73A79"/>
    <w:rsid w:val="FFFB5CAA"/>
    <w:rsid w:val="FFFE7BF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0"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qFormat="1" w:unhideWhenUsed="0" w:uiPriority="0" w:semiHidden="0"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qFormat="1" w:unhideWhenUsed="0" w:uiPriority="0" w:semiHidden="0" w:name="Body Text Indent 2"/>
    <w:lsdException w:qFormat="1" w:uiPriority="0" w:semiHidden="0"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qFormat="1" w:unhideWhenUsed="0" w:uiPriority="0" w:semiHidden="0"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8"/>
    <w:qFormat/>
    <w:uiPriority w:val="0"/>
    <w:pPr>
      <w:keepNext/>
      <w:keepLines/>
      <w:spacing w:before="340" w:after="330" w:line="578" w:lineRule="atLeast"/>
      <w:jc w:val="left"/>
      <w:outlineLvl w:val="0"/>
    </w:pPr>
    <w:rPr>
      <w:b/>
      <w:kern w:val="44"/>
      <w:sz w:val="36"/>
      <w:szCs w:val="20"/>
    </w:rPr>
  </w:style>
  <w:style w:type="paragraph" w:styleId="3">
    <w:name w:val="heading 2"/>
    <w:basedOn w:val="1"/>
    <w:next w:val="4"/>
    <w:link w:val="49"/>
    <w:qFormat/>
    <w:uiPriority w:val="0"/>
    <w:pPr>
      <w:keepNext/>
      <w:keepLines/>
      <w:spacing w:before="260" w:after="260" w:line="416" w:lineRule="auto"/>
      <w:outlineLvl w:val="1"/>
    </w:pPr>
    <w:rPr>
      <w:b/>
      <w:sz w:val="32"/>
      <w:szCs w:val="20"/>
    </w:rPr>
  </w:style>
  <w:style w:type="paragraph" w:styleId="5">
    <w:name w:val="heading 3"/>
    <w:basedOn w:val="1"/>
    <w:next w:val="1"/>
    <w:link w:val="50"/>
    <w:qFormat/>
    <w:uiPriority w:val="0"/>
    <w:pPr>
      <w:keepNext/>
      <w:keepLines/>
      <w:spacing w:before="260" w:after="260" w:line="416" w:lineRule="atLeast"/>
      <w:outlineLvl w:val="2"/>
    </w:pPr>
    <w:rPr>
      <w:b/>
      <w:sz w:val="28"/>
      <w:szCs w:val="20"/>
    </w:rPr>
  </w:style>
  <w:style w:type="paragraph" w:styleId="6">
    <w:name w:val="heading 4"/>
    <w:basedOn w:val="1"/>
    <w:next w:val="1"/>
    <w:link w:val="51"/>
    <w:qFormat/>
    <w:uiPriority w:val="0"/>
    <w:pPr>
      <w:keepNext/>
      <w:widowControl/>
      <w:tabs>
        <w:tab w:val="left" w:pos="2356"/>
      </w:tabs>
      <w:spacing w:before="240" w:after="60" w:line="360" w:lineRule="auto"/>
      <w:outlineLvl w:val="3"/>
    </w:pPr>
    <w:rPr>
      <w:rFonts w:ascii="宋体" w:hAnsi="Arial"/>
      <w:b/>
      <w:kern w:val="0"/>
      <w:sz w:val="24"/>
      <w:szCs w:val="20"/>
    </w:rPr>
  </w:style>
  <w:style w:type="paragraph" w:styleId="7">
    <w:name w:val="heading 5"/>
    <w:basedOn w:val="1"/>
    <w:next w:val="1"/>
    <w:link w:val="52"/>
    <w:qFormat/>
    <w:uiPriority w:val="0"/>
    <w:pPr>
      <w:keepNext/>
      <w:keepLines/>
      <w:numPr>
        <w:ilvl w:val="4"/>
        <w:numId w:val="1"/>
      </w:numPr>
      <w:tabs>
        <w:tab w:val="clear" w:pos="3141"/>
      </w:tabs>
      <w:adjustRightInd w:val="0"/>
      <w:spacing w:before="280" w:after="290" w:line="376" w:lineRule="atLeast"/>
      <w:ind w:left="0" w:firstLine="0"/>
      <w:textAlignment w:val="baseline"/>
      <w:outlineLvl w:val="4"/>
    </w:pPr>
    <w:rPr>
      <w:rFonts w:ascii="宋体" w:eastAsia="仿宋_GB2312"/>
      <w:b/>
      <w:kern w:val="0"/>
      <w:sz w:val="28"/>
      <w:szCs w:val="20"/>
    </w:rPr>
  </w:style>
  <w:style w:type="paragraph" w:styleId="8">
    <w:name w:val="heading 6"/>
    <w:basedOn w:val="1"/>
    <w:next w:val="1"/>
    <w:link w:val="53"/>
    <w:qFormat/>
    <w:uiPriority w:val="0"/>
    <w:pPr>
      <w:keepNext/>
      <w:keepLines/>
      <w:numPr>
        <w:ilvl w:val="5"/>
        <w:numId w:val="1"/>
      </w:numPr>
      <w:tabs>
        <w:tab w:val="clear" w:pos="3926"/>
      </w:tabs>
      <w:adjustRightInd w:val="0"/>
      <w:spacing w:before="240" w:after="64" w:line="320" w:lineRule="atLeast"/>
      <w:ind w:left="0" w:firstLine="0"/>
      <w:textAlignment w:val="baseline"/>
      <w:outlineLvl w:val="5"/>
    </w:pPr>
    <w:rPr>
      <w:rFonts w:ascii="Arial" w:hAnsi="Arial" w:eastAsia="黑体"/>
      <w:b/>
      <w:kern w:val="0"/>
      <w:sz w:val="24"/>
      <w:szCs w:val="20"/>
    </w:rPr>
  </w:style>
  <w:style w:type="paragraph" w:styleId="9">
    <w:name w:val="heading 7"/>
    <w:basedOn w:val="1"/>
    <w:next w:val="1"/>
    <w:link w:val="54"/>
    <w:qFormat/>
    <w:uiPriority w:val="0"/>
    <w:pPr>
      <w:keepNext/>
      <w:keepLines/>
      <w:numPr>
        <w:ilvl w:val="6"/>
        <w:numId w:val="1"/>
      </w:numPr>
      <w:tabs>
        <w:tab w:val="clear" w:pos="4711"/>
      </w:tabs>
      <w:adjustRightInd w:val="0"/>
      <w:spacing w:before="240" w:after="64" w:line="320" w:lineRule="atLeast"/>
      <w:ind w:left="0" w:firstLine="0"/>
      <w:textAlignment w:val="baseline"/>
      <w:outlineLvl w:val="6"/>
    </w:pPr>
    <w:rPr>
      <w:rFonts w:ascii="宋体" w:eastAsia="仿宋_GB2312"/>
      <w:b/>
      <w:kern w:val="0"/>
      <w:sz w:val="24"/>
      <w:szCs w:val="20"/>
    </w:rPr>
  </w:style>
  <w:style w:type="paragraph" w:styleId="10">
    <w:name w:val="heading 8"/>
    <w:basedOn w:val="1"/>
    <w:next w:val="1"/>
    <w:link w:val="55"/>
    <w:qFormat/>
    <w:uiPriority w:val="0"/>
    <w:pPr>
      <w:keepNext/>
      <w:keepLines/>
      <w:numPr>
        <w:ilvl w:val="7"/>
        <w:numId w:val="1"/>
      </w:numPr>
      <w:tabs>
        <w:tab w:val="clear" w:pos="5136"/>
      </w:tabs>
      <w:adjustRightInd w:val="0"/>
      <w:spacing w:before="240" w:after="64" w:line="320" w:lineRule="atLeast"/>
      <w:ind w:left="0" w:firstLine="0"/>
      <w:textAlignment w:val="baseline"/>
      <w:outlineLvl w:val="7"/>
    </w:pPr>
    <w:rPr>
      <w:rFonts w:ascii="Arial" w:hAnsi="Arial" w:eastAsia="黑体"/>
      <w:kern w:val="0"/>
      <w:sz w:val="24"/>
      <w:szCs w:val="20"/>
    </w:rPr>
  </w:style>
  <w:style w:type="paragraph" w:styleId="11">
    <w:name w:val="heading 9"/>
    <w:basedOn w:val="1"/>
    <w:next w:val="1"/>
    <w:link w:val="56"/>
    <w:qFormat/>
    <w:uiPriority w:val="0"/>
    <w:pPr>
      <w:keepNext/>
      <w:keepLines/>
      <w:numPr>
        <w:ilvl w:val="8"/>
        <w:numId w:val="1"/>
      </w:numPr>
      <w:tabs>
        <w:tab w:val="clear" w:pos="5922"/>
      </w:tabs>
      <w:adjustRightInd w:val="0"/>
      <w:spacing w:before="240" w:after="64" w:line="320" w:lineRule="atLeast"/>
      <w:ind w:left="0" w:firstLine="0"/>
      <w:textAlignment w:val="baseline"/>
      <w:outlineLvl w:val="8"/>
    </w:pPr>
    <w:rPr>
      <w:rFonts w:ascii="Arial" w:hAnsi="Arial" w:eastAsia="黑体"/>
      <w:kern w:val="0"/>
      <w:sz w:val="28"/>
      <w:szCs w:val="20"/>
    </w:rPr>
  </w:style>
  <w:style w:type="character" w:default="1" w:styleId="39">
    <w:name w:val="Default Paragraph Font"/>
    <w:semiHidden/>
    <w:unhideWhenUsed/>
    <w:qFormat/>
    <w:uiPriority w:val="1"/>
  </w:style>
  <w:style w:type="table" w:default="1" w:styleId="36">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5"/>
    </w:pPr>
    <w:rPr>
      <w:szCs w:val="20"/>
    </w:rPr>
  </w:style>
  <w:style w:type="paragraph" w:styleId="12">
    <w:name w:val="caption"/>
    <w:basedOn w:val="1"/>
    <w:next w:val="1"/>
    <w:qFormat/>
    <w:uiPriority w:val="0"/>
    <w:pPr>
      <w:suppressLineNumbers/>
      <w:suppressAutoHyphens/>
      <w:spacing w:before="120" w:after="120"/>
      <w:jc w:val="left"/>
    </w:pPr>
    <w:rPr>
      <w:rFonts w:eastAsia="Arial Unicode MS" w:cs="Lohit Devanagari"/>
      <w:i/>
      <w:iCs/>
      <w:color w:val="000000"/>
      <w:kern w:val="1"/>
      <w:sz w:val="24"/>
    </w:rPr>
  </w:style>
  <w:style w:type="paragraph" w:styleId="13">
    <w:name w:val="Document Map"/>
    <w:basedOn w:val="1"/>
    <w:link w:val="143"/>
    <w:semiHidden/>
    <w:qFormat/>
    <w:uiPriority w:val="0"/>
    <w:pPr>
      <w:shd w:val="clear" w:color="auto" w:fill="000080"/>
    </w:pPr>
  </w:style>
  <w:style w:type="paragraph" w:styleId="14">
    <w:name w:val="annotation text"/>
    <w:basedOn w:val="1"/>
    <w:link w:val="145"/>
    <w:unhideWhenUsed/>
    <w:qFormat/>
    <w:uiPriority w:val="99"/>
    <w:pPr>
      <w:jc w:val="left"/>
    </w:pPr>
    <w:rPr>
      <w:rFonts w:asciiTheme="minorHAnsi" w:hAnsiTheme="minorHAnsi" w:eastAsiaTheme="minorEastAsia" w:cstheme="minorBidi"/>
    </w:rPr>
  </w:style>
  <w:style w:type="paragraph" w:styleId="15">
    <w:name w:val="Body Text 3"/>
    <w:basedOn w:val="1"/>
    <w:link w:val="137"/>
    <w:qFormat/>
    <w:uiPriority w:val="0"/>
    <w:pPr>
      <w:spacing w:after="120"/>
    </w:pPr>
    <w:rPr>
      <w:sz w:val="16"/>
      <w:szCs w:val="16"/>
    </w:rPr>
  </w:style>
  <w:style w:type="paragraph" w:styleId="16">
    <w:name w:val="Body Text"/>
    <w:basedOn w:val="1"/>
    <w:link w:val="57"/>
    <w:qFormat/>
    <w:uiPriority w:val="0"/>
    <w:pPr>
      <w:widowControl/>
      <w:spacing w:line="320" w:lineRule="atLeast"/>
    </w:pPr>
    <w:rPr>
      <w:rFonts w:eastAsia="隶书"/>
      <w:b/>
      <w:kern w:val="0"/>
      <w:sz w:val="44"/>
      <w:szCs w:val="20"/>
    </w:rPr>
  </w:style>
  <w:style w:type="paragraph" w:styleId="17">
    <w:name w:val="Body Text Indent"/>
    <w:basedOn w:val="1"/>
    <w:link w:val="58"/>
    <w:qFormat/>
    <w:uiPriority w:val="0"/>
    <w:pPr>
      <w:ind w:firstLine="570"/>
    </w:pPr>
    <w:rPr>
      <w:rFonts w:ascii="宋体"/>
      <w:sz w:val="28"/>
      <w:szCs w:val="20"/>
    </w:rPr>
  </w:style>
  <w:style w:type="paragraph" w:styleId="18">
    <w:name w:val="List 2"/>
    <w:basedOn w:val="1"/>
    <w:qFormat/>
    <w:uiPriority w:val="0"/>
    <w:pPr>
      <w:ind w:left="100" w:leftChars="200" w:hanging="200" w:hangingChars="200"/>
    </w:pPr>
    <w:rPr>
      <w:sz w:val="28"/>
    </w:rPr>
  </w:style>
  <w:style w:type="paragraph" w:styleId="19">
    <w:name w:val="toc 3"/>
    <w:basedOn w:val="1"/>
    <w:next w:val="1"/>
    <w:qFormat/>
    <w:uiPriority w:val="39"/>
    <w:pPr>
      <w:widowControl/>
      <w:topLinePunct/>
      <w:adjustRightInd w:val="0"/>
      <w:snapToGrid w:val="0"/>
      <w:spacing w:before="80" w:after="80" w:line="240" w:lineRule="atLeast"/>
      <w:jc w:val="left"/>
    </w:pPr>
    <w:rPr>
      <w:rFonts w:cs="Arial"/>
      <w:sz w:val="20"/>
      <w:szCs w:val="20"/>
    </w:rPr>
  </w:style>
  <w:style w:type="paragraph" w:styleId="20">
    <w:name w:val="Plain Text"/>
    <w:basedOn w:val="1"/>
    <w:link w:val="132"/>
    <w:qFormat/>
    <w:uiPriority w:val="0"/>
    <w:rPr>
      <w:rFonts w:ascii="宋体" w:hAnsi="Courier New"/>
      <w:szCs w:val="20"/>
    </w:rPr>
  </w:style>
  <w:style w:type="paragraph" w:styleId="21">
    <w:name w:val="List Number 4"/>
    <w:basedOn w:val="1"/>
    <w:qFormat/>
    <w:uiPriority w:val="0"/>
    <w:pPr>
      <w:widowControl/>
      <w:numPr>
        <w:ilvl w:val="0"/>
        <w:numId w:val="2"/>
      </w:numPr>
      <w:topLinePunct/>
      <w:adjustRightInd w:val="0"/>
      <w:snapToGrid w:val="0"/>
      <w:spacing w:before="160" w:after="160" w:line="240" w:lineRule="atLeast"/>
      <w:jc w:val="left"/>
    </w:pPr>
    <w:rPr>
      <w:rFonts w:cs="Arial"/>
      <w:szCs w:val="21"/>
    </w:rPr>
  </w:style>
  <w:style w:type="paragraph" w:styleId="22">
    <w:name w:val="Date"/>
    <w:basedOn w:val="1"/>
    <w:next w:val="1"/>
    <w:link w:val="130"/>
    <w:qFormat/>
    <w:uiPriority w:val="0"/>
    <w:rPr>
      <w:szCs w:val="20"/>
    </w:rPr>
  </w:style>
  <w:style w:type="paragraph" w:styleId="23">
    <w:name w:val="Body Text Indent 2"/>
    <w:basedOn w:val="1"/>
    <w:link w:val="139"/>
    <w:qFormat/>
    <w:uiPriority w:val="0"/>
    <w:pPr>
      <w:spacing w:after="120" w:line="480" w:lineRule="auto"/>
      <w:ind w:left="420" w:leftChars="200"/>
    </w:pPr>
  </w:style>
  <w:style w:type="paragraph" w:styleId="24">
    <w:name w:val="Balloon Text"/>
    <w:basedOn w:val="1"/>
    <w:link w:val="144"/>
    <w:semiHidden/>
    <w:qFormat/>
    <w:uiPriority w:val="99"/>
    <w:rPr>
      <w:sz w:val="18"/>
      <w:szCs w:val="18"/>
    </w:rPr>
  </w:style>
  <w:style w:type="paragraph" w:styleId="25">
    <w:name w:val="footer"/>
    <w:basedOn w:val="1"/>
    <w:link w:val="47"/>
    <w:unhideWhenUsed/>
    <w:qFormat/>
    <w:uiPriority w:val="99"/>
    <w:pPr>
      <w:tabs>
        <w:tab w:val="center" w:pos="4320"/>
        <w:tab w:val="right" w:pos="8640"/>
      </w:tabs>
    </w:pPr>
  </w:style>
  <w:style w:type="paragraph" w:styleId="26">
    <w:name w:val="header"/>
    <w:basedOn w:val="1"/>
    <w:link w:val="46"/>
    <w:unhideWhenUsed/>
    <w:qFormat/>
    <w:uiPriority w:val="0"/>
    <w:pPr>
      <w:tabs>
        <w:tab w:val="center" w:pos="4320"/>
        <w:tab w:val="right" w:pos="8640"/>
      </w:tabs>
    </w:pPr>
  </w:style>
  <w:style w:type="paragraph" w:styleId="27">
    <w:name w:val="toc 1"/>
    <w:basedOn w:val="1"/>
    <w:next w:val="1"/>
    <w:qFormat/>
    <w:uiPriority w:val="39"/>
    <w:pPr>
      <w:widowControl/>
      <w:topLinePunct/>
      <w:adjustRightInd w:val="0"/>
      <w:snapToGrid w:val="0"/>
      <w:spacing w:before="160" w:after="80" w:line="240" w:lineRule="atLeast"/>
      <w:jc w:val="left"/>
    </w:pPr>
    <w:rPr>
      <w:rFonts w:ascii="Book Antiqua" w:hAnsi="Book Antiqua" w:cs="Book Antiqua"/>
      <w:b/>
      <w:bCs/>
      <w:sz w:val="24"/>
    </w:rPr>
  </w:style>
  <w:style w:type="paragraph" w:styleId="28">
    <w:name w:val="Subtitle"/>
    <w:basedOn w:val="1"/>
    <w:next w:val="1"/>
    <w:link w:val="149"/>
    <w:qFormat/>
    <w:uiPriority w:val="0"/>
    <w:pPr>
      <w:spacing w:before="240" w:after="60" w:line="312" w:lineRule="auto"/>
      <w:jc w:val="center"/>
      <w:outlineLvl w:val="1"/>
    </w:pPr>
    <w:rPr>
      <w:rFonts w:ascii="黑体" w:hAnsi="黑体" w:eastAsia="黑体" w:cstheme="minorBidi"/>
      <w:bCs/>
      <w:kern w:val="28"/>
      <w:sz w:val="24"/>
      <w:szCs w:val="32"/>
    </w:rPr>
  </w:style>
  <w:style w:type="paragraph" w:styleId="29">
    <w:name w:val="List"/>
    <w:basedOn w:val="1"/>
    <w:qFormat/>
    <w:uiPriority w:val="0"/>
    <w:pPr>
      <w:ind w:left="200" w:hanging="200" w:hangingChars="200"/>
    </w:pPr>
  </w:style>
  <w:style w:type="paragraph" w:styleId="30">
    <w:name w:val="Body Text Indent 3"/>
    <w:basedOn w:val="1"/>
    <w:link w:val="151"/>
    <w:unhideWhenUsed/>
    <w:qFormat/>
    <w:uiPriority w:val="0"/>
    <w:pPr>
      <w:spacing w:after="120"/>
      <w:ind w:left="420" w:leftChars="200"/>
    </w:pPr>
    <w:rPr>
      <w:rFonts w:ascii="宋体" w:hAnsi="宋体" w:eastAsiaTheme="minorEastAsia" w:cstheme="minorBidi"/>
      <w:kern w:val="0"/>
      <w:sz w:val="24"/>
      <w:szCs w:val="22"/>
    </w:rPr>
  </w:style>
  <w:style w:type="paragraph" w:styleId="31">
    <w:name w:val="toc 2"/>
    <w:basedOn w:val="1"/>
    <w:next w:val="1"/>
    <w:qFormat/>
    <w:uiPriority w:val="39"/>
    <w:pPr>
      <w:widowControl/>
      <w:topLinePunct/>
      <w:adjustRightInd w:val="0"/>
      <w:snapToGrid w:val="0"/>
      <w:spacing w:before="80" w:after="80" w:line="240" w:lineRule="atLeast"/>
      <w:jc w:val="left"/>
    </w:pPr>
    <w:rPr>
      <w:rFonts w:cs="Arial"/>
      <w:sz w:val="20"/>
      <w:szCs w:val="20"/>
    </w:rPr>
  </w:style>
  <w:style w:type="paragraph" w:styleId="32">
    <w:name w:val="HTML Preformatted"/>
    <w:basedOn w:val="1"/>
    <w:link w:val="136"/>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szCs w:val="21"/>
    </w:rPr>
  </w:style>
  <w:style w:type="paragraph" w:styleId="33">
    <w:name w:val="Normal (Web)"/>
    <w:basedOn w:val="1"/>
    <w:qFormat/>
    <w:uiPriority w:val="0"/>
    <w:pPr>
      <w:widowControl/>
      <w:spacing w:before="100" w:beforeAutospacing="1" w:after="100" w:afterAutospacing="1"/>
      <w:jc w:val="left"/>
    </w:pPr>
    <w:rPr>
      <w:rFonts w:ascii="宋体" w:hAnsi="宋体"/>
      <w:kern w:val="0"/>
      <w:sz w:val="24"/>
    </w:rPr>
  </w:style>
  <w:style w:type="paragraph" w:styleId="34">
    <w:name w:val="Title"/>
    <w:basedOn w:val="1"/>
    <w:next w:val="1"/>
    <w:link w:val="147"/>
    <w:qFormat/>
    <w:uiPriority w:val="0"/>
    <w:pPr>
      <w:spacing w:before="240" w:after="60"/>
      <w:jc w:val="center"/>
      <w:outlineLvl w:val="0"/>
    </w:pPr>
    <w:rPr>
      <w:rFonts w:ascii="Cambria" w:hAnsi="Cambria" w:eastAsiaTheme="minorEastAsia" w:cstheme="minorBidi"/>
      <w:b/>
      <w:bCs/>
      <w:sz w:val="32"/>
      <w:szCs w:val="32"/>
    </w:rPr>
  </w:style>
  <w:style w:type="paragraph" w:styleId="35">
    <w:name w:val="annotation subject"/>
    <w:basedOn w:val="14"/>
    <w:next w:val="14"/>
    <w:link w:val="153"/>
    <w:unhideWhenUsed/>
    <w:qFormat/>
    <w:uiPriority w:val="99"/>
    <w:rPr>
      <w:b/>
      <w:bCs/>
    </w:rPr>
  </w:style>
  <w:style w:type="table" w:styleId="37">
    <w:name w:val="Table Grid"/>
    <w:basedOn w:val="3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38">
    <w:name w:val="Table Professional"/>
    <w:basedOn w:val="36"/>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l2br w:val="nil"/>
          <w:tr2bl w:val="nil"/>
        </w:tcBorders>
        <w:shd w:val="solid" w:color="000000" w:fill="FFFFFF"/>
      </w:tcPr>
    </w:tblStylePr>
  </w:style>
  <w:style w:type="character" w:styleId="40">
    <w:name w:val="Strong"/>
    <w:qFormat/>
    <w:uiPriority w:val="22"/>
    <w:rPr>
      <w:b/>
      <w:bCs/>
    </w:rPr>
  </w:style>
  <w:style w:type="character" w:styleId="41">
    <w:name w:val="page number"/>
    <w:basedOn w:val="39"/>
    <w:qFormat/>
    <w:uiPriority w:val="0"/>
  </w:style>
  <w:style w:type="character" w:styleId="42">
    <w:name w:val="FollowedHyperlink"/>
    <w:basedOn w:val="39"/>
    <w:semiHidden/>
    <w:unhideWhenUsed/>
    <w:qFormat/>
    <w:uiPriority w:val="99"/>
    <w:rPr>
      <w:color w:val="954F72" w:themeColor="followedHyperlink"/>
      <w:u w:val="single"/>
      <w14:textFill>
        <w14:solidFill>
          <w14:schemeClr w14:val="folHlink"/>
        </w14:solidFill>
      </w14:textFill>
    </w:rPr>
  </w:style>
  <w:style w:type="character" w:styleId="43">
    <w:name w:val="Emphasis"/>
    <w:qFormat/>
    <w:uiPriority w:val="0"/>
    <w:rPr>
      <w:color w:val="CC0033"/>
    </w:rPr>
  </w:style>
  <w:style w:type="character" w:styleId="44">
    <w:name w:val="Hyperlink"/>
    <w:qFormat/>
    <w:uiPriority w:val="99"/>
    <w:rPr>
      <w:color w:val="0000FF"/>
      <w:u w:val="single"/>
    </w:rPr>
  </w:style>
  <w:style w:type="character" w:styleId="45">
    <w:name w:val="annotation reference"/>
    <w:unhideWhenUsed/>
    <w:qFormat/>
    <w:uiPriority w:val="99"/>
    <w:rPr>
      <w:sz w:val="21"/>
      <w:szCs w:val="21"/>
    </w:rPr>
  </w:style>
  <w:style w:type="character" w:customStyle="1" w:styleId="46">
    <w:name w:val="页眉 字符1"/>
    <w:basedOn w:val="39"/>
    <w:link w:val="26"/>
    <w:qFormat/>
    <w:uiPriority w:val="0"/>
  </w:style>
  <w:style w:type="character" w:customStyle="1" w:styleId="47">
    <w:name w:val="页脚 字符"/>
    <w:basedOn w:val="39"/>
    <w:link w:val="25"/>
    <w:qFormat/>
    <w:uiPriority w:val="99"/>
  </w:style>
  <w:style w:type="character" w:customStyle="1" w:styleId="48">
    <w:name w:val="标题 1 字符"/>
    <w:basedOn w:val="39"/>
    <w:link w:val="2"/>
    <w:qFormat/>
    <w:uiPriority w:val="0"/>
    <w:rPr>
      <w:rFonts w:ascii="Times New Roman" w:hAnsi="Times New Roman" w:eastAsia="宋体" w:cs="Times New Roman"/>
      <w:b/>
      <w:kern w:val="44"/>
      <w:sz w:val="36"/>
      <w:szCs w:val="20"/>
    </w:rPr>
  </w:style>
  <w:style w:type="character" w:customStyle="1" w:styleId="49">
    <w:name w:val="标题 2 字符"/>
    <w:basedOn w:val="39"/>
    <w:link w:val="3"/>
    <w:qFormat/>
    <w:uiPriority w:val="0"/>
    <w:rPr>
      <w:rFonts w:ascii="Times New Roman" w:hAnsi="Times New Roman" w:eastAsia="宋体" w:cs="Times New Roman"/>
      <w:b/>
      <w:kern w:val="2"/>
      <w:sz w:val="32"/>
      <w:szCs w:val="20"/>
    </w:rPr>
  </w:style>
  <w:style w:type="character" w:customStyle="1" w:styleId="50">
    <w:name w:val="标题 3 字符"/>
    <w:basedOn w:val="39"/>
    <w:link w:val="5"/>
    <w:qFormat/>
    <w:uiPriority w:val="0"/>
    <w:rPr>
      <w:rFonts w:ascii="Times New Roman" w:hAnsi="Times New Roman" w:eastAsia="宋体" w:cs="Times New Roman"/>
      <w:b/>
      <w:kern w:val="2"/>
      <w:sz w:val="28"/>
      <w:szCs w:val="20"/>
    </w:rPr>
  </w:style>
  <w:style w:type="character" w:customStyle="1" w:styleId="51">
    <w:name w:val="标题 4 字符"/>
    <w:basedOn w:val="39"/>
    <w:link w:val="6"/>
    <w:qFormat/>
    <w:uiPriority w:val="0"/>
    <w:rPr>
      <w:rFonts w:ascii="宋体" w:hAnsi="Arial" w:eastAsia="宋体" w:cs="Times New Roman"/>
      <w:b/>
      <w:sz w:val="24"/>
      <w:szCs w:val="20"/>
    </w:rPr>
  </w:style>
  <w:style w:type="character" w:customStyle="1" w:styleId="52">
    <w:name w:val="标题 5 字符"/>
    <w:basedOn w:val="39"/>
    <w:link w:val="7"/>
    <w:qFormat/>
    <w:uiPriority w:val="0"/>
    <w:rPr>
      <w:rFonts w:ascii="宋体" w:hAnsi="Times New Roman" w:eastAsia="仿宋_GB2312" w:cs="Times New Roman"/>
      <w:b/>
      <w:sz w:val="28"/>
      <w:szCs w:val="20"/>
    </w:rPr>
  </w:style>
  <w:style w:type="character" w:customStyle="1" w:styleId="53">
    <w:name w:val="标题 6 字符"/>
    <w:basedOn w:val="39"/>
    <w:link w:val="8"/>
    <w:qFormat/>
    <w:uiPriority w:val="0"/>
    <w:rPr>
      <w:rFonts w:ascii="Arial" w:hAnsi="Arial" w:eastAsia="黑体" w:cs="Times New Roman"/>
      <w:b/>
      <w:sz w:val="24"/>
      <w:szCs w:val="20"/>
    </w:rPr>
  </w:style>
  <w:style w:type="character" w:customStyle="1" w:styleId="54">
    <w:name w:val="标题 7 字符"/>
    <w:basedOn w:val="39"/>
    <w:link w:val="9"/>
    <w:qFormat/>
    <w:uiPriority w:val="0"/>
    <w:rPr>
      <w:rFonts w:ascii="宋体" w:hAnsi="Times New Roman" w:eastAsia="仿宋_GB2312" w:cs="Times New Roman"/>
      <w:b/>
      <w:sz w:val="24"/>
      <w:szCs w:val="20"/>
    </w:rPr>
  </w:style>
  <w:style w:type="character" w:customStyle="1" w:styleId="55">
    <w:name w:val="标题 8 字符"/>
    <w:basedOn w:val="39"/>
    <w:link w:val="10"/>
    <w:qFormat/>
    <w:uiPriority w:val="0"/>
    <w:rPr>
      <w:rFonts w:ascii="Arial" w:hAnsi="Arial" w:eastAsia="黑体" w:cs="Times New Roman"/>
      <w:sz w:val="24"/>
      <w:szCs w:val="20"/>
    </w:rPr>
  </w:style>
  <w:style w:type="character" w:customStyle="1" w:styleId="56">
    <w:name w:val="标题 9 字符"/>
    <w:basedOn w:val="39"/>
    <w:link w:val="11"/>
    <w:qFormat/>
    <w:uiPriority w:val="0"/>
    <w:rPr>
      <w:rFonts w:ascii="Arial" w:hAnsi="Arial" w:eastAsia="黑体" w:cs="Times New Roman"/>
      <w:sz w:val="28"/>
      <w:szCs w:val="20"/>
    </w:rPr>
  </w:style>
  <w:style w:type="character" w:customStyle="1" w:styleId="57">
    <w:name w:val="正文文本 字符"/>
    <w:basedOn w:val="39"/>
    <w:link w:val="16"/>
    <w:qFormat/>
    <w:uiPriority w:val="0"/>
    <w:rPr>
      <w:rFonts w:ascii="Times New Roman" w:hAnsi="Times New Roman" w:eastAsia="隶书" w:cs="Times New Roman"/>
      <w:b/>
      <w:sz w:val="44"/>
      <w:szCs w:val="20"/>
    </w:rPr>
  </w:style>
  <w:style w:type="character" w:customStyle="1" w:styleId="58">
    <w:name w:val="正文文本缩进 字符"/>
    <w:basedOn w:val="39"/>
    <w:link w:val="17"/>
    <w:qFormat/>
    <w:uiPriority w:val="0"/>
    <w:rPr>
      <w:rFonts w:ascii="宋体" w:hAnsi="Times New Roman" w:eastAsia="宋体" w:cs="Times New Roman"/>
      <w:kern w:val="2"/>
      <w:sz w:val="28"/>
      <w:szCs w:val="20"/>
    </w:rPr>
  </w:style>
  <w:style w:type="paragraph" w:customStyle="1" w:styleId="59">
    <w:name w:val="一级条标题"/>
    <w:basedOn w:val="1"/>
    <w:next w:val="1"/>
    <w:qFormat/>
    <w:uiPriority w:val="0"/>
    <w:pPr>
      <w:widowControl/>
      <w:tabs>
        <w:tab w:val="left" w:pos="1260"/>
      </w:tabs>
      <w:ind w:left="1260" w:hanging="420"/>
      <w:outlineLvl w:val="2"/>
    </w:pPr>
    <w:rPr>
      <w:rFonts w:ascii="黑体" w:eastAsia="黑体"/>
      <w:kern w:val="0"/>
      <w:sz w:val="24"/>
      <w:szCs w:val="20"/>
    </w:rPr>
  </w:style>
  <w:style w:type="paragraph" w:customStyle="1" w:styleId="60">
    <w:name w:val="二级条标题"/>
    <w:basedOn w:val="59"/>
    <w:next w:val="1"/>
    <w:qFormat/>
    <w:uiPriority w:val="0"/>
    <w:pPr>
      <w:tabs>
        <w:tab w:val="left" w:pos="1290"/>
      </w:tabs>
      <w:ind w:left="1290" w:hanging="720"/>
      <w:outlineLvl w:val="3"/>
    </w:pPr>
  </w:style>
  <w:style w:type="paragraph" w:customStyle="1" w:styleId="61">
    <w:name w:val="样式 宋体 小四 首行缩进:  1.11 厘米 行距: 1.5 倍行距"/>
    <w:basedOn w:val="1"/>
    <w:qFormat/>
    <w:uiPriority w:val="0"/>
    <w:pPr>
      <w:spacing w:line="360" w:lineRule="auto"/>
      <w:ind w:left="708" w:leftChars="337" w:firstLine="1"/>
    </w:pPr>
    <w:rPr>
      <w:rFonts w:ascii="宋体"/>
      <w:sz w:val="24"/>
      <w:szCs w:val="20"/>
    </w:rPr>
  </w:style>
  <w:style w:type="paragraph" w:customStyle="1" w:styleId="62">
    <w:name w:val="样式 标题 2 + 小二 段前: 0.5 行 段后: 0.5 行"/>
    <w:basedOn w:val="3"/>
    <w:qFormat/>
    <w:uiPriority w:val="0"/>
    <w:pPr>
      <w:keepLines w:val="0"/>
      <w:spacing w:beforeLines="50" w:afterLines="50" w:line="360" w:lineRule="auto"/>
    </w:pPr>
    <w:rPr>
      <w:rFonts w:ascii="宋体"/>
      <w:bCs/>
      <w:sz w:val="30"/>
      <w:szCs w:val="30"/>
    </w:rPr>
  </w:style>
  <w:style w:type="paragraph" w:customStyle="1" w:styleId="63">
    <w:name w:val="样式 标题 4 + 左侧:  0 厘米 悬挂缩进: 8.64 字符 行距: 最小值 18.8 磅"/>
    <w:basedOn w:val="6"/>
    <w:qFormat/>
    <w:uiPriority w:val="0"/>
    <w:pPr>
      <w:keepLines/>
      <w:widowControl w:val="0"/>
      <w:tabs>
        <w:tab w:val="clear" w:pos="2356"/>
      </w:tabs>
      <w:spacing w:before="120" w:after="120"/>
      <w:ind w:left="862" w:hanging="862"/>
    </w:pPr>
    <w:rPr>
      <w:rFonts w:ascii="Arial"/>
      <w:bCs/>
      <w:kern w:val="2"/>
      <w:szCs w:val="24"/>
    </w:rPr>
  </w:style>
  <w:style w:type="paragraph" w:customStyle="1" w:styleId="64">
    <w:name w:val="规范正文 Char Char Char"/>
    <w:basedOn w:val="1"/>
    <w:qFormat/>
    <w:uiPriority w:val="0"/>
    <w:pPr>
      <w:adjustRightInd w:val="0"/>
      <w:spacing w:line="360" w:lineRule="auto"/>
      <w:ind w:left="227" w:firstLine="454"/>
      <w:textAlignment w:val="baseline"/>
    </w:pPr>
    <w:rPr>
      <w:sz w:val="24"/>
    </w:rPr>
  </w:style>
  <w:style w:type="paragraph" w:customStyle="1" w:styleId="65">
    <w:name w:val="样式 首行缩进:  2 字符"/>
    <w:basedOn w:val="1"/>
    <w:qFormat/>
    <w:uiPriority w:val="0"/>
    <w:pPr>
      <w:spacing w:line="360" w:lineRule="auto"/>
      <w:ind w:firstLine="200" w:firstLineChars="200"/>
    </w:pPr>
    <w:rPr>
      <w:sz w:val="24"/>
    </w:rPr>
  </w:style>
  <w:style w:type="character" w:customStyle="1" w:styleId="66">
    <w:name w:val="规范正文 Char Char Char Char"/>
    <w:qFormat/>
    <w:uiPriority w:val="0"/>
    <w:rPr>
      <w:rFonts w:eastAsia="宋体"/>
      <w:kern w:val="2"/>
      <w:sz w:val="24"/>
      <w:szCs w:val="24"/>
      <w:lang w:val="en-US" w:eastAsia="zh-CN" w:bidi="ar-SA"/>
    </w:rPr>
  </w:style>
  <w:style w:type="paragraph" w:customStyle="1" w:styleId="67">
    <w:name w:val="规范正文 Char Char"/>
    <w:basedOn w:val="1"/>
    <w:qFormat/>
    <w:uiPriority w:val="0"/>
    <w:pPr>
      <w:adjustRightInd w:val="0"/>
      <w:spacing w:line="360" w:lineRule="auto"/>
      <w:ind w:left="227" w:firstLine="454"/>
      <w:textAlignment w:val="baseline"/>
    </w:pPr>
    <w:rPr>
      <w:kern w:val="0"/>
      <w:sz w:val="24"/>
      <w:szCs w:val="20"/>
    </w:rPr>
  </w:style>
  <w:style w:type="paragraph" w:customStyle="1" w:styleId="68">
    <w:name w:val="样式 标题 2 + 左侧:  0 厘米 首行缩进:  0 厘米 右侧:  2 字符"/>
    <w:basedOn w:val="3"/>
    <w:qFormat/>
    <w:uiPriority w:val="0"/>
    <w:pPr>
      <w:spacing w:before="120" w:after="120" w:line="360" w:lineRule="auto"/>
      <w:ind w:right="420" w:rightChars="200"/>
    </w:pPr>
    <w:rPr>
      <w:rFonts w:ascii="Arial" w:hAnsi="Arial" w:eastAsia="黑体"/>
      <w:bCs/>
      <w:sz w:val="24"/>
    </w:rPr>
  </w:style>
  <w:style w:type="paragraph" w:customStyle="1" w:styleId="69">
    <w:name w:val="Default Text"/>
    <w:basedOn w:val="1"/>
    <w:qFormat/>
    <w:uiPriority w:val="0"/>
    <w:pPr>
      <w:widowControl/>
      <w:overflowPunct w:val="0"/>
      <w:autoSpaceDE w:val="0"/>
      <w:autoSpaceDN w:val="0"/>
      <w:adjustRightInd w:val="0"/>
      <w:jc w:val="left"/>
      <w:textAlignment w:val="baseline"/>
    </w:pPr>
    <w:rPr>
      <w:rFonts w:eastAsia="仿宋_GB2312"/>
      <w:kern w:val="0"/>
      <w:sz w:val="24"/>
      <w:szCs w:val="20"/>
      <w:lang w:val="en-GB"/>
    </w:rPr>
  </w:style>
  <w:style w:type="paragraph" w:customStyle="1" w:styleId="70">
    <w:name w:val="缺省文本"/>
    <w:basedOn w:val="1"/>
    <w:qFormat/>
    <w:uiPriority w:val="0"/>
    <w:pPr>
      <w:widowControl/>
      <w:overflowPunct w:val="0"/>
      <w:autoSpaceDE w:val="0"/>
      <w:autoSpaceDN w:val="0"/>
      <w:adjustRightInd w:val="0"/>
      <w:spacing w:line="360" w:lineRule="auto"/>
      <w:ind w:firstLine="720"/>
      <w:textAlignment w:val="baseline"/>
    </w:pPr>
    <w:rPr>
      <w:rFonts w:ascii="宋体" w:eastAsia="仿宋_GB2312"/>
      <w:kern w:val="0"/>
      <w:sz w:val="28"/>
      <w:szCs w:val="20"/>
    </w:rPr>
  </w:style>
  <w:style w:type="paragraph" w:customStyle="1" w:styleId="71">
    <w:name w:val="font5"/>
    <w:basedOn w:val="1"/>
    <w:qFormat/>
    <w:uiPriority w:val="0"/>
    <w:pPr>
      <w:widowControl/>
      <w:spacing w:before="100" w:beforeAutospacing="1" w:after="100" w:afterAutospacing="1"/>
      <w:jc w:val="left"/>
    </w:pPr>
    <w:rPr>
      <w:rFonts w:hint="eastAsia" w:ascii="宋体" w:hAnsi="宋体"/>
      <w:kern w:val="0"/>
      <w:sz w:val="18"/>
      <w:szCs w:val="18"/>
    </w:rPr>
  </w:style>
  <w:style w:type="paragraph" w:customStyle="1" w:styleId="72">
    <w:name w:val="font6"/>
    <w:basedOn w:val="1"/>
    <w:qFormat/>
    <w:uiPriority w:val="0"/>
    <w:pPr>
      <w:widowControl/>
      <w:spacing w:before="100" w:beforeAutospacing="1" w:after="100" w:afterAutospacing="1"/>
      <w:jc w:val="left"/>
    </w:pPr>
    <w:rPr>
      <w:rFonts w:hint="eastAsia" w:ascii="宋体" w:hAnsi="宋体"/>
      <w:kern w:val="0"/>
      <w:sz w:val="20"/>
      <w:szCs w:val="20"/>
    </w:rPr>
  </w:style>
  <w:style w:type="paragraph" w:customStyle="1" w:styleId="73">
    <w:name w:val="font7"/>
    <w:basedOn w:val="1"/>
    <w:qFormat/>
    <w:uiPriority w:val="0"/>
    <w:pPr>
      <w:widowControl/>
      <w:spacing w:before="100" w:beforeAutospacing="1" w:after="100" w:afterAutospacing="1"/>
      <w:jc w:val="left"/>
    </w:pPr>
    <w:rPr>
      <w:kern w:val="0"/>
      <w:sz w:val="20"/>
      <w:szCs w:val="20"/>
    </w:rPr>
  </w:style>
  <w:style w:type="paragraph" w:customStyle="1" w:styleId="74">
    <w:name w:val="font8"/>
    <w:basedOn w:val="1"/>
    <w:qFormat/>
    <w:uiPriority w:val="0"/>
    <w:pPr>
      <w:widowControl/>
      <w:spacing w:before="100" w:beforeAutospacing="1" w:after="100" w:afterAutospacing="1"/>
      <w:jc w:val="left"/>
    </w:pPr>
    <w:rPr>
      <w:rFonts w:hint="eastAsia" w:ascii="宋体" w:hAnsi="宋体"/>
      <w:b/>
      <w:bCs/>
      <w:kern w:val="0"/>
      <w:sz w:val="20"/>
      <w:szCs w:val="20"/>
    </w:rPr>
  </w:style>
  <w:style w:type="paragraph" w:customStyle="1" w:styleId="75">
    <w:name w:val="font9"/>
    <w:basedOn w:val="1"/>
    <w:qFormat/>
    <w:uiPriority w:val="0"/>
    <w:pPr>
      <w:widowControl/>
      <w:spacing w:before="100" w:beforeAutospacing="1" w:after="100" w:afterAutospacing="1"/>
      <w:jc w:val="left"/>
    </w:pPr>
    <w:rPr>
      <w:b/>
      <w:bCs/>
      <w:kern w:val="0"/>
      <w:sz w:val="20"/>
      <w:szCs w:val="20"/>
    </w:rPr>
  </w:style>
  <w:style w:type="paragraph" w:customStyle="1" w:styleId="76">
    <w:name w:val="font10"/>
    <w:basedOn w:val="1"/>
    <w:qFormat/>
    <w:uiPriority w:val="0"/>
    <w:pPr>
      <w:widowControl/>
      <w:spacing w:before="100" w:beforeAutospacing="1" w:after="100" w:afterAutospacing="1"/>
      <w:jc w:val="left"/>
    </w:pPr>
    <w:rPr>
      <w:rFonts w:ascii="Arial Narrow" w:hAnsi="Arial Narrow"/>
      <w:kern w:val="0"/>
      <w:sz w:val="20"/>
      <w:szCs w:val="20"/>
    </w:rPr>
  </w:style>
  <w:style w:type="paragraph" w:customStyle="1" w:styleId="77">
    <w:name w:val="font11"/>
    <w:basedOn w:val="1"/>
    <w:qFormat/>
    <w:uiPriority w:val="0"/>
    <w:pPr>
      <w:widowControl/>
      <w:spacing w:before="100" w:beforeAutospacing="1" w:after="100" w:afterAutospacing="1"/>
      <w:jc w:val="left"/>
    </w:pPr>
    <w:rPr>
      <w:rFonts w:hint="eastAsia" w:ascii="宋体" w:hAnsi="宋体"/>
      <w:kern w:val="0"/>
      <w:sz w:val="20"/>
      <w:szCs w:val="20"/>
    </w:rPr>
  </w:style>
  <w:style w:type="paragraph" w:customStyle="1" w:styleId="78">
    <w:name w:val="font12"/>
    <w:basedOn w:val="1"/>
    <w:qFormat/>
    <w:uiPriority w:val="0"/>
    <w:pPr>
      <w:widowControl/>
      <w:spacing w:before="100" w:beforeAutospacing="1" w:after="100" w:afterAutospacing="1"/>
      <w:jc w:val="left"/>
    </w:pPr>
    <w:rPr>
      <w:kern w:val="0"/>
      <w:sz w:val="20"/>
      <w:szCs w:val="20"/>
    </w:rPr>
  </w:style>
  <w:style w:type="paragraph" w:customStyle="1" w:styleId="79">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0"/>
      <w:szCs w:val="20"/>
    </w:rPr>
  </w:style>
  <w:style w:type="paragraph" w:customStyle="1" w:styleId="80">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81">
    <w:name w:val="xl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kern w:val="0"/>
      <w:sz w:val="20"/>
      <w:szCs w:val="20"/>
    </w:rPr>
  </w:style>
  <w:style w:type="paragraph" w:customStyle="1" w:styleId="82">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0"/>
      <w:szCs w:val="20"/>
    </w:rPr>
  </w:style>
  <w:style w:type="paragraph" w:customStyle="1" w:styleId="83">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kern w:val="0"/>
      <w:sz w:val="20"/>
      <w:szCs w:val="20"/>
    </w:rPr>
  </w:style>
  <w:style w:type="paragraph" w:customStyle="1" w:styleId="84">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0"/>
      <w:szCs w:val="20"/>
    </w:rPr>
  </w:style>
  <w:style w:type="paragraph" w:customStyle="1" w:styleId="85">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Narrow" w:hAnsi="Arial Narrow"/>
      <w:kern w:val="0"/>
      <w:sz w:val="20"/>
      <w:szCs w:val="20"/>
    </w:rPr>
  </w:style>
  <w:style w:type="paragraph" w:customStyle="1" w:styleId="86">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kern w:val="0"/>
      <w:sz w:val="20"/>
      <w:szCs w:val="20"/>
    </w:rPr>
  </w:style>
  <w:style w:type="paragraph" w:customStyle="1" w:styleId="87">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0"/>
      <w:szCs w:val="20"/>
    </w:rPr>
  </w:style>
  <w:style w:type="paragraph" w:customStyle="1" w:styleId="88">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kern w:val="0"/>
      <w:sz w:val="20"/>
      <w:szCs w:val="20"/>
    </w:rPr>
  </w:style>
  <w:style w:type="paragraph" w:customStyle="1" w:styleId="89">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0"/>
      <w:szCs w:val="20"/>
    </w:rPr>
  </w:style>
  <w:style w:type="paragraph" w:customStyle="1" w:styleId="90">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0"/>
      <w:szCs w:val="20"/>
    </w:rPr>
  </w:style>
  <w:style w:type="paragraph" w:customStyle="1" w:styleId="91">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0"/>
      <w:szCs w:val="20"/>
    </w:rPr>
  </w:style>
  <w:style w:type="paragraph" w:customStyle="1" w:styleId="92">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0"/>
      <w:szCs w:val="20"/>
    </w:rPr>
  </w:style>
  <w:style w:type="paragraph" w:customStyle="1" w:styleId="93">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0"/>
      <w:szCs w:val="20"/>
    </w:rPr>
  </w:style>
  <w:style w:type="paragraph" w:customStyle="1" w:styleId="94">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kern w:val="0"/>
      <w:sz w:val="20"/>
      <w:szCs w:val="20"/>
    </w:rPr>
  </w:style>
  <w:style w:type="paragraph" w:customStyle="1" w:styleId="95">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宋体" w:hAnsi="宋体"/>
      <w:kern w:val="0"/>
      <w:sz w:val="20"/>
      <w:szCs w:val="20"/>
    </w:rPr>
  </w:style>
  <w:style w:type="paragraph" w:customStyle="1" w:styleId="96">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0"/>
      <w:szCs w:val="20"/>
    </w:rPr>
  </w:style>
  <w:style w:type="paragraph" w:customStyle="1" w:styleId="97">
    <w:name w:val="xl42"/>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left"/>
      <w:textAlignment w:val="center"/>
    </w:pPr>
    <w:rPr>
      <w:rFonts w:ascii="宋体" w:hAnsi="宋体"/>
      <w:kern w:val="0"/>
      <w:sz w:val="20"/>
      <w:szCs w:val="20"/>
    </w:rPr>
  </w:style>
  <w:style w:type="paragraph" w:customStyle="1" w:styleId="98">
    <w:name w:val="xl43"/>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textAlignment w:val="center"/>
    </w:pPr>
    <w:rPr>
      <w:rFonts w:ascii="宋体" w:hAnsi="宋体"/>
      <w:kern w:val="0"/>
      <w:sz w:val="20"/>
      <w:szCs w:val="20"/>
    </w:rPr>
  </w:style>
  <w:style w:type="paragraph" w:customStyle="1" w:styleId="99">
    <w:name w:val="xl44"/>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left"/>
      <w:textAlignment w:val="center"/>
    </w:pPr>
    <w:rPr>
      <w:rFonts w:ascii="宋体" w:hAnsi="宋体"/>
      <w:kern w:val="0"/>
      <w:sz w:val="20"/>
      <w:szCs w:val="20"/>
    </w:rPr>
  </w:style>
  <w:style w:type="paragraph" w:customStyle="1" w:styleId="100">
    <w:name w:val="xl45"/>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left"/>
      <w:textAlignment w:val="center"/>
    </w:pPr>
    <w:rPr>
      <w:rFonts w:ascii="宋体" w:hAnsi="宋体"/>
      <w:kern w:val="0"/>
      <w:sz w:val="20"/>
      <w:szCs w:val="20"/>
    </w:rPr>
  </w:style>
  <w:style w:type="paragraph" w:customStyle="1" w:styleId="101">
    <w:name w:val="xl46"/>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0"/>
      <w:szCs w:val="20"/>
    </w:rPr>
  </w:style>
  <w:style w:type="paragraph" w:customStyle="1" w:styleId="102">
    <w:name w:val="xl47"/>
    <w:basedOn w:val="1"/>
    <w:qFormat/>
    <w:uiPriority w:val="0"/>
    <w:pPr>
      <w:widowControl/>
      <w:pBdr>
        <w:top w:val="single" w:color="auto" w:sz="4" w:space="0"/>
        <w:left w:val="single" w:color="auto" w:sz="8" w:space="0"/>
        <w:bottom w:val="single" w:color="auto" w:sz="8" w:space="0"/>
        <w:right w:val="single" w:color="auto" w:sz="4" w:space="0"/>
      </w:pBdr>
      <w:spacing w:before="100" w:beforeAutospacing="1" w:after="100" w:afterAutospacing="1"/>
      <w:jc w:val="left"/>
      <w:textAlignment w:val="center"/>
    </w:pPr>
    <w:rPr>
      <w:rFonts w:ascii="宋体" w:hAnsi="宋体"/>
      <w:kern w:val="0"/>
      <w:sz w:val="20"/>
      <w:szCs w:val="20"/>
    </w:rPr>
  </w:style>
  <w:style w:type="paragraph" w:customStyle="1" w:styleId="103">
    <w:name w:val="xl48"/>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textAlignment w:val="center"/>
    </w:pPr>
    <w:rPr>
      <w:kern w:val="0"/>
      <w:sz w:val="20"/>
      <w:szCs w:val="20"/>
    </w:rPr>
  </w:style>
  <w:style w:type="paragraph" w:customStyle="1" w:styleId="104">
    <w:name w:val="xl49"/>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pPr>
    <w:rPr>
      <w:rFonts w:ascii="宋体" w:hAnsi="宋体"/>
      <w:kern w:val="0"/>
      <w:sz w:val="20"/>
      <w:szCs w:val="20"/>
    </w:rPr>
  </w:style>
  <w:style w:type="paragraph" w:customStyle="1" w:styleId="105">
    <w:name w:val="xl50"/>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textAlignment w:val="center"/>
    </w:pPr>
    <w:rPr>
      <w:rFonts w:ascii="宋体" w:hAnsi="宋体"/>
      <w:kern w:val="0"/>
      <w:sz w:val="20"/>
      <w:szCs w:val="20"/>
    </w:rPr>
  </w:style>
  <w:style w:type="paragraph" w:customStyle="1" w:styleId="106">
    <w:name w:val="xl51"/>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107">
    <w:name w:val="xl52"/>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left"/>
    </w:pPr>
    <w:rPr>
      <w:rFonts w:ascii="宋体" w:hAnsi="宋体"/>
      <w:kern w:val="0"/>
      <w:sz w:val="20"/>
      <w:szCs w:val="20"/>
    </w:rPr>
  </w:style>
  <w:style w:type="paragraph" w:customStyle="1" w:styleId="108">
    <w:name w:val="xl53"/>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left"/>
      <w:textAlignment w:val="center"/>
    </w:pPr>
    <w:rPr>
      <w:rFonts w:ascii="宋体" w:hAnsi="宋体"/>
      <w:kern w:val="0"/>
      <w:sz w:val="20"/>
      <w:szCs w:val="20"/>
    </w:rPr>
  </w:style>
  <w:style w:type="paragraph" w:customStyle="1" w:styleId="109">
    <w:name w:val="xl54"/>
    <w:basedOn w:val="1"/>
    <w:qFormat/>
    <w:uiPriority w:val="0"/>
    <w:pPr>
      <w:widowControl/>
      <w:spacing w:before="100" w:beforeAutospacing="1" w:after="100" w:afterAutospacing="1"/>
      <w:jc w:val="left"/>
      <w:textAlignment w:val="center"/>
    </w:pPr>
    <w:rPr>
      <w:rFonts w:ascii="宋体" w:hAnsi="宋体"/>
      <w:kern w:val="0"/>
      <w:sz w:val="20"/>
      <w:szCs w:val="20"/>
    </w:rPr>
  </w:style>
  <w:style w:type="paragraph" w:customStyle="1" w:styleId="110">
    <w:name w:val="xl5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kern w:val="0"/>
      <w:sz w:val="20"/>
      <w:szCs w:val="20"/>
    </w:rPr>
  </w:style>
  <w:style w:type="paragraph" w:customStyle="1" w:styleId="111">
    <w:name w:val="xl56"/>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textAlignment w:val="center"/>
    </w:pPr>
    <w:rPr>
      <w:kern w:val="0"/>
      <w:sz w:val="20"/>
      <w:szCs w:val="20"/>
    </w:rPr>
  </w:style>
  <w:style w:type="paragraph" w:customStyle="1" w:styleId="112">
    <w:name w:val="xl57"/>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left"/>
      <w:textAlignment w:val="center"/>
    </w:pPr>
    <w:rPr>
      <w:rFonts w:ascii="宋体" w:hAnsi="宋体"/>
      <w:kern w:val="0"/>
      <w:sz w:val="20"/>
      <w:szCs w:val="20"/>
    </w:rPr>
  </w:style>
  <w:style w:type="paragraph" w:customStyle="1" w:styleId="113">
    <w:name w:val="xl58"/>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0"/>
      <w:szCs w:val="20"/>
    </w:rPr>
  </w:style>
  <w:style w:type="paragraph" w:customStyle="1" w:styleId="114">
    <w:name w:val="xl59"/>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0"/>
      <w:szCs w:val="20"/>
    </w:rPr>
  </w:style>
  <w:style w:type="paragraph" w:customStyle="1" w:styleId="115">
    <w:name w:val="xl60"/>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0"/>
      <w:szCs w:val="20"/>
    </w:rPr>
  </w:style>
  <w:style w:type="paragraph" w:customStyle="1" w:styleId="116">
    <w:name w:val="xl61"/>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0"/>
      <w:szCs w:val="20"/>
    </w:rPr>
  </w:style>
  <w:style w:type="paragraph" w:customStyle="1" w:styleId="117">
    <w:name w:val="xl62"/>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textAlignment w:val="center"/>
    </w:pPr>
    <w:rPr>
      <w:rFonts w:ascii="宋体" w:hAnsi="宋体"/>
      <w:kern w:val="0"/>
      <w:sz w:val="20"/>
      <w:szCs w:val="20"/>
    </w:rPr>
  </w:style>
  <w:style w:type="paragraph" w:customStyle="1" w:styleId="118">
    <w:name w:val="xl6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0"/>
      <w:szCs w:val="20"/>
    </w:rPr>
  </w:style>
  <w:style w:type="paragraph" w:customStyle="1" w:styleId="119">
    <w:name w:val="xl6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0"/>
      <w:szCs w:val="20"/>
    </w:rPr>
  </w:style>
  <w:style w:type="paragraph" w:customStyle="1" w:styleId="120">
    <w:name w:val="xl6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kern w:val="0"/>
      <w:sz w:val="20"/>
      <w:szCs w:val="20"/>
    </w:rPr>
  </w:style>
  <w:style w:type="paragraph" w:customStyle="1" w:styleId="121">
    <w:name w:val="xl6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0"/>
      <w:szCs w:val="20"/>
    </w:rPr>
  </w:style>
  <w:style w:type="paragraph" w:customStyle="1" w:styleId="122">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kern w:val="0"/>
      <w:sz w:val="20"/>
      <w:szCs w:val="20"/>
    </w:rPr>
  </w:style>
  <w:style w:type="paragraph" w:customStyle="1" w:styleId="123">
    <w:name w:val="xl6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0"/>
      <w:szCs w:val="20"/>
    </w:rPr>
  </w:style>
  <w:style w:type="paragraph" w:customStyle="1" w:styleId="124">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kern w:val="0"/>
      <w:sz w:val="20"/>
      <w:szCs w:val="20"/>
    </w:rPr>
  </w:style>
  <w:style w:type="paragraph" w:customStyle="1" w:styleId="125">
    <w:name w:val="xl70"/>
    <w:basedOn w:val="1"/>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pPr>
    <w:rPr>
      <w:rFonts w:ascii="宋体" w:hAnsi="宋体"/>
      <w:kern w:val="0"/>
      <w:sz w:val="20"/>
      <w:szCs w:val="20"/>
    </w:rPr>
  </w:style>
  <w:style w:type="paragraph" w:customStyle="1" w:styleId="126">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0"/>
      <w:szCs w:val="20"/>
    </w:rPr>
  </w:style>
  <w:style w:type="paragraph" w:customStyle="1" w:styleId="127">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0"/>
      <w:szCs w:val="20"/>
    </w:rPr>
  </w:style>
  <w:style w:type="paragraph" w:customStyle="1" w:styleId="128">
    <w:name w:val="xl73"/>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left"/>
      <w:textAlignment w:val="center"/>
    </w:pPr>
    <w:rPr>
      <w:kern w:val="0"/>
      <w:sz w:val="20"/>
      <w:szCs w:val="20"/>
    </w:rPr>
  </w:style>
  <w:style w:type="paragraph" w:customStyle="1" w:styleId="129">
    <w:name w:val="IBM 正文"/>
    <w:basedOn w:val="1"/>
    <w:qFormat/>
    <w:uiPriority w:val="0"/>
    <w:pPr>
      <w:spacing w:line="400" w:lineRule="exact"/>
    </w:pPr>
    <w:rPr>
      <w:spacing w:val="20"/>
      <w:sz w:val="24"/>
    </w:rPr>
  </w:style>
  <w:style w:type="character" w:customStyle="1" w:styleId="130">
    <w:name w:val="日期 字符"/>
    <w:basedOn w:val="39"/>
    <w:link w:val="22"/>
    <w:qFormat/>
    <w:uiPriority w:val="0"/>
    <w:rPr>
      <w:rFonts w:ascii="Times New Roman" w:hAnsi="Times New Roman" w:eastAsia="宋体" w:cs="Times New Roman"/>
      <w:kern w:val="2"/>
      <w:sz w:val="21"/>
      <w:szCs w:val="20"/>
    </w:rPr>
  </w:style>
  <w:style w:type="character" w:customStyle="1" w:styleId="131">
    <w:name w:val="纯文本 Char"/>
    <w:basedOn w:val="39"/>
    <w:semiHidden/>
    <w:qFormat/>
    <w:uiPriority w:val="99"/>
    <w:rPr>
      <w:rFonts w:ascii="Consolas" w:hAnsi="Consolas" w:eastAsia="宋体" w:cs="Consolas"/>
      <w:kern w:val="2"/>
      <w:sz w:val="21"/>
      <w:szCs w:val="21"/>
    </w:rPr>
  </w:style>
  <w:style w:type="character" w:customStyle="1" w:styleId="132">
    <w:name w:val="纯文本 字符"/>
    <w:link w:val="20"/>
    <w:qFormat/>
    <w:locked/>
    <w:uiPriority w:val="0"/>
    <w:rPr>
      <w:rFonts w:ascii="宋体" w:hAnsi="Courier New" w:eastAsia="宋体" w:cs="Times New Roman"/>
      <w:kern w:val="2"/>
      <w:sz w:val="21"/>
      <w:szCs w:val="20"/>
    </w:rPr>
  </w:style>
  <w:style w:type="paragraph" w:customStyle="1" w:styleId="133">
    <w:name w:val="样式 标题 3 + (中文) 黑体 小四 非加粗 段前: 7.8 磅 段后: 0 磅 行距: 固定值 20 磅"/>
    <w:basedOn w:val="5"/>
    <w:qFormat/>
    <w:uiPriority w:val="0"/>
    <w:pPr>
      <w:spacing w:before="0" w:after="0" w:line="400" w:lineRule="exact"/>
    </w:pPr>
    <w:rPr>
      <w:rFonts w:eastAsia="黑体" w:cs="宋体"/>
      <w:b w:val="0"/>
      <w:sz w:val="24"/>
    </w:rPr>
  </w:style>
  <w:style w:type="paragraph" w:customStyle="1" w:styleId="134">
    <w:name w:val="样式 标题 2 + Times New Roman 四号 非加粗 段前: 5 磅 段后: 0 磅 行距: 固定值 20..."/>
    <w:basedOn w:val="3"/>
    <w:qFormat/>
    <w:uiPriority w:val="0"/>
    <w:pPr>
      <w:spacing w:before="100" w:after="0" w:line="400" w:lineRule="exact"/>
    </w:pPr>
    <w:rPr>
      <w:rFonts w:eastAsia="黑体" w:cs="宋体"/>
      <w:b w:val="0"/>
      <w:sz w:val="28"/>
    </w:rPr>
  </w:style>
  <w:style w:type="character" w:customStyle="1" w:styleId="135">
    <w:name w:val="msoins"/>
    <w:basedOn w:val="39"/>
    <w:qFormat/>
    <w:uiPriority w:val="0"/>
  </w:style>
  <w:style w:type="character" w:customStyle="1" w:styleId="136">
    <w:name w:val="HTML 预设格式 字符"/>
    <w:basedOn w:val="39"/>
    <w:link w:val="32"/>
    <w:qFormat/>
    <w:uiPriority w:val="99"/>
    <w:rPr>
      <w:rFonts w:ascii="Arial" w:hAnsi="Arial" w:eastAsia="宋体" w:cs="Arial"/>
      <w:sz w:val="21"/>
      <w:szCs w:val="21"/>
    </w:rPr>
  </w:style>
  <w:style w:type="character" w:customStyle="1" w:styleId="137">
    <w:name w:val="正文文本 3 字符"/>
    <w:basedOn w:val="39"/>
    <w:link w:val="15"/>
    <w:qFormat/>
    <w:uiPriority w:val="0"/>
    <w:rPr>
      <w:rFonts w:ascii="Times New Roman" w:hAnsi="Times New Roman" w:eastAsia="宋体" w:cs="Times New Roman"/>
      <w:kern w:val="2"/>
      <w:sz w:val="16"/>
      <w:szCs w:val="16"/>
    </w:rPr>
  </w:style>
  <w:style w:type="paragraph" w:customStyle="1" w:styleId="138">
    <w:name w:val="默认段落字体 Para Char Char Char Char Char Char Char Char Char1 Char Char Char Char"/>
    <w:basedOn w:val="1"/>
    <w:qFormat/>
    <w:uiPriority w:val="0"/>
    <w:rPr>
      <w:rFonts w:ascii="Tahoma" w:hAnsi="Tahoma"/>
      <w:sz w:val="24"/>
      <w:szCs w:val="20"/>
    </w:rPr>
  </w:style>
  <w:style w:type="character" w:customStyle="1" w:styleId="139">
    <w:name w:val="正文文本缩进 2 字符"/>
    <w:basedOn w:val="39"/>
    <w:link w:val="23"/>
    <w:qFormat/>
    <w:uiPriority w:val="0"/>
    <w:rPr>
      <w:rFonts w:ascii="Times New Roman" w:hAnsi="Times New Roman" w:eastAsia="宋体" w:cs="Times New Roman"/>
      <w:kern w:val="2"/>
      <w:sz w:val="21"/>
      <w:szCs w:val="24"/>
    </w:rPr>
  </w:style>
  <w:style w:type="paragraph" w:customStyle="1" w:styleId="140">
    <w:name w:val="_Style 12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1">
    <w:name w:val="Char"/>
    <w:basedOn w:val="1"/>
    <w:next w:val="1"/>
    <w:qFormat/>
    <w:uiPriority w:val="0"/>
    <w:pPr>
      <w:widowControl/>
      <w:spacing w:after="160" w:line="240" w:lineRule="exact"/>
      <w:jc w:val="left"/>
    </w:pPr>
    <w:rPr>
      <w:rFonts w:ascii="Verdana" w:hAnsi="Verdana"/>
      <w:kern w:val="0"/>
      <w:sz w:val="20"/>
      <w:szCs w:val="20"/>
      <w:lang w:eastAsia="en-US"/>
    </w:rPr>
  </w:style>
  <w:style w:type="paragraph" w:customStyle="1" w:styleId="142">
    <w:name w:val="Char Char1 Char Char Char Char Char1 Char Char Char Char"/>
    <w:basedOn w:val="13"/>
    <w:qFormat/>
    <w:uiPriority w:val="0"/>
    <w:rPr>
      <w:rFonts w:ascii="Tahoma" w:hAnsi="Tahoma" w:eastAsia="仿宋_GB2312"/>
      <w:sz w:val="30"/>
      <w:szCs w:val="30"/>
    </w:rPr>
  </w:style>
  <w:style w:type="character" w:customStyle="1" w:styleId="143">
    <w:name w:val="文档结构图 字符"/>
    <w:basedOn w:val="39"/>
    <w:link w:val="13"/>
    <w:semiHidden/>
    <w:qFormat/>
    <w:uiPriority w:val="0"/>
    <w:rPr>
      <w:rFonts w:ascii="Times New Roman" w:hAnsi="Times New Roman" w:eastAsia="宋体" w:cs="Times New Roman"/>
      <w:kern w:val="2"/>
      <w:sz w:val="21"/>
      <w:szCs w:val="24"/>
      <w:shd w:val="clear" w:color="auto" w:fill="000080"/>
    </w:rPr>
  </w:style>
  <w:style w:type="character" w:customStyle="1" w:styleId="144">
    <w:name w:val="批注框文本 字符"/>
    <w:basedOn w:val="39"/>
    <w:link w:val="24"/>
    <w:semiHidden/>
    <w:qFormat/>
    <w:uiPriority w:val="99"/>
    <w:rPr>
      <w:rFonts w:ascii="Times New Roman" w:hAnsi="Times New Roman" w:eastAsia="宋体" w:cs="Times New Roman"/>
      <w:kern w:val="2"/>
      <w:sz w:val="18"/>
      <w:szCs w:val="18"/>
    </w:rPr>
  </w:style>
  <w:style w:type="character" w:customStyle="1" w:styleId="145">
    <w:name w:val="批注文字 字符"/>
    <w:link w:val="14"/>
    <w:qFormat/>
    <w:locked/>
    <w:uiPriority w:val="99"/>
    <w:rPr>
      <w:kern w:val="2"/>
      <w:sz w:val="21"/>
      <w:szCs w:val="24"/>
    </w:rPr>
  </w:style>
  <w:style w:type="character" w:customStyle="1" w:styleId="146">
    <w:name w:val="批注文字 Char1"/>
    <w:basedOn w:val="39"/>
    <w:qFormat/>
    <w:uiPriority w:val="0"/>
    <w:rPr>
      <w:rFonts w:ascii="Times New Roman" w:hAnsi="Times New Roman" w:eastAsia="宋体" w:cs="Times New Roman"/>
      <w:kern w:val="2"/>
      <w:sz w:val="20"/>
      <w:szCs w:val="20"/>
    </w:rPr>
  </w:style>
  <w:style w:type="character" w:customStyle="1" w:styleId="147">
    <w:name w:val="标题 字符"/>
    <w:link w:val="34"/>
    <w:qFormat/>
    <w:locked/>
    <w:uiPriority w:val="0"/>
    <w:rPr>
      <w:rFonts w:ascii="Cambria" w:hAnsi="Cambria"/>
      <w:b/>
      <w:bCs/>
      <w:kern w:val="2"/>
      <w:sz w:val="32"/>
      <w:szCs w:val="32"/>
    </w:rPr>
  </w:style>
  <w:style w:type="character" w:customStyle="1" w:styleId="148">
    <w:name w:val="标题 Char1"/>
    <w:basedOn w:val="39"/>
    <w:qFormat/>
    <w:uiPriority w:val="0"/>
    <w:rPr>
      <w:rFonts w:asciiTheme="majorHAnsi" w:hAnsiTheme="majorHAnsi" w:eastAsiaTheme="majorEastAsia" w:cstheme="majorBidi"/>
      <w:spacing w:val="-10"/>
      <w:kern w:val="28"/>
      <w:sz w:val="56"/>
      <w:szCs w:val="56"/>
    </w:rPr>
  </w:style>
  <w:style w:type="character" w:customStyle="1" w:styleId="149">
    <w:name w:val="副标题 字符"/>
    <w:link w:val="28"/>
    <w:qFormat/>
    <w:locked/>
    <w:uiPriority w:val="0"/>
    <w:rPr>
      <w:rFonts w:ascii="黑体" w:hAnsi="黑体" w:eastAsia="黑体"/>
      <w:bCs/>
      <w:kern w:val="28"/>
      <w:sz w:val="24"/>
      <w:szCs w:val="32"/>
    </w:rPr>
  </w:style>
  <w:style w:type="character" w:customStyle="1" w:styleId="150">
    <w:name w:val="副标题 Char1"/>
    <w:basedOn w:val="39"/>
    <w:qFormat/>
    <w:uiPriority w:val="0"/>
    <w:rPr>
      <w:color w:val="595959" w:themeColor="text1" w:themeTint="A6"/>
      <w:spacing w:val="15"/>
      <w:kern w:val="2"/>
      <w14:textFill>
        <w14:solidFill>
          <w14:schemeClr w14:val="tx1">
            <w14:lumMod w14:val="65000"/>
            <w14:lumOff w14:val="35000"/>
          </w14:schemeClr>
        </w14:solidFill>
      </w14:textFill>
    </w:rPr>
  </w:style>
  <w:style w:type="character" w:customStyle="1" w:styleId="151">
    <w:name w:val="正文文本缩进 3 字符"/>
    <w:link w:val="30"/>
    <w:qFormat/>
    <w:locked/>
    <w:uiPriority w:val="0"/>
    <w:rPr>
      <w:rFonts w:ascii="宋体" w:hAnsi="宋体"/>
      <w:sz w:val="24"/>
    </w:rPr>
  </w:style>
  <w:style w:type="character" w:customStyle="1" w:styleId="152">
    <w:name w:val="正文文本缩进 3 Char1"/>
    <w:basedOn w:val="39"/>
    <w:qFormat/>
    <w:uiPriority w:val="0"/>
    <w:rPr>
      <w:rFonts w:ascii="Times New Roman" w:hAnsi="Times New Roman" w:eastAsia="宋体" w:cs="Times New Roman"/>
      <w:kern w:val="2"/>
      <w:sz w:val="16"/>
      <w:szCs w:val="16"/>
    </w:rPr>
  </w:style>
  <w:style w:type="character" w:customStyle="1" w:styleId="153">
    <w:name w:val="批注主题 字符"/>
    <w:link w:val="35"/>
    <w:qFormat/>
    <w:locked/>
    <w:uiPriority w:val="99"/>
    <w:rPr>
      <w:b/>
      <w:bCs/>
      <w:kern w:val="2"/>
      <w:sz w:val="21"/>
      <w:szCs w:val="24"/>
    </w:rPr>
  </w:style>
  <w:style w:type="character" w:customStyle="1" w:styleId="154">
    <w:name w:val="批注主题 Char1"/>
    <w:basedOn w:val="146"/>
    <w:qFormat/>
    <w:uiPriority w:val="0"/>
    <w:rPr>
      <w:rFonts w:ascii="Times New Roman" w:hAnsi="Times New Roman" w:eastAsia="宋体" w:cs="Times New Roman"/>
      <w:b/>
      <w:bCs/>
      <w:kern w:val="2"/>
      <w:sz w:val="20"/>
      <w:szCs w:val="20"/>
    </w:rPr>
  </w:style>
  <w:style w:type="paragraph" w:customStyle="1" w:styleId="155">
    <w:name w:val="Char Char Char Char"/>
    <w:basedOn w:val="1"/>
    <w:next w:val="1"/>
    <w:qFormat/>
    <w:uiPriority w:val="0"/>
    <w:pPr>
      <w:widowControl/>
      <w:spacing w:after="160" w:line="240" w:lineRule="exact"/>
      <w:jc w:val="left"/>
    </w:pPr>
    <w:rPr>
      <w:rFonts w:ascii="Verdana" w:hAnsi="Verdana"/>
      <w:kern w:val="0"/>
      <w:sz w:val="20"/>
      <w:szCs w:val="20"/>
      <w:lang w:eastAsia="en-US"/>
    </w:rPr>
  </w:style>
  <w:style w:type="paragraph" w:customStyle="1" w:styleId="156">
    <w:name w:val="表格文字"/>
    <w:basedOn w:val="1"/>
    <w:qFormat/>
    <w:uiPriority w:val="0"/>
    <w:pPr>
      <w:adjustRightInd w:val="0"/>
      <w:spacing w:line="420" w:lineRule="atLeast"/>
      <w:jc w:val="left"/>
    </w:pPr>
    <w:rPr>
      <w:kern w:val="0"/>
      <w:szCs w:val="20"/>
    </w:rPr>
  </w:style>
  <w:style w:type="paragraph" w:customStyle="1" w:styleId="157">
    <w:name w:val="bb"/>
    <w:basedOn w:val="1"/>
    <w:qFormat/>
    <w:uiPriority w:val="0"/>
    <w:pPr>
      <w:widowControl/>
      <w:spacing w:before="100" w:beforeAutospacing="1" w:after="100" w:afterAutospacing="1"/>
      <w:jc w:val="left"/>
    </w:pPr>
    <w:rPr>
      <w:rFonts w:ascii="宋体" w:hAnsi="宋体" w:cs="宋体"/>
      <w:b/>
      <w:bCs/>
      <w:color w:val="990000"/>
      <w:kern w:val="0"/>
      <w:szCs w:val="21"/>
    </w:rPr>
  </w:style>
  <w:style w:type="paragraph" w:customStyle="1" w:styleId="158">
    <w:name w:val="样式7"/>
    <w:basedOn w:val="1"/>
    <w:qFormat/>
    <w:uiPriority w:val="0"/>
    <w:pPr>
      <w:spacing w:line="500" w:lineRule="exact"/>
      <w:jc w:val="center"/>
    </w:pPr>
    <w:rPr>
      <w:rFonts w:ascii="宋体"/>
      <w:b/>
      <w:sz w:val="32"/>
      <w:szCs w:val="20"/>
    </w:rPr>
  </w:style>
  <w:style w:type="paragraph" w:customStyle="1" w:styleId="159">
    <w:name w:val="Char2"/>
    <w:basedOn w:val="1"/>
    <w:qFormat/>
    <w:uiPriority w:val="0"/>
    <w:pPr>
      <w:spacing w:line="400" w:lineRule="exact"/>
    </w:pPr>
    <w:rPr>
      <w:rFonts w:ascii="Tahoma" w:hAnsi="Tahoma"/>
      <w:sz w:val="24"/>
      <w:szCs w:val="20"/>
    </w:rPr>
  </w:style>
  <w:style w:type="paragraph" w:customStyle="1" w:styleId="160">
    <w:name w:val="Char1 Char Char Char Char Char Char"/>
    <w:basedOn w:val="1"/>
    <w:qFormat/>
    <w:uiPriority w:val="0"/>
    <w:pPr>
      <w:ind w:firstLine="360" w:firstLineChars="150"/>
    </w:pPr>
    <w:rPr>
      <w:rFonts w:ascii="Tahoma" w:hAnsi="Tahoma"/>
      <w:sz w:val="24"/>
      <w:szCs w:val="20"/>
    </w:rPr>
  </w:style>
  <w:style w:type="character" w:customStyle="1" w:styleId="161">
    <w:name w:val="style18"/>
    <w:basedOn w:val="39"/>
    <w:qFormat/>
    <w:uiPriority w:val="0"/>
  </w:style>
  <w:style w:type="character" w:customStyle="1" w:styleId="162">
    <w:name w:val="普通文字 Char Char2"/>
    <w:qFormat/>
    <w:locked/>
    <w:uiPriority w:val="0"/>
    <w:rPr>
      <w:rFonts w:ascii="宋体" w:hAnsi="Courier New" w:eastAsia="宋体"/>
    </w:rPr>
  </w:style>
  <w:style w:type="character" w:customStyle="1" w:styleId="163">
    <w:name w:val="默认段落字体1"/>
    <w:qFormat/>
    <w:uiPriority w:val="0"/>
  </w:style>
  <w:style w:type="character" w:customStyle="1" w:styleId="164">
    <w:name w:val="Default Paragraph Font1"/>
    <w:qFormat/>
    <w:uiPriority w:val="0"/>
  </w:style>
  <w:style w:type="character" w:customStyle="1" w:styleId="165">
    <w:name w:val="页眉 字符"/>
    <w:qFormat/>
    <w:uiPriority w:val="0"/>
    <w:rPr>
      <w:rFonts w:eastAsia="Arial Unicode MS" w:cs="Arial Unicode MS"/>
      <w:color w:val="000000"/>
      <w:sz w:val="18"/>
      <w:szCs w:val="18"/>
      <w:u w:val="none" w:color="000000"/>
    </w:rPr>
  </w:style>
  <w:style w:type="paragraph" w:customStyle="1" w:styleId="166">
    <w:name w:val="Heading"/>
    <w:basedOn w:val="1"/>
    <w:next w:val="16"/>
    <w:qFormat/>
    <w:uiPriority w:val="0"/>
    <w:pPr>
      <w:keepNext/>
      <w:suppressAutoHyphens/>
      <w:spacing w:before="240" w:after="120"/>
      <w:jc w:val="left"/>
    </w:pPr>
    <w:rPr>
      <w:rFonts w:ascii="Liberation Sans" w:hAnsi="Liberation Sans" w:eastAsia="WenQuanYi Zen Hei Sharp" w:cs="Lohit Devanagari"/>
      <w:color w:val="000000"/>
      <w:kern w:val="1"/>
      <w:sz w:val="28"/>
      <w:szCs w:val="28"/>
    </w:rPr>
  </w:style>
  <w:style w:type="paragraph" w:customStyle="1" w:styleId="167">
    <w:name w:val="Index"/>
    <w:basedOn w:val="1"/>
    <w:qFormat/>
    <w:uiPriority w:val="0"/>
    <w:pPr>
      <w:suppressLineNumbers/>
      <w:suppressAutoHyphens/>
      <w:jc w:val="left"/>
    </w:pPr>
    <w:rPr>
      <w:rFonts w:eastAsia="Arial Unicode MS" w:cs="Lohit Devanagari"/>
      <w:color w:val="000000"/>
      <w:kern w:val="1"/>
      <w:sz w:val="24"/>
    </w:rPr>
  </w:style>
  <w:style w:type="paragraph" w:customStyle="1" w:styleId="168">
    <w:name w:val="题注1"/>
    <w:basedOn w:val="1"/>
    <w:qFormat/>
    <w:uiPriority w:val="0"/>
    <w:pPr>
      <w:suppressLineNumbers/>
      <w:suppressAutoHyphens/>
      <w:spacing w:before="120" w:after="120"/>
      <w:jc w:val="left"/>
    </w:pPr>
    <w:rPr>
      <w:rFonts w:eastAsia="Arial Unicode MS" w:cs="Lohit Devanagari"/>
      <w:i/>
      <w:iCs/>
      <w:color w:val="000000"/>
      <w:kern w:val="1"/>
      <w:sz w:val="24"/>
    </w:rPr>
  </w:style>
  <w:style w:type="paragraph" w:customStyle="1" w:styleId="169">
    <w:name w:val="题注2"/>
    <w:basedOn w:val="1"/>
    <w:qFormat/>
    <w:uiPriority w:val="0"/>
    <w:pPr>
      <w:suppressLineNumbers/>
      <w:suppressAutoHyphens/>
      <w:spacing w:before="120" w:after="120"/>
      <w:jc w:val="left"/>
    </w:pPr>
    <w:rPr>
      <w:rFonts w:eastAsia="Arial Unicode MS" w:cs="Lohit Devanagari"/>
      <w:i/>
      <w:iCs/>
      <w:color w:val="000000"/>
      <w:kern w:val="1"/>
      <w:sz w:val="24"/>
    </w:rPr>
  </w:style>
  <w:style w:type="paragraph" w:customStyle="1" w:styleId="170">
    <w:name w:val="页眉与页脚"/>
    <w:qFormat/>
    <w:uiPriority w:val="0"/>
    <w:pPr>
      <w:tabs>
        <w:tab w:val="right" w:pos="9020"/>
      </w:tabs>
      <w:suppressAutoHyphens/>
    </w:pPr>
    <w:rPr>
      <w:rFonts w:ascii="Helvetica" w:hAnsi="Helvetica" w:eastAsia="Arial Unicode MS" w:cs="Arial Unicode MS"/>
      <w:color w:val="000000"/>
      <w:kern w:val="1"/>
      <w:sz w:val="24"/>
      <w:szCs w:val="24"/>
      <w:lang w:val="en-US" w:eastAsia="zh-CN" w:bidi="ar-SA"/>
    </w:rPr>
  </w:style>
  <w:style w:type="paragraph" w:customStyle="1" w:styleId="171">
    <w:name w:val="No Spacing2"/>
    <w:qFormat/>
    <w:uiPriority w:val="0"/>
    <w:pPr>
      <w:widowControl w:val="0"/>
      <w:suppressAutoHyphens/>
      <w:jc w:val="both"/>
    </w:pPr>
    <w:rPr>
      <w:rFonts w:ascii="宋体" w:hAnsi="宋体" w:eastAsia="宋体" w:cs="宋体"/>
      <w:color w:val="000000"/>
      <w:kern w:val="1"/>
      <w:sz w:val="24"/>
      <w:szCs w:val="24"/>
      <w:lang w:val="en-US" w:eastAsia="zh-CN" w:bidi="ar-SA"/>
    </w:rPr>
  </w:style>
  <w:style w:type="paragraph" w:customStyle="1" w:styleId="172">
    <w:name w:val="Table Contents"/>
    <w:basedOn w:val="1"/>
    <w:qFormat/>
    <w:uiPriority w:val="0"/>
    <w:pPr>
      <w:suppressAutoHyphens/>
      <w:jc w:val="left"/>
    </w:pPr>
    <w:rPr>
      <w:rFonts w:eastAsia="Arial Unicode MS" w:cs="Arial Unicode MS"/>
      <w:color w:val="000000"/>
      <w:kern w:val="1"/>
      <w:sz w:val="24"/>
    </w:rPr>
  </w:style>
  <w:style w:type="paragraph" w:customStyle="1" w:styleId="173">
    <w:name w:val="Table Heading"/>
    <w:basedOn w:val="172"/>
    <w:link w:val="194"/>
    <w:qFormat/>
    <w:uiPriority w:val="0"/>
    <w:rPr>
      <w:rFonts w:cs="Times New Roman"/>
    </w:rPr>
  </w:style>
  <w:style w:type="paragraph" w:customStyle="1" w:styleId="174">
    <w:name w:val="Medium Grid 21"/>
    <w:basedOn w:val="1"/>
    <w:qFormat/>
    <w:uiPriority w:val="0"/>
    <w:pPr>
      <w:widowControl/>
    </w:pPr>
    <w:rPr>
      <w:rFonts w:ascii="宋体" w:hAnsi="宋体" w:cs="宋体"/>
      <w:color w:val="000000"/>
      <w:kern w:val="0"/>
      <w:sz w:val="24"/>
    </w:rPr>
  </w:style>
  <w:style w:type="table" w:customStyle="1" w:styleId="175">
    <w:name w:val="Table Normal1"/>
    <w:semiHidden/>
    <w:qFormat/>
    <w:uiPriority w:val="99"/>
    <w:rPr>
      <w:rFonts w:ascii="Calibri" w:hAnsi="Calibri"/>
    </w:rPr>
    <w:tblPr>
      <w:tblCellMar>
        <w:top w:w="0" w:type="dxa"/>
        <w:left w:w="108" w:type="dxa"/>
        <w:bottom w:w="0" w:type="dxa"/>
        <w:right w:w="108" w:type="dxa"/>
      </w:tblCellMar>
    </w:tblPr>
  </w:style>
  <w:style w:type="paragraph" w:customStyle="1" w:styleId="176">
    <w:name w:val="p1"/>
    <w:basedOn w:val="1"/>
    <w:qFormat/>
    <w:uiPriority w:val="0"/>
    <w:pPr>
      <w:widowControl/>
    </w:pPr>
    <w:rPr>
      <w:kern w:val="0"/>
      <w:sz w:val="16"/>
      <w:szCs w:val="16"/>
    </w:rPr>
  </w:style>
  <w:style w:type="paragraph" w:customStyle="1" w:styleId="177">
    <w:name w:val="无间隔1"/>
    <w:qFormat/>
    <w:uiPriority w:val="0"/>
    <w:pPr>
      <w:widowControl w:val="0"/>
      <w:suppressAutoHyphens/>
      <w:jc w:val="both"/>
    </w:pPr>
    <w:rPr>
      <w:rFonts w:ascii="宋体" w:hAnsi="宋体" w:eastAsia="宋体" w:cs="宋体"/>
      <w:color w:val="000000"/>
      <w:kern w:val="1"/>
      <w:sz w:val="24"/>
      <w:szCs w:val="24"/>
      <w:lang w:val="en-US" w:eastAsia="zh-CN" w:bidi="ar-SA"/>
    </w:rPr>
  </w:style>
  <w:style w:type="paragraph" w:customStyle="1" w:styleId="178">
    <w:name w:val="No Spacing1"/>
    <w:qFormat/>
    <w:uiPriority w:val="0"/>
    <w:pPr>
      <w:widowControl w:val="0"/>
      <w:suppressAutoHyphens/>
      <w:jc w:val="both"/>
    </w:pPr>
    <w:rPr>
      <w:rFonts w:ascii="宋体" w:hAnsi="宋体" w:eastAsia="宋体" w:cs="宋体"/>
      <w:color w:val="000000"/>
      <w:kern w:val="1"/>
      <w:sz w:val="24"/>
      <w:szCs w:val="24"/>
      <w:lang w:val="en-US" w:eastAsia="zh-CN" w:bidi="ar-SA"/>
    </w:rPr>
  </w:style>
  <w:style w:type="paragraph" w:customStyle="1" w:styleId="179">
    <w:name w:val="题注21"/>
    <w:basedOn w:val="1"/>
    <w:qFormat/>
    <w:uiPriority w:val="0"/>
    <w:pPr>
      <w:suppressLineNumbers/>
      <w:suppressAutoHyphens/>
      <w:spacing w:before="120" w:after="120"/>
      <w:jc w:val="left"/>
    </w:pPr>
    <w:rPr>
      <w:rFonts w:eastAsia="Arial Unicode MS" w:cs="Lohit Devanagari"/>
      <w:i/>
      <w:iCs/>
      <w:color w:val="000000"/>
      <w:kern w:val="1"/>
      <w:sz w:val="24"/>
    </w:rPr>
  </w:style>
  <w:style w:type="paragraph" w:customStyle="1" w:styleId="180">
    <w:name w:val="nospacing2"/>
    <w:basedOn w:val="1"/>
    <w:qFormat/>
    <w:uiPriority w:val="0"/>
    <w:pPr>
      <w:widowControl/>
      <w:spacing w:before="100" w:beforeAutospacing="1" w:after="100" w:afterAutospacing="1"/>
      <w:jc w:val="left"/>
    </w:pPr>
    <w:rPr>
      <w:kern w:val="0"/>
      <w:sz w:val="24"/>
    </w:rPr>
  </w:style>
  <w:style w:type="paragraph" w:customStyle="1" w:styleId="181">
    <w:name w:val="No Spacing3"/>
    <w:qFormat/>
    <w:uiPriority w:val="0"/>
    <w:pPr>
      <w:widowControl w:val="0"/>
      <w:suppressAutoHyphens/>
      <w:jc w:val="both"/>
    </w:pPr>
    <w:rPr>
      <w:rFonts w:ascii="宋体" w:hAnsi="宋体" w:eastAsia="宋体" w:cs="宋体"/>
      <w:color w:val="000000"/>
      <w:kern w:val="1"/>
      <w:sz w:val="24"/>
      <w:szCs w:val="24"/>
      <w:lang w:val="en-US" w:eastAsia="zh-CN" w:bidi="ar-SA"/>
    </w:rPr>
  </w:style>
  <w:style w:type="paragraph" w:customStyle="1" w:styleId="182">
    <w:name w:val="Heading Left"/>
    <w:basedOn w:val="1"/>
    <w:qFormat/>
    <w:uiPriority w:val="0"/>
    <w:pPr>
      <w:widowControl/>
      <w:topLinePunct/>
      <w:adjustRightInd w:val="0"/>
      <w:snapToGrid w:val="0"/>
      <w:spacing w:line="240" w:lineRule="atLeast"/>
      <w:jc w:val="left"/>
    </w:pPr>
    <w:rPr>
      <w:rFonts w:cs="Arial"/>
      <w:sz w:val="20"/>
      <w:szCs w:val="20"/>
    </w:rPr>
  </w:style>
  <w:style w:type="paragraph" w:customStyle="1" w:styleId="183">
    <w:name w:val="Heading Right"/>
    <w:basedOn w:val="1"/>
    <w:qFormat/>
    <w:uiPriority w:val="0"/>
    <w:pPr>
      <w:widowControl/>
      <w:topLinePunct/>
      <w:adjustRightInd w:val="0"/>
      <w:snapToGrid w:val="0"/>
      <w:spacing w:line="240" w:lineRule="atLeast"/>
      <w:jc w:val="right"/>
    </w:pPr>
    <w:rPr>
      <w:rFonts w:cs="Arial"/>
      <w:sz w:val="20"/>
      <w:szCs w:val="20"/>
    </w:rPr>
  </w:style>
  <w:style w:type="paragraph" w:customStyle="1" w:styleId="184">
    <w:name w:val="Item List"/>
    <w:qFormat/>
    <w:uiPriority w:val="0"/>
    <w:pPr>
      <w:numPr>
        <w:ilvl w:val="0"/>
        <w:numId w:val="3"/>
      </w:numPr>
      <w:adjustRightInd w:val="0"/>
      <w:snapToGrid w:val="0"/>
      <w:spacing w:before="80" w:after="80" w:line="240" w:lineRule="atLeast"/>
    </w:pPr>
    <w:rPr>
      <w:rFonts w:ascii="Times New Roman" w:hAnsi="Times New Roman" w:eastAsia="宋体" w:cs="Arial"/>
      <w:kern w:val="2"/>
      <w:sz w:val="21"/>
      <w:szCs w:val="21"/>
      <w:lang w:val="en-US" w:eastAsia="zh-CN" w:bidi="ar-SA"/>
    </w:rPr>
  </w:style>
  <w:style w:type="paragraph" w:customStyle="1" w:styleId="185">
    <w:name w:val="Item List in Table"/>
    <w:basedOn w:val="1"/>
    <w:qFormat/>
    <w:uiPriority w:val="0"/>
    <w:pPr>
      <w:numPr>
        <w:ilvl w:val="0"/>
        <w:numId w:val="4"/>
      </w:numPr>
      <w:tabs>
        <w:tab w:val="left" w:pos="284"/>
      </w:tabs>
      <w:topLinePunct/>
      <w:adjustRightInd w:val="0"/>
      <w:snapToGrid w:val="0"/>
      <w:spacing w:before="80" w:after="80" w:line="240" w:lineRule="atLeast"/>
      <w:jc w:val="left"/>
    </w:pPr>
    <w:rPr>
      <w:rFonts w:cs="Arial"/>
      <w:kern w:val="0"/>
      <w:szCs w:val="21"/>
    </w:rPr>
  </w:style>
  <w:style w:type="table" w:customStyle="1" w:styleId="186">
    <w:name w:val="Table"/>
    <w:basedOn w:val="38"/>
    <w:qFormat/>
    <w:uiPriority w:val="0"/>
    <w:pPr>
      <w:jc w:val="left"/>
    </w:pPr>
    <w:rPr>
      <w:rFonts w:cs="Arial"/>
    </w:rPr>
    <w:tblPr/>
    <w:trPr>
      <w:cantSplit/>
    </w:trPr>
    <w:tblStylePr w:type="firstRow">
      <w:rPr>
        <w:b w:val="0"/>
        <w:bCs w:val="0"/>
        <w:i w:val="0"/>
        <w:iCs w:val="0"/>
        <w:color w:val="auto"/>
        <w:sz w:val="20"/>
        <w:szCs w:val="20"/>
      </w:rPr>
      <w:tblPr/>
      <w:trPr>
        <w:tblHeader/>
      </w:trPr>
      <w:tcPr>
        <w:tcBorders>
          <w:top w:val="single" w:color="auto" w:sz="6" w:space="0"/>
          <w:left w:val="single" w:color="auto" w:sz="6" w:space="0"/>
          <w:bottom w:val="single" w:color="auto" w:sz="6" w:space="0"/>
          <w:right w:val="single" w:color="auto" w:sz="6" w:space="0"/>
          <w:insideH w:val="single" w:sz="6" w:space="0"/>
          <w:insideV w:val="single" w:sz="6" w:space="0"/>
          <w:tl2br w:val="nil"/>
          <w:tr2bl w:val="nil"/>
        </w:tcBorders>
        <w:shd w:val="clear" w:color="auto" w:fill="D9D9D9"/>
      </w:tcPr>
    </w:tblStylePr>
  </w:style>
  <w:style w:type="paragraph" w:customStyle="1" w:styleId="187">
    <w:name w:val="Table Text"/>
    <w:basedOn w:val="1"/>
    <w:link w:val="192"/>
    <w:qFormat/>
    <w:uiPriority w:val="0"/>
    <w:pPr>
      <w:topLinePunct/>
      <w:adjustRightInd w:val="0"/>
      <w:snapToGrid w:val="0"/>
      <w:spacing w:before="80" w:after="80" w:line="240" w:lineRule="atLeast"/>
      <w:jc w:val="left"/>
    </w:pPr>
    <w:rPr>
      <w:snapToGrid w:val="0"/>
      <w:kern w:val="0"/>
      <w:szCs w:val="21"/>
    </w:rPr>
  </w:style>
  <w:style w:type="paragraph" w:customStyle="1" w:styleId="188">
    <w:name w:val="Contents"/>
    <w:basedOn w:val="1"/>
    <w:qFormat/>
    <w:uiPriority w:val="0"/>
    <w:pPr>
      <w:keepNext/>
      <w:pageBreakBefore/>
      <w:widowControl/>
      <w:pBdr>
        <w:bottom w:val="single" w:color="auto" w:sz="12" w:space="1"/>
      </w:pBdr>
      <w:topLinePunct/>
      <w:adjustRightInd w:val="0"/>
      <w:snapToGrid w:val="0"/>
      <w:spacing w:before="1600" w:after="800" w:line="240" w:lineRule="atLeast"/>
      <w:jc w:val="right"/>
    </w:pPr>
    <w:rPr>
      <w:rFonts w:ascii="Book Antiqua" w:hAnsi="Book Antiqua" w:eastAsia="黑体" w:cs="Book Antiqua"/>
      <w:b/>
      <w:bCs/>
      <w:sz w:val="44"/>
      <w:szCs w:val="44"/>
    </w:rPr>
  </w:style>
  <w:style w:type="paragraph" w:customStyle="1" w:styleId="189">
    <w:name w:val="Item Step in Table"/>
    <w:link w:val="193"/>
    <w:qFormat/>
    <w:uiPriority w:val="0"/>
    <w:pPr>
      <w:numPr>
        <w:ilvl w:val="0"/>
        <w:numId w:val="5"/>
      </w:numPr>
      <w:topLinePunct/>
      <w:spacing w:before="40" w:after="40" w:line="240" w:lineRule="atLeast"/>
    </w:pPr>
    <w:rPr>
      <w:rFonts w:ascii="Times New Roman" w:hAnsi="Times New Roman" w:eastAsia="宋体" w:cs="Times New Roman"/>
      <w:sz w:val="21"/>
      <w:szCs w:val="22"/>
      <w:lang w:val="en-US" w:eastAsia="zh-CN" w:bidi="ar-SA"/>
    </w:rPr>
  </w:style>
  <w:style w:type="paragraph" w:customStyle="1" w:styleId="190">
    <w:name w:val="Notes Text List in Table"/>
    <w:qFormat/>
    <w:uiPriority w:val="0"/>
    <w:pPr>
      <w:numPr>
        <w:ilvl w:val="0"/>
        <w:numId w:val="6"/>
      </w:numPr>
      <w:adjustRightInd w:val="0"/>
      <w:snapToGrid w:val="0"/>
      <w:spacing w:before="40" w:after="80" w:line="200" w:lineRule="atLeast"/>
    </w:pPr>
    <w:rPr>
      <w:rFonts w:ascii="Times New Roman" w:hAnsi="Times New Roman" w:eastAsia="楷体_GB2312" w:cs="Arial"/>
      <w:iCs/>
      <w:kern w:val="2"/>
      <w:sz w:val="18"/>
      <w:szCs w:val="18"/>
      <w:lang w:val="en-US" w:eastAsia="zh-CN" w:bidi="ar-SA"/>
    </w:rPr>
  </w:style>
  <w:style w:type="paragraph" w:customStyle="1" w:styleId="191">
    <w:name w:val="Notes Text List"/>
    <w:basedOn w:val="1"/>
    <w:qFormat/>
    <w:uiPriority w:val="0"/>
    <w:pPr>
      <w:keepNext/>
      <w:keepLines/>
      <w:widowControl/>
      <w:numPr>
        <w:ilvl w:val="0"/>
        <w:numId w:val="7"/>
      </w:numPr>
      <w:topLinePunct/>
      <w:adjustRightInd w:val="0"/>
      <w:snapToGrid w:val="0"/>
      <w:spacing w:before="40" w:after="80" w:line="200" w:lineRule="atLeast"/>
      <w:jc w:val="left"/>
    </w:pPr>
    <w:rPr>
      <w:sz w:val="18"/>
      <w:szCs w:val="18"/>
    </w:rPr>
  </w:style>
  <w:style w:type="character" w:customStyle="1" w:styleId="192">
    <w:name w:val="Table Text Char"/>
    <w:link w:val="187"/>
    <w:qFormat/>
    <w:locked/>
    <w:uiPriority w:val="0"/>
    <w:rPr>
      <w:rFonts w:ascii="Times New Roman" w:hAnsi="Times New Roman" w:eastAsia="宋体" w:cs="Times New Roman"/>
      <w:snapToGrid w:val="0"/>
      <w:sz w:val="21"/>
      <w:szCs w:val="21"/>
    </w:rPr>
  </w:style>
  <w:style w:type="character" w:customStyle="1" w:styleId="193">
    <w:name w:val="Item Step in Table Char"/>
    <w:link w:val="189"/>
    <w:qFormat/>
    <w:uiPriority w:val="0"/>
    <w:rPr>
      <w:rFonts w:ascii="Times New Roman" w:hAnsi="Times New Roman" w:eastAsia="宋体" w:cs="Times New Roman"/>
      <w:sz w:val="21"/>
    </w:rPr>
  </w:style>
  <w:style w:type="character" w:customStyle="1" w:styleId="194">
    <w:name w:val="Table Heading Char"/>
    <w:link w:val="173"/>
    <w:qFormat/>
    <w:uiPriority w:val="0"/>
    <w:rPr>
      <w:rFonts w:ascii="Times New Roman" w:hAnsi="Times New Roman" w:eastAsia="Arial Unicode MS" w:cs="Times New Roman"/>
      <w:color w:val="000000"/>
      <w:kern w:val="1"/>
      <w:sz w:val="24"/>
      <w:szCs w:val="24"/>
    </w:rPr>
  </w:style>
  <w:style w:type="paragraph" w:styleId="195">
    <w:name w:val="List Paragraph"/>
    <w:basedOn w:val="1"/>
    <w:unhideWhenUsed/>
    <w:qFormat/>
    <w:uiPriority w:val="99"/>
    <w:pPr>
      <w:ind w:firstLine="420" w:firstLineChars="200"/>
    </w:pPr>
  </w:style>
  <w:style w:type="paragraph" w:customStyle="1" w:styleId="196">
    <w:name w:val="Revision"/>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Version="6" StyleName="APA" SelectedStyle="\APASixthEditionOfficeOnline.xsl"/>
</file>

<file path=customXml/itemProps1.xml><?xml version="1.0" encoding="utf-8"?>
<ds:datastoreItem xmlns:ds="http://schemas.openxmlformats.org/officeDocument/2006/customXml" ds:itemID="{9861E597-229A-4D45-87BE-E419B6A56E48}">
  <ds:schemaRefs/>
</ds:datastoreItem>
</file>

<file path=docProps/app.xml><?xml version="1.0" encoding="utf-8"?>
<Properties xmlns="http://schemas.openxmlformats.org/officeDocument/2006/extended-properties" xmlns:vt="http://schemas.openxmlformats.org/officeDocument/2006/docPropsVTypes">
  <Template>Normal.dotm</Template>
  <Company>上海市政府采购中心</Company>
  <Pages>6</Pages>
  <Words>2469</Words>
  <Characters>2790</Characters>
  <Lines>155</Lines>
  <Paragraphs>175</Paragraphs>
  <TotalTime>0</TotalTime>
  <ScaleCrop>false</ScaleCrop>
  <LinksUpToDate>false</LinksUpToDate>
  <CharactersWithSpaces>5084</CharactersWithSpaces>
  <Application>WPS Office_12.8.2.21176_F1E327BC-269C-435d-A152-05C5408002CA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2026-08-30T01:20:00Z</dcterms:created>
  <dc:creator>lenovo</dc:creator>
  <cp:lastModifiedBy>陈俊宇</cp:lastModifiedBy>
  <dcterms:modified xsi:type="dcterms:W3CDTF">2026-09-03T15:58:49Z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2052-12.8.2.21176</vt:lpwstr>
  </property>
  <property fmtid="{D5CDD505-2E9C-101B-9397-08002B2CF9AE}" pid="3" name="ICV">
    <vt:lpwstr>46C335A80955431BA0B9E91CBF884176_13</vt:lpwstr>
  </property>
  <property fmtid="{D5CDD505-2E9C-101B-9397-08002B2CF9AE}" pid="4" name="KSOTemplateDocerSaveRecord">
    <vt:lpwstr>eyJoZGlkIjoiZDRjYzkyMmE1YWExODhmM2IyYjUxZGMxZjA5MjRkYzIiLCJ1c2VySWQiOiIxOTk4MDg5MyJ9</vt:lpwstr>
  </property>
</Properties>
</file>