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98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  <w:lang w:val="en-US" w:eastAsia="zh-CN"/>
        </w:rPr>
        <w:t>临港主城区景观照明管理服务项目</w:t>
      </w:r>
    </w:p>
    <w:p w14:paraId="50D9F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</w:rPr>
        <w:t>采</w:t>
      </w: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</w:rPr>
        <w:t>购</w:t>
      </w: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</w:rPr>
        <w:t>需</w:t>
      </w: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</w:rPr>
        <w:t>求</w:t>
      </w:r>
    </w:p>
    <w:p w14:paraId="695EC5A8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560" w:firstLineChars="200"/>
        <w:contextualSpacing/>
        <w:jc w:val="left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28"/>
          <w:szCs w:val="28"/>
        </w:rPr>
        <w:t>一、</w:t>
      </w:r>
      <w:r>
        <w:rPr>
          <w:rFonts w:hint="eastAsia" w:eastAsia="方正黑体_GBK" w:cs="Times New Roman"/>
          <w:b w:val="0"/>
          <w:bCs w:val="0"/>
          <w:sz w:val="28"/>
          <w:szCs w:val="28"/>
          <w:lang w:val="en-US" w:eastAsia="zh-CN"/>
        </w:rPr>
        <w:t>项目</w:t>
      </w:r>
      <w:r>
        <w:rPr>
          <w:rFonts w:hint="default" w:ascii="Times New Roman" w:hAnsi="Times New Roman" w:eastAsia="方正黑体_GBK" w:cs="Times New Roman"/>
          <w:b w:val="0"/>
          <w:bCs w:val="0"/>
          <w:sz w:val="28"/>
          <w:szCs w:val="28"/>
        </w:rPr>
        <w:t>概况</w:t>
      </w:r>
    </w:p>
    <w:p w14:paraId="5F832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bookmarkStart w:id="0" w:name="_Toc774"/>
      <w:bookmarkStart w:id="1" w:name="_Toc8808312"/>
      <w:bookmarkStart w:id="2" w:name="_Toc460922281"/>
      <w:bookmarkStart w:id="3" w:name="_Toc463690194"/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1.项目名称</w:t>
      </w:r>
      <w:bookmarkEnd w:id="0"/>
      <w:bookmarkEnd w:id="1"/>
    </w:p>
    <w:p w14:paraId="04DF6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bookmarkStart w:id="4" w:name="_Toc26740"/>
      <w:bookmarkStart w:id="5" w:name="_Toc8808313"/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临港主城区景观照明管理服务项目</w:t>
      </w:r>
    </w:p>
    <w:p w14:paraId="6228D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2.项目地点</w:t>
      </w:r>
      <w:bookmarkEnd w:id="4"/>
      <w:bookmarkEnd w:id="5"/>
    </w:p>
    <w:bookmarkEnd w:id="2"/>
    <w:bookmarkEnd w:id="3"/>
    <w:p w14:paraId="61EAC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临港新片区</w:t>
      </w:r>
    </w:p>
    <w:p w14:paraId="2C74B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bookmarkStart w:id="6" w:name="_Toc7986"/>
      <w:bookmarkStart w:id="7" w:name="_Toc8808314"/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3.招标范围与内容</w:t>
      </w:r>
      <w:bookmarkEnd w:id="6"/>
      <w:bookmarkEnd w:id="7"/>
    </w:p>
    <w:p w14:paraId="391F2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本项目主要为临港主城区</w:t>
      </w:r>
      <w:r>
        <w:rPr>
          <w:rFonts w:ascii="宋体" w:hAnsi="宋体" w:eastAsia="宋体" w:cs="宋体"/>
          <w:sz w:val="24"/>
          <w:szCs w:val="24"/>
        </w:rPr>
        <w:t>建筑外立面多媒体内容设计制作服务，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以及湖心</w:t>
      </w:r>
      <w:r>
        <w:rPr>
          <w:rFonts w:ascii="宋体" w:hAnsi="宋体" w:eastAsia="宋体" w:cs="宋体"/>
          <w:sz w:val="24"/>
          <w:szCs w:val="24"/>
        </w:rPr>
        <w:t>激光秀内容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设计</w:t>
      </w:r>
      <w:r>
        <w:rPr>
          <w:rFonts w:ascii="宋体" w:hAnsi="宋体" w:eastAsia="宋体" w:cs="宋体"/>
          <w:sz w:val="24"/>
          <w:szCs w:val="24"/>
        </w:rPr>
        <w:t>制作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服务。</w:t>
      </w:r>
    </w:p>
    <w:p w14:paraId="0CEAA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服务对象包含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荣耀之环、中铁建临港大厦、闵联大厦、城投大厦、数字金融大厦、港政大厦、港城国贸中心等21栋建筑</w:t>
      </w:r>
      <w:r>
        <w:rPr>
          <w:rFonts w:ascii="宋体" w:hAnsi="宋体" w:eastAsia="宋体" w:cs="宋体"/>
          <w:sz w:val="24"/>
          <w:szCs w:val="24"/>
        </w:rPr>
        <w:t>LED 屏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以及滴水湖湖心激光秀、兴港城L型外墙led设计制作媒体内容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 w14:paraId="28D4A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服务内容：重大节庆、主题宣传、专项活动等定制化多媒体创意策划、脚本撰写、分镜设计、三维建模、裸眼 3D 特效制作、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角色动画制作、</w:t>
      </w:r>
      <w:r>
        <w:rPr>
          <w:rFonts w:ascii="宋体" w:hAnsi="宋体" w:eastAsia="宋体" w:cs="宋体"/>
          <w:sz w:val="24"/>
          <w:szCs w:val="24"/>
        </w:rPr>
        <w:t>动画渲染、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剪辑、</w:t>
      </w:r>
      <w:r>
        <w:rPr>
          <w:rFonts w:ascii="宋体" w:hAnsi="宋体" w:eastAsia="宋体" w:cs="宋体"/>
          <w:sz w:val="24"/>
          <w:szCs w:val="24"/>
        </w:rPr>
        <w:t>调色合成；配合</w:t>
      </w:r>
      <w:r>
        <w:rPr>
          <w:rFonts w:hint="eastAsia" w:ascii="宋体" w:hAnsi="宋体" w:cs="宋体"/>
          <w:sz w:val="24"/>
          <w:szCs w:val="24"/>
          <w:lang w:eastAsia="zh-CN"/>
        </w:rPr>
        <w:t>采购人</w:t>
      </w:r>
      <w:r>
        <w:rPr>
          <w:rFonts w:ascii="宋体" w:hAnsi="宋体" w:eastAsia="宋体" w:cs="宋体"/>
          <w:sz w:val="24"/>
          <w:szCs w:val="24"/>
        </w:rPr>
        <w:t>开展内容审片、修改调整、现场试播调试、播控适配，按要求交付符合硬件播控规范的成片文件。</w:t>
      </w:r>
    </w:p>
    <w:p w14:paraId="512DD2D6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560" w:firstLineChars="200"/>
        <w:contextualSpacing/>
        <w:jc w:val="left"/>
        <w:outlineLvl w:val="1"/>
        <w:rPr>
          <w:rFonts w:hint="eastAsia" w:ascii="Times New Roman" w:hAnsi="Times New Roman" w:eastAsia="方正黑体_GBK" w:cs="Times New Roman"/>
          <w:b w:val="0"/>
          <w:bCs w:val="0"/>
          <w:sz w:val="28"/>
          <w:szCs w:val="28"/>
        </w:rPr>
      </w:pPr>
      <w:bookmarkStart w:id="8" w:name="_Toc463690198"/>
      <w:bookmarkStart w:id="9" w:name="_Toc460922285"/>
      <w:bookmarkStart w:id="10" w:name="_Toc21191"/>
      <w:bookmarkStart w:id="11" w:name="_Toc8808318"/>
      <w:r>
        <w:rPr>
          <w:rFonts w:hint="eastAsia" w:ascii="Times New Roman" w:hAnsi="Times New Roman" w:eastAsia="方正黑体_GBK" w:cs="Times New Roman"/>
          <w:b w:val="0"/>
          <w:bCs w:val="0"/>
          <w:sz w:val="28"/>
          <w:szCs w:val="28"/>
        </w:rPr>
        <w:t>二、</w:t>
      </w:r>
      <w:bookmarkEnd w:id="8"/>
      <w:bookmarkEnd w:id="9"/>
      <w:r>
        <w:rPr>
          <w:rFonts w:hint="eastAsia" w:ascii="Times New Roman" w:hAnsi="Times New Roman" w:eastAsia="方正黑体_GBK" w:cs="Times New Roman"/>
          <w:b w:val="0"/>
          <w:bCs w:val="0"/>
          <w:sz w:val="28"/>
          <w:szCs w:val="28"/>
        </w:rPr>
        <w:t>技术质量</w:t>
      </w:r>
      <w:bookmarkEnd w:id="10"/>
      <w:bookmarkEnd w:id="11"/>
      <w:r>
        <w:rPr>
          <w:rFonts w:hint="eastAsia" w:ascii="Times New Roman" w:hAnsi="Times New Roman" w:eastAsia="方正黑体_GBK" w:cs="Times New Roman"/>
          <w:b w:val="0"/>
          <w:bCs w:val="0"/>
          <w:sz w:val="28"/>
          <w:szCs w:val="28"/>
        </w:rPr>
        <w:t>规范</w:t>
      </w:r>
    </w:p>
    <w:p w14:paraId="02FB3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bookmarkStart w:id="12" w:name="_Toc8808319"/>
      <w:bookmarkStart w:id="13" w:name="_Toc30186"/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本项目所有多媒体内容策划、设计、动画、渲染、合成、输出、适配及修改调试工作，须符合国家、行业、大屏播放、激光表演相关规范，同时严格遵循项目现场硬件参数、播控系统技术要求、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采购人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审定脚本及审片意见执行。</w:t>
      </w:r>
    </w:p>
    <w:p w14:paraId="04FDB502">
      <w:pPr>
        <w:widowControl w:val="0"/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.</w:t>
      </w: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  <w:t>1 总体质量要求</w:t>
      </w:r>
    </w:p>
    <w:p w14:paraId="40AE1F4A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内容导向合规，画面构图、色彩、动态节奏适配建筑载体形态、观看视角，无畸形拉伸、错位、构图失衡；</w:t>
      </w:r>
    </w:p>
    <w:p w14:paraId="6FDB9DB7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画面流畅无卡顿、无跳帧、无闪屏、无色彩断层、无噪点、无压缩失真；字幕清晰、无错字漏字；</w:t>
      </w:r>
    </w:p>
    <w:p w14:paraId="05ECD399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所有成片、素材分层归档，源文件可编辑、可二次修改；</w:t>
      </w:r>
    </w:p>
    <w:p w14:paraId="0BC2889F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内容须经过多轮内部自检、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采购人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审片、现场试播验证，满足重大节日、重大活动播出要求。</w:t>
      </w:r>
    </w:p>
    <w:p w14:paraId="2D19B5E0">
      <w:pPr>
        <w:widowControl w:val="0"/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eastAsia="zh-CN" w:bidi="ar-SA"/>
        </w:rPr>
        <w:t>2</w:t>
      </w: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  <w:t xml:space="preserve"> 画面与视效技术规范</w:t>
      </w:r>
    </w:p>
    <w:p w14:paraId="2713C6FF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分辨率与画幅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：严格按照各点位硬件规格制作，匹配荣耀之环、各楼宇 LED 屏、兴港城 L 型屏、激光系统原生分辨率、异形画幅、像素排布，不强制拉伸变形；裸眼 3D 内容需结合建筑结构、观看距离、透视关系做空间校准。</w:t>
      </w:r>
    </w:p>
    <w:p w14:paraId="73A3607B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帧率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：常规 LED 媒体内容≥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2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fps；</w:t>
      </w:r>
    </w:p>
    <w:p w14:paraId="7E628A7D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色彩规范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：色彩模式、色域匹配 LED 屏硬件色域；控制峰值亮度，避免长时间高光灼伤屏体、产生眩光、光污染；色彩过渡柔和，无硬断层、色带；多建筑联动节目，同场景色调统一。</w:t>
      </w:r>
    </w:p>
    <w:p w14:paraId="39B6C0FD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动态效果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：运动动画时序流畅，粒子、光影、特效层次干净；多屏联动节目时间轴同步，跨楼宇播放无明显时差；激光秀画面时序、节目脚本对齐。</w:t>
      </w:r>
    </w:p>
    <w:p w14:paraId="74D1876E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字幕与图文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：字体清晰、字号适配远距离观看；字幕无描边溢出、抖动；文字无错别字、标点错误；重要宣传内容反复核对。</w:t>
      </w:r>
    </w:p>
    <w:p w14:paraId="2F00E157">
      <w:pPr>
        <w:widowControl w:val="0"/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eastAsia="zh-CN" w:bidi="ar-SA"/>
        </w:rPr>
        <w:t>3</w:t>
      </w: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  <w:t xml:space="preserve"> 激光秀专项技术要求</w:t>
      </w:r>
    </w:p>
    <w:p w14:paraId="6B8CBD7C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激光节目制作符合《激光产品的安全 第 3 部分：激光表演的安全》GB/T 7247.3，控制激光扫描范围，严禁激光直射人眼、航道、敏感区域；</w:t>
      </w:r>
    </w:p>
    <w:p w14:paraId="2B3A26D7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激光图案、光束动画时序精准，振镜动作顺滑，无卡顿、丢点、频闪超标；</w:t>
      </w:r>
    </w:p>
    <w:p w14:paraId="1DC7C806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节目时间轴、激光触发信号匹配现场激光播控软件格式，输出可直接导入的工程文件；</w:t>
      </w:r>
    </w:p>
    <w:p w14:paraId="0324A041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激光亮度、扫描速度符合现场设备上限，不超设备负载，避免损坏光路、振镜。</w:t>
      </w:r>
    </w:p>
    <w:p w14:paraId="7C71FBBB">
      <w:pPr>
        <w:widowControl w:val="0"/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eastAsia="zh-CN" w:bidi="ar-SA"/>
        </w:rPr>
        <w:t>4</w:t>
      </w: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  <w:t xml:space="preserve"> 文件输出、格式与播控适配</w:t>
      </w:r>
    </w:p>
    <w:p w14:paraId="08E9ACD4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成片编码、封装格式、码率严格匹配各点位发送卡、播控服务器要求；优先使用播控系统兼容编码，避免播放报错、花屏、解码失败；</w:t>
      </w:r>
    </w:p>
    <w:p w14:paraId="590E4B7A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输出版本区分：审片小样（低码预览版）、现场播出正式成片、分层工程文件、素材包；</w:t>
      </w:r>
    </w:p>
    <w:p w14:paraId="29F5FEAF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多点位联动节目单独输出同步工程包，附带播放清单、时间轴说明、点位对照表；</w:t>
      </w:r>
    </w:p>
    <w:p w14:paraId="088D8EDC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文件命名规范，按点位、主题、版本编号管理，提供交付清单。</w:t>
      </w:r>
    </w:p>
    <w:p w14:paraId="08B9EA15">
      <w:pPr>
        <w:widowControl w:val="0"/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eastAsia="zh-CN" w:bidi="ar-SA"/>
        </w:rPr>
        <w:t>5</w:t>
      </w: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  <w:t xml:space="preserve"> 修改、试播与现场配合质量</w:t>
      </w:r>
    </w:p>
    <w:p w14:paraId="6796BC18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采购人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审片意见开展修改，包含创意调整、脚本修改、画面调整、调色、时长裁切等，在约定周期内完成迭代；</w:t>
      </w:r>
    </w:p>
    <w:p w14:paraId="4EC0356B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配合现场试播、联调，根据现场屏体实际显色、观看效果二次调色、微调时序；</w:t>
      </w:r>
    </w:p>
    <w:p w14:paraId="7A98997D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视频播放及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重大活动彩排期间，可快速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立刻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响应紧急微调，保障播出稳定。</w:t>
      </w:r>
    </w:p>
    <w:p w14:paraId="00D1E1B3">
      <w:pPr>
        <w:widowControl w:val="0"/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eastAsia="zh-CN" w:bidi="ar-SA"/>
        </w:rPr>
        <w:t>6</w:t>
      </w: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  <w:t xml:space="preserve"> 交付与归档要求</w:t>
      </w:r>
    </w:p>
    <w:p w14:paraId="416E8D22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交付物包含：创意方案、脚本分镜、预览小样、正式播出成片、版权资料、交付清单；所有文件做好备份，分类归档；交付内容完整，无缺失图层、丢失素材等问题。</w:t>
      </w:r>
    </w:p>
    <w:p w14:paraId="48989B33">
      <w:pPr>
        <w:widowControl w:val="0"/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/>
          <w:bCs w:val="0"/>
          <w:kern w:val="2"/>
          <w:sz w:val="24"/>
          <w:szCs w:val="24"/>
          <w:lang w:bidi="ar-SA"/>
        </w:rPr>
        <w:t xml:space="preserve"> 禁止项</w:t>
      </w:r>
    </w:p>
    <w:p w14:paraId="2D88AF42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禁止出现违规画面、敏感素材；</w:t>
      </w:r>
    </w:p>
    <w:p w14:paraId="59C1DF69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禁止超出屏体安全亮度、长时间高亮度静态画面造成烧屏；</w:t>
      </w:r>
    </w:p>
    <w:p w14:paraId="6CFCEF45"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禁止直接套用不匹配点位的通用视频、不做异形校正直接输出；</w:t>
      </w:r>
    </w:p>
    <w:p w14:paraId="6FAFA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凡涉及国家或行业管理部门颁发的相关规范、规程和标准，无论其是否在本招标文件中列明，中标人应无条件执行。标准、规范等不一致的，以要求高者为准。</w:t>
      </w:r>
      <w:bookmarkEnd w:id="12"/>
      <w:bookmarkEnd w:id="13"/>
      <w:bookmarkStart w:id="14" w:name="_Toc8808320"/>
      <w:bookmarkStart w:id="15" w:name="_Toc24526"/>
    </w:p>
    <w:p w14:paraId="0CF5E793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560" w:firstLineChars="200"/>
        <w:contextualSpacing/>
        <w:jc w:val="left"/>
        <w:outlineLvl w:val="1"/>
        <w:rPr>
          <w:rFonts w:hint="eastAsia" w:ascii="Times New Roman" w:hAnsi="Times New Roman" w:eastAsia="方正黑体_GBK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黑体_GBK" w:cs="Times New Roman"/>
          <w:b w:val="0"/>
          <w:bCs w:val="0"/>
          <w:sz w:val="28"/>
          <w:szCs w:val="28"/>
        </w:rPr>
        <w:t>三、招标内容与质量、人员要求</w:t>
      </w:r>
      <w:bookmarkEnd w:id="14"/>
      <w:bookmarkEnd w:id="15"/>
    </w:p>
    <w:p w14:paraId="7FDFF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contextualSpacing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1、服务量清单</w:t>
      </w:r>
    </w:p>
    <w:tbl>
      <w:tblPr>
        <w:tblStyle w:val="8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4536"/>
        <w:gridCol w:w="1180"/>
        <w:gridCol w:w="1769"/>
        <w:gridCol w:w="1769"/>
      </w:tblGrid>
      <w:tr w14:paraId="67326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tblHeader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0A49EAD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78" w:type="pct"/>
            <w:shd w:val="clear" w:color="auto" w:fill="auto"/>
            <w:noWrap/>
            <w:vAlign w:val="center"/>
          </w:tcPr>
          <w:p w14:paraId="7D2C50A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建筑名称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7A550B5A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制作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时长</w:t>
            </w:r>
          </w:p>
        </w:tc>
        <w:tc>
          <w:tcPr>
            <w:tcW w:w="889" w:type="pct"/>
            <w:shd w:val="clear" w:color="auto" w:fill="auto"/>
            <w:noWrap/>
            <w:vAlign w:val="center"/>
          </w:tcPr>
          <w:p w14:paraId="10AC948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制作内容</w:t>
            </w:r>
          </w:p>
        </w:tc>
        <w:tc>
          <w:tcPr>
            <w:tcW w:w="889" w:type="pct"/>
            <w:shd w:val="clear" w:color="auto" w:fill="auto"/>
            <w:noWrap/>
            <w:vAlign w:val="center"/>
          </w:tcPr>
          <w:p w14:paraId="70F1953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备注</w:t>
            </w:r>
          </w:p>
        </w:tc>
      </w:tr>
      <w:tr w14:paraId="7A72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6C4C9B5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6E269385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港政大厦(国贸2号楼)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66048F9C">
            <w:pPr>
              <w:widowControl/>
              <w:jc w:val="center"/>
              <w:textAlignment w:val="center"/>
              <w:rPr>
                <w:rFonts w:hint="eastAsia" w:eastAsia="宋体" w:asciiTheme="minorEastAsia" w:hAnsi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秒</w:t>
            </w:r>
          </w:p>
        </w:tc>
        <w:tc>
          <w:tcPr>
            <w:tcW w:w="889" w:type="pct"/>
            <w:vMerge w:val="restart"/>
            <w:shd w:val="clear" w:color="auto" w:fill="auto"/>
            <w:vAlign w:val="center"/>
          </w:tcPr>
          <w:p w14:paraId="0F9D47EB">
            <w:pPr>
              <w:widowControl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春夏秋冬四季主题媒体内容及春节、妇女节、520、教师节、国庆节、中秋、元旦等重大节日及重大活动媒体内容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设计制作</w:t>
            </w:r>
          </w:p>
        </w:tc>
        <w:tc>
          <w:tcPr>
            <w:tcW w:w="889" w:type="pct"/>
            <w:vMerge w:val="restart"/>
            <w:shd w:val="clear" w:color="auto" w:fill="auto"/>
            <w:vAlign w:val="center"/>
          </w:tcPr>
          <w:p w14:paraId="4C81D900"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序号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1-11为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本次采购核心设计内容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。需针对11栋建筑（整体为一个画面）分别制作春、夏、秋、冬四季主题共四张效果图。</w:t>
            </w:r>
          </w:p>
        </w:tc>
      </w:tr>
      <w:tr w14:paraId="43E20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0006B3A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788F7267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海关大厦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199A38D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450秒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14D97E0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17DCE72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C07C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3AFB42B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4AD313C0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文创园1号楼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6111DF6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450秒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4836411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6426F95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15CFC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3C05DA6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73D8BF93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文创园2号楼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57276CA7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450秒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64B9913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2A255E2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730F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2CBD83E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60D6F56A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文创园3号楼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5E524840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450秒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721CB13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2CE6A35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1B75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0281195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2E85A4DE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文创园4号楼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59BB5FDF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450秒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314D6257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5E634B3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C917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7908064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720868CA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城投大厦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5607B23F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450秒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4384F63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1E9107B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9FFC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7DB3758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0DE24F73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港城国贸中心(国贸3号楼)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2B3D644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450秒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745F5A8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0028A0F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5AEF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4BDD1AB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203E028A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闵联大厦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606A47F7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450秒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06976D4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12C4A9C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4A128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1C1F939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703B624C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金融(数字)大厦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5C50D06A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450秒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016E53D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2989C87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19184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1CE28BB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53AB3CB1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检疫大厦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5A2865FE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450秒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46F2522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5DCFA4B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13A4F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143067CA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2931063B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荣耀之环外圈建筑1号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33E31C2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60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秒</w:t>
            </w:r>
          </w:p>
        </w:tc>
        <w:tc>
          <w:tcPr>
            <w:tcW w:w="889" w:type="pct"/>
            <w:vMerge w:val="restart"/>
            <w:shd w:val="clear" w:color="auto" w:fill="auto"/>
            <w:vAlign w:val="center"/>
          </w:tcPr>
          <w:p w14:paraId="187F93C9">
            <w:pPr>
              <w:widowControl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重大活动媒体内容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设计制作</w:t>
            </w:r>
          </w:p>
        </w:tc>
        <w:tc>
          <w:tcPr>
            <w:tcW w:w="889" w:type="pct"/>
            <w:shd w:val="clear" w:color="auto" w:fill="auto"/>
            <w:vAlign w:val="center"/>
          </w:tcPr>
          <w:p w14:paraId="7E46BE37"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40312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7B183F9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6BBEFAE0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荣耀之环外圈建筑2号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0EF16F20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60秒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614064E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89" w:type="pct"/>
            <w:shd w:val="clear" w:color="auto" w:fill="auto"/>
            <w:vAlign w:val="center"/>
          </w:tcPr>
          <w:p w14:paraId="011F1BA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</w:tr>
      <w:tr w14:paraId="0D822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4C69563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336BEEFD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荣耀之环外圈建筑3号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E8AEB98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60秒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767589A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89" w:type="pct"/>
            <w:shd w:val="clear" w:color="auto" w:fill="auto"/>
            <w:vAlign w:val="center"/>
          </w:tcPr>
          <w:p w14:paraId="689EB12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</w:tr>
      <w:tr w14:paraId="41667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3AC5AB3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78A62B94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荣耀之环圆环底部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3FA3778B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60秒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62C1300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89" w:type="pct"/>
            <w:shd w:val="clear" w:color="auto" w:fill="auto"/>
            <w:vAlign w:val="center"/>
          </w:tcPr>
          <w:p w14:paraId="47A22DD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</w:tr>
      <w:tr w14:paraId="7D57D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69140F1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1025BD9C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荣耀之环内圈建筑立面1号楼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2C18761E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60秒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7489763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89" w:type="pct"/>
            <w:shd w:val="clear" w:color="auto" w:fill="auto"/>
            <w:vAlign w:val="center"/>
          </w:tcPr>
          <w:p w14:paraId="56AE070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</w:tr>
      <w:tr w14:paraId="6A446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0115FD2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14C2EEE0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荣耀之环内圈建筑立面2号楼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1A41C48C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60秒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738937A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89" w:type="pct"/>
            <w:shd w:val="clear" w:color="auto" w:fill="auto"/>
            <w:vAlign w:val="center"/>
          </w:tcPr>
          <w:p w14:paraId="02999D6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</w:tr>
      <w:tr w14:paraId="35823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4ED840A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5E491321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荣耀之环内圈建筑立面3号楼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3BB2B6F5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60秒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3205D472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89" w:type="pct"/>
            <w:shd w:val="clear" w:color="auto" w:fill="auto"/>
            <w:vAlign w:val="center"/>
          </w:tcPr>
          <w:p w14:paraId="0D4B4AA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</w:tr>
      <w:tr w14:paraId="1878C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5A411C2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5AA48C1C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荣耀之环内圈建筑立面4号楼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0A3F65B9"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60秒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6111202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89" w:type="pct"/>
            <w:shd w:val="clear" w:color="auto" w:fill="auto"/>
            <w:vAlign w:val="center"/>
          </w:tcPr>
          <w:p w14:paraId="373A90B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yellow"/>
              </w:rPr>
            </w:pPr>
          </w:p>
        </w:tc>
      </w:tr>
      <w:tr w14:paraId="02BD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09EE97C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53B2CEC8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中铁建临港大厦1号楼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5C8B9F0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180秒</w:t>
            </w:r>
          </w:p>
        </w:tc>
        <w:tc>
          <w:tcPr>
            <w:tcW w:w="889" w:type="pct"/>
            <w:vMerge w:val="restart"/>
            <w:shd w:val="clear" w:color="auto" w:fill="auto"/>
            <w:vAlign w:val="center"/>
          </w:tcPr>
          <w:p w14:paraId="2B833CBB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重大活动媒体内容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设计制作</w:t>
            </w:r>
          </w:p>
        </w:tc>
        <w:tc>
          <w:tcPr>
            <w:tcW w:w="889" w:type="pct"/>
            <w:shd w:val="clear" w:color="auto" w:fill="auto"/>
            <w:vAlign w:val="center"/>
          </w:tcPr>
          <w:p w14:paraId="2A03D5DE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768C6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08A774F9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78C7F6EC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中铁建临港大厦2号楼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1270400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180秒</w:t>
            </w:r>
          </w:p>
        </w:tc>
        <w:tc>
          <w:tcPr>
            <w:tcW w:w="889" w:type="pct"/>
            <w:vMerge w:val="continue"/>
            <w:shd w:val="clear" w:color="auto" w:fill="auto"/>
            <w:vAlign w:val="center"/>
          </w:tcPr>
          <w:p w14:paraId="6CEBEF8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shd w:val="clear" w:color="auto" w:fill="auto"/>
            <w:vAlign w:val="center"/>
          </w:tcPr>
          <w:p w14:paraId="0C761B7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4B050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5476691D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22</w:t>
            </w:r>
          </w:p>
        </w:tc>
        <w:tc>
          <w:tcPr>
            <w:tcW w:w="2278" w:type="pct"/>
            <w:shd w:val="clear" w:color="auto" w:fill="auto"/>
            <w:noWrap/>
            <w:vAlign w:val="center"/>
          </w:tcPr>
          <w:p w14:paraId="2859FA35">
            <w:pPr>
              <w:widowControl/>
              <w:jc w:val="both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滴水湖湖心激光秀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1AA9E0D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90秒</w:t>
            </w:r>
          </w:p>
        </w:tc>
        <w:tc>
          <w:tcPr>
            <w:tcW w:w="889" w:type="pct"/>
            <w:shd w:val="clear" w:color="auto" w:fill="auto"/>
            <w:vAlign w:val="center"/>
          </w:tcPr>
          <w:p w14:paraId="073893B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湖心</w:t>
            </w:r>
            <w:r>
              <w:rPr>
                <w:rFonts w:ascii="宋体" w:hAnsi="宋体" w:eastAsia="宋体" w:cs="宋体"/>
                <w:sz w:val="24"/>
                <w:szCs w:val="24"/>
              </w:rPr>
              <w:t>激光秀内容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设计</w:t>
            </w:r>
            <w:r>
              <w:rPr>
                <w:rFonts w:ascii="宋体" w:hAnsi="宋体" w:eastAsia="宋体" w:cs="宋体"/>
                <w:sz w:val="24"/>
                <w:szCs w:val="24"/>
              </w:rPr>
              <w:t>制作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服务</w:t>
            </w:r>
          </w:p>
        </w:tc>
        <w:tc>
          <w:tcPr>
            <w:tcW w:w="889" w:type="pct"/>
            <w:shd w:val="clear" w:color="auto" w:fill="auto"/>
            <w:vAlign w:val="center"/>
          </w:tcPr>
          <w:p w14:paraId="191A4EFA">
            <w:pPr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</w:tc>
      </w:tr>
      <w:tr w14:paraId="5E776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50" w:type="pct"/>
            <w:shd w:val="clear" w:color="auto" w:fill="auto"/>
            <w:noWrap/>
            <w:vAlign w:val="center"/>
          </w:tcPr>
          <w:p w14:paraId="2091A2BC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2278" w:type="pct"/>
            <w:shd w:val="clear" w:color="auto" w:fill="auto"/>
            <w:noWrap/>
            <w:vAlign w:val="bottom"/>
          </w:tcPr>
          <w:p w14:paraId="76F7386D">
            <w:pPr>
              <w:widowControl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兴港城L型外墙led媒体</w:t>
            </w:r>
            <w:r>
              <w:rPr>
                <w:rFonts w:ascii="宋体" w:hAnsi="宋体" w:eastAsia="宋体" w:cs="宋体"/>
                <w:sz w:val="24"/>
                <w:szCs w:val="24"/>
              </w:rPr>
              <w:t>建筑外立面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1B942C2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300秒</w:t>
            </w:r>
          </w:p>
        </w:tc>
        <w:tc>
          <w:tcPr>
            <w:tcW w:w="889" w:type="pct"/>
            <w:shd w:val="clear" w:color="auto" w:fill="auto"/>
            <w:vAlign w:val="center"/>
          </w:tcPr>
          <w:p w14:paraId="3F0E322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  <w:t>重大活动媒体内容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设计制作</w:t>
            </w:r>
          </w:p>
        </w:tc>
        <w:tc>
          <w:tcPr>
            <w:tcW w:w="889" w:type="pct"/>
            <w:shd w:val="clear" w:color="auto" w:fill="auto"/>
            <w:vAlign w:val="center"/>
          </w:tcPr>
          <w:p w14:paraId="63EC019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</w:tbl>
    <w:p w14:paraId="59729F4C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bookmarkStart w:id="16" w:name="_Toc21269"/>
      <w:bookmarkStart w:id="17" w:name="_Toc497211022"/>
      <w:bookmarkStart w:id="18" w:name="_Toc8808321"/>
      <w:bookmarkStart w:id="19" w:name="_Toc460922290"/>
      <w:bookmarkStart w:id="20" w:name="_Toc460922288"/>
      <w:bookmarkStart w:id="21" w:name="_Toc463690201"/>
      <w:bookmarkStart w:id="22" w:name="_Toc463690203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设计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任务书</w:t>
      </w:r>
    </w:p>
    <w:tbl>
      <w:tblPr>
        <w:tblStyle w:val="8"/>
        <w:tblW w:w="451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4"/>
        <w:gridCol w:w="1377"/>
        <w:gridCol w:w="2716"/>
        <w:gridCol w:w="1742"/>
        <w:gridCol w:w="1382"/>
        <w:gridCol w:w="1139"/>
      </w:tblGrid>
      <w:tr w14:paraId="3658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B645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09A9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建筑名称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3EFF5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主题要求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1DB5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分辨率要求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9D3C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效果图数量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5309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素材要求</w:t>
            </w:r>
          </w:p>
        </w:tc>
      </w:tr>
      <w:tr w14:paraId="6B22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0688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3C0C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港政大厦（国贸2号楼）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6E91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设计制作年度常态化系列影片：涵盖春夏秋冬四季主题影片、全年重点节日主题影片、重大专项活动媒体影片；主题设计需结合临港地域特色，可用于城市品牌宣传、年度合集等全场景媒体宣发，统一内容创作标准，实现全年内容常态化、体系化更新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19802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1208×142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FC8F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C3CD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09C39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2F2B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6B6F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海关大厦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3888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同上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2F98C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1380×460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B978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B6A0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71A20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3700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9A4C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文创园1号楼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5BD3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同上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1777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3212×594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1CA9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8D6F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46D03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3806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BE01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文创园2号楼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9F8B8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同上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2A39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3700×594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9443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1723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40E9F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822A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98D4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文创园3号楼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A0A3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同上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90BD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3997×594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D14E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CAE5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54F87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279F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A567F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文创园4号楼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731A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同上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81888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3590×594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B5C8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AF1C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0C76C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09258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F470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城投大厦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015B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同上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76E9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778×550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F116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E0E61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56E11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0937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6824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港城国贸中心（国贸3号楼）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AE2A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同上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5028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1520×284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EB1A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39C3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0A53B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49CA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B130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闵联大厦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2E40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同上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824B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1300×550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9658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462A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39172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8FED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E3F6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金融（数字）大厦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65A3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同上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81F0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1800×550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B8687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20F8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5C4D5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B0B5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6776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检疫大厦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20E1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同上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D715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1380×460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3293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1FAE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4B08B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A1D8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C171D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荣耀之环外圈建筑1号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CCF8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年度常态化系列影片：春夏秋冬四季主题影片，以动植物元素为核心，展现城市共生的生命力。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106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1944×512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241B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≥3张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9005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3ED79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8A7D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B16F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荣耀之环外圈建筑2号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466B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年度常态化系列影片：春夏秋冬四季主题影片，以动植物元素为核心，展现城市共生的生命力。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1504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3894×1500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6D41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≥3张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DAE6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478FC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AA2F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51DD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荣耀之环外圈建筑3号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A163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年度常态化系列影片：春夏秋冬四季主题影片，以动植物元素为核心，展现城市共生的生命力。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63C7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3212×1300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7369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≥3张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E9EE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6F64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B7AB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5C3D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荣耀之环圆环底部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BD12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年度常态化系列影片：春夏秋冬四季主题影片，以动植物元素为核心，展现城市共生的生命力。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0B88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1474×1474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C198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≥3张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1DE92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09973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58F0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16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1528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荣耀之环内圈建筑立面1号楼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7DE5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年度常态化系列影片：春夏秋冬四季主题影片，以动植物元素为核心，展现城市共生的生命力。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2D02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824×608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25BD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≥3张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5D65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747D2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C941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17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04B6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荣耀之环内圈建筑立面2号楼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E3D7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年度常态化系列影片：春夏秋冬四季主题影片，以动植物元素为核心，展现城市共生的生命力。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0528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824×608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826B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≥3张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0B3E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43C13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6EB2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18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0EF5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荣耀之环内圈建筑立面3号楼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821E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年度常态化系列影片：春夏秋冬四季主题影片，以动植物元素为核心，展现城市共生的生命力。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C1E7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824×608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2639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≥3张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57E7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0BEFB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06D0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48C3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荣耀之环内圈建筑立面4号楼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255B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年度常态化系列影片：春夏秋冬四季主题影片，以动植物元素为核心，展现城市共生的生命力。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C6A9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824×608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1290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≥3张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B043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574F4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BD7E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20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B6028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中铁建临港大厦1号楼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1704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年度常态化系列影片：春夏秋冬四季主题影片，以动植物元素为核心，展现城市共生的生命力。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A4CA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570×454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57EF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0F8F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56914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3A1A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21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21ED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中铁建临港大厦2号楼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4375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年度常态化系列影片：春夏秋冬四季主题影片，以动植物元素为核心，展现城市共生的生命力。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2514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602×452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CFBE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1434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  <w:tr w14:paraId="40FF1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3FA8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22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300E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滴水湖湖心激光秀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D0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以滴水湖湖心水上的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12栈激光阵列系统为载体，</w:t>
            </w:r>
          </w:p>
          <w:p w14:paraId="5495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定制设计专项演出。</w:t>
            </w:r>
          </w:p>
          <w:p w14:paraId="1F94A6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500F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6723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1B1D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0159C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E46F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EC4F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兴港城L型外墙LED</w:t>
            </w:r>
          </w:p>
        </w:tc>
        <w:tc>
          <w:tcPr>
            <w:tcW w:w="1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7E57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以兴港城 L 型外墙 LED 大屏为核心视觉载体，利用建筑转角、纵深透视和裸眼 3D 视觉技术，打造一场以临港新片区景点为主题的定制化户外沉浸演出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EB3D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9060×1632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CC5E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≥5张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1FDB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原创</w:t>
            </w:r>
          </w:p>
        </w:tc>
      </w:tr>
    </w:tbl>
    <w:p w14:paraId="26DF436D">
      <w:pPr>
        <w:widowControl w:val="0"/>
        <w:numPr>
          <w:ilvl w:val="0"/>
          <w:numId w:val="0"/>
        </w:numPr>
        <w:spacing w:line="360" w:lineRule="auto"/>
        <w:ind w:left="0" w:firstLineChars="200"/>
        <w:jc w:val="left"/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</w:rPr>
      </w:pP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</w:rPr>
        <w:t>注：以上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设计任务书需求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  <w:lang w:eastAsia="zh-CN"/>
        </w:rPr>
        <w:t>均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</w:rPr>
        <w:t>为媒体内容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全年制作设计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</w:rPr>
        <w:t>总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需求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</w:rPr>
        <w:t>，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根据清单列表进行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</w:rPr>
        <w:t>创意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设计响应方案，其中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highlight w:val="none"/>
          <w:lang w:eastAsia="zh-CN" w:bidi="ar"/>
        </w:rPr>
        <w:t>序号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highlight w:val="none"/>
          <w:lang w:val="en-US" w:eastAsia="zh-CN" w:bidi="ar"/>
        </w:rPr>
        <w:t>1-11为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highlight w:val="none"/>
          <w:lang w:eastAsia="zh-CN" w:bidi="ar"/>
        </w:rPr>
        <w:t>本次采购核心设计内容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highlight w:val="none"/>
          <w:lang w:val="en-US" w:eastAsia="zh-CN" w:bidi="ar"/>
        </w:rPr>
        <w:t>。响应阶段</w:t>
      </w:r>
      <w:bookmarkStart w:id="23" w:name="_GoBack"/>
      <w:bookmarkEnd w:id="23"/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highlight w:val="none"/>
          <w:lang w:val="en-US" w:eastAsia="zh-CN" w:bidi="ar"/>
        </w:rPr>
        <w:t>需针对11栋建筑（整体为一个画面）分别制作春、夏、秋、冬四季主题共四张效果图。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建筑楼宇布灯图详见附件一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</w:rPr>
        <w:t>。</w:t>
      </w:r>
    </w:p>
    <w:p w14:paraId="3A8FEAE5">
      <w:pPr>
        <w:widowControl w:val="0"/>
        <w:numPr>
          <w:ilvl w:val="0"/>
          <w:numId w:val="0"/>
        </w:numPr>
        <w:spacing w:line="360" w:lineRule="auto"/>
        <w:ind w:left="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本次采购响应阶段需提供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创意策划方案及视觉设计思路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含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</w:rPr>
        <w:t>创意方向、视觉风格、内容结构、效果图示例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）。</w:t>
      </w:r>
    </w:p>
    <w:p w14:paraId="10D908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0" w:firstLineChars="0"/>
        <w:contextualSpacing w:val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3、团队要求</w:t>
      </w:r>
      <w:bookmarkEnd w:id="16"/>
      <w:bookmarkEnd w:id="17"/>
      <w:bookmarkEnd w:id="18"/>
    </w:p>
    <w:p w14:paraId="2E6930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项目团队结构配备均衡，包括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项目负责人、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Hans"/>
        </w:rPr>
        <w:t>导演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、策划、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设计师、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剪辑师、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特效师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、二维动画师、三维动画师、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现场技术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等职能。</w:t>
      </w:r>
    </w:p>
    <w:p w14:paraId="4AEDC4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项目团队成员包括但不限于：</w:t>
      </w:r>
    </w:p>
    <w:p w14:paraId="250B1F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Hans"/>
        </w:rPr>
        <w:t>具有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影片制作经验的项目负责人 1 名</w:t>
      </w:r>
    </w:p>
    <w:p w14:paraId="5E5802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职责：整体项目统筹、需求对接、计划管控、组织各阶段评审、多方协调（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 xml:space="preserve">、大屏方、灯光、播控、施工单位）、风险预警、版本管理、资料归档、周报报送；统筹长周期多批次意见，把控整体工期。 </w:t>
      </w:r>
    </w:p>
    <w:p w14:paraId="1DCCD9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能力：有大型长时多媒体影片、建筑媒体秀、多篇章主题影片项目经验，协调跨专业配合。</w:t>
      </w:r>
    </w:p>
    <w:p w14:paraId="67E11A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Hans"/>
        </w:rPr>
        <w:t>具有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影片制作经验的导演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1名</w:t>
      </w:r>
    </w:p>
    <w:p w14:paraId="61F9D0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职责：把控叙事节奏；对接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评审意见，统一画面调性，把控全片连贯性。</w:t>
      </w:r>
    </w:p>
    <w:p w14:paraId="35F442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能力：擅长长片叙事，熟悉户外大屏观看特点、多屏联动时序逻辑，能统筹多段落内容风格统一。</w:t>
      </w:r>
    </w:p>
    <w:p w14:paraId="72343B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具有影片制作经验的策划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1名</w:t>
      </w:r>
    </w:p>
    <w:p w14:paraId="0FFF2B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职责：整体故事框架、篇章结构、脚本撰写、分镜统筹、视觉风格统一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。</w:t>
      </w:r>
    </w:p>
    <w:p w14:paraId="7F0810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能力：擅长长片叙事，熟悉户外大屏观看特点，多屏联动时序逻辑，能统筹多段落内容风格统一。</w:t>
      </w:r>
    </w:p>
    <w:p w14:paraId="050853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具有影片制作经验的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设计师1名</w:t>
      </w:r>
    </w:p>
    <w:p w14:paraId="4A8655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职责：全片分镜绘制、镜头调度、画面构图、时长卡秒、标注特效、转场；配合编导锁定镜头清单，作为三维、实拍、后期的制作基准。</w:t>
      </w:r>
    </w:p>
    <w:p w14:paraId="0AF82F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具有影片制作经验的剪辑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师1名</w:t>
      </w:r>
    </w:p>
    <w:p w14:paraId="57AB8A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 xml:space="preserve">职责：素材剪辑、镜头串接、特效合成、校色、统一全片色调、字幕制作、按大屏规范输出不同版本；分段合成，再做全片总合成。 </w:t>
      </w:r>
    </w:p>
    <w:p w14:paraId="01E1B9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能力：熟悉 LED 大屏色域、亮度、安全框、帧率、分辨率规范，可做长片统一调色，处理大量素材拼接。</w:t>
      </w:r>
    </w:p>
    <w:p w14:paraId="4EAB21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具有特效动画制作经验的特效师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1名</w:t>
      </w:r>
    </w:p>
    <w:p w14:paraId="65858F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职责：根据脚本、分镜、美术风格，设计并制作各类画面特效：粒子、光效、火焰、烟雾、流体、破碎、拖影、光晕、转场特效、环境氛围特效等。</w:t>
      </w:r>
    </w:p>
    <w:p w14:paraId="6A4735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）具有二维动画制作经验的二维动画师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3名</w:t>
      </w:r>
    </w:p>
    <w:p w14:paraId="2F9AD5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职责：根据编导脚本、分镜稿、风格设定，完成二维原画、动画中间帧绘制，把控人物 / 图形元素运动节奏、表演、转场动画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。</w:t>
      </w:r>
    </w:p>
    <w:p w14:paraId="1E4668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能力：熟悉户外 LED 大屏输出要求，了解色域、安全框、分辨率，避免线条发虚、闪烁、色彩溢出；</w:t>
      </w:r>
    </w:p>
    <w:p w14:paraId="46435B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）具有三维动画制作经验的三维动画师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3名</w:t>
      </w:r>
    </w:p>
    <w:p w14:paraId="39B934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 xml:space="preserve">职责：场景建模、材质、渲染、角色 / 物件动画、Mapping 贴图、特效制作、镜头动画输出；分段并行制作，保障体量进度。 </w:t>
      </w:r>
    </w:p>
    <w:p w14:paraId="724B7C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能力：熟练 C4D/Blender/3ds Max 等，有建筑投影、大屏三维内容制作经验，熟悉批量渲染管理。</w:t>
      </w:r>
    </w:p>
    <w:p w14:paraId="0F7059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具有影片制作经验的现场技术1 名</w:t>
      </w:r>
    </w:p>
    <w:p w14:paraId="19295D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职责：文件格式适配、时序表整理、版本打包、到场配合大屏、灯光系统联调、时序同步测试、现场问题修改。</w:t>
      </w:r>
    </w:p>
    <w:p w14:paraId="7839A8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以上团队成员须书面承诺全程参与本项目。</w:t>
      </w:r>
    </w:p>
    <w:bookmarkEnd w:id="19"/>
    <w:bookmarkEnd w:id="20"/>
    <w:bookmarkEnd w:id="21"/>
    <w:bookmarkEnd w:id="22"/>
    <w:p w14:paraId="1AAB16A1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uto"/>
        <w:ind w:left="0" w:firstLine="0" w:firstLineChars="0"/>
        <w:contextualSpacing w:val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进度要求</w:t>
      </w:r>
    </w:p>
    <w:p w14:paraId="60E74D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firstLine="480" w:firstLineChars="200"/>
        <w:contextualSpacing w:val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Hans"/>
        </w:rPr>
        <w:t>须根据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Hans"/>
        </w:rPr>
        <w:t>的节点要求，制订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全年制作排期计划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Hans"/>
        </w:rPr>
        <w:t>。在签订合同后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12个月内按时完成全部影片制作等工作。服务周期内有不定期大型活动，大型活动接到制作任务后，常规内容制作周期不超过30天，裸眼3D及激光秀设计调制制作周期不超过90天。</w:t>
      </w:r>
    </w:p>
    <w:p w14:paraId="14A2FAD8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总体工期要求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本项目所有多媒体内容（影片、裸眼 3D 素材、动画、图文、交互素材等）严格按照合同 / 任务书约定总工期执行，按期完成制作、修改、测试、上线报审及最终交付验收，整体不得逾期。</w:t>
      </w:r>
    </w:p>
    <w:p w14:paraId="3C788ED1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分阶段节点管控</w:t>
      </w:r>
    </w:p>
    <w:p w14:paraId="22707057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创意策划阶段：按时提交脚本、分镜、创意样稿，组织评审，根据反馈在规定时限内完成定稿；脚本定稿后作为后续制作基准，原则上不做大范围变更。</w:t>
      </w:r>
    </w:p>
    <w:p w14:paraId="75AE0AA3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前期制作阶段：按时完成素材、三维建模、原画等前置素材交付。</w:t>
      </w:r>
    </w:p>
    <w:p w14:paraId="39EC4FAE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粗剪 / 初版阶段：按节点提交粗剪样片、预览版本，供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内部及大屏 / 硬件方预审，反馈意见集中汇总。</w:t>
      </w:r>
    </w:p>
    <w:p w14:paraId="1178BFDB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精修定稿阶段：收到修改意见后，在约定周期内完成画面调整、调色、特效、字幕，输出正式版本。</w:t>
      </w:r>
    </w:p>
    <w:p w14:paraId="6D33C541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联调测试阶段：配合现场大屏、LED 屏、激光、控制系统开展联调，完成色彩适配、时长对齐、时序同步、播控稳定性测试，解决现场适配问题。</w:t>
      </w:r>
    </w:p>
    <w:p w14:paraId="761E6724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最终交付阶段：按期提交工程文件、成片、不同分辨率输出包、素材源文件、播控说明文档。</w:t>
      </w:r>
    </w:p>
    <w:p w14:paraId="4B6404CB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修改响应时限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各版本反馈意见需集中提交；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收到书面修改意见后，按约定时效完成修改并回传新版本，避免零散反复修改造成工期延误；重大变更需求，双方协商工期调整并书面确认。</w:t>
      </w:r>
    </w:p>
    <w:p w14:paraId="6E3A72B5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进度汇报与预警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：供应商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须定期（按周 / 按节点）报送进度简报，包含当前完成内容、待办事项、存在风险；如存在工期滞后风险、硬件配合滞后、需求变更等影响进度事项，提前预警，同步提交补救计划。</w:t>
      </w:r>
    </w:p>
    <w:p w14:paraId="388CB017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配合联调、排演要求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需配合现场施工、灯光秀、活动彩排、试播等时间窗口，服从现场整体排期；活动 / 亮灯节点为刚性节点，优先保障节点试播与正式播放。</w:t>
      </w:r>
    </w:p>
    <w:p w14:paraId="7C2B8757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质量与进度并行约束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进度推进不得降低画面、色彩、时序同步质量；成片、测试版需满足大屏播控规范，避免后期返工导致延期。</w:t>
      </w:r>
    </w:p>
    <w:p w14:paraId="45999236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资料同步交付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制作过程文档、分镜、工程源文件、素材台账、版本说明随项目进度同步整理，最终验收时一并移交，满足审计、归档、后续复用需求。</w:t>
      </w:r>
    </w:p>
    <w:p w14:paraId="1AA560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44"/>
          <w:szCs w:val="44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0" w:num="1"/>
          <w:docGrid w:type="lines" w:linePitch="312" w:charSpace="0"/>
        </w:sectPr>
      </w:pPr>
    </w:p>
    <w:p w14:paraId="366A8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  <w:t>附件一</w:t>
      </w:r>
    </w:p>
    <w:p w14:paraId="14965A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</w:pPr>
    </w:p>
    <w:p w14:paraId="55093F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</w:pPr>
    </w:p>
    <w:p w14:paraId="44FF86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23" name="图片 23" descr="附件一、建筑布灯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附件一、建筑布灯图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22" name="图片 22" descr="附件一、建筑布灯图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附件一、建筑布灯图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21" name="图片 21" descr="附件一、建筑布灯图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附件一、建筑布灯图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20" name="图片 20" descr="附件一、建筑布灯图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附件一、建筑布灯图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9" name="图片 19" descr="附件一、建筑布灯图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附件一、建筑布灯图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8" name="图片 18" descr="附件一、建筑布灯图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附件一、建筑布灯图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7" name="图片 17" descr="附件一、建筑布灯图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附件一、建筑布灯图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6" name="图片 16" descr="附件一、建筑布灯图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附件一、建筑布灯图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5" name="图片 15" descr="附件一、建筑布灯图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附件一、建筑布灯图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4" name="图片 14" descr="附件一、建筑布灯图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附件一、建筑布灯图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3" name="图片 13" descr="附件一、建筑布灯图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附件一、建筑布灯图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2" name="图片 12" descr="附件一、建筑布灯图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附件一、建筑布灯图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1" name="图片 11" descr="附件一、建筑布灯图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附件一、建筑布灯图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0" name="图片 10" descr="附件一、建筑布灯图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一、建筑布灯图_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9" name="图片 9" descr="附件一、建筑布灯图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件一、建筑布灯图_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8" name="图片 8" descr="附件一、建筑布灯图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一、建筑布灯图_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7" name="图片 7" descr="附件一、建筑布灯图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一、建筑布灯图_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6" name="图片 6" descr="附件一、建筑布灯图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件一、建筑布灯图_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5" name="图片 5" descr="附件一、建筑布灯图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一、建筑布灯图_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4" name="图片 4" descr="附件一、建筑布灯图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一、建筑布灯图_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3" name="图片 3" descr="附件一、建筑布灯图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一、建筑布灯图_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2" name="图片 2" descr="附件一、建筑布灯图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一、建筑布灯图_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  <w:drawing>
          <wp:inline distT="0" distB="0" distL="114300" distR="114300">
            <wp:extent cx="6169025" cy="3470275"/>
            <wp:effectExtent l="0" t="0" r="3175" b="15875"/>
            <wp:docPr id="1" name="图片 1" descr="附件一、建筑布灯图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一、建筑布灯图_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0C9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</w:pPr>
    </w:p>
    <w:p w14:paraId="1AF933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</w:pPr>
    </w:p>
    <w:p w14:paraId="356F16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</w:pPr>
    </w:p>
    <w:p w14:paraId="5DA444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</w:pPr>
    </w:p>
    <w:p w14:paraId="5E7E04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</w:pPr>
    </w:p>
    <w:p w14:paraId="70609F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</w:pPr>
    </w:p>
    <w:p w14:paraId="1EE23B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"/>
          <w:szCs w:val="2"/>
          <w:lang w:val="en-US" w:eastAsia="zh-CN"/>
        </w:rPr>
      </w:pPr>
    </w:p>
    <w:p w14:paraId="299880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</w:p>
    <w:sectPr>
      <w:type w:val="continuous"/>
      <w:pgSz w:w="16838" w:h="11906" w:orient="landscape"/>
      <w:pgMar w:top="1080" w:right="1440" w:bottom="1080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国标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6FC"/>
    <w:rsid w:val="00356E70"/>
    <w:rsid w:val="003B76FC"/>
    <w:rsid w:val="004C0EF7"/>
    <w:rsid w:val="008F0537"/>
    <w:rsid w:val="008F7360"/>
    <w:rsid w:val="00D91BF5"/>
    <w:rsid w:val="00F3480D"/>
    <w:rsid w:val="016D72E4"/>
    <w:rsid w:val="026D5E00"/>
    <w:rsid w:val="027A149C"/>
    <w:rsid w:val="04536448"/>
    <w:rsid w:val="051F632A"/>
    <w:rsid w:val="077A29D1"/>
    <w:rsid w:val="091E0155"/>
    <w:rsid w:val="09660B7C"/>
    <w:rsid w:val="0B501A8A"/>
    <w:rsid w:val="119141AC"/>
    <w:rsid w:val="167A1613"/>
    <w:rsid w:val="167F2809"/>
    <w:rsid w:val="180E720F"/>
    <w:rsid w:val="181A30AD"/>
    <w:rsid w:val="1AF35E37"/>
    <w:rsid w:val="20482782"/>
    <w:rsid w:val="20CE0E88"/>
    <w:rsid w:val="21E40288"/>
    <w:rsid w:val="2426102C"/>
    <w:rsid w:val="244F0531"/>
    <w:rsid w:val="246833F2"/>
    <w:rsid w:val="2903193C"/>
    <w:rsid w:val="2A18778B"/>
    <w:rsid w:val="2AFF724B"/>
    <w:rsid w:val="2BDF395B"/>
    <w:rsid w:val="2C5C0126"/>
    <w:rsid w:val="2EF027D8"/>
    <w:rsid w:val="2F5674FD"/>
    <w:rsid w:val="2F5E5B1E"/>
    <w:rsid w:val="2F904AFB"/>
    <w:rsid w:val="2FB756C8"/>
    <w:rsid w:val="30B45AA9"/>
    <w:rsid w:val="31C66BC6"/>
    <w:rsid w:val="32CC2D9E"/>
    <w:rsid w:val="33913FC0"/>
    <w:rsid w:val="349B511E"/>
    <w:rsid w:val="36DD557A"/>
    <w:rsid w:val="39333B77"/>
    <w:rsid w:val="39B61216"/>
    <w:rsid w:val="3BAD02FB"/>
    <w:rsid w:val="3BBE1A2C"/>
    <w:rsid w:val="3C3D4EBA"/>
    <w:rsid w:val="3CDC62D4"/>
    <w:rsid w:val="3CEA4C04"/>
    <w:rsid w:val="41857B40"/>
    <w:rsid w:val="418D4040"/>
    <w:rsid w:val="434150E2"/>
    <w:rsid w:val="443A5884"/>
    <w:rsid w:val="479C4FDD"/>
    <w:rsid w:val="499A379E"/>
    <w:rsid w:val="4A3078F8"/>
    <w:rsid w:val="4AAF0BBE"/>
    <w:rsid w:val="4C195217"/>
    <w:rsid w:val="4D023B34"/>
    <w:rsid w:val="4DBD442F"/>
    <w:rsid w:val="53185D7F"/>
    <w:rsid w:val="547846DC"/>
    <w:rsid w:val="55AD03B6"/>
    <w:rsid w:val="569F40E1"/>
    <w:rsid w:val="586066E1"/>
    <w:rsid w:val="59AA17DC"/>
    <w:rsid w:val="59F14D15"/>
    <w:rsid w:val="59FB37DF"/>
    <w:rsid w:val="5B353327"/>
    <w:rsid w:val="5C0A0310"/>
    <w:rsid w:val="616C3525"/>
    <w:rsid w:val="61F01F3B"/>
    <w:rsid w:val="636DE169"/>
    <w:rsid w:val="64BF2D6E"/>
    <w:rsid w:val="65331D06"/>
    <w:rsid w:val="655A1441"/>
    <w:rsid w:val="66124991"/>
    <w:rsid w:val="666D2B90"/>
    <w:rsid w:val="668478F0"/>
    <w:rsid w:val="671958AB"/>
    <w:rsid w:val="6912772B"/>
    <w:rsid w:val="699C2730"/>
    <w:rsid w:val="6AFD6E95"/>
    <w:rsid w:val="6D321474"/>
    <w:rsid w:val="6EFFFB92"/>
    <w:rsid w:val="6FA679E3"/>
    <w:rsid w:val="71F30604"/>
    <w:rsid w:val="72EC2E3D"/>
    <w:rsid w:val="737508C9"/>
    <w:rsid w:val="73DDD59C"/>
    <w:rsid w:val="741D6483"/>
    <w:rsid w:val="77FD254B"/>
    <w:rsid w:val="78CF003C"/>
    <w:rsid w:val="7A0D5743"/>
    <w:rsid w:val="7B833BA1"/>
    <w:rsid w:val="7BED75DA"/>
    <w:rsid w:val="7C081039"/>
    <w:rsid w:val="7CF75C8B"/>
    <w:rsid w:val="7CFB6A24"/>
    <w:rsid w:val="7DFA5FDE"/>
    <w:rsid w:val="7DFB3AB4"/>
    <w:rsid w:val="7E4A6438"/>
    <w:rsid w:val="7EBE7461"/>
    <w:rsid w:val="7EFD3EF3"/>
    <w:rsid w:val="7F570A84"/>
    <w:rsid w:val="7F737451"/>
    <w:rsid w:val="7FD7F1CA"/>
    <w:rsid w:val="7FDF131E"/>
    <w:rsid w:val="7FEEB889"/>
    <w:rsid w:val="9F35C2B4"/>
    <w:rsid w:val="BC776F74"/>
    <w:rsid w:val="BFB3D480"/>
    <w:rsid w:val="BFFF2966"/>
    <w:rsid w:val="EF7A1C54"/>
    <w:rsid w:val="FBE2B03D"/>
    <w:rsid w:val="FDA6A3FB"/>
    <w:rsid w:val="FDE89D57"/>
    <w:rsid w:val="FE3E23BB"/>
    <w:rsid w:val="FF5F0381"/>
    <w:rsid w:val="FF789AE0"/>
    <w:rsid w:val="FFFFD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 2"/>
    <w:basedOn w:val="1"/>
    <w:next w:val="1"/>
    <w:qFormat/>
    <w:uiPriority w:val="99"/>
    <w:pPr>
      <w:spacing w:after="120" w:line="480" w:lineRule="auto"/>
      <w:ind w:left="420" w:leftChars="200"/>
    </w:pPr>
    <w:rPr>
      <w:szCs w:val="24"/>
    </w:rPr>
  </w:style>
  <w:style w:type="paragraph" w:styleId="5">
    <w:name w:val="Body Text 2"/>
    <w:basedOn w:val="1"/>
    <w:qFormat/>
    <w:uiPriority w:val="99"/>
    <w:pPr>
      <w:spacing w:after="120" w:line="480" w:lineRule="auto"/>
    </w:pPr>
  </w:style>
  <w:style w:type="paragraph" w:styleId="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/>
      <w:kern w:val="0"/>
      <w:szCs w:val="21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Table Paragraph"/>
    <w:basedOn w:val="1"/>
    <w:qFormat/>
    <w:uiPriority w:val="1"/>
    <w:pPr>
      <w:jc w:val="left"/>
    </w:pPr>
    <w:rPr>
      <w:rFonts w:ascii="Calibri" w:hAnsi="Calibri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3354</Words>
  <Characters>3658</Characters>
  <Lines>43</Lines>
  <Paragraphs>12</Paragraphs>
  <TotalTime>1</TotalTime>
  <ScaleCrop>false</ScaleCrop>
  <LinksUpToDate>false</LinksUpToDate>
  <CharactersWithSpaces>3691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2024-10-19T09:04:00Z</dcterms:created>
  <dc:creator>clyy</dc:creator>
  <cp:lastModifiedBy>魏允晗</cp:lastModifiedBy>
  <dcterms:modified xsi:type="dcterms:W3CDTF">2026-10-26T13:46:45Z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9E6CB45A16244CE83DC2DE6A3ABEF687_43</vt:lpwstr>
  </property>
  <property fmtid="{D5CDD505-2E9C-101B-9397-08002B2CF9AE}" pid="4" name="KSOTemplateDocerSaveRecord">
    <vt:lpwstr>eyJoZGlkIjoiMTY1NGUyZjM5ZDg3YjFlYjY3ZjY0YTllMWY0ZGM5ZmYiLCJ1c2VySWQiOiIyMzA3MDIzNTUifQ==</vt:lpwstr>
  </property>
</Properties>
</file>