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C7262">
      <w:pPr>
        <w:ind w:firstLine="0" w:firstLineChars="0"/>
        <w:jc w:val="center"/>
        <w:rPr>
          <w:rFonts w:hint="eastAsia" w:ascii="黑体" w:hAnsi="黑体" w:eastAsia="黑体"/>
          <w:sz w:val="48"/>
          <w:szCs w:val="48"/>
        </w:rPr>
      </w:pPr>
    </w:p>
    <w:p w14:paraId="359CD6F7">
      <w:pPr>
        <w:ind w:firstLine="0" w:firstLineChars="0"/>
        <w:jc w:val="center"/>
        <w:rPr>
          <w:rFonts w:hint="eastAsia" w:ascii="黑体" w:hAnsi="黑体" w:eastAsia="黑体"/>
          <w:sz w:val="48"/>
          <w:szCs w:val="48"/>
        </w:rPr>
      </w:pPr>
    </w:p>
    <w:p w14:paraId="5A465666">
      <w:pPr>
        <w:ind w:firstLine="0" w:firstLineChars="0"/>
        <w:jc w:val="center"/>
        <w:rPr>
          <w:rFonts w:hint="eastAsia" w:ascii="黑体" w:hAnsi="黑体" w:eastAsia="黑体"/>
          <w:sz w:val="52"/>
          <w:szCs w:val="52"/>
          <w:lang w:eastAsia="zh-CN"/>
        </w:rPr>
      </w:pPr>
      <w:r>
        <w:rPr>
          <w:rFonts w:hint="eastAsia" w:ascii="黑体" w:hAnsi="黑体" w:eastAsia="黑体"/>
          <w:sz w:val="52"/>
          <w:szCs w:val="52"/>
        </w:rPr>
        <w:t>上海市人防政务服务大系统 (含“一网通办”和“一网统管”)</w:t>
      </w:r>
      <w:r>
        <w:rPr>
          <w:rFonts w:hint="eastAsia" w:ascii="黑体" w:hAnsi="黑体" w:eastAsia="黑体"/>
          <w:sz w:val="52"/>
          <w:szCs w:val="52"/>
          <w:lang w:eastAsia="zh-CN"/>
        </w:rPr>
        <w:t>建设项目</w:t>
      </w:r>
      <w:r>
        <w:rPr>
          <w:rFonts w:hint="eastAsia" w:ascii="黑体" w:hAnsi="黑体" w:eastAsia="黑体"/>
          <w:sz w:val="52"/>
          <w:szCs w:val="52"/>
        </w:rPr>
        <w:t>(2026年升级改造)</w:t>
      </w:r>
    </w:p>
    <w:p w14:paraId="5EEBE5CF">
      <w:pPr>
        <w:ind w:firstLine="0" w:firstLineChars="0"/>
        <w:jc w:val="center"/>
        <w:rPr>
          <w:rFonts w:hint="eastAsia" w:ascii="黑体" w:hAnsi="黑体" w:eastAsia="黑体"/>
          <w:sz w:val="52"/>
          <w:szCs w:val="52"/>
        </w:rPr>
      </w:pPr>
      <w:r>
        <w:rPr>
          <w:rFonts w:hint="eastAsia" w:ascii="黑体" w:hAnsi="黑体" w:eastAsia="黑体"/>
          <w:sz w:val="52"/>
          <w:szCs w:val="52"/>
        </w:rPr>
        <w:t>采购需求</w:t>
      </w:r>
    </w:p>
    <w:p w14:paraId="131B851F">
      <w:pPr>
        <w:ind w:firstLine="0" w:firstLineChars="0"/>
        <w:jc w:val="center"/>
        <w:rPr>
          <w:rFonts w:hint="eastAsia" w:ascii="黑体" w:hAnsi="黑体" w:eastAsia="黑体"/>
          <w:sz w:val="72"/>
          <w:szCs w:val="72"/>
        </w:rPr>
      </w:pPr>
    </w:p>
    <w:p w14:paraId="59283578">
      <w:pPr>
        <w:ind w:firstLine="0" w:firstLineChars="0"/>
        <w:jc w:val="center"/>
        <w:rPr>
          <w:rFonts w:hint="eastAsia" w:ascii="黑体" w:hAnsi="黑体" w:eastAsia="黑体"/>
          <w:sz w:val="48"/>
          <w:szCs w:val="48"/>
        </w:rPr>
      </w:pPr>
    </w:p>
    <w:p w14:paraId="26004C43">
      <w:pPr>
        <w:ind w:firstLine="0" w:firstLineChars="0"/>
        <w:jc w:val="center"/>
        <w:rPr>
          <w:rFonts w:hint="eastAsia" w:ascii="黑体" w:hAnsi="黑体" w:eastAsia="黑体"/>
          <w:sz w:val="52"/>
          <w:szCs w:val="52"/>
        </w:rPr>
      </w:pPr>
    </w:p>
    <w:p w14:paraId="61534BF6">
      <w:pPr>
        <w:ind w:firstLine="1040"/>
        <w:rPr>
          <w:rFonts w:hint="eastAsia" w:ascii="黑体" w:hAnsi="黑体" w:eastAsia="黑体"/>
          <w:sz w:val="52"/>
          <w:szCs w:val="52"/>
        </w:rPr>
      </w:pPr>
    </w:p>
    <w:p w14:paraId="1A756060">
      <w:pPr>
        <w:rPr>
          <w:rFonts w:hint="eastAsia"/>
        </w:rPr>
      </w:pPr>
    </w:p>
    <w:p w14:paraId="42105DB3">
      <w:pPr>
        <w:rPr>
          <w:rFonts w:hint="eastAsia"/>
        </w:rPr>
      </w:pPr>
    </w:p>
    <w:p w14:paraId="1556A6B2">
      <w:pPr>
        <w:rPr>
          <w:rFonts w:hint="eastAsia"/>
        </w:rPr>
      </w:pPr>
    </w:p>
    <w:p w14:paraId="2DEF31DA">
      <w:pPr>
        <w:rPr>
          <w:rFonts w:hint="eastAsia"/>
        </w:rPr>
      </w:pPr>
    </w:p>
    <w:p w14:paraId="527DD780">
      <w:pPr>
        <w:rPr>
          <w:rFonts w:hint="eastAsia"/>
        </w:rPr>
      </w:pPr>
    </w:p>
    <w:p w14:paraId="7AD1CD2D">
      <w:pPr>
        <w:ind w:firstLine="1040"/>
        <w:rPr>
          <w:rFonts w:hint="eastAsia" w:ascii="黑体" w:hAnsi="黑体" w:eastAsia="黑体"/>
          <w:sz w:val="52"/>
          <w:szCs w:val="52"/>
        </w:rPr>
      </w:pPr>
    </w:p>
    <w:p w14:paraId="06147743">
      <w:pPr>
        <w:jc w:val="cente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2C2C396E">
      <w:pPr>
        <w:pStyle w:val="2"/>
        <w:rPr>
          <w:rFonts w:hint="eastAsia"/>
        </w:rPr>
      </w:pPr>
      <w:bookmarkStart w:id="0" w:name="_Toc63785461"/>
      <w:r>
        <w:rPr>
          <w:rFonts w:hint="eastAsia"/>
        </w:rPr>
        <w:t>项目概况</w:t>
      </w:r>
      <w:bookmarkEnd w:id="0"/>
    </w:p>
    <w:p w14:paraId="60E66309">
      <w:pPr>
        <w:spacing w:line="560" w:lineRule="exact"/>
        <w:rPr>
          <w:rFonts w:hint="eastAsia"/>
        </w:rPr>
      </w:pPr>
      <w:r>
        <w:t>本项目旨在对原有</w:t>
      </w:r>
      <w:r>
        <w:rPr>
          <w:rFonts w:hint="eastAsia"/>
        </w:rPr>
        <w:t>"人防政务服务"大系统相关子系统</w:t>
      </w:r>
      <w:r>
        <w:t>进行升级改造。原有系统采用前后端分离开发架构，技术栈具体为：后端基于Java1.8+Spring Boot 3.2开发，前端采用Vue2.6.14结合Element-UI 2.15.8实现，数据库选用达梦8。</w:t>
      </w:r>
    </w:p>
    <w:p w14:paraId="5209D7CD">
      <w:pPr>
        <w:spacing w:line="560" w:lineRule="exact"/>
        <w:rPr>
          <w:rFonts w:hint="eastAsia"/>
        </w:rPr>
      </w:pPr>
      <w:r>
        <w:t>项目建设内容主要分为两大板块：一是软件开发，具体涵盖国动办应用支撑能力升级、基于“一网通办”的政务服务升级改造、基于“一网统管”的行业监管升级改造及国动领域大模型建设；二是数据服务，核心围绕数据融合、加工及治理开展相关服务。</w:t>
      </w:r>
    </w:p>
    <w:p w14:paraId="38DBB6FC">
      <w:pPr>
        <w:spacing w:line="560" w:lineRule="exact"/>
        <w:rPr>
          <w:rFonts w:hint="eastAsia"/>
        </w:rPr>
      </w:pPr>
      <w:r>
        <w:rPr>
          <w:rFonts w:hint="eastAsia"/>
        </w:rPr>
        <w:t>建设期限：自合同签订之日起至2026年11月30日</w:t>
      </w:r>
    </w:p>
    <w:p w14:paraId="12601F25">
      <w:pPr>
        <w:spacing w:line="560" w:lineRule="exact"/>
        <w:rPr>
          <w:rFonts w:hint="eastAsia"/>
        </w:rPr>
      </w:pPr>
      <w:r>
        <w:rPr>
          <w:rFonts w:hint="eastAsia"/>
        </w:rPr>
        <w:t>建设地点：上海市民防大厦（</w:t>
      </w:r>
      <w:r>
        <w:t>上海市黄浦区复兴中路593号</w:t>
      </w:r>
      <w:r>
        <w:rPr>
          <w:rFonts w:hint="eastAsia"/>
        </w:rPr>
        <w:t>）</w:t>
      </w:r>
    </w:p>
    <w:p w14:paraId="13C2CB83">
      <w:pPr>
        <w:spacing w:line="560" w:lineRule="exact"/>
        <w:rPr>
          <w:rFonts w:hint="eastAsia"/>
        </w:rPr>
      </w:pPr>
      <w:r>
        <w:rPr>
          <w:rFonts w:hint="eastAsia"/>
        </w:rPr>
        <w:t>预算金额： 1937500元</w:t>
      </w:r>
    </w:p>
    <w:p w14:paraId="31B401E8">
      <w:pPr>
        <w:spacing w:line="560" w:lineRule="exact"/>
        <w:rPr>
          <w:rFonts w:hint="eastAsia"/>
        </w:rPr>
      </w:pPr>
      <w:r>
        <w:rPr>
          <w:rFonts w:hint="eastAsia"/>
        </w:rPr>
        <w:t>当年度预算金额：1937500元</w:t>
      </w:r>
    </w:p>
    <w:p w14:paraId="51D1C7EB">
      <w:pPr>
        <w:spacing w:line="560" w:lineRule="exact"/>
        <w:rPr>
          <w:rFonts w:hint="eastAsia"/>
        </w:rPr>
      </w:pPr>
      <w:r>
        <w:rPr>
          <w:rFonts w:hint="eastAsia"/>
        </w:rPr>
        <w:t>采购金额（最高限价）： 1937500元</w:t>
      </w:r>
    </w:p>
    <w:p w14:paraId="0B9385E4">
      <w:pPr>
        <w:rPr>
          <w:rFonts w:hint="eastAsia"/>
        </w:rPr>
      </w:pPr>
      <w:r>
        <w:rPr>
          <w:rFonts w:hint="eastAsia"/>
        </w:rPr>
        <w:t>组织形式：集中采购</w:t>
      </w:r>
    </w:p>
    <w:p w14:paraId="6C0ECE0F">
      <w:pPr>
        <w:rPr>
          <w:rFonts w:hint="eastAsia"/>
        </w:rPr>
      </w:pPr>
      <w:r>
        <w:rPr>
          <w:rFonts w:hint="eastAsia"/>
        </w:rPr>
        <w:t>采购方式：竞争性磋商</w:t>
      </w:r>
    </w:p>
    <w:p w14:paraId="1207D4F2">
      <w:pPr>
        <w:rPr>
          <w:rFonts w:hint="eastAsia"/>
        </w:rPr>
      </w:pPr>
      <w:r>
        <w:rPr>
          <w:rFonts w:hint="eastAsia"/>
        </w:rPr>
        <w:t>是否接受联合体投标：否</w:t>
      </w:r>
    </w:p>
    <w:p w14:paraId="501CC5BB">
      <w:pPr>
        <w:rPr>
          <w:rFonts w:hint="eastAsia"/>
        </w:rPr>
      </w:pPr>
      <w:r>
        <w:t>是否按</w:t>
      </w:r>
      <w:r>
        <w:rPr>
          <w:rFonts w:hint="eastAsia"/>
          <w:lang w:eastAsia="zh-CN"/>
        </w:rPr>
        <w:t>XC</w:t>
      </w:r>
      <w:r>
        <w:t>要求建设：是</w:t>
      </w:r>
    </w:p>
    <w:p w14:paraId="7F1F0CD7">
      <w:pPr>
        <w:tabs>
          <w:tab w:val="left" w:pos="3120"/>
        </w:tabs>
        <w:rPr>
          <w:rFonts w:hint="eastAsia"/>
        </w:rPr>
      </w:pPr>
      <w:r>
        <w:rPr>
          <w:rFonts w:hint="eastAsia"/>
        </w:rPr>
        <w:t>是否采用低代码建设：否</w:t>
      </w:r>
    </w:p>
    <w:p w14:paraId="19AAEDD6">
      <w:pPr>
        <w:rPr>
          <w:rFonts w:hint="eastAsia"/>
        </w:rPr>
      </w:pPr>
      <w:r>
        <w:rPr>
          <w:rFonts w:hint="eastAsia"/>
        </w:rPr>
        <w:t>运维后所属大系统：</w:t>
      </w:r>
      <w:bookmarkStart w:id="1" w:name="_Toc47533256"/>
      <w:bookmarkEnd w:id="1"/>
      <w:bookmarkStart w:id="2" w:name="_Toc47536272"/>
      <w:bookmarkEnd w:id="2"/>
      <w:bookmarkStart w:id="3" w:name="_Toc47536644"/>
      <w:bookmarkEnd w:id="3"/>
      <w:bookmarkStart w:id="4" w:name="_Toc47532255"/>
      <w:bookmarkEnd w:id="4"/>
      <w:bookmarkStart w:id="5" w:name="_Toc47539070"/>
      <w:bookmarkEnd w:id="5"/>
      <w:bookmarkStart w:id="6" w:name="_Toc47537134"/>
      <w:bookmarkEnd w:id="6"/>
      <w:bookmarkStart w:id="7" w:name="_Toc47531634"/>
      <w:bookmarkEnd w:id="7"/>
      <w:bookmarkStart w:id="8" w:name="_Toc47532891"/>
      <w:bookmarkEnd w:id="8"/>
      <w:bookmarkStart w:id="9" w:name="_Toc63785463"/>
      <w:bookmarkStart w:id="10" w:name="_Toc48223882"/>
      <w:r>
        <w:rPr>
          <w:rFonts w:hint="eastAsia"/>
        </w:rPr>
        <w:t>上海市人防政务服务大系统(</w:t>
      </w:r>
      <w:r>
        <w:rPr>
          <w:rFonts w:hint="eastAsia"/>
          <w:lang w:eastAsia="zh-CN"/>
        </w:rPr>
        <w:t>含</w:t>
      </w:r>
      <w:r>
        <w:rPr>
          <w:rFonts w:hint="eastAsia"/>
        </w:rPr>
        <w:t>“一网通办”</w:t>
      </w:r>
      <w:r>
        <w:rPr>
          <w:rFonts w:hint="eastAsia"/>
          <w:lang w:eastAsia="zh-CN"/>
        </w:rPr>
        <w:t>和</w:t>
      </w:r>
      <w:r>
        <w:rPr>
          <w:rFonts w:hint="eastAsia"/>
        </w:rPr>
        <w:t>“一网统管”)</w:t>
      </w:r>
    </w:p>
    <w:p w14:paraId="68129853">
      <w:pPr>
        <w:pStyle w:val="2"/>
        <w:rPr>
          <w:rFonts w:hint="eastAsia"/>
        </w:rPr>
      </w:pPr>
      <w:r>
        <w:rPr>
          <w:rFonts w:hint="eastAsia"/>
        </w:rPr>
        <w:t>建设目标</w:t>
      </w:r>
      <w:bookmarkEnd w:id="9"/>
      <w:bookmarkEnd w:id="10"/>
      <w:bookmarkStart w:id="11" w:name="OLE_LINK2"/>
    </w:p>
    <w:p w14:paraId="049E0911">
      <w:pPr>
        <w:rPr>
          <w:rFonts w:hint="eastAsia"/>
        </w:rPr>
      </w:pPr>
      <w:r>
        <w:t>通过</w:t>
      </w:r>
      <w:r>
        <w:rPr>
          <w:rFonts w:hint="eastAsia"/>
        </w:rPr>
        <w:t>对"人防政务服务"大系统相关子系统进行</w:t>
      </w:r>
      <w:r>
        <w:t>升级改造，全面强化国动领域数字化应用支撑，优化升级 “一网通办” 政务服务系统，迭代完善 “人防码” 行业监管应用及人防工程全流程管理体系，构建线上线下融合的政务服务与行业监管新格局，精准赋能国防动员服务与管理，实现上海国防动员治理数字化、智能化转型，助力构建数字化智能化政府运行新形态。</w:t>
      </w:r>
    </w:p>
    <w:bookmarkEnd w:id="11"/>
    <w:p w14:paraId="630846A6">
      <w:pPr>
        <w:pStyle w:val="3"/>
        <w:ind w:left="0"/>
        <w:rPr>
          <w:rFonts w:hint="eastAsia" w:eastAsia="黑体"/>
          <w:kern w:val="44"/>
          <w:sz w:val="32"/>
          <w:szCs w:val="28"/>
        </w:rPr>
      </w:pPr>
      <w:bookmarkStart w:id="12" w:name="_Toc972"/>
      <w:bookmarkStart w:id="13" w:name="_Toc23421"/>
      <w:bookmarkStart w:id="14" w:name="_Toc24656"/>
      <w:bookmarkStart w:id="15" w:name="_Toc9398"/>
      <w:bookmarkStart w:id="16" w:name="_Toc1234"/>
      <w:r>
        <w:rPr>
          <w:rFonts w:hint="eastAsia" w:eastAsia="黑体"/>
          <w:kern w:val="44"/>
          <w:sz w:val="32"/>
          <w:szCs w:val="28"/>
        </w:rPr>
        <w:t>业务绩效目标</w:t>
      </w:r>
      <w:bookmarkEnd w:id="12"/>
      <w:bookmarkEnd w:id="13"/>
      <w:bookmarkEnd w:id="14"/>
      <w:bookmarkEnd w:id="15"/>
      <w:bookmarkEnd w:id="16"/>
    </w:p>
    <w:p w14:paraId="4FDF83F6">
      <w:pPr>
        <w:rPr>
          <w:rFonts w:hint="eastAsia"/>
        </w:rPr>
      </w:pPr>
      <w:r>
        <w:t>一是强化国动领域数字化应用支撑，</w:t>
      </w:r>
      <w:bookmarkStart w:id="17" w:name="_Hlk218778122"/>
      <w:r>
        <w:t>构建国动领域知识图谱与大模型服务，实现智能监管与政务服务精准推理；</w:t>
      </w:r>
      <w:bookmarkEnd w:id="17"/>
      <w:r>
        <w:t>二是提升政务服务智能化水平，落实国家政务服务标准化、规范化、便利化及数字政府建设要求，优化升级 “一网通办” 政务服务系统；三是完善国动办行业监管能力，迭代优化 “人防码”监管应用，升级风险评估、日常检查配置、质量评价功能，打造人防工程全生命周期看板，构建闭环管理新模式。</w:t>
      </w:r>
    </w:p>
    <w:p w14:paraId="1FD952EB">
      <w:pPr>
        <w:pStyle w:val="3"/>
        <w:ind w:left="0"/>
        <w:rPr>
          <w:rFonts w:hint="eastAsia" w:eastAsia="黑体"/>
          <w:kern w:val="44"/>
          <w:sz w:val="32"/>
          <w:szCs w:val="28"/>
        </w:rPr>
      </w:pPr>
      <w:r>
        <w:rPr>
          <w:rFonts w:hint="eastAsia" w:eastAsia="黑体"/>
          <w:kern w:val="44"/>
          <w:sz w:val="32"/>
          <w:szCs w:val="28"/>
        </w:rPr>
        <w:t>技术绩效目标</w:t>
      </w:r>
    </w:p>
    <w:p w14:paraId="3F711B47">
      <w:pPr>
        <w:rPr>
          <w:rFonts w:hint="eastAsia"/>
        </w:rPr>
      </w:pPr>
      <w:r>
        <w:rPr>
          <w:rFonts w:hint="eastAsia"/>
        </w:rPr>
        <w:t>系统需</w:t>
      </w:r>
      <w:r>
        <w:t>实现稳定、可靠、实用的核心要求，同时保障人机界面友好、操作便捷、扩展灵活，适配多业务场景的技术适配性。具体技术指标如下：</w:t>
      </w:r>
    </w:p>
    <w:p w14:paraId="36C10749">
      <w:pPr>
        <w:rPr>
          <w:rFonts w:hint="eastAsia"/>
        </w:rPr>
      </w:pPr>
      <w:r>
        <w:rPr>
          <w:rFonts w:hint="eastAsia"/>
        </w:rPr>
        <w:t>一、系统响应时间：界面简单查询响应时间：≤5秒；界面复杂统计查询响应时间：≤20秒</w:t>
      </w:r>
    </w:p>
    <w:p w14:paraId="07A69C0E">
      <w:pPr>
        <w:rPr>
          <w:rFonts w:hint="eastAsia"/>
        </w:rPr>
      </w:pPr>
      <w:r>
        <w:rPr>
          <w:rFonts w:hint="eastAsia"/>
        </w:rPr>
        <w:t>二、并发访问量：基于现有的网络环境、硬件环境及运行环境，系统要具有同时支持至少100个并发用户。</w:t>
      </w:r>
    </w:p>
    <w:p w14:paraId="384CF258">
      <w:pPr>
        <w:rPr>
          <w:rFonts w:hint="eastAsia"/>
        </w:rPr>
      </w:pPr>
      <w:r>
        <w:rPr>
          <w:rFonts w:hint="eastAsia"/>
        </w:rPr>
        <w:t>三、系统可用性：系统需7×24小时持续可用，必须保持系统的稳定性和可靠性。</w:t>
      </w:r>
    </w:p>
    <w:p w14:paraId="213339DA">
      <w:pPr>
        <w:rPr>
          <w:rFonts w:hint="eastAsia"/>
        </w:rPr>
      </w:pPr>
      <w:r>
        <w:rPr>
          <w:rFonts w:hint="eastAsia"/>
        </w:rPr>
        <w:t>四、系统可扩展性：充分考虑到系统的通用性、扩展性，在选择技术实现时尽量做到可配性强、配置灵活，以适应不同情况下用户的需求。</w:t>
      </w:r>
    </w:p>
    <w:p w14:paraId="287C402D">
      <w:pPr>
        <w:pStyle w:val="2"/>
        <w:rPr>
          <w:rFonts w:hint="eastAsia"/>
        </w:rPr>
      </w:pPr>
      <w:r>
        <w:rPr>
          <w:rFonts w:hint="eastAsia"/>
        </w:rPr>
        <w:t>项目建设内容</w:t>
      </w:r>
      <w:bookmarkStart w:id="18" w:name="OLE_LINK4"/>
      <w:bookmarkStart w:id="19" w:name="OLE_LINK3"/>
    </w:p>
    <w:p w14:paraId="54A320EC">
      <w:pPr>
        <w:rPr>
          <w:rFonts w:hint="eastAsia"/>
        </w:rPr>
      </w:pPr>
      <w:r>
        <w:t>本项目建设内容主要分为两大板块，一是软件开发，涵盖国动办应用支撑能力升级、基于“一网通办”的政务服务升级改造、基于“一网统管”的行业监管升级改造及国动领域大模型建设；二是数据服务，核心为数据融合加工及治理服务。</w:t>
      </w:r>
      <w:bookmarkEnd w:id="18"/>
      <w:bookmarkEnd w:id="19"/>
    </w:p>
    <w:p w14:paraId="72086738">
      <w:pPr>
        <w:widowControl/>
        <w:snapToGrid w:val="0"/>
        <w:spacing w:line="440" w:lineRule="exact"/>
        <w:ind w:firstLine="482"/>
        <w:jc w:val="left"/>
        <w:rPr>
          <w:rFonts w:hint="eastAsia"/>
          <w:b/>
        </w:rPr>
      </w:pPr>
      <w:r>
        <w:rPr>
          <w:rFonts w:hint="eastAsia"/>
          <w:b/>
        </w:rPr>
        <w:t>具体建设需求如下：</w:t>
      </w:r>
    </w:p>
    <w:p w14:paraId="00194F17">
      <w:pPr>
        <w:pStyle w:val="64"/>
        <w:numPr>
          <w:ilvl w:val="0"/>
          <w:numId w:val="3"/>
        </w:numPr>
        <w:ind w:firstLineChars="0"/>
        <w:rPr>
          <w:b/>
          <w:sz w:val="24"/>
          <w:szCs w:val="32"/>
        </w:rPr>
      </w:pPr>
      <w:r>
        <w:rPr>
          <w:rFonts w:hint="eastAsia"/>
          <w:b/>
          <w:sz w:val="24"/>
          <w:szCs w:val="32"/>
        </w:rPr>
        <w:t>软件开发清单</w:t>
      </w:r>
    </w:p>
    <w:tbl>
      <w:tblPr>
        <w:tblStyle w:val="35"/>
        <w:tblW w:w="0" w:type="auto"/>
        <w:tblInd w:w="113" w:type="dxa"/>
        <w:tblLayout w:type="autofit"/>
        <w:tblCellMar>
          <w:top w:w="0" w:type="dxa"/>
          <w:left w:w="108" w:type="dxa"/>
          <w:bottom w:w="0" w:type="dxa"/>
          <w:right w:w="108" w:type="dxa"/>
        </w:tblCellMar>
      </w:tblPr>
      <w:tblGrid>
        <w:gridCol w:w="488"/>
        <w:gridCol w:w="713"/>
        <w:gridCol w:w="2466"/>
        <w:gridCol w:w="4748"/>
      </w:tblGrid>
      <w:tr w14:paraId="398C7A6F">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5A321BA">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14:paraId="3EC834B3">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应用系统名称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308201A7">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模块名称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4B89B272">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模块描述</w:t>
            </w:r>
          </w:p>
        </w:tc>
      </w:tr>
      <w:tr w14:paraId="0610E0D3">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3D27976">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345C0FD8">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人防政务服务大系统</w:t>
            </w:r>
          </w:p>
        </w:tc>
        <w:tc>
          <w:tcPr>
            <w:tcW w:w="0" w:type="auto"/>
            <w:tcBorders>
              <w:top w:val="single" w:color="000000" w:sz="4" w:space="0"/>
              <w:left w:val="single" w:color="000000" w:sz="4" w:space="0"/>
              <w:bottom w:val="single" w:color="000000" w:sz="4" w:space="0"/>
              <w:right w:val="single" w:color="000000" w:sz="4" w:space="0"/>
            </w:tcBorders>
            <w:vAlign w:val="center"/>
          </w:tcPr>
          <w:p w14:paraId="3F5E9F92">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国动办应用支撑能力升级-国动政务领域知识图谱-国动办人防工程知识图谱构建-人防工程企业违法图谱构建</w:t>
            </w:r>
          </w:p>
        </w:tc>
        <w:tc>
          <w:tcPr>
            <w:tcW w:w="0" w:type="auto"/>
            <w:tcBorders>
              <w:top w:val="single" w:color="000000" w:sz="4" w:space="0"/>
              <w:left w:val="single" w:color="000000" w:sz="4" w:space="0"/>
              <w:bottom w:val="single" w:color="000000" w:sz="4" w:space="0"/>
              <w:right w:val="single" w:color="000000" w:sz="4" w:space="0"/>
            </w:tcBorders>
            <w:vAlign w:val="center"/>
          </w:tcPr>
          <w:p w14:paraId="011F88A1">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基于在建工程检查数据，挖掘各参建主体（建设、设计、勘察、施工、监理等单位）是否存在违法行为</w:t>
            </w:r>
          </w:p>
        </w:tc>
      </w:tr>
      <w:tr w14:paraId="1BA18FDA">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1796084">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5A33B05">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6F5E939">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国动办应用支撑能力升级-国动政务领域知识图谱-国动办人防工程知识图谱构建-人防工程动态感知与风险预测图谱构建</w:t>
            </w:r>
          </w:p>
        </w:tc>
        <w:tc>
          <w:tcPr>
            <w:tcW w:w="0" w:type="auto"/>
            <w:tcBorders>
              <w:top w:val="single" w:color="000000" w:sz="4" w:space="0"/>
              <w:left w:val="single" w:color="000000" w:sz="4" w:space="0"/>
              <w:bottom w:val="single" w:color="000000" w:sz="4" w:space="0"/>
              <w:right w:val="single" w:color="000000" w:sz="4" w:space="0"/>
            </w:tcBorders>
            <w:vAlign w:val="center"/>
          </w:tcPr>
          <w:p w14:paraId="226BCEC8">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基于人防工程物联网数据，构建人防工程设备动态感知与告警事件分析图谱</w:t>
            </w:r>
          </w:p>
        </w:tc>
      </w:tr>
      <w:tr w14:paraId="0AD29845">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F3DCD15">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FCD174">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6D008F1">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“一网通办”政务服务升级改造-新增公共服务事项-参军条件自测服务事项-用户登录与授权</w:t>
            </w:r>
          </w:p>
        </w:tc>
        <w:tc>
          <w:tcPr>
            <w:tcW w:w="0" w:type="auto"/>
            <w:tcBorders>
              <w:top w:val="single" w:color="000000" w:sz="4" w:space="0"/>
              <w:left w:val="single" w:color="000000" w:sz="4" w:space="0"/>
              <w:bottom w:val="single" w:color="000000" w:sz="4" w:space="0"/>
              <w:right w:val="single" w:color="000000" w:sz="4" w:space="0"/>
            </w:tcBorders>
          </w:tcPr>
          <w:p w14:paraId="64EF124F">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支持用户在上海市一网通办系统登录后，点击“参军条件自测”功能按钮，系统后台自动获取当前用户学历等基本信息</w:t>
            </w:r>
          </w:p>
        </w:tc>
      </w:tr>
      <w:tr w14:paraId="36981C78">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74879D8">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3B584D">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7CA6CEE">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“一网通办”政务服务升级改造-新增公共服务事项-参军条件自测服务事项-自测流程-政治条件测试</w:t>
            </w:r>
          </w:p>
        </w:tc>
        <w:tc>
          <w:tcPr>
            <w:tcW w:w="0" w:type="auto"/>
            <w:tcBorders>
              <w:top w:val="single" w:color="000000" w:sz="4" w:space="0"/>
              <w:left w:val="single" w:color="000000" w:sz="4" w:space="0"/>
              <w:bottom w:val="single" w:color="000000" w:sz="4" w:space="0"/>
              <w:right w:val="single" w:color="000000" w:sz="4" w:space="0"/>
            </w:tcBorders>
          </w:tcPr>
          <w:p w14:paraId="4D638D6D">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展示政治条件测试相关内容，提供“退出”和“下一步”两个操作选项，支持用户进行单项选择操作</w:t>
            </w:r>
          </w:p>
        </w:tc>
      </w:tr>
      <w:tr w14:paraId="738321C5">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3E57C7E">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80A00C">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6552A1B">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“一网通办”政务服务升级改造-新增公共服务事项-参军条件自测服务事项-自测流程-年龄和文化条件测试</w:t>
            </w:r>
          </w:p>
        </w:tc>
        <w:tc>
          <w:tcPr>
            <w:tcW w:w="0" w:type="auto"/>
            <w:tcBorders>
              <w:top w:val="single" w:color="000000" w:sz="4" w:space="0"/>
              <w:left w:val="single" w:color="000000" w:sz="4" w:space="0"/>
              <w:bottom w:val="single" w:color="000000" w:sz="4" w:space="0"/>
              <w:right w:val="single" w:color="000000" w:sz="4" w:space="0"/>
            </w:tcBorders>
          </w:tcPr>
          <w:p w14:paraId="153781F3">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展示用户的文化程度、学业情况、学习类型相关信息</w:t>
            </w:r>
          </w:p>
        </w:tc>
      </w:tr>
      <w:tr w14:paraId="2E387707">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2EF7A4C">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8FE1AA4">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FA782C8">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“一网通办”政务服务升级改造-新增公共服务事项-参军条件自测服务事项-自测流程-身体条件测试</w:t>
            </w:r>
          </w:p>
        </w:tc>
        <w:tc>
          <w:tcPr>
            <w:tcW w:w="0" w:type="auto"/>
            <w:tcBorders>
              <w:top w:val="single" w:color="000000" w:sz="4" w:space="0"/>
              <w:left w:val="single" w:color="000000" w:sz="4" w:space="0"/>
              <w:bottom w:val="single" w:color="000000" w:sz="4" w:space="0"/>
              <w:right w:val="single" w:color="000000" w:sz="4" w:space="0"/>
            </w:tcBorders>
          </w:tcPr>
          <w:p w14:paraId="75EFD866">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提供视力、色觉、下蹲、纹身或瘢痕、胸腹腔手术、骨折、腋臭、扁平足、下肢静脉曲张、脊柱侧弯、习惯性脱臼、皮肤病、痔疮、心率、血压、听力、呼吸系统、口腔、结石等身体条件相关选项，支持用户进行对应项目的测试</w:t>
            </w:r>
          </w:p>
        </w:tc>
      </w:tr>
      <w:tr w14:paraId="351E8D7C">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8D6883D">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7</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1400EF1">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64F4305">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“一网通办”政务服务升级改造-新增公共服务事项-参军条件自测服务事项-评估与反馈</w:t>
            </w:r>
          </w:p>
        </w:tc>
        <w:tc>
          <w:tcPr>
            <w:tcW w:w="0" w:type="auto"/>
            <w:tcBorders>
              <w:top w:val="single" w:color="000000" w:sz="4" w:space="0"/>
              <w:left w:val="single" w:color="000000" w:sz="4" w:space="0"/>
              <w:bottom w:val="single" w:color="000000" w:sz="4" w:space="0"/>
              <w:right w:val="single" w:color="000000" w:sz="4" w:space="0"/>
            </w:tcBorders>
          </w:tcPr>
          <w:p w14:paraId="65AD1FF9">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综合自测阶段各条目测试结果，判定用户是否符合征集条件；提供测试结果详情查看功能，针对不符合征集条件的条目，明确给出不符合原因及相关整改措施</w:t>
            </w:r>
          </w:p>
        </w:tc>
      </w:tr>
      <w:tr w14:paraId="7981C664">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924EAB4">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8</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3E49FE2">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275138F">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“一网通办”政务服务升级改造-新增公共服务事项-新增人民防空建设工程质量监督报告信息查询事项（PC端）</w:t>
            </w:r>
          </w:p>
        </w:tc>
        <w:tc>
          <w:tcPr>
            <w:tcW w:w="0" w:type="auto"/>
            <w:tcBorders>
              <w:top w:val="single" w:color="000000" w:sz="4" w:space="0"/>
              <w:left w:val="single" w:color="000000" w:sz="4" w:space="0"/>
              <w:bottom w:val="single" w:color="000000" w:sz="4" w:space="0"/>
              <w:right w:val="single" w:color="000000" w:sz="4" w:space="0"/>
            </w:tcBorders>
            <w:vAlign w:val="center"/>
          </w:tcPr>
          <w:p w14:paraId="6E0DA893">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提供在一网通办平台中查询人防工程的安质监监督检查结果的查询，并保存查询记录。</w:t>
            </w:r>
          </w:p>
        </w:tc>
      </w:tr>
      <w:tr w14:paraId="1A56ADD2">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017F631">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9</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1E0C2CC">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F6A97CA">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“一网通办”政务服务升级改造-新增公共服务事项-新增人民防空建设工程质量监督报告信息查询事项（自动终端）</w:t>
            </w:r>
          </w:p>
        </w:tc>
        <w:tc>
          <w:tcPr>
            <w:tcW w:w="0" w:type="auto"/>
            <w:tcBorders>
              <w:top w:val="single" w:color="000000" w:sz="4" w:space="0"/>
              <w:left w:val="single" w:color="000000" w:sz="4" w:space="0"/>
              <w:bottom w:val="single" w:color="000000" w:sz="4" w:space="0"/>
              <w:right w:val="single" w:color="000000" w:sz="4" w:space="0"/>
            </w:tcBorders>
            <w:vAlign w:val="center"/>
          </w:tcPr>
          <w:p w14:paraId="50188C08">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提供自助终端查询人防工程的安质监监督检查结果功能，并保存查询记录。</w:t>
            </w:r>
          </w:p>
        </w:tc>
      </w:tr>
      <w:tr w14:paraId="0D890ED7">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C44F290">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10</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9DDDFA2">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A00D454">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“一网通办”政务服务升级改造-新增公共服务事项-安质监检查数据同步</w:t>
            </w:r>
          </w:p>
        </w:tc>
        <w:tc>
          <w:tcPr>
            <w:tcW w:w="0" w:type="auto"/>
            <w:tcBorders>
              <w:top w:val="single" w:color="000000" w:sz="4" w:space="0"/>
              <w:left w:val="single" w:color="000000" w:sz="4" w:space="0"/>
              <w:bottom w:val="single" w:color="000000" w:sz="4" w:space="0"/>
              <w:right w:val="single" w:color="000000" w:sz="4" w:space="0"/>
            </w:tcBorders>
            <w:vAlign w:val="center"/>
          </w:tcPr>
          <w:p w14:paraId="3BCDA341">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对接分析运行中心，定时获取人防工程安质监监督检查结果，支撑相对人在一网通办的查询功能。</w:t>
            </w:r>
          </w:p>
        </w:tc>
      </w:tr>
      <w:tr w14:paraId="10987F25">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E8FC214">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11</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E59D803">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BC29FAF">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“一网通办”政务服务升级改造-统一申请模块（互联网端）升级-新增办不成事原因的反馈功能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39FACE8E">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依托“一网通办”平台，在国动办一网通办平台增加引导相对人反映办不成事功能。</w:t>
            </w:r>
          </w:p>
        </w:tc>
      </w:tr>
      <w:tr w14:paraId="15F175B1">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EA6D3D0">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083414">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C4C095A">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“一网通办”政务服务升级改造-统一申请模块（互联网端）升级-新增引导功能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75D29231">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在国动办一网通事项的申报端，增加申报端相对人在申报过程的申报引导、数据的说明提示，以及申报后的指引功能。</w:t>
            </w:r>
          </w:p>
        </w:tc>
      </w:tr>
      <w:tr w14:paraId="10782861">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1905387">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AA6F363">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CCB2FD9">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“一网通办”政务服务升级改造-统一审批管理（PC端）升级-对标通办7.0规范升级办件库数据提交功能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417F60CA">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依据上海市一网通办的7.0标准要求，升级办件提交、预审、受理、办理等过程的数据提交功能。</w:t>
            </w:r>
          </w:p>
        </w:tc>
      </w:tr>
      <w:tr w14:paraId="3E14D159">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4E56955">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DDF628">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73E143D">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“一网通办”政务服务升级改造-统一审批管理（PC端）升级-新增线下办结办件补录和处理</w:t>
            </w:r>
          </w:p>
        </w:tc>
        <w:tc>
          <w:tcPr>
            <w:tcW w:w="0" w:type="auto"/>
            <w:tcBorders>
              <w:top w:val="single" w:color="000000" w:sz="4" w:space="0"/>
              <w:left w:val="single" w:color="000000" w:sz="4" w:space="0"/>
              <w:bottom w:val="single" w:color="000000" w:sz="4" w:space="0"/>
              <w:right w:val="single" w:color="000000" w:sz="4" w:space="0"/>
            </w:tcBorders>
            <w:vAlign w:val="center"/>
          </w:tcPr>
          <w:p w14:paraId="79A8943E">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新增系统外办件的基本信息、业务信息、审批流程信息的录入功能，并将该类办件数据纳入办件的分析统计功能中。</w:t>
            </w:r>
          </w:p>
        </w:tc>
      </w:tr>
      <w:tr w14:paraId="1F12C0AF">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6921564">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FCD85A6">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584B1CF">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“一网通办”政务服务升级改造-统一审批管理（PC端）升级-制发证管理升级</w:t>
            </w:r>
          </w:p>
        </w:tc>
        <w:tc>
          <w:tcPr>
            <w:tcW w:w="0" w:type="auto"/>
            <w:tcBorders>
              <w:top w:val="single" w:color="000000" w:sz="4" w:space="0"/>
              <w:left w:val="single" w:color="000000" w:sz="4" w:space="0"/>
              <w:bottom w:val="single" w:color="000000" w:sz="4" w:space="0"/>
              <w:right w:val="single" w:color="000000" w:sz="4" w:space="0"/>
            </w:tcBorders>
            <w:vAlign w:val="center"/>
          </w:tcPr>
          <w:p w14:paraId="69E52090">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按相应的规则，将国动办所有事项的受理通知书、批文等固定格式批文，从原手工签署电子章方式升级为静默签署。</w:t>
            </w:r>
          </w:p>
        </w:tc>
      </w:tr>
      <w:tr w14:paraId="5D5F377C">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AB40087">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39581FA">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2D6AAAD">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“一网通办”政务服务升级改造-统一审批管理（PC端）升级-新增配置功能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30F9FAF4">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为政务服务系统新增年度工作日配置管理，支持在线维护全年工作日信息；定时任务配置功能；流水号配置管理。</w:t>
            </w:r>
          </w:p>
        </w:tc>
      </w:tr>
      <w:tr w14:paraId="7F8DBEC9">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2CCB436">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17</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043862">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3E62E36">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“一网通办”政务服务升级改造-办件效能监管升级-报表功能新增</w:t>
            </w:r>
          </w:p>
        </w:tc>
        <w:tc>
          <w:tcPr>
            <w:tcW w:w="0" w:type="auto"/>
            <w:tcBorders>
              <w:top w:val="single" w:color="000000" w:sz="4" w:space="0"/>
              <w:left w:val="single" w:color="000000" w:sz="4" w:space="0"/>
              <w:bottom w:val="single" w:color="000000" w:sz="4" w:space="0"/>
              <w:right w:val="single" w:color="000000" w:sz="4" w:space="0"/>
            </w:tcBorders>
            <w:vAlign w:val="center"/>
          </w:tcPr>
          <w:p w14:paraId="3AF16DCB">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新增月度数据固化功能，并提供支持查询、展示及导出固化数据。新增相关汇总查询，行政协助办件统计功能。</w:t>
            </w:r>
          </w:p>
        </w:tc>
      </w:tr>
      <w:tr w14:paraId="778659B5">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727B357">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18</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530809F">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F4C42B7">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“一网通办”政务服务升级改造-办件效能监管升级-新增各部门办件效能情况处理</w:t>
            </w:r>
          </w:p>
        </w:tc>
        <w:tc>
          <w:tcPr>
            <w:tcW w:w="0" w:type="auto"/>
            <w:tcBorders>
              <w:top w:val="single" w:color="000000" w:sz="4" w:space="0"/>
              <w:left w:val="single" w:color="000000" w:sz="4" w:space="0"/>
              <w:bottom w:val="single" w:color="000000" w:sz="4" w:space="0"/>
              <w:right w:val="single" w:color="000000" w:sz="4" w:space="0"/>
            </w:tcBorders>
            <w:vAlign w:val="center"/>
          </w:tcPr>
          <w:p w14:paraId="4B5C8345">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新增各部门办件效能情况自动总结报告功能。并推送一化化平台人供用户查询。并实现对推送记录的查询功能。</w:t>
            </w:r>
          </w:p>
        </w:tc>
      </w:tr>
      <w:tr w14:paraId="6EDDEEDB">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EC6465B">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19</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209BD72">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35D3999">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“一网通办”政务服务升级改造-行政协助办件内部审批系统升级-结构化意见录入功能升级</w:t>
            </w:r>
          </w:p>
        </w:tc>
        <w:tc>
          <w:tcPr>
            <w:tcW w:w="0" w:type="auto"/>
            <w:tcBorders>
              <w:top w:val="single" w:color="000000" w:sz="4" w:space="0"/>
              <w:left w:val="single" w:color="000000" w:sz="4" w:space="0"/>
              <w:bottom w:val="single" w:color="000000" w:sz="4" w:space="0"/>
              <w:right w:val="single" w:color="000000" w:sz="4" w:space="0"/>
            </w:tcBorders>
            <w:vAlign w:val="center"/>
          </w:tcPr>
          <w:p w14:paraId="7821ED11">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对方案及设计阶段办件的结构化意见录入功能增加面积数据预填、面积数据验证，以及意见的自动生成、固化功能的升级。</w:t>
            </w:r>
          </w:p>
        </w:tc>
      </w:tr>
      <w:tr w14:paraId="4F22A476">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87563E7">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24AD0F">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8617C27">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“一网通办”政务服务升级改造-行政协助办件内部审批系统升级-审批审查情况汇总分析</w:t>
            </w:r>
          </w:p>
        </w:tc>
        <w:tc>
          <w:tcPr>
            <w:tcW w:w="0" w:type="auto"/>
            <w:tcBorders>
              <w:top w:val="single" w:color="000000" w:sz="4" w:space="0"/>
              <w:left w:val="single" w:color="000000" w:sz="4" w:space="0"/>
              <w:bottom w:val="single" w:color="000000" w:sz="4" w:space="0"/>
              <w:right w:val="single" w:color="000000" w:sz="4" w:space="0"/>
            </w:tcBorders>
            <w:vAlign w:val="center"/>
          </w:tcPr>
          <w:p w14:paraId="534B0F11">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升级汇总分析功能，实现各区线下整理的办件统计表与线上数据同时进行数据统计分析的功能。</w:t>
            </w:r>
          </w:p>
        </w:tc>
      </w:tr>
      <w:tr w14:paraId="335DB4D2">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B427921">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21</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CEE915">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6CAFE64">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“一网通办”政务服务升级改造-行政协助办件内部审批系统升级-新增为线性工程增加单独的民防编号规则</w:t>
            </w:r>
          </w:p>
        </w:tc>
        <w:tc>
          <w:tcPr>
            <w:tcW w:w="0" w:type="auto"/>
            <w:tcBorders>
              <w:top w:val="single" w:color="000000" w:sz="4" w:space="0"/>
              <w:left w:val="single" w:color="000000" w:sz="4" w:space="0"/>
              <w:bottom w:val="single" w:color="000000" w:sz="4" w:space="0"/>
              <w:right w:val="single" w:color="000000" w:sz="4" w:space="0"/>
            </w:tcBorders>
            <w:vAlign w:val="center"/>
          </w:tcPr>
          <w:p w14:paraId="3D7E8F66">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升级现有系统，增加线性工程人防编号自动分配及办件关联功能。</w:t>
            </w:r>
          </w:p>
        </w:tc>
      </w:tr>
      <w:tr w14:paraId="1B32F63E">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70429B6">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AE0394">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CA19ED3">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“一网通办”政务服务升级改造-行政协助办件内部审批系统升级-已办页面优化升级</w:t>
            </w:r>
          </w:p>
        </w:tc>
        <w:tc>
          <w:tcPr>
            <w:tcW w:w="0" w:type="auto"/>
            <w:tcBorders>
              <w:top w:val="single" w:color="000000" w:sz="4" w:space="0"/>
              <w:left w:val="single" w:color="000000" w:sz="4" w:space="0"/>
              <w:bottom w:val="single" w:color="000000" w:sz="4" w:space="0"/>
              <w:right w:val="single" w:color="000000" w:sz="4" w:space="0"/>
            </w:tcBorders>
            <w:vAlign w:val="center"/>
          </w:tcPr>
          <w:p w14:paraId="1BF5FD30">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按用户的角色及用户的所在条线对办件的状态及详情进行特定化展示，只展当前用户相关办件。</w:t>
            </w:r>
          </w:p>
        </w:tc>
      </w:tr>
      <w:tr w14:paraId="43656EDE">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3CC1BA3">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2C30CC4">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E09C827">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“一网通办”政务服务升级改造-人防工程档案管理系统升级-新增档案编目管理</w:t>
            </w:r>
          </w:p>
        </w:tc>
        <w:tc>
          <w:tcPr>
            <w:tcW w:w="0" w:type="auto"/>
            <w:tcBorders>
              <w:top w:val="single" w:color="000000" w:sz="4" w:space="0"/>
              <w:left w:val="single" w:color="000000" w:sz="4" w:space="0"/>
              <w:bottom w:val="single" w:color="000000" w:sz="4" w:space="0"/>
              <w:right w:val="single" w:color="000000" w:sz="4" w:space="0"/>
            </w:tcBorders>
            <w:vAlign w:val="center"/>
          </w:tcPr>
          <w:p w14:paraId="78B67877">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新增工程档案智能化管理功能，提供档案的自动编卷功能；提供联审平台文件自动拉取挂接功能；提供联审平台补正材料的更新功能。</w:t>
            </w:r>
          </w:p>
        </w:tc>
      </w:tr>
      <w:tr w14:paraId="1F4AC599">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472BB67">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E3776B8">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A5F4CA3">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“一网通办”政务服务升级改造-人防工程档案管理系统升级-新增档案著录提交管理</w:t>
            </w:r>
          </w:p>
        </w:tc>
        <w:tc>
          <w:tcPr>
            <w:tcW w:w="0" w:type="auto"/>
            <w:tcBorders>
              <w:top w:val="single" w:color="000000" w:sz="4" w:space="0"/>
              <w:left w:val="single" w:color="000000" w:sz="4" w:space="0"/>
              <w:bottom w:val="single" w:color="000000" w:sz="4" w:space="0"/>
              <w:right w:val="single" w:color="000000" w:sz="4" w:space="0"/>
            </w:tcBorders>
            <w:vAlign w:val="center"/>
          </w:tcPr>
          <w:p w14:paraId="27EF91A5">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提供工程档案数据录入的著录提交功能及著录提交的二级审批功能，并共享给人防码系统。</w:t>
            </w:r>
          </w:p>
        </w:tc>
      </w:tr>
      <w:tr w14:paraId="44BB2526">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DA9874F">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0250439">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41FB186">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“一网通办”政务服务升级改造-人防工程档案管理系统升级-档案信息变更管理</w:t>
            </w:r>
          </w:p>
        </w:tc>
        <w:tc>
          <w:tcPr>
            <w:tcW w:w="0" w:type="auto"/>
            <w:tcBorders>
              <w:top w:val="single" w:color="000000" w:sz="4" w:space="0"/>
              <w:left w:val="single" w:color="000000" w:sz="4" w:space="0"/>
              <w:bottom w:val="single" w:color="000000" w:sz="4" w:space="0"/>
              <w:right w:val="single" w:color="000000" w:sz="4" w:space="0"/>
            </w:tcBorders>
            <w:vAlign w:val="center"/>
          </w:tcPr>
          <w:p w14:paraId="089AC264">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定期同步人防码系统工程的变更信息，由系统自动更新档案系统中对应的信息；并在著录信息中展示变更的历史记录，供用户查看。</w:t>
            </w:r>
          </w:p>
        </w:tc>
      </w:tr>
      <w:tr w14:paraId="17714CA1">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72B58AC">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C2F03C5">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2781900">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“一网通办”政务服务升级改造-国动政务服务事项办理集成改造-政务服务事项办理页面流程改造</w:t>
            </w:r>
          </w:p>
        </w:tc>
        <w:tc>
          <w:tcPr>
            <w:tcW w:w="0" w:type="auto"/>
            <w:tcBorders>
              <w:top w:val="single" w:color="000000" w:sz="4" w:space="0"/>
              <w:left w:val="single" w:color="000000" w:sz="4" w:space="0"/>
              <w:bottom w:val="single" w:color="000000" w:sz="4" w:space="0"/>
              <w:right w:val="single" w:color="000000" w:sz="4" w:space="0"/>
            </w:tcBorders>
            <w:vAlign w:val="center"/>
          </w:tcPr>
          <w:p w14:paraId="4FE92ABD">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基于大模型知识库和智能体服务能力，优化事项填写，实现信息自动填充与逻辑校验，确保用户高效完成政务服务事项申报。</w:t>
            </w:r>
          </w:p>
        </w:tc>
      </w:tr>
      <w:tr w14:paraId="3A6A04F2">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D20253E">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27</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CB0623">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2D0724E">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“一网通办”政务服务升级改造-国动政务服务事项办理集成改造-政务服务事项办理知识库系统集成</w:t>
            </w:r>
          </w:p>
        </w:tc>
        <w:tc>
          <w:tcPr>
            <w:tcW w:w="0" w:type="auto"/>
            <w:tcBorders>
              <w:top w:val="single" w:color="000000" w:sz="4" w:space="0"/>
              <w:left w:val="single" w:color="000000" w:sz="4" w:space="0"/>
              <w:bottom w:val="single" w:color="000000" w:sz="4" w:space="0"/>
              <w:right w:val="single" w:color="000000" w:sz="4" w:space="0"/>
            </w:tcBorders>
            <w:vAlign w:val="center"/>
          </w:tcPr>
          <w:p w14:paraId="3E2D9B84">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全面接入MAP平台大模型的政务事项申请知识库服务接口、国动事项知识库服务接口，结合现有业务流程进行集成整合。</w:t>
            </w:r>
          </w:p>
        </w:tc>
      </w:tr>
      <w:tr w14:paraId="2B48379F">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46BBEF6">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28</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EB927F1">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FD47548">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“一网通办”政务服务升级改造-国动政务服务事项办理集成改造-政务服务事项办理智能体系统集成</w:t>
            </w:r>
          </w:p>
        </w:tc>
        <w:tc>
          <w:tcPr>
            <w:tcW w:w="0" w:type="auto"/>
            <w:tcBorders>
              <w:top w:val="single" w:color="000000" w:sz="4" w:space="0"/>
              <w:left w:val="single" w:color="000000" w:sz="4" w:space="0"/>
              <w:bottom w:val="single" w:color="000000" w:sz="4" w:space="0"/>
              <w:right w:val="single" w:color="000000" w:sz="4" w:space="0"/>
            </w:tcBorders>
            <w:vAlign w:val="center"/>
          </w:tcPr>
          <w:p w14:paraId="124A76BC">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全面接入MAP平台大模型智能体国动政务服务事项办理智能体接口、国动政务事项智能体服务接口结合现有业务流程进行集成整合。</w:t>
            </w:r>
          </w:p>
        </w:tc>
      </w:tr>
      <w:tr w14:paraId="3E779523">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A1D4788">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29</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AC60EF">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0446FD2">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“一网统管”行业监管升级改造-人防码应用系统升级-基础信息模块升级-人防工程全链路数据看板-人防工程指标分类管理</w:t>
            </w:r>
          </w:p>
        </w:tc>
        <w:tc>
          <w:tcPr>
            <w:tcW w:w="0" w:type="auto"/>
            <w:tcBorders>
              <w:top w:val="single" w:color="000000" w:sz="4" w:space="0"/>
              <w:left w:val="single" w:color="000000" w:sz="4" w:space="0"/>
              <w:bottom w:val="single" w:color="000000" w:sz="4" w:space="0"/>
              <w:right w:val="single" w:color="000000" w:sz="4" w:space="0"/>
            </w:tcBorders>
            <w:vAlign w:val="center"/>
          </w:tcPr>
          <w:p w14:paraId="2A9EBCB2">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针对人防工程规划征询数据指标、人防工程审批审查数据指标、在建人防工程数据指标、在用人防工程数据指标、人防工程退序数据指标、人防工程拆除数据指标进行统计分类管理</w:t>
            </w:r>
          </w:p>
        </w:tc>
      </w:tr>
      <w:tr w14:paraId="76CCE9CA">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8A62B94">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30</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9666B32">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19ADB5E">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“一网统管”行业监管升级改造-人防码应用系统升级-基础信息模块升级-人防工程全链路数据看板-人防工程监督检查结果同步</w:t>
            </w:r>
          </w:p>
        </w:tc>
        <w:tc>
          <w:tcPr>
            <w:tcW w:w="0" w:type="auto"/>
            <w:tcBorders>
              <w:top w:val="single" w:color="000000" w:sz="4" w:space="0"/>
              <w:left w:val="single" w:color="000000" w:sz="4" w:space="0"/>
              <w:bottom w:val="single" w:color="000000" w:sz="4" w:space="0"/>
              <w:right w:val="single" w:color="000000" w:sz="4" w:space="0"/>
            </w:tcBorders>
            <w:vAlign w:val="center"/>
          </w:tcPr>
          <w:p w14:paraId="51239C27">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在工程的基础信息模块及相关检查模块中，保证检查结果的同步和一致性，可以随时查看。</w:t>
            </w:r>
          </w:p>
        </w:tc>
      </w:tr>
      <w:tr w14:paraId="780ACCDC">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9C2E0FA">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31</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8C279D">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7625BFA">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“一网统管”行业监管升级改造-人防码应用系统升级-基础信息模块升级-人防工程全链路数据看板-人防工程流转文书同步</w:t>
            </w:r>
          </w:p>
        </w:tc>
        <w:tc>
          <w:tcPr>
            <w:tcW w:w="0" w:type="auto"/>
            <w:tcBorders>
              <w:top w:val="single" w:color="000000" w:sz="4" w:space="0"/>
              <w:left w:val="single" w:color="000000" w:sz="4" w:space="0"/>
              <w:bottom w:val="single" w:color="000000" w:sz="4" w:space="0"/>
              <w:right w:val="single" w:color="000000" w:sz="4" w:space="0"/>
            </w:tcBorders>
            <w:vAlign w:val="center"/>
          </w:tcPr>
          <w:p w14:paraId="617336FC">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在工程的基础信息模块及相关检查模块中，保证文书的同步和一致性，可以随时查看。</w:t>
            </w:r>
          </w:p>
        </w:tc>
      </w:tr>
      <w:tr w14:paraId="14F8A6FD">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C6374B0">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1F9BBB">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0CC498C">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“一网统管”行业监管升级改造-人防码应用系统升级-基础信息模块升级-人防工程全链路数据看板-工程关联关系配置</w:t>
            </w:r>
          </w:p>
        </w:tc>
        <w:tc>
          <w:tcPr>
            <w:tcW w:w="0" w:type="auto"/>
            <w:tcBorders>
              <w:top w:val="single" w:color="000000" w:sz="4" w:space="0"/>
              <w:left w:val="single" w:color="000000" w:sz="4" w:space="0"/>
              <w:bottom w:val="single" w:color="000000" w:sz="4" w:space="0"/>
              <w:right w:val="single" w:color="000000" w:sz="4" w:space="0"/>
            </w:tcBorders>
            <w:vAlign w:val="center"/>
          </w:tcPr>
          <w:p w14:paraId="688F8D5F">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支持填补历史在建工程信息，由业务部门补充项目编号、档案编号等基本信息及施工许可、竣工验收联审编号，实现与历史在册工程关联。</w:t>
            </w:r>
          </w:p>
        </w:tc>
      </w:tr>
      <w:tr w14:paraId="2CB55A96">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D8502BB">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3D6099">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673AC0E">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“一网统管”行业监管升级改造-人防码应用系统升级-基础信息模块升级-展示页面加密</w:t>
            </w:r>
          </w:p>
        </w:tc>
        <w:tc>
          <w:tcPr>
            <w:tcW w:w="0" w:type="auto"/>
            <w:tcBorders>
              <w:top w:val="single" w:color="000000" w:sz="4" w:space="0"/>
              <w:left w:val="single" w:color="000000" w:sz="4" w:space="0"/>
              <w:bottom w:val="single" w:color="000000" w:sz="4" w:space="0"/>
              <w:right w:val="single" w:color="000000" w:sz="4" w:space="0"/>
            </w:tcBorders>
            <w:vAlign w:val="center"/>
          </w:tcPr>
          <w:p w14:paraId="35C630DE">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针对人防工程展示页面，对敏感的战时用途进行加密展示。</w:t>
            </w:r>
          </w:p>
        </w:tc>
      </w:tr>
      <w:tr w14:paraId="5E4388FD">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E2B898C">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9A52F4">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1E2BA28">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“一网统管”行业监管升级改造-人防码应用系统升级-基础信息模块升级-基础信息补充</w:t>
            </w:r>
          </w:p>
        </w:tc>
        <w:tc>
          <w:tcPr>
            <w:tcW w:w="0" w:type="auto"/>
            <w:tcBorders>
              <w:top w:val="single" w:color="000000" w:sz="4" w:space="0"/>
              <w:left w:val="single" w:color="000000" w:sz="4" w:space="0"/>
              <w:bottom w:val="single" w:color="000000" w:sz="4" w:space="0"/>
              <w:right w:val="single" w:color="000000" w:sz="4" w:space="0"/>
            </w:tcBorders>
            <w:vAlign w:val="center"/>
          </w:tcPr>
          <w:p w14:paraId="5DEF0D8C">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在工程基础信息页面展示单元相关信息。</w:t>
            </w:r>
          </w:p>
        </w:tc>
      </w:tr>
      <w:tr w14:paraId="66CBCB0C">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58EF8F8">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CED04C">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9E70893">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“一网统管”行业监管升级改造-人防码应用系统升级-基础信息模块升级-参考台账汇集</w:t>
            </w:r>
          </w:p>
        </w:tc>
        <w:tc>
          <w:tcPr>
            <w:tcW w:w="0" w:type="auto"/>
            <w:tcBorders>
              <w:top w:val="single" w:color="000000" w:sz="4" w:space="0"/>
              <w:left w:val="single" w:color="000000" w:sz="4" w:space="0"/>
              <w:bottom w:val="single" w:color="000000" w:sz="4" w:space="0"/>
              <w:right w:val="single" w:color="000000" w:sz="4" w:space="0"/>
            </w:tcBorders>
            <w:vAlign w:val="center"/>
          </w:tcPr>
          <w:p w14:paraId="3D420AD9">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汇集参考台账（检测、施工许可、行政协助等过程信息资料）。</w:t>
            </w:r>
          </w:p>
        </w:tc>
      </w:tr>
      <w:tr w14:paraId="7A91EF1B">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1E86617">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3657BE">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075F37A">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“一网统管”行业监管升级改造-人防码应用系统升级-基础信息模块升级-检查情况模块升级</w:t>
            </w:r>
          </w:p>
        </w:tc>
        <w:tc>
          <w:tcPr>
            <w:tcW w:w="0" w:type="auto"/>
            <w:tcBorders>
              <w:top w:val="single" w:color="000000" w:sz="4" w:space="0"/>
              <w:left w:val="single" w:color="000000" w:sz="4" w:space="0"/>
              <w:bottom w:val="single" w:color="000000" w:sz="4" w:space="0"/>
              <w:right w:val="single" w:color="000000" w:sz="4" w:space="0"/>
            </w:tcBorders>
            <w:vAlign w:val="center"/>
          </w:tcPr>
          <w:p w14:paraId="390F6D8C">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人防工程本周期检查情况查看及是否有检查筛选，根据公用工程、其它工程的检查周期统计查询本周期检查情况。</w:t>
            </w:r>
          </w:p>
        </w:tc>
      </w:tr>
      <w:tr w14:paraId="13E7E360">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C9236A7">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37</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820A685">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25CCCE3">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“一网统管”行业监管升级改造-人防码应用系统升级-基础信息模块升级-工程设备信息关联</w:t>
            </w:r>
          </w:p>
        </w:tc>
        <w:tc>
          <w:tcPr>
            <w:tcW w:w="0" w:type="auto"/>
            <w:tcBorders>
              <w:top w:val="single" w:color="000000" w:sz="4" w:space="0"/>
              <w:left w:val="single" w:color="000000" w:sz="4" w:space="0"/>
              <w:bottom w:val="single" w:color="000000" w:sz="4" w:space="0"/>
              <w:right w:val="single" w:color="000000" w:sz="4" w:space="0"/>
            </w:tcBorders>
            <w:vAlign w:val="center"/>
          </w:tcPr>
          <w:p w14:paraId="76F3E8B1">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在建、在用工程设备安装点位关联、防护设备生产信息，汇集人防工程相关B类信息化设备安装点位、防护设备生产信息等。</w:t>
            </w:r>
          </w:p>
        </w:tc>
      </w:tr>
      <w:tr w14:paraId="4B6FA587">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614412C">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38</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5439ED">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9D7B8F0">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“一网统管”行业监管升级改造-人防码应用系统升级-基础信息模块升级-跨部门综合监管模块</w:t>
            </w:r>
          </w:p>
        </w:tc>
        <w:tc>
          <w:tcPr>
            <w:tcW w:w="0" w:type="auto"/>
            <w:tcBorders>
              <w:top w:val="single" w:color="000000" w:sz="4" w:space="0"/>
              <w:left w:val="single" w:color="000000" w:sz="4" w:space="0"/>
              <w:bottom w:val="single" w:color="000000" w:sz="4" w:space="0"/>
              <w:right w:val="single" w:color="000000" w:sz="4" w:space="0"/>
            </w:tcBorders>
            <w:vAlign w:val="center"/>
          </w:tcPr>
          <w:p w14:paraId="126606FF">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配合联合检查发起单位负责，将符合国动办指标体系特点的数据大屏，规范接入市政府办公厅数据查看系统。</w:t>
            </w:r>
          </w:p>
        </w:tc>
      </w:tr>
      <w:tr w14:paraId="2D650A01">
        <w:tblPrEx>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51C4E73">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39</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DFB8145">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712F5EB">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“一网统管”行业监管升级改造-人防码应用系统升级-基础信息模块升级-在册工程变更升级</w:t>
            </w:r>
          </w:p>
        </w:tc>
        <w:tc>
          <w:tcPr>
            <w:tcW w:w="0" w:type="auto"/>
            <w:tcBorders>
              <w:top w:val="single" w:color="000000" w:sz="4" w:space="0"/>
              <w:left w:val="single" w:color="000000" w:sz="4" w:space="0"/>
              <w:bottom w:val="single" w:color="000000" w:sz="4" w:space="0"/>
              <w:right w:val="single" w:color="000000" w:sz="4" w:space="0"/>
            </w:tcBorders>
            <w:vAlign w:val="center"/>
          </w:tcPr>
          <w:p w14:paraId="13585821">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选择在册工程查看后，点击 “发起变更” 弹出全部可变更字段（原仅支持部分字段），勾选需变更项后可确认变更；新增逻辑：建筑面积仅允许修改单元面积，单元面积变更后，系统自动汇总计算工程面积及战时用途、防护等级等相关属性。</w:t>
            </w:r>
          </w:p>
        </w:tc>
      </w:tr>
      <w:tr w14:paraId="05F985AF">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83E838D">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40</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308CFDE">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E8EB1BF">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“一网统管”行业监管升级改造-人防码应用系统升级-监督检查模块升级-安质监监督检查升级重构</w:t>
            </w:r>
          </w:p>
        </w:tc>
        <w:tc>
          <w:tcPr>
            <w:tcW w:w="0" w:type="auto"/>
            <w:tcBorders>
              <w:top w:val="single" w:color="000000" w:sz="4" w:space="0"/>
              <w:left w:val="single" w:color="000000" w:sz="4" w:space="0"/>
              <w:bottom w:val="single" w:color="000000" w:sz="4" w:space="0"/>
              <w:right w:val="single" w:color="000000" w:sz="4" w:space="0"/>
            </w:tcBorders>
            <w:vAlign w:val="center"/>
          </w:tcPr>
          <w:p w14:paraId="64B0A6DD">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安质监监督检查项配置新逻辑项、有计划检查抽选流程变更、检查池（收藏夹）条件配置</w:t>
            </w:r>
          </w:p>
        </w:tc>
      </w:tr>
      <w:tr w14:paraId="53804BA7">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B915869">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41</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53B208">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149E9C8">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“一网统管”行业监管升级改造-人防码应用系统升级-监督检查模块升级-质量评价功能升级优化</w:t>
            </w:r>
          </w:p>
        </w:tc>
        <w:tc>
          <w:tcPr>
            <w:tcW w:w="0" w:type="auto"/>
            <w:tcBorders>
              <w:top w:val="single" w:color="000000" w:sz="4" w:space="0"/>
              <w:left w:val="single" w:color="000000" w:sz="4" w:space="0"/>
              <w:bottom w:val="single" w:color="000000" w:sz="4" w:space="0"/>
              <w:right w:val="single" w:color="000000" w:sz="4" w:space="0"/>
            </w:tcBorders>
            <w:vAlign w:val="center"/>
          </w:tcPr>
          <w:p w14:paraId="2589C919">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增加质量评价任务制定时汇集相关工程检查、整改情况查看。</w:t>
            </w:r>
          </w:p>
        </w:tc>
      </w:tr>
      <w:tr w14:paraId="1AD17537">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6BB1C2C">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79B9F3">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8CD4149">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“一网统管”行业监管升级改造-人防码应用系统升级-监督检查模块升级-人防码涉企检查对接检查码</w:t>
            </w:r>
          </w:p>
        </w:tc>
        <w:tc>
          <w:tcPr>
            <w:tcW w:w="0" w:type="auto"/>
            <w:tcBorders>
              <w:top w:val="single" w:color="000000" w:sz="4" w:space="0"/>
              <w:left w:val="single" w:color="000000" w:sz="4" w:space="0"/>
              <w:bottom w:val="single" w:color="000000" w:sz="4" w:space="0"/>
              <w:right w:val="single" w:color="000000" w:sz="4" w:space="0"/>
            </w:tcBorders>
            <w:vAlign w:val="center"/>
          </w:tcPr>
          <w:p w14:paraId="6732615A">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通过数据对接方式，改造表结构</w:t>
            </w:r>
          </w:p>
        </w:tc>
      </w:tr>
      <w:tr w14:paraId="36B4F784">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358CC25">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C3BCC4">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A89358B">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“一网统管”行业监管升级改造-人防码应用系统升级-监督检查模块升级-检查任务升级优化</w:t>
            </w:r>
          </w:p>
        </w:tc>
        <w:tc>
          <w:tcPr>
            <w:tcW w:w="0" w:type="auto"/>
            <w:tcBorders>
              <w:top w:val="single" w:color="000000" w:sz="4" w:space="0"/>
              <w:left w:val="single" w:color="000000" w:sz="4" w:space="0"/>
              <w:bottom w:val="single" w:color="000000" w:sz="4" w:space="0"/>
              <w:right w:val="single" w:color="000000" w:sz="4" w:space="0"/>
            </w:tcBorders>
            <w:vAlign w:val="center"/>
          </w:tcPr>
          <w:p w14:paraId="10E6A91E">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在检查任务列表中新增人防码字段，同时可以选中人防工程，进行人防码批量下载。</w:t>
            </w:r>
          </w:p>
        </w:tc>
      </w:tr>
      <w:tr w14:paraId="7409CAD5">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A1C507F">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D69AFC">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1242F98">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“一网统管”行业监管升级改造-人防码应用系统升级-专项管理模块升级-信息变更</w:t>
            </w:r>
          </w:p>
        </w:tc>
        <w:tc>
          <w:tcPr>
            <w:tcW w:w="0" w:type="auto"/>
            <w:tcBorders>
              <w:top w:val="single" w:color="000000" w:sz="4" w:space="0"/>
              <w:left w:val="single" w:color="000000" w:sz="4" w:space="0"/>
              <w:bottom w:val="single" w:color="000000" w:sz="4" w:space="0"/>
              <w:right w:val="single" w:color="000000" w:sz="4" w:space="0"/>
            </w:tcBorders>
            <w:vAlign w:val="center"/>
          </w:tcPr>
          <w:p w14:paraId="25BED961">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提供人防工程信息变更功能，相对人申请信息变更通过后，信息变更成功。</w:t>
            </w:r>
          </w:p>
        </w:tc>
      </w:tr>
      <w:tr w14:paraId="2C18806C">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E0B73F9">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11411E">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42E7C37">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“一网统管”行业监管升级改造-人防码应用系统升级-专项管理模块升级-竣工填报模块升级-填报表格导出</w:t>
            </w:r>
          </w:p>
        </w:tc>
        <w:tc>
          <w:tcPr>
            <w:tcW w:w="0" w:type="auto"/>
            <w:tcBorders>
              <w:top w:val="single" w:color="000000" w:sz="4" w:space="0"/>
              <w:left w:val="single" w:color="000000" w:sz="4" w:space="0"/>
              <w:bottom w:val="single" w:color="000000" w:sz="4" w:space="0"/>
              <w:right w:val="single" w:color="000000" w:sz="4" w:space="0"/>
            </w:tcBorders>
            <w:vAlign w:val="center"/>
          </w:tcPr>
          <w:p w14:paraId="667C4C78">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月度填报导出填报表格并上传盖章后附件，通过在线填报生成填报表，并可导出，导出盖章后可重新上传。</w:t>
            </w:r>
          </w:p>
        </w:tc>
      </w:tr>
      <w:tr w14:paraId="772AB0BE">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569D54F">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C22D0A4">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FAA0942">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“一网统管”行业监管升级改造-人防码应用系统升级-专项管理模块升级-竣工填报模块升级-竣工工程关联</w:t>
            </w:r>
          </w:p>
        </w:tc>
        <w:tc>
          <w:tcPr>
            <w:tcW w:w="0" w:type="auto"/>
            <w:tcBorders>
              <w:top w:val="single" w:color="000000" w:sz="4" w:space="0"/>
              <w:left w:val="single" w:color="000000" w:sz="4" w:space="0"/>
              <w:bottom w:val="single" w:color="000000" w:sz="4" w:space="0"/>
              <w:right w:val="single" w:color="000000" w:sz="4" w:space="0"/>
            </w:tcBorders>
            <w:vAlign w:val="center"/>
          </w:tcPr>
          <w:p w14:paraId="272CCD44">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竣工工程填报时，提供在建和在册工程的关联关系，展示关联工程，如关联工程错误，支持修改关联工程关系。</w:t>
            </w:r>
          </w:p>
        </w:tc>
      </w:tr>
      <w:tr w14:paraId="76A3D1A1">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5A95A27">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47</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4FFE595">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360790B">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“一网统管”行业监管升级改造-人防码应用系统升级-专项管理模块升级-竣工填报模块升级-竣工备案统计月报表</w:t>
            </w:r>
          </w:p>
        </w:tc>
        <w:tc>
          <w:tcPr>
            <w:tcW w:w="0" w:type="auto"/>
            <w:tcBorders>
              <w:top w:val="single" w:color="000000" w:sz="4" w:space="0"/>
              <w:left w:val="single" w:color="000000" w:sz="4" w:space="0"/>
              <w:bottom w:val="single" w:color="000000" w:sz="4" w:space="0"/>
              <w:right w:val="single" w:color="000000" w:sz="4" w:space="0"/>
            </w:tcBorders>
            <w:vAlign w:val="center"/>
          </w:tcPr>
          <w:p w14:paraId="31619BCD">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统计系统内实际竣工填报的统计数据及月度填报表填报的数据统计。</w:t>
            </w:r>
          </w:p>
        </w:tc>
      </w:tr>
      <w:tr w14:paraId="5F69025D">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B984333">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48</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D2AF86">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70F2685">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“一网统管”行业监管升级改造-人防码应用系统升级-专项管理模块升级-竣工填报模块升级-竣工填报展示列表优化</w:t>
            </w:r>
          </w:p>
        </w:tc>
        <w:tc>
          <w:tcPr>
            <w:tcW w:w="0" w:type="auto"/>
            <w:tcBorders>
              <w:top w:val="single" w:color="000000" w:sz="4" w:space="0"/>
              <w:left w:val="single" w:color="000000" w:sz="4" w:space="0"/>
              <w:bottom w:val="single" w:color="000000" w:sz="4" w:space="0"/>
              <w:right w:val="single" w:color="000000" w:sz="4" w:space="0"/>
            </w:tcBorders>
            <w:vAlign w:val="center"/>
          </w:tcPr>
          <w:p w14:paraId="41DE4F3D">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竣工填报按钮，更换为竣工校验。点击竣工校验后，展示匹配上的在建工程的主要字段和完整的在册工程字段</w:t>
            </w:r>
          </w:p>
        </w:tc>
      </w:tr>
      <w:tr w14:paraId="50DF379B">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B971CCA">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49</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82C603">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9352B96">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“一网统管”行业监管升级改造-人防码应用系统升级-专项管理模块升级-月度填报模块升级-新增月度填报详情模块</w:t>
            </w:r>
          </w:p>
        </w:tc>
        <w:tc>
          <w:tcPr>
            <w:tcW w:w="0" w:type="auto"/>
            <w:tcBorders>
              <w:top w:val="single" w:color="000000" w:sz="4" w:space="0"/>
              <w:left w:val="single" w:color="000000" w:sz="4" w:space="0"/>
              <w:bottom w:val="single" w:color="000000" w:sz="4" w:space="0"/>
              <w:right w:val="single" w:color="000000" w:sz="4" w:space="0"/>
            </w:tcBorders>
            <w:vAlign w:val="center"/>
          </w:tcPr>
          <w:p w14:paraId="7A97319D">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月度填报下新增月度填报详情模块，主要展示月报的详细情况，可以进行所属区域、填报时间筛选。</w:t>
            </w:r>
          </w:p>
        </w:tc>
      </w:tr>
      <w:tr w14:paraId="4DC17FD6">
        <w:tblPrEx>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0D6B2BD">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50</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64A950E">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2B8365F">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“一网统管”行业监管升级改造-人防码应用系统升级-日常管理模块升级-风险评估升级</w:t>
            </w:r>
          </w:p>
        </w:tc>
        <w:tc>
          <w:tcPr>
            <w:tcW w:w="0" w:type="auto"/>
            <w:tcBorders>
              <w:top w:val="single" w:color="000000" w:sz="4" w:space="0"/>
              <w:left w:val="single" w:color="000000" w:sz="4" w:space="0"/>
              <w:bottom w:val="single" w:color="000000" w:sz="4" w:space="0"/>
              <w:right w:val="single" w:color="000000" w:sz="4" w:space="0"/>
            </w:tcBorders>
            <w:vAlign w:val="center"/>
          </w:tcPr>
          <w:p w14:paraId="03CC6C6A">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按《人民防空工程安全风险评估技术标准》开展风险评估（含风险辨识、分析评价及报告编制），新增三级审批通道：手机端提交评估报告后，PC 端按区管理所所长→区工程科科长→区分管领导逐级审核，审批通过后移动端可执行整改。</w:t>
            </w:r>
          </w:p>
        </w:tc>
      </w:tr>
      <w:tr w14:paraId="7109DAEE">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D021939">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51</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869FA9">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36B5D76">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“一网统管”行业监管升级改造-人防码应用系统升级-日常管理模块升级-在用工程日常检查改造</w:t>
            </w:r>
          </w:p>
        </w:tc>
        <w:tc>
          <w:tcPr>
            <w:tcW w:w="0" w:type="auto"/>
            <w:tcBorders>
              <w:top w:val="single" w:color="000000" w:sz="4" w:space="0"/>
              <w:left w:val="single" w:color="000000" w:sz="4" w:space="0"/>
              <w:bottom w:val="single" w:color="000000" w:sz="4" w:space="0"/>
              <w:right w:val="single" w:color="000000" w:sz="4" w:space="0"/>
            </w:tcBorders>
            <w:vAlign w:val="center"/>
          </w:tcPr>
          <w:p w14:paraId="7C97936E">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提供检查项配置功能；任务工程清单新增批量导出（支持筛选导出）及已发布未检查任务的编辑、删除功能；检查任务清单新增批量导出（支持筛选导出）及已发布任务的编辑、删除功能。</w:t>
            </w:r>
          </w:p>
        </w:tc>
      </w:tr>
      <w:tr w14:paraId="61D8E78C">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CB7BF12">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B726F7">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0322950">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“一网统管”行业监管升级改造-人防码应用系统升级-日常管理模块升级-检查项配置升级-新增非结构化组件</w:t>
            </w:r>
          </w:p>
        </w:tc>
        <w:tc>
          <w:tcPr>
            <w:tcW w:w="0" w:type="auto"/>
            <w:tcBorders>
              <w:top w:val="single" w:color="000000" w:sz="4" w:space="0"/>
              <w:left w:val="single" w:color="000000" w:sz="4" w:space="0"/>
              <w:bottom w:val="single" w:color="000000" w:sz="4" w:space="0"/>
              <w:right w:val="single" w:color="000000" w:sz="4" w:space="0"/>
            </w:tcBorders>
            <w:vAlign w:val="center"/>
          </w:tcPr>
          <w:p w14:paraId="327942CC">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支持将非机构化数据转化为结构化数据，进行结构化存储</w:t>
            </w:r>
          </w:p>
        </w:tc>
      </w:tr>
      <w:tr w14:paraId="12DBB2B0">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19BB982">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E672875">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3D21FAD">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“一网统管”行业监管升级改造-人防码应用系统升级-综合应用模块升级-国动宣教目录升级</w:t>
            </w:r>
          </w:p>
        </w:tc>
        <w:tc>
          <w:tcPr>
            <w:tcW w:w="0" w:type="auto"/>
            <w:tcBorders>
              <w:top w:val="single" w:color="000000" w:sz="4" w:space="0"/>
              <w:left w:val="single" w:color="000000" w:sz="4" w:space="0"/>
              <w:bottom w:val="single" w:color="000000" w:sz="4" w:space="0"/>
              <w:right w:val="single" w:color="000000" w:sz="4" w:space="0"/>
            </w:tcBorders>
            <w:vAlign w:val="center"/>
          </w:tcPr>
          <w:p w14:paraId="5BF99353">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升级三级目录（后台可自定义设置，如 “政策文件”“教学视频” 等），补充完善二级目录内容，构建层次清晰的内容结构；三级目录下的具体内容需配简洁概述，方便市民快速掌握核心要点，提升浏览查找效率与用户体验。</w:t>
            </w:r>
          </w:p>
        </w:tc>
      </w:tr>
      <w:tr w14:paraId="5FA9BDF8">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517960C">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906F01">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E6C7E19">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“一网统管”行业监管升级改造-人防码应用系统升级-综合应用模块升级-国动宣教数据统计</w:t>
            </w:r>
          </w:p>
        </w:tc>
        <w:tc>
          <w:tcPr>
            <w:tcW w:w="0" w:type="auto"/>
            <w:tcBorders>
              <w:top w:val="single" w:color="000000" w:sz="4" w:space="0"/>
              <w:left w:val="single" w:color="000000" w:sz="4" w:space="0"/>
              <w:bottom w:val="single" w:color="000000" w:sz="4" w:space="0"/>
              <w:right w:val="single" w:color="000000" w:sz="4" w:space="0"/>
            </w:tcBorders>
            <w:vAlign w:val="center"/>
          </w:tcPr>
          <w:p w14:paraId="5D6B5F90">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后台具备数据统计能力，记录市民对宣传视频和政策文件的访问，生成详细的数据报表</w:t>
            </w:r>
          </w:p>
        </w:tc>
      </w:tr>
      <w:tr w14:paraId="5D16C2ED">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87F2FB2">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80FA47F">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B9BBFDD">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“一网统管”行业监管升级改造-人防码应用系统升级-综合应用模块升级-市级活动报名</w:t>
            </w:r>
          </w:p>
        </w:tc>
        <w:tc>
          <w:tcPr>
            <w:tcW w:w="0" w:type="auto"/>
            <w:tcBorders>
              <w:top w:val="single" w:color="000000" w:sz="4" w:space="0"/>
              <w:left w:val="single" w:color="000000" w:sz="4" w:space="0"/>
              <w:bottom w:val="single" w:color="000000" w:sz="4" w:space="0"/>
              <w:right w:val="single" w:color="000000" w:sz="4" w:space="0"/>
            </w:tcBorders>
            <w:vAlign w:val="center"/>
          </w:tcPr>
          <w:p w14:paraId="015BA654">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后台可发布活动招募信息，包括活动主题、时间、地点、内容简介及报名要求等。</w:t>
            </w:r>
          </w:p>
        </w:tc>
      </w:tr>
      <w:tr w14:paraId="4E63CC3C">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3D1CC30">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4FBC88B">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A5207A3">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“一网统管”行业监管升级改造-人防码应用系统升级-综合应用模块升级-人防知识问答</w:t>
            </w:r>
          </w:p>
        </w:tc>
        <w:tc>
          <w:tcPr>
            <w:tcW w:w="0" w:type="auto"/>
            <w:tcBorders>
              <w:top w:val="single" w:color="000000" w:sz="4" w:space="0"/>
              <w:left w:val="single" w:color="000000" w:sz="4" w:space="0"/>
              <w:bottom w:val="single" w:color="000000" w:sz="4" w:space="0"/>
              <w:right w:val="single" w:color="000000" w:sz="4" w:space="0"/>
            </w:tcBorders>
            <w:vAlign w:val="center"/>
          </w:tcPr>
          <w:p w14:paraId="69602A66">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新增人防知识问答模块(全民国防教育日活动期间开放)，发布问题涵盖人防基础知识、应急技能、法律法规等内容。</w:t>
            </w:r>
          </w:p>
        </w:tc>
      </w:tr>
      <w:tr w14:paraId="7066D0CE">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FBE620C">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57</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CC2660">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64EFB6D">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“一网统管”行业监管升级改造-人防码应用系统升级-综合应用模块升级-后台界面优化</w:t>
            </w:r>
          </w:p>
        </w:tc>
        <w:tc>
          <w:tcPr>
            <w:tcW w:w="0" w:type="auto"/>
            <w:tcBorders>
              <w:top w:val="single" w:color="000000" w:sz="4" w:space="0"/>
              <w:left w:val="single" w:color="000000" w:sz="4" w:space="0"/>
              <w:bottom w:val="single" w:color="000000" w:sz="4" w:space="0"/>
              <w:right w:val="single" w:color="000000" w:sz="4" w:space="0"/>
            </w:tcBorders>
            <w:vAlign w:val="center"/>
          </w:tcPr>
          <w:p w14:paraId="7E6619CA">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后台合理划分功能区域，操作界面可进行放大缩小，确保信息展示清晰、操作流程便捷。</w:t>
            </w:r>
          </w:p>
        </w:tc>
      </w:tr>
      <w:tr w14:paraId="7C8087AF">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FEE23F2">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58</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62FD8C">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27BD502">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“一网统管”行业监管升级改造-人防码应用系统升级-综合应用模块升级-运营报告升级</w:t>
            </w:r>
          </w:p>
        </w:tc>
        <w:tc>
          <w:tcPr>
            <w:tcW w:w="0" w:type="auto"/>
            <w:tcBorders>
              <w:top w:val="single" w:color="000000" w:sz="4" w:space="0"/>
              <w:left w:val="single" w:color="000000" w:sz="4" w:space="0"/>
              <w:bottom w:val="single" w:color="000000" w:sz="4" w:space="0"/>
              <w:right w:val="single" w:color="000000" w:sz="4" w:space="0"/>
            </w:tcBorders>
            <w:vAlign w:val="center"/>
          </w:tcPr>
          <w:p w14:paraId="061FACC9">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运营报告中，针对各评情况分表在选择栏需要新增批量导出功能，多选需要导出的评分表，进行批量导出。</w:t>
            </w:r>
          </w:p>
        </w:tc>
      </w:tr>
      <w:tr w14:paraId="1C35B6A7">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0279DEA">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59</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5E324EA">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70A3A5C">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“一网统管”行业监管升级改造-人防码应用系统升级-综合应用模块升级-异议数据闭环处置</w:t>
            </w:r>
          </w:p>
        </w:tc>
        <w:tc>
          <w:tcPr>
            <w:tcW w:w="0" w:type="auto"/>
            <w:tcBorders>
              <w:top w:val="single" w:color="000000" w:sz="4" w:space="0"/>
              <w:left w:val="single" w:color="000000" w:sz="4" w:space="0"/>
              <w:bottom w:val="single" w:color="000000" w:sz="4" w:space="0"/>
              <w:right w:val="single" w:color="000000" w:sz="4" w:space="0"/>
            </w:tcBorders>
            <w:vAlign w:val="center"/>
          </w:tcPr>
          <w:p w14:paraId="194E8015">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新增异议数据闭环处置模块，实现异议数据全流程线上管理。</w:t>
            </w:r>
          </w:p>
        </w:tc>
      </w:tr>
      <w:tr w14:paraId="5342973D">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10BFC9B">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60</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B402C95">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50D9527">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“一网统管”行业监管升级改造-人防码应用系统升级-工程模块升级-在用工程-工程关联协同</w:t>
            </w:r>
          </w:p>
        </w:tc>
        <w:tc>
          <w:tcPr>
            <w:tcW w:w="0" w:type="auto"/>
            <w:tcBorders>
              <w:top w:val="single" w:color="000000" w:sz="4" w:space="0"/>
              <w:left w:val="single" w:color="000000" w:sz="4" w:space="0"/>
              <w:bottom w:val="single" w:color="000000" w:sz="4" w:space="0"/>
              <w:right w:val="single" w:color="000000" w:sz="4" w:space="0"/>
            </w:tcBorders>
            <w:vAlign w:val="center"/>
          </w:tcPr>
          <w:p w14:paraId="506A720C">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在人防码应用、工程档案、民防地图等系统间，建立在用人防工程数据同步机制；通过中台完成各系统间的数据同步。</w:t>
            </w:r>
          </w:p>
        </w:tc>
      </w:tr>
      <w:tr w14:paraId="3ED9D464">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B802700">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61</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F22877">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86758CA">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“一网统管”行业监管升级改造-人防码应用系统升级-工程模块升级-在建工程-批量人防码下载</w:t>
            </w:r>
          </w:p>
        </w:tc>
        <w:tc>
          <w:tcPr>
            <w:tcW w:w="0" w:type="auto"/>
            <w:tcBorders>
              <w:top w:val="single" w:color="000000" w:sz="4" w:space="0"/>
              <w:left w:val="single" w:color="000000" w:sz="4" w:space="0"/>
              <w:bottom w:val="single" w:color="000000" w:sz="4" w:space="0"/>
              <w:right w:val="single" w:color="000000" w:sz="4" w:space="0"/>
            </w:tcBorders>
            <w:vAlign w:val="center"/>
          </w:tcPr>
          <w:p w14:paraId="0D2C9C47">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新增批量人防码下载功能，可以对选择的工程进行人防码批量下载。</w:t>
            </w:r>
          </w:p>
        </w:tc>
      </w:tr>
      <w:tr w14:paraId="6262A2EA">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42E9033">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2BE961">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850F43C">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“一网统管”行业监管升级改造-人防码应用系统升级-移动端-企业自查模块升级-参考台账调取</w:t>
            </w:r>
          </w:p>
        </w:tc>
        <w:tc>
          <w:tcPr>
            <w:tcW w:w="0" w:type="auto"/>
            <w:tcBorders>
              <w:top w:val="single" w:color="000000" w:sz="4" w:space="0"/>
              <w:left w:val="single" w:color="000000" w:sz="4" w:space="0"/>
              <w:bottom w:val="single" w:color="000000" w:sz="4" w:space="0"/>
              <w:right w:val="single" w:color="000000" w:sz="4" w:space="0"/>
            </w:tcBorders>
            <w:vAlign w:val="center"/>
          </w:tcPr>
          <w:p w14:paraId="08975029">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实现在手机端监督检查执行过程中随时调取参考台账</w:t>
            </w:r>
          </w:p>
        </w:tc>
      </w:tr>
      <w:tr w14:paraId="7FC54E22">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1DE55B4">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D6ED2D">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70E10F1">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“一网统管”行业监管升级改造-人防码应用系统升级-移动端-企业自查模块升级-企业自查功能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1B4CDE5A">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对于经过审批有自查权限的企业可以进行企业自我安全检查的流程操作。</w:t>
            </w:r>
          </w:p>
        </w:tc>
      </w:tr>
      <w:tr w14:paraId="0209B47B">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B8BEF88">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492BF16">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6683F9E">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“一网统管”行业监管升级改造-人防码应用系统升级-移动端-企业自查模块升级-国动宣教资料升级</w:t>
            </w:r>
          </w:p>
        </w:tc>
        <w:tc>
          <w:tcPr>
            <w:tcW w:w="0" w:type="auto"/>
            <w:tcBorders>
              <w:top w:val="single" w:color="000000" w:sz="4" w:space="0"/>
              <w:left w:val="single" w:color="000000" w:sz="4" w:space="0"/>
              <w:bottom w:val="single" w:color="000000" w:sz="4" w:space="0"/>
              <w:right w:val="single" w:color="000000" w:sz="4" w:space="0"/>
            </w:tcBorders>
            <w:vAlign w:val="center"/>
          </w:tcPr>
          <w:p w14:paraId="2F94F78F">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市国动办政府开放活动期间，市民手机端报名成功后会收到活动招募短信提醒。此外，市民可通过手机端参与人防知识 20 题问答，答题成功可获线上证书</w:t>
            </w:r>
          </w:p>
        </w:tc>
      </w:tr>
      <w:tr w14:paraId="78AB60B3">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F1CD609">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7E0BE03">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BB36E54">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“一网统管”行业监管升级改造-人防码应用集成改造-人防码应用页面流程改造</w:t>
            </w:r>
          </w:p>
        </w:tc>
        <w:tc>
          <w:tcPr>
            <w:tcW w:w="0" w:type="auto"/>
            <w:tcBorders>
              <w:top w:val="single" w:color="000000" w:sz="4" w:space="0"/>
              <w:left w:val="single" w:color="000000" w:sz="4" w:space="0"/>
              <w:bottom w:val="single" w:color="000000" w:sz="4" w:space="0"/>
              <w:right w:val="single" w:color="000000" w:sz="4" w:space="0"/>
            </w:tcBorders>
            <w:vAlign w:val="center"/>
          </w:tcPr>
          <w:p w14:paraId="55A70A3C">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基于大模型知识库与智能体服务能力，梳理优化现有业务办理流程，对人防码应用系统相关功能页面开展升级改造</w:t>
            </w:r>
          </w:p>
        </w:tc>
      </w:tr>
      <w:tr w14:paraId="06535BF6">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3DDF2BD">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49D4792">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4E5DEDE">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“一网统管”行业监管升级改造-人防码应用集成改造-人防码应用知识库系统集成</w:t>
            </w:r>
          </w:p>
        </w:tc>
        <w:tc>
          <w:tcPr>
            <w:tcW w:w="0" w:type="auto"/>
            <w:tcBorders>
              <w:top w:val="single" w:color="000000" w:sz="4" w:space="0"/>
              <w:left w:val="single" w:color="000000" w:sz="4" w:space="0"/>
              <w:bottom w:val="single" w:color="000000" w:sz="4" w:space="0"/>
              <w:right w:val="single" w:color="000000" w:sz="4" w:space="0"/>
            </w:tcBorders>
            <w:vAlign w:val="center"/>
          </w:tcPr>
          <w:p w14:paraId="7F049F51">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基于国动领域大模型知识库建设成果，全面接入 MAP 平台相关大模型知识库服务接口，结合现有业务流程完成集成整合，实现知识库服务与业务场景的协同适配。</w:t>
            </w:r>
          </w:p>
        </w:tc>
      </w:tr>
      <w:tr w14:paraId="79F4593C">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A4C1D45">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67</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CED9AC">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0661047">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“一网统管”行业监管升级改造-人防码应用集成改造-人防码应用智能体系统集成</w:t>
            </w:r>
          </w:p>
        </w:tc>
        <w:tc>
          <w:tcPr>
            <w:tcW w:w="0" w:type="auto"/>
            <w:tcBorders>
              <w:top w:val="single" w:color="000000" w:sz="4" w:space="0"/>
              <w:left w:val="single" w:color="000000" w:sz="4" w:space="0"/>
              <w:bottom w:val="single" w:color="000000" w:sz="4" w:space="0"/>
              <w:right w:val="single" w:color="000000" w:sz="4" w:space="0"/>
            </w:tcBorders>
            <w:vAlign w:val="center"/>
          </w:tcPr>
          <w:p w14:paraId="5F07151D">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基于国动领域大模型智能体建设成果，全面接入 MAP 平台相关大模型智能体服务接口，结合现有业务流程完成集成整合，实现智能体服务与业务体系的适配及协同运行。</w:t>
            </w:r>
          </w:p>
        </w:tc>
      </w:tr>
      <w:tr w14:paraId="4537D557">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A749D7C">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68</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EBD48C">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6BAD471">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“一网统管”行业监管升级改造-人防工程全流程管理子系统升级改造-人防骨干工程规划申报-填报数据纠错</w:t>
            </w:r>
          </w:p>
        </w:tc>
        <w:tc>
          <w:tcPr>
            <w:tcW w:w="0" w:type="auto"/>
            <w:tcBorders>
              <w:top w:val="single" w:color="000000" w:sz="4" w:space="0"/>
              <w:left w:val="single" w:color="000000" w:sz="4" w:space="0"/>
              <w:bottom w:val="single" w:color="000000" w:sz="4" w:space="0"/>
              <w:right w:val="single" w:color="000000" w:sz="4" w:space="0"/>
            </w:tcBorders>
            <w:vAlign w:val="center"/>
          </w:tcPr>
          <w:p w14:paraId="1675EAA3">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提供规划填报数据纠错功能，支持已提交数据的校验与修正；系统自动标记逻辑冲突、指标异常数据并给出修改建议，完整保存历史数据版本形成可追溯版本记录。</w:t>
            </w:r>
          </w:p>
        </w:tc>
      </w:tr>
      <w:tr w14:paraId="29A20255">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D5AE683">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69</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8DE5FAD">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E3D4A13">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“一网统管”行业监管升级改造-人防工程全流程管理子系统升级改造-人防骨干工程规划评估-规划统计分析</w:t>
            </w:r>
          </w:p>
        </w:tc>
        <w:tc>
          <w:tcPr>
            <w:tcW w:w="0" w:type="auto"/>
            <w:tcBorders>
              <w:top w:val="single" w:color="000000" w:sz="4" w:space="0"/>
              <w:left w:val="single" w:color="000000" w:sz="4" w:space="0"/>
              <w:bottom w:val="single" w:color="000000" w:sz="4" w:space="0"/>
              <w:right w:val="single" w:color="000000" w:sz="4" w:space="0"/>
            </w:tcBorders>
            <w:vAlign w:val="center"/>
          </w:tcPr>
          <w:p w14:paraId="74C38F91">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新增多元维度统计指标体系，支持按防护等级、建设类型等维度分析人防骨干工程规划数据，通过可视化看板与地图联动展示；点击街镇区域可查看详细数据及指标趋势，辅助掌握规划现状。</w:t>
            </w:r>
          </w:p>
        </w:tc>
      </w:tr>
      <w:tr w14:paraId="40A118B5">
        <w:tblPrEx>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096D596">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70</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1979AB">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1545DF1">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“一网统管”行业监管升级改造-人防工程全流程管理子系统升级改造-人防骨干工程规划历史与现状分析-工程合规可视化</w:t>
            </w:r>
          </w:p>
        </w:tc>
        <w:tc>
          <w:tcPr>
            <w:tcW w:w="0" w:type="auto"/>
            <w:tcBorders>
              <w:top w:val="single" w:color="000000" w:sz="4" w:space="0"/>
              <w:left w:val="single" w:color="000000" w:sz="4" w:space="0"/>
              <w:bottom w:val="single" w:color="000000" w:sz="4" w:space="0"/>
              <w:right w:val="single" w:color="000000" w:sz="4" w:space="0"/>
            </w:tcBorders>
            <w:vAlign w:val="center"/>
          </w:tcPr>
          <w:p w14:paraId="693A9947">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按政策要求在电子地图精准标注新建项目禁止留白区域，系统自动校验新项目选址合规性，若位于留白区域则拦截审批并提示违规，从源头防范违规建设；提供多维度工程数据可视化看板，支持按区域、工程类型等条件实时查看工程分布、数量统计、建设进度。</w:t>
            </w:r>
          </w:p>
        </w:tc>
      </w:tr>
      <w:tr w14:paraId="258DA9FD">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81C4541">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71</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59AB005">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234DE71">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“一网统管”行业监管升级改造-一体化平台对接改造</w:t>
            </w:r>
          </w:p>
        </w:tc>
        <w:tc>
          <w:tcPr>
            <w:tcW w:w="0" w:type="auto"/>
            <w:tcBorders>
              <w:top w:val="single" w:color="000000" w:sz="4" w:space="0"/>
              <w:left w:val="single" w:color="000000" w:sz="4" w:space="0"/>
              <w:bottom w:val="single" w:color="000000" w:sz="4" w:space="0"/>
              <w:right w:val="single" w:color="000000" w:sz="4" w:space="0"/>
            </w:tcBorders>
            <w:vAlign w:val="center"/>
          </w:tcPr>
          <w:p w14:paraId="72AFC0CF">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依托一网协同平台整合 “一网通办”“一网统管” 各类子系统，统一对接 “智慧民防” 业务大系统的用户、权限及统一消息体系，实现单点登录、数据贯通。</w:t>
            </w:r>
          </w:p>
        </w:tc>
      </w:tr>
      <w:tr w14:paraId="2F1B9DEA">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DBC9A99">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72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8D908B2">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04FA6D9">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国动领域大模型-国动政务领域大模型场景-国动领域数据预处理-大模型数据处理</w:t>
            </w:r>
          </w:p>
        </w:tc>
        <w:tc>
          <w:tcPr>
            <w:tcW w:w="0" w:type="auto"/>
            <w:tcBorders>
              <w:top w:val="single" w:color="000000" w:sz="4" w:space="0"/>
              <w:left w:val="single" w:color="000000" w:sz="4" w:space="0"/>
              <w:bottom w:val="single" w:color="000000" w:sz="4" w:space="0"/>
              <w:right w:val="single" w:color="000000" w:sz="4" w:space="0"/>
            </w:tcBorders>
            <w:vAlign w:val="center"/>
          </w:tcPr>
          <w:p w14:paraId="3C85252B">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针对国动领域大模型知识库构建与智能体开发场景需求，对相关业务数据开展清洗、转换、去噪、标准化、脱敏等全流程规范化处理</w:t>
            </w:r>
          </w:p>
        </w:tc>
      </w:tr>
      <w:tr w14:paraId="7D3C68D2">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D6AB4C2">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73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19239AD">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6263154">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国动领域大模型-国动政务领域大模型场景-国动领域数据预处理-元数据管理</w:t>
            </w:r>
          </w:p>
        </w:tc>
        <w:tc>
          <w:tcPr>
            <w:tcW w:w="0" w:type="auto"/>
            <w:tcBorders>
              <w:top w:val="single" w:color="000000" w:sz="4" w:space="0"/>
              <w:left w:val="single" w:color="000000" w:sz="4" w:space="0"/>
              <w:bottom w:val="single" w:color="000000" w:sz="4" w:space="0"/>
              <w:right w:val="single" w:color="000000" w:sz="4" w:space="0"/>
            </w:tcBorders>
            <w:vAlign w:val="center"/>
          </w:tcPr>
          <w:p w14:paraId="4C0C70ED">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针对国动领域大模型场景需求中涉及到的相关业务数据的元数据进行管理</w:t>
            </w:r>
          </w:p>
        </w:tc>
      </w:tr>
      <w:tr w14:paraId="7C731D43">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4482ED7">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74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1D22FD">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6E17C8F">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国动领域大模型-国动政务领域大模型场景-国动领域数据预处理-大模型数据集</w:t>
            </w:r>
          </w:p>
        </w:tc>
        <w:tc>
          <w:tcPr>
            <w:tcW w:w="0" w:type="auto"/>
            <w:tcBorders>
              <w:top w:val="single" w:color="000000" w:sz="4" w:space="0"/>
              <w:left w:val="single" w:color="000000" w:sz="4" w:space="0"/>
              <w:bottom w:val="single" w:color="000000" w:sz="4" w:space="0"/>
              <w:right w:val="single" w:color="000000" w:sz="4" w:space="0"/>
            </w:tcBorders>
            <w:vAlign w:val="center"/>
          </w:tcPr>
          <w:p w14:paraId="63DFD212">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通过大模型数据预处理，实现可用、高质量的数据集</w:t>
            </w:r>
          </w:p>
        </w:tc>
      </w:tr>
      <w:tr w14:paraId="1D1AF1B7">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DCD6EC9">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75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0F2E25">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1B4C3BF">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国动领域大模型-国动政务领域大模型场景-国动办关联业务系统改造-国动办业务系统关键流程接口改造-事项申请接口改造</w:t>
            </w:r>
          </w:p>
        </w:tc>
        <w:tc>
          <w:tcPr>
            <w:tcW w:w="0" w:type="auto"/>
            <w:tcBorders>
              <w:top w:val="single" w:color="000000" w:sz="4" w:space="0"/>
              <w:left w:val="single" w:color="000000" w:sz="4" w:space="0"/>
              <w:bottom w:val="single" w:color="000000" w:sz="4" w:space="0"/>
              <w:right w:val="single" w:color="000000" w:sz="4" w:space="0"/>
            </w:tcBorders>
            <w:vAlign w:val="center"/>
          </w:tcPr>
          <w:p w14:paraId="6CDEC9CD">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针对国动办“一网通办”国动服务事项中事项申请相关接口进行改造封装供大模型智能体调用。</w:t>
            </w:r>
          </w:p>
        </w:tc>
      </w:tr>
      <w:tr w14:paraId="57D256F3">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B7645E6">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76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0D9ACE">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BF0EE0A">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国动领域大模型-国动政务领域大模型场景-国动办关联业务系统改造-国动办业务系统关键流程接口改造-事项受理、审批接口改造</w:t>
            </w:r>
          </w:p>
        </w:tc>
        <w:tc>
          <w:tcPr>
            <w:tcW w:w="0" w:type="auto"/>
            <w:tcBorders>
              <w:top w:val="single" w:color="000000" w:sz="4" w:space="0"/>
              <w:left w:val="single" w:color="000000" w:sz="4" w:space="0"/>
              <w:bottom w:val="single" w:color="000000" w:sz="4" w:space="0"/>
              <w:right w:val="single" w:color="000000" w:sz="4" w:space="0"/>
            </w:tcBorders>
            <w:vAlign w:val="center"/>
          </w:tcPr>
          <w:p w14:paraId="32AA82D0">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针对国动办“一网通办”国动服务事项中事项受理相关接口进行改造封装供大模型智能体调用。</w:t>
            </w:r>
          </w:p>
        </w:tc>
      </w:tr>
      <w:tr w14:paraId="2C97741A">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588B9A1">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77</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F54574D">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C4C87DC">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国动领域大模型-国动政务领域大模型场景-国动办关联业务系统改造-国动办业务系统关键流程接口改造-材料校验接口改造</w:t>
            </w:r>
          </w:p>
        </w:tc>
        <w:tc>
          <w:tcPr>
            <w:tcW w:w="0" w:type="auto"/>
            <w:tcBorders>
              <w:top w:val="single" w:color="000000" w:sz="4" w:space="0"/>
              <w:left w:val="single" w:color="000000" w:sz="4" w:space="0"/>
              <w:bottom w:val="single" w:color="000000" w:sz="4" w:space="0"/>
              <w:right w:val="single" w:color="000000" w:sz="4" w:space="0"/>
            </w:tcBorders>
            <w:vAlign w:val="center"/>
          </w:tcPr>
          <w:p w14:paraId="4AAE7DB0">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针对国动办“一网通办”国动服务事项中材料校验相关接口进行改造封装供大模型智能体调用。</w:t>
            </w:r>
          </w:p>
        </w:tc>
      </w:tr>
      <w:tr w14:paraId="3E5B6FE9">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2E7DE9D">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78</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3CB7A6">
            <w:pPr>
              <w:widowControl/>
              <w:spacing w:line="240" w:lineRule="auto"/>
              <w:ind w:firstLine="0" w:firstLineChars="0"/>
              <w:jc w:val="left"/>
              <w:rPr>
                <w:rFonts w:hint="eastAsia" w:cs="宋体" w:asciiTheme="minorEastAsia" w:hAnsiTheme="minorEastAsia" w:eastAsiaTheme="minorEastAsia"/>
                <w:color w:val="000000"/>
                <w:kern w:val="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FD61BB8">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国动领域大模型-国动政务领域大模型场景-国动办关联业务系统改造-国动办业务系统关键流程接口改造-人防工程相关接口改造</w:t>
            </w:r>
          </w:p>
        </w:tc>
        <w:tc>
          <w:tcPr>
            <w:tcW w:w="0" w:type="auto"/>
            <w:tcBorders>
              <w:top w:val="single" w:color="000000" w:sz="4" w:space="0"/>
              <w:left w:val="single" w:color="000000" w:sz="4" w:space="0"/>
              <w:bottom w:val="single" w:color="000000" w:sz="4" w:space="0"/>
              <w:right w:val="single" w:color="000000" w:sz="4" w:space="0"/>
            </w:tcBorders>
            <w:vAlign w:val="center"/>
          </w:tcPr>
          <w:p w14:paraId="762B1294">
            <w:pPr>
              <w:widowControl/>
              <w:spacing w:line="240" w:lineRule="auto"/>
              <w:ind w:firstLine="0" w:firstLineChars="0"/>
              <w:jc w:val="left"/>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针对国动办“一网统管”服务中人防工程相关接口进行改造封装供大模型智能体调用。</w:t>
            </w:r>
          </w:p>
        </w:tc>
      </w:tr>
    </w:tbl>
    <w:p w14:paraId="5BDEECF7">
      <w:pPr>
        <w:pStyle w:val="64"/>
        <w:ind w:left="1202" w:firstLine="0" w:firstLineChars="0"/>
        <w:rPr>
          <w:b/>
          <w:sz w:val="24"/>
          <w:szCs w:val="32"/>
        </w:rPr>
      </w:pPr>
    </w:p>
    <w:p w14:paraId="539D98DF">
      <w:pPr>
        <w:pStyle w:val="64"/>
        <w:numPr>
          <w:ilvl w:val="0"/>
          <w:numId w:val="3"/>
        </w:numPr>
        <w:ind w:firstLineChars="0"/>
        <w:rPr>
          <w:b/>
          <w:sz w:val="24"/>
          <w:szCs w:val="32"/>
        </w:rPr>
      </w:pPr>
      <w:r>
        <w:rPr>
          <w:rFonts w:hint="eastAsia"/>
          <w:b/>
          <w:sz w:val="24"/>
          <w:szCs w:val="32"/>
        </w:rPr>
        <w:t>数据服务清单</w:t>
      </w:r>
    </w:p>
    <w:tbl>
      <w:tblPr>
        <w:tblStyle w:val="35"/>
        <w:tblW w:w="5000" w:type="pct"/>
        <w:tblInd w:w="0" w:type="dxa"/>
        <w:tblLayout w:type="autofit"/>
        <w:tblCellMar>
          <w:top w:w="0" w:type="dxa"/>
          <w:left w:w="108" w:type="dxa"/>
          <w:bottom w:w="0" w:type="dxa"/>
          <w:right w:w="108" w:type="dxa"/>
        </w:tblCellMar>
      </w:tblPr>
      <w:tblGrid>
        <w:gridCol w:w="492"/>
        <w:gridCol w:w="855"/>
        <w:gridCol w:w="493"/>
        <w:gridCol w:w="514"/>
        <w:gridCol w:w="2851"/>
        <w:gridCol w:w="1645"/>
        <w:gridCol w:w="955"/>
        <w:gridCol w:w="723"/>
      </w:tblGrid>
      <w:tr w14:paraId="21E403C9">
        <w:tblPrEx>
          <w:tblCellMar>
            <w:top w:w="0" w:type="dxa"/>
            <w:left w:w="108" w:type="dxa"/>
            <w:bottom w:w="0" w:type="dxa"/>
            <w:right w:w="108" w:type="dxa"/>
          </w:tblCellMar>
        </w:tblPrEx>
        <w:trPr>
          <w:trHeight w:val="277"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1C8171BC">
            <w:pPr>
              <w:widowControl/>
              <w:spacing w:line="240" w:lineRule="auto"/>
              <w:ind w:firstLine="0" w:firstLineChars="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序号</w:t>
            </w:r>
          </w:p>
        </w:tc>
        <w:tc>
          <w:tcPr>
            <w:tcW w:w="501" w:type="pct"/>
            <w:tcBorders>
              <w:top w:val="single" w:color="000000" w:sz="4" w:space="0"/>
              <w:left w:val="single" w:color="000000" w:sz="4" w:space="0"/>
              <w:bottom w:val="single" w:color="000000" w:sz="4" w:space="0"/>
              <w:right w:val="single" w:color="000000" w:sz="4" w:space="0"/>
            </w:tcBorders>
            <w:vAlign w:val="center"/>
          </w:tcPr>
          <w:p w14:paraId="36BD3609">
            <w:pPr>
              <w:widowControl/>
              <w:spacing w:line="240" w:lineRule="auto"/>
              <w:ind w:firstLine="0" w:firstLineChars="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数据治理服务事项名称</w:t>
            </w:r>
          </w:p>
        </w:tc>
        <w:tc>
          <w:tcPr>
            <w:tcW w:w="289" w:type="pct"/>
            <w:tcBorders>
              <w:top w:val="single" w:color="000000" w:sz="4" w:space="0"/>
              <w:left w:val="single" w:color="000000" w:sz="4" w:space="0"/>
              <w:bottom w:val="single" w:color="000000" w:sz="4" w:space="0"/>
              <w:right w:val="single" w:color="000000" w:sz="4" w:space="0"/>
            </w:tcBorders>
          </w:tcPr>
          <w:p w14:paraId="0C6A91AC">
            <w:pPr>
              <w:widowControl/>
              <w:spacing w:line="240" w:lineRule="auto"/>
              <w:ind w:firstLine="0" w:firstLineChars="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测</w:t>
            </w:r>
          </w:p>
          <w:p w14:paraId="20B29945">
            <w:pPr>
              <w:widowControl/>
              <w:spacing w:line="240" w:lineRule="auto"/>
              <w:ind w:firstLine="0" w:firstLineChars="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算</w:t>
            </w:r>
          </w:p>
          <w:p w14:paraId="1E4ECA93">
            <w:pPr>
              <w:widowControl/>
              <w:spacing w:line="240" w:lineRule="auto"/>
              <w:ind w:firstLine="0" w:firstLineChars="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单</w:t>
            </w:r>
          </w:p>
          <w:p w14:paraId="103F898E">
            <w:pPr>
              <w:widowControl/>
              <w:spacing w:line="240" w:lineRule="auto"/>
              <w:ind w:firstLine="0" w:firstLineChars="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位</w:t>
            </w:r>
          </w:p>
        </w:tc>
        <w:tc>
          <w:tcPr>
            <w:tcW w:w="301" w:type="pct"/>
            <w:tcBorders>
              <w:top w:val="single" w:color="000000" w:sz="4" w:space="0"/>
              <w:left w:val="single" w:color="000000" w:sz="4" w:space="0"/>
              <w:bottom w:val="single" w:color="000000" w:sz="4" w:space="0"/>
              <w:right w:val="single" w:color="000000" w:sz="4" w:space="0"/>
            </w:tcBorders>
          </w:tcPr>
          <w:p w14:paraId="05C8C913">
            <w:pPr>
              <w:widowControl/>
              <w:spacing w:line="240" w:lineRule="auto"/>
              <w:ind w:firstLine="0" w:firstLineChars="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工作量</w:t>
            </w:r>
          </w:p>
        </w:tc>
        <w:tc>
          <w:tcPr>
            <w:tcW w:w="1671" w:type="pct"/>
            <w:tcBorders>
              <w:top w:val="single" w:color="000000" w:sz="4" w:space="0"/>
              <w:left w:val="single" w:color="000000" w:sz="4" w:space="0"/>
              <w:bottom w:val="single" w:color="000000" w:sz="4" w:space="0"/>
              <w:right w:val="single" w:color="000000" w:sz="4" w:space="0"/>
            </w:tcBorders>
            <w:vAlign w:val="center"/>
          </w:tcPr>
          <w:p w14:paraId="78317A3C">
            <w:pPr>
              <w:widowControl/>
              <w:spacing w:line="240" w:lineRule="auto"/>
              <w:ind w:firstLine="0" w:firstLineChars="0"/>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治理对象及范围</w:t>
            </w:r>
            <w:r>
              <w:rPr>
                <w:rFonts w:cs="宋体" w:asciiTheme="minorEastAsia" w:hAnsiTheme="minorEastAsia" w:eastAsiaTheme="minorEastAsia"/>
                <w:color w:val="000000"/>
                <w:kern w:val="0"/>
              </w:rPr>
              <w:t xml:space="preserve"> </w:t>
            </w:r>
          </w:p>
          <w:p w14:paraId="261E4174">
            <w:pPr>
              <w:widowControl/>
              <w:spacing w:line="240" w:lineRule="auto"/>
              <w:ind w:firstLine="0" w:firstLineChars="0"/>
              <w:rPr>
                <w:rFonts w:hint="eastAsia" w:cs="宋体" w:asciiTheme="minorEastAsia" w:hAnsiTheme="minorEastAsia" w:eastAsiaTheme="minorEastAsia"/>
                <w:color w:val="000000"/>
                <w:kern w:val="0"/>
              </w:rPr>
            </w:pPr>
            <w:r>
              <w:rPr>
                <w:rFonts w:cs="宋体" w:asciiTheme="minorEastAsia" w:hAnsiTheme="minorEastAsia" w:eastAsiaTheme="minorEastAsia"/>
                <w:color w:val="000000"/>
                <w:kern w:val="0"/>
              </w:rPr>
              <w:t>(数据来源)</w:t>
            </w:r>
          </w:p>
        </w:tc>
        <w:tc>
          <w:tcPr>
            <w:tcW w:w="964" w:type="pct"/>
            <w:tcBorders>
              <w:top w:val="single" w:color="000000" w:sz="4" w:space="0"/>
              <w:left w:val="single" w:color="000000" w:sz="4" w:space="0"/>
              <w:bottom w:val="single" w:color="000000" w:sz="4" w:space="0"/>
              <w:right w:val="single" w:color="000000" w:sz="4" w:space="0"/>
            </w:tcBorders>
            <w:vAlign w:val="center"/>
          </w:tcPr>
          <w:p w14:paraId="13E2716E">
            <w:pPr>
              <w:widowControl/>
              <w:spacing w:line="240" w:lineRule="auto"/>
              <w:ind w:firstLine="0" w:firstLineChars="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服务内容</w:t>
            </w:r>
          </w:p>
        </w:tc>
        <w:tc>
          <w:tcPr>
            <w:tcW w:w="560" w:type="pct"/>
            <w:tcBorders>
              <w:top w:val="single" w:color="000000" w:sz="4" w:space="0"/>
              <w:left w:val="single" w:color="000000" w:sz="4" w:space="0"/>
              <w:bottom w:val="single" w:color="000000" w:sz="4" w:space="0"/>
              <w:right w:val="single" w:color="000000" w:sz="4" w:space="0"/>
            </w:tcBorders>
            <w:vAlign w:val="center"/>
          </w:tcPr>
          <w:p w14:paraId="4638D9A5">
            <w:pPr>
              <w:widowControl/>
              <w:spacing w:line="240" w:lineRule="auto"/>
              <w:ind w:firstLine="0" w:firstLineChars="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治理成效及交付物</w:t>
            </w:r>
          </w:p>
        </w:tc>
        <w:tc>
          <w:tcPr>
            <w:tcW w:w="424" w:type="pct"/>
            <w:tcBorders>
              <w:top w:val="single" w:color="000000" w:sz="4" w:space="0"/>
              <w:left w:val="single" w:color="000000" w:sz="4" w:space="0"/>
              <w:bottom w:val="single" w:color="000000" w:sz="4" w:space="0"/>
              <w:right w:val="single" w:color="000000" w:sz="4" w:space="0"/>
            </w:tcBorders>
            <w:vAlign w:val="center"/>
          </w:tcPr>
          <w:p w14:paraId="21129143">
            <w:pPr>
              <w:widowControl/>
              <w:spacing w:line="240" w:lineRule="auto"/>
              <w:ind w:firstLine="0" w:firstLineChars="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关联的系统的数据治理功能模块</w:t>
            </w:r>
          </w:p>
        </w:tc>
      </w:tr>
      <w:tr w14:paraId="25951A06">
        <w:tblPrEx>
          <w:tblCellMar>
            <w:top w:w="0" w:type="dxa"/>
            <w:left w:w="108" w:type="dxa"/>
            <w:bottom w:w="0" w:type="dxa"/>
            <w:right w:w="108" w:type="dxa"/>
          </w:tblCellMar>
        </w:tblPrEx>
        <w:trPr>
          <w:trHeight w:val="1575" w:hRule="atLeast"/>
        </w:trPr>
        <w:tc>
          <w:tcPr>
            <w:tcW w:w="289" w:type="pct"/>
            <w:tcBorders>
              <w:top w:val="single" w:color="000000" w:sz="4" w:space="0"/>
              <w:left w:val="single" w:color="000000" w:sz="4" w:space="0"/>
              <w:bottom w:val="single" w:color="000000" w:sz="4" w:space="0"/>
              <w:right w:val="single" w:color="000000" w:sz="4" w:space="0"/>
            </w:tcBorders>
            <w:vAlign w:val="center"/>
          </w:tcPr>
          <w:p w14:paraId="5694F987">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1</w:t>
            </w:r>
          </w:p>
        </w:tc>
        <w:tc>
          <w:tcPr>
            <w:tcW w:w="501" w:type="pct"/>
            <w:tcBorders>
              <w:top w:val="single" w:color="000000" w:sz="4" w:space="0"/>
              <w:left w:val="single" w:color="000000" w:sz="4" w:space="0"/>
              <w:bottom w:val="single" w:color="000000" w:sz="4" w:space="0"/>
              <w:right w:val="single" w:color="000000" w:sz="4" w:space="0"/>
            </w:tcBorders>
            <w:vAlign w:val="center"/>
          </w:tcPr>
          <w:p w14:paraId="46C49BC3">
            <w:pPr>
              <w:widowControl/>
              <w:spacing w:line="240" w:lineRule="auto"/>
              <w:ind w:firstLine="0" w:firstLineChars="0"/>
              <w:jc w:val="center"/>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数据融合</w:t>
            </w:r>
            <w:bookmarkStart w:id="38" w:name="_GoBack"/>
            <w:bookmarkEnd w:id="38"/>
          </w:p>
        </w:tc>
        <w:tc>
          <w:tcPr>
            <w:tcW w:w="289" w:type="pct"/>
            <w:tcBorders>
              <w:top w:val="single" w:color="000000" w:sz="4" w:space="0"/>
              <w:left w:val="single" w:color="000000" w:sz="4" w:space="0"/>
              <w:bottom w:val="single" w:color="000000" w:sz="4" w:space="0"/>
              <w:right w:val="single" w:color="000000" w:sz="4" w:space="0"/>
            </w:tcBorders>
          </w:tcPr>
          <w:p w14:paraId="48D5B7F7">
            <w:pPr>
              <w:widowControl/>
              <w:spacing w:line="240" w:lineRule="auto"/>
              <w:ind w:firstLine="0" w:firstLineChars="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万条</w:t>
            </w:r>
          </w:p>
        </w:tc>
        <w:tc>
          <w:tcPr>
            <w:tcW w:w="301" w:type="pct"/>
            <w:tcBorders>
              <w:top w:val="single" w:color="000000" w:sz="4" w:space="0"/>
              <w:left w:val="single" w:color="000000" w:sz="4" w:space="0"/>
              <w:bottom w:val="single" w:color="000000" w:sz="4" w:space="0"/>
              <w:right w:val="single" w:color="000000" w:sz="4" w:space="0"/>
            </w:tcBorders>
          </w:tcPr>
          <w:p w14:paraId="6D60B63F">
            <w:pPr>
              <w:widowControl/>
              <w:spacing w:line="240" w:lineRule="auto"/>
              <w:ind w:firstLine="0" w:firstLineChars="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20</w:t>
            </w:r>
          </w:p>
        </w:tc>
        <w:tc>
          <w:tcPr>
            <w:tcW w:w="1671" w:type="pct"/>
            <w:tcBorders>
              <w:top w:val="single" w:color="000000" w:sz="4" w:space="0"/>
              <w:left w:val="single" w:color="000000" w:sz="4" w:space="0"/>
              <w:bottom w:val="single" w:color="000000" w:sz="4" w:space="0"/>
              <w:right w:val="single" w:color="000000" w:sz="4" w:space="0"/>
            </w:tcBorders>
          </w:tcPr>
          <w:p w14:paraId="3C51F090">
            <w:pPr>
              <w:widowControl/>
              <w:spacing w:line="240" w:lineRule="auto"/>
              <w:ind w:firstLine="0" w:firstLineChars="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人防工程全生命周期数据，主要包括：规划（仅骨干工程）中地块信息、地块位置信息、审批（行政协助信息、意见协助录入、行政项目补充）信息、在建工程信息、在用工程信息、在册工程-单元信息、退序工程信息、拆除工程信息、应建未建信息；</w:t>
            </w:r>
          </w:p>
        </w:tc>
        <w:tc>
          <w:tcPr>
            <w:tcW w:w="964" w:type="pct"/>
            <w:tcBorders>
              <w:top w:val="single" w:color="000000" w:sz="4" w:space="0"/>
              <w:left w:val="single" w:color="000000" w:sz="4" w:space="0"/>
              <w:bottom w:val="single" w:color="000000" w:sz="4" w:space="0"/>
              <w:right w:val="single" w:color="000000" w:sz="4" w:space="0"/>
            </w:tcBorders>
          </w:tcPr>
          <w:p w14:paraId="06F6674A">
            <w:pPr>
              <w:widowControl/>
              <w:spacing w:line="240" w:lineRule="auto"/>
              <w:ind w:firstLine="0" w:firstLineChars="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针对人防工程全生命周期数据进行转换、清洗，实现人防工程各阶段数据的贯通，满足市、区国防动员工作需求。</w:t>
            </w:r>
          </w:p>
        </w:tc>
        <w:tc>
          <w:tcPr>
            <w:tcW w:w="560" w:type="pct"/>
            <w:tcBorders>
              <w:top w:val="single" w:color="000000" w:sz="4" w:space="0"/>
              <w:left w:val="single" w:color="000000" w:sz="4" w:space="0"/>
              <w:bottom w:val="single" w:color="000000" w:sz="4" w:space="0"/>
              <w:right w:val="single" w:color="000000" w:sz="4" w:space="0"/>
            </w:tcBorders>
          </w:tcPr>
          <w:p w14:paraId="4E6703AA">
            <w:pPr>
              <w:widowControl/>
              <w:spacing w:line="240" w:lineRule="auto"/>
              <w:ind w:firstLine="0" w:firstLineChars="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人防工程全生命周期数据宽表；</w:t>
            </w:r>
          </w:p>
        </w:tc>
        <w:tc>
          <w:tcPr>
            <w:tcW w:w="424" w:type="pct"/>
            <w:tcBorders>
              <w:top w:val="single" w:color="000000" w:sz="4" w:space="0"/>
              <w:left w:val="single" w:color="000000" w:sz="4" w:space="0"/>
              <w:bottom w:val="single" w:color="000000" w:sz="4" w:space="0"/>
              <w:right w:val="single" w:color="000000" w:sz="4" w:space="0"/>
            </w:tcBorders>
          </w:tcPr>
          <w:p w14:paraId="1A409CD8">
            <w:pPr>
              <w:widowControl/>
              <w:spacing w:line="240" w:lineRule="auto"/>
              <w:ind w:firstLine="0" w:firstLineChars="0"/>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人防码应用系统</w:t>
            </w:r>
          </w:p>
        </w:tc>
      </w:tr>
    </w:tbl>
    <w:p w14:paraId="5ACC1B1C">
      <w:pPr>
        <w:ind w:firstLine="0" w:firstLineChars="0"/>
        <w:rPr>
          <w:rFonts w:hint="eastAsia"/>
          <w:b/>
          <w:szCs w:val="32"/>
        </w:rPr>
      </w:pPr>
    </w:p>
    <w:p w14:paraId="0BDF061C">
      <w:pPr>
        <w:pStyle w:val="2"/>
        <w:rPr>
          <w:rFonts w:hint="eastAsia"/>
        </w:rPr>
      </w:pPr>
      <w:r>
        <w:rPr>
          <w:rFonts w:hint="eastAsia"/>
        </w:rPr>
        <w:t>低代码建设要求</w:t>
      </w:r>
    </w:p>
    <w:p w14:paraId="171D6A98">
      <w:pPr>
        <w:rPr>
          <w:rFonts w:hint="eastAsia"/>
        </w:rPr>
      </w:pPr>
      <w:r>
        <w:rPr>
          <w:rFonts w:hint="eastAsia"/>
        </w:rPr>
        <w:t>本项目未采用低代码开发。</w:t>
      </w:r>
    </w:p>
    <w:p w14:paraId="2FB32D39">
      <w:pPr>
        <w:pStyle w:val="2"/>
        <w:rPr>
          <w:rFonts w:hint="eastAsia"/>
        </w:rPr>
      </w:pPr>
      <w:bookmarkStart w:id="20" w:name="_Toc63785503"/>
      <w:r>
        <w:rPr>
          <w:rFonts w:hint="eastAsia"/>
        </w:rPr>
        <w:t>其他工作要求</w:t>
      </w:r>
      <w:bookmarkEnd w:id="20"/>
    </w:p>
    <w:p w14:paraId="06727DA2">
      <w:pPr>
        <w:keepNext/>
        <w:keepLines/>
        <w:numPr>
          <w:ilvl w:val="1"/>
          <w:numId w:val="4"/>
        </w:numPr>
        <w:tabs>
          <w:tab w:val="left" w:pos="360"/>
        </w:tabs>
        <w:spacing w:before="120" w:line="240" w:lineRule="auto"/>
        <w:ind w:left="0" w:firstLine="0" w:firstLineChars="0"/>
        <w:outlineLvl w:val="1"/>
        <w:rPr>
          <w:rFonts w:hint="eastAsia" w:ascii="仿宋" w:hAnsi="仿宋" w:eastAsia="仿宋"/>
          <w:b/>
          <w:vanish/>
          <w:color w:val="000000"/>
          <w:sz w:val="28"/>
          <w:szCs w:val="20"/>
        </w:rPr>
      </w:pPr>
      <w:bookmarkStart w:id="21" w:name="_Toc63785504"/>
      <w:bookmarkEnd w:id="21"/>
      <w:bookmarkStart w:id="22" w:name="_Toc63585480"/>
      <w:bookmarkEnd w:id="22"/>
      <w:bookmarkStart w:id="23" w:name="_Toc63762370"/>
      <w:bookmarkEnd w:id="23"/>
      <w:bookmarkStart w:id="24" w:name="_Toc62219358"/>
      <w:bookmarkEnd w:id="24"/>
      <w:bookmarkStart w:id="25" w:name="_Toc63151871"/>
      <w:bookmarkEnd w:id="25"/>
      <w:bookmarkStart w:id="26" w:name="_Toc63785439"/>
      <w:bookmarkEnd w:id="26"/>
      <w:bookmarkStart w:id="27" w:name="_Toc62209488"/>
      <w:bookmarkEnd w:id="27"/>
      <w:bookmarkStart w:id="28" w:name="_Toc61968111"/>
      <w:bookmarkEnd w:id="28"/>
    </w:p>
    <w:p w14:paraId="3B8563F0">
      <w:pPr>
        <w:pStyle w:val="3"/>
        <w:rPr>
          <w:rFonts w:hint="eastAsia"/>
        </w:rPr>
      </w:pPr>
      <w:bookmarkStart w:id="29" w:name="_Toc63785505"/>
      <w:r>
        <w:rPr>
          <w:rFonts w:hint="eastAsia"/>
        </w:rPr>
        <w:t>售后服务要求</w:t>
      </w:r>
      <w:bookmarkEnd w:id="29"/>
    </w:p>
    <w:p w14:paraId="57D2906F">
      <w:pPr>
        <w:pStyle w:val="106"/>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14:paraId="4BB15A63">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390F865E">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一网通办”政务服务升级改造、“一网统管”行业监管升级改造、国动办应用支撑能力升级、国动领域大模型。</w:t>
      </w:r>
    </w:p>
    <w:p w14:paraId="5591C18A">
      <w:pPr>
        <w:pStyle w:val="3"/>
        <w:rPr>
          <w:rFonts w:hint="eastAsia"/>
        </w:rPr>
      </w:pPr>
      <w:bookmarkStart w:id="30" w:name="_Toc63785506"/>
      <w:r>
        <w:rPr>
          <w:rFonts w:hint="eastAsia"/>
        </w:rPr>
        <w:t>应急响应要求</w:t>
      </w:r>
      <w:bookmarkEnd w:id="30"/>
    </w:p>
    <w:p w14:paraId="2E1655AF">
      <w:pPr>
        <w:spacing w:line="600" w:lineRule="exact"/>
        <w:rPr>
          <w:rFonts w:hint="eastAsia"/>
        </w:rPr>
      </w:pPr>
      <w:r>
        <w:rPr>
          <w:rFonts w:hint="eastAsia"/>
        </w:rPr>
        <w:t>供应商对系统故障应能够实时响应，若系统发生故障，接到通知后30分钟之内响应，专业工程师2小时内到达现场。特殊故障与采购人沟通协商后，按照协商的方式制定解决方案并进行处理。</w:t>
      </w:r>
    </w:p>
    <w:p w14:paraId="5EFBBCAF">
      <w:pPr>
        <w:spacing w:line="600" w:lineRule="exact"/>
        <w:rPr>
          <w:rFonts w:hint="eastAsia"/>
        </w:rPr>
      </w:pPr>
      <w:r>
        <w:rPr>
          <w:rFonts w:hint="eastAsia"/>
        </w:rPr>
        <w:t>具体故障级别及对应的应急响应要求如下：</w:t>
      </w:r>
    </w:p>
    <w:p w14:paraId="14382D42">
      <w:pPr>
        <w:spacing w:line="600" w:lineRule="exact"/>
        <w:rPr>
          <w:rFonts w:hint="eastAsia"/>
        </w:rPr>
      </w:pPr>
      <w:r>
        <w:rPr>
          <w:rFonts w:hint="eastAsia"/>
        </w:rPr>
        <w:t>一级故障：在1小时内确诊，总故障解决时间不超过4小时。</w:t>
      </w:r>
    </w:p>
    <w:p w14:paraId="5EF0D02D">
      <w:pPr>
        <w:spacing w:line="600" w:lineRule="exact"/>
        <w:rPr>
          <w:rFonts w:hint="eastAsia"/>
        </w:rPr>
      </w:pPr>
      <w:r>
        <w:rPr>
          <w:rFonts w:hint="eastAsia"/>
        </w:rPr>
        <w:t>二级故障：在2小时内确诊，并在4小时内由专家到达现场确诊并解决，总故障解决时间不超过8小时；</w:t>
      </w:r>
    </w:p>
    <w:p w14:paraId="6935884C">
      <w:pPr>
        <w:spacing w:line="600" w:lineRule="exact"/>
        <w:rPr>
          <w:rFonts w:hint="eastAsia"/>
        </w:rPr>
      </w:pPr>
      <w:r>
        <w:rPr>
          <w:rFonts w:hint="eastAsia"/>
        </w:rPr>
        <w:t>三、四级故障：在4小时内确诊故障，总故障解决时间不超过16小时。</w:t>
      </w:r>
    </w:p>
    <w:p w14:paraId="0E91D6DD">
      <w:pPr>
        <w:spacing w:line="600" w:lineRule="exact"/>
        <w:rPr>
          <w:rFonts w:hint="eastAsia"/>
        </w:rPr>
      </w:pPr>
      <w:r>
        <w:rPr>
          <w:rFonts w:hint="eastAsia"/>
        </w:rPr>
        <w:t>依据故障时间及故障范围划分故障级别，故障级别分为四级，依次为Ⅰ级（紧急）、Ⅱ级（严重）、Ⅲ级（较大）和Ⅳ级（一般），分别定义如下：</w:t>
      </w:r>
    </w:p>
    <w:p w14:paraId="3FFC64B5">
      <w:pPr>
        <w:spacing w:line="600" w:lineRule="exact"/>
        <w:rPr>
          <w:rFonts w:hint="eastAsia"/>
        </w:rPr>
      </w:pPr>
      <w:r>
        <w:rPr>
          <w:rFonts w:hint="eastAsia"/>
        </w:rPr>
        <w:t>Ⅰ级（紧急）故障为工作时间段（8:30——17:30）内大范围故障；</w:t>
      </w:r>
    </w:p>
    <w:p w14:paraId="79C46B2C">
      <w:pPr>
        <w:spacing w:line="600" w:lineRule="exact"/>
        <w:rPr>
          <w:rFonts w:hint="eastAsia"/>
        </w:rPr>
      </w:pPr>
      <w:r>
        <w:rPr>
          <w:rFonts w:hint="eastAsia"/>
        </w:rPr>
        <w:t>Ⅱ级（严重）故障为非工作时间段（17:30——次日8:30）内大范围故障；</w:t>
      </w:r>
    </w:p>
    <w:p w14:paraId="26A564A0">
      <w:pPr>
        <w:spacing w:line="600" w:lineRule="exact"/>
        <w:rPr>
          <w:rFonts w:hint="eastAsia"/>
        </w:rPr>
      </w:pPr>
      <w:r>
        <w:rPr>
          <w:rFonts w:hint="eastAsia"/>
        </w:rPr>
        <w:t>Ⅲ级（较大）故障为工作时间段（8:30——17:30）内小范围故障；</w:t>
      </w:r>
    </w:p>
    <w:p w14:paraId="2A0DD1B2">
      <w:pPr>
        <w:spacing w:line="600" w:lineRule="exact"/>
        <w:rPr>
          <w:rFonts w:hint="eastAsia"/>
        </w:rPr>
      </w:pPr>
      <w:r>
        <w:rPr>
          <w:rFonts w:hint="eastAsia"/>
        </w:rPr>
        <w:t>Ⅳ级（一般）故障为非工作时间段（17:30——次日8:30）内小范围故障；</w:t>
      </w:r>
    </w:p>
    <w:p w14:paraId="07D7A2E7">
      <w:pPr>
        <w:spacing w:line="600" w:lineRule="exact"/>
        <w:rPr>
          <w:rFonts w:hint="eastAsia"/>
        </w:rPr>
      </w:pPr>
    </w:p>
    <w:p w14:paraId="7BD94091">
      <w:pPr>
        <w:pStyle w:val="3"/>
        <w:rPr>
          <w:rFonts w:hint="eastAsia"/>
        </w:rPr>
      </w:pPr>
      <w:r>
        <w:rPr>
          <w:rFonts w:hint="eastAsia"/>
        </w:rPr>
        <w:t>网络与数据安全</w:t>
      </w:r>
    </w:p>
    <w:p w14:paraId="06DB573B">
      <w:pPr>
        <w:rPr>
          <w:rFonts w:hint="eastAsia"/>
        </w:rPr>
      </w:pPr>
      <w:r>
        <w:rPr>
          <w:rFonts w:hint="eastAsia"/>
        </w:rPr>
        <w:t>(1)供应商应在项目深化设计阶段，应开展安全需求调研和数据分类分级工作，制定网络和数据安全设计方案，制定总体安全技术架构，明确边界防护、访问控制、权限管理、系统安全配置、身份鉴别、入侵防范等系统安全防护措施，制定差异化的数据安全防护手段，确保数据全生命周期安全。</w:t>
      </w:r>
    </w:p>
    <w:p w14:paraId="5E6FF873">
      <w:pPr>
        <w:rPr>
          <w:rFonts w:hint="eastAsia"/>
        </w:rPr>
      </w:pPr>
      <w:r>
        <w:rPr>
          <w:rFonts w:hint="eastAsia"/>
        </w:rPr>
        <w:t>(2)供应商应配合采购人开展相关安全制度和规范的制定，并根据项目实际，制定项目实施过程安全管理方案。</w:t>
      </w:r>
    </w:p>
    <w:p w14:paraId="4DB26D2D">
      <w:pPr>
        <w:rPr>
          <w:rFonts w:hint="eastAsia"/>
        </w:rPr>
      </w:pPr>
      <w:r>
        <w:rPr>
          <w:rFonts w:hint="eastAsia"/>
        </w:rPr>
        <w:t>(3)供应商应确保所提供的软件产品和定制开发内容所涉及的供应链满足采购人的管理要求，提供供应链物料清单，落实供应链安全控制措施，包括代码安全检测和质量评估、漏洞扫描、第三方组件评估等工作，并于系统上线前，完成信息化资产的梳理。</w:t>
      </w:r>
    </w:p>
    <w:p w14:paraId="31EBDCD4">
      <w:pPr>
        <w:rPr>
          <w:rFonts w:hint="eastAsia"/>
        </w:rPr>
      </w:pPr>
      <w:r>
        <w:rPr>
          <w:rFonts w:hint="eastAsia"/>
        </w:rPr>
        <w:t>(4)供应商应在项目实施过程中，推动安全开发控制工作的实施，按照安全设计方案和采购人安全开发要求，落实安全开发规范，确保代码质量和安全性。供应商应确保系统开发及生产环境安全，落实安全管理策略及安全配置。</w:t>
      </w:r>
    </w:p>
    <w:p w14:paraId="300C92F0">
      <w:pPr>
        <w:rPr>
          <w:rFonts w:hint="eastAsia"/>
        </w:rPr>
      </w:pPr>
      <w:r>
        <w:rPr>
          <w:rFonts w:hint="eastAsia"/>
        </w:rPr>
        <w:t>(5)供应商应在项目实施过程中，按照数据差异化安全防护策略，根据系统需要采取数据加密、数据访问控制、日志记录、流转监测等防护能力及相关管理流程，切实保障数据安全。</w:t>
      </w:r>
    </w:p>
    <w:p w14:paraId="452FD0BB">
      <w:pPr>
        <w:rPr>
          <w:rFonts w:hint="eastAsia"/>
        </w:rPr>
      </w:pPr>
      <w:r>
        <w:rPr>
          <w:rFonts w:hint="eastAsia"/>
        </w:rPr>
        <w:t>(6)供应商应按照采购人场地及人员安全管理制度，加强人员管理，配合采购人落实人员背调、入离场、终端管理、网络限制、数据权限最小化等管控措施。</w:t>
      </w:r>
    </w:p>
    <w:p w14:paraId="46FFEF50">
      <w:pPr>
        <w:rPr>
          <w:rFonts w:hint="eastAsia"/>
        </w:rPr>
      </w:pPr>
      <w:r>
        <w:rPr>
          <w:rFonts w:hint="eastAsia"/>
        </w:rPr>
        <w:t>(7)供应商应于系统上线部署前对系统运行环境、应用软件等开展安全自查，并于项目初验及系统试运行阶段，配合采购人开展安测、密测、等保、密评、数据安全风险评估等系列安全测试、评估工作，针对发现的问题及时完成整改，确保系统上线安全。</w:t>
      </w:r>
    </w:p>
    <w:p w14:paraId="6EFE0862">
      <w:pPr>
        <w:rPr>
          <w:rFonts w:hint="eastAsia"/>
        </w:rPr>
      </w:pPr>
      <w:r>
        <w:rPr>
          <w:rFonts w:hint="eastAsia"/>
        </w:rPr>
        <w:t>(8)供应商应在系统免维期内承担系统安全运维管理责任，落实安全管理保障措施，包括但不限于制度修订、风险排查、应急响应、漏洞修复、重保等工作。</w:t>
      </w:r>
    </w:p>
    <w:p w14:paraId="25E75F7D">
      <w:pPr>
        <w:pStyle w:val="3"/>
        <w:rPr>
          <w:rFonts w:hint="eastAsia"/>
        </w:rPr>
      </w:pPr>
      <w:bookmarkStart w:id="31" w:name="_Toc63785507"/>
      <w:r>
        <w:rPr>
          <w:rFonts w:hint="eastAsia"/>
        </w:rPr>
        <w:t>培训要求</w:t>
      </w:r>
      <w:bookmarkEnd w:id="31"/>
    </w:p>
    <w:p w14:paraId="74B8688F">
      <w:pPr>
        <w:rPr>
          <w:rFonts w:hint="eastAsia"/>
        </w:rPr>
      </w:pPr>
      <w:r>
        <w:rPr>
          <w:rFonts w:hint="eastAsia"/>
        </w:rPr>
        <w:t>对系统使用单位提供业务操作培训，应提供详细培训方案。</w:t>
      </w:r>
    </w:p>
    <w:p w14:paraId="7F12025B">
      <w:pPr>
        <w:rPr>
          <w:rFonts w:hint="eastAsia"/>
        </w:rPr>
      </w:pPr>
      <w:r>
        <w:rPr>
          <w:rFonts w:hint="eastAsia"/>
        </w:rPr>
        <w:t>(1)在12个月的质量保证期内，提供不少于2次与项目相关的必要培训。</w:t>
      </w:r>
    </w:p>
    <w:p w14:paraId="013610EF">
      <w:pPr>
        <w:rPr>
          <w:rFonts w:hint="eastAsia"/>
        </w:rPr>
      </w:pPr>
      <w:r>
        <w:rPr>
          <w:rFonts w:hint="eastAsia"/>
        </w:rPr>
        <w:t>(2)供应商需要开展分层次的人员培训工作，培训应具有培训教材、培训环境和高水平的培训讲师。</w:t>
      </w:r>
    </w:p>
    <w:p w14:paraId="06E0E64E">
      <w:pPr>
        <w:rPr>
          <w:rFonts w:hint="eastAsia"/>
        </w:rPr>
      </w:pPr>
      <w:r>
        <w:rPr>
          <w:rFonts w:hint="eastAsia"/>
        </w:rPr>
        <w:t>(3)供应商应提供一般用户的基础操作培训和部门信息管理员的日常应用维护的培训，确保用户对象能够掌握对应的操作技能。</w:t>
      </w:r>
    </w:p>
    <w:p w14:paraId="5B0F602A">
      <w:pPr>
        <w:pStyle w:val="3"/>
        <w:rPr>
          <w:rFonts w:hint="eastAsia"/>
        </w:rPr>
      </w:pPr>
      <w:bookmarkStart w:id="32" w:name="_Toc63785508"/>
      <w:r>
        <w:rPr>
          <w:rFonts w:hint="eastAsia"/>
        </w:rPr>
        <w:t>验收要求</w:t>
      </w:r>
      <w:bookmarkEnd w:id="32"/>
    </w:p>
    <w:p w14:paraId="3785BDB3">
      <w:pPr>
        <w:rPr>
          <w:rFonts w:hint="eastAsia"/>
          <w:szCs w:val="21"/>
        </w:rPr>
      </w:pPr>
      <w:r>
        <w:rPr>
          <w:rFonts w:hint="eastAsia"/>
          <w:szCs w:val="21"/>
        </w:rPr>
        <w:t>本项目按下述方式开展验收。</w:t>
      </w:r>
    </w:p>
    <w:p w14:paraId="0B346523">
      <w:pPr>
        <w:rPr>
          <w:rFonts w:hint="eastAsia"/>
          <w:szCs w:val="21"/>
        </w:rPr>
      </w:pPr>
      <w:r>
        <w:rPr>
          <w:rFonts w:hint="eastAsia"/>
          <w:szCs w:val="21"/>
        </w:rPr>
        <w:t>（1）验收前，供应商须完成软件开发、软硬件安装和信息系统的调试等，并对本项目进行功能和运行检测，确保所有信息系统功能模块能够正常运行且已达到本项目约定的各类标准要求。供应商应以书面形式向招标方递交验收通知书。招标方应当在接到通知后的5个工作日内确定验收的具体日期，由双方按照本项目的约定完成本项目的验收。招标方有权委托第三方检测机构进行验收，对此供应商应当配合。</w:t>
      </w:r>
    </w:p>
    <w:p w14:paraId="50F2F365">
      <w:pPr>
        <w:rPr>
          <w:rFonts w:hint="eastAsia"/>
          <w:szCs w:val="21"/>
        </w:rPr>
      </w:pPr>
      <w:r>
        <w:rPr>
          <w:rFonts w:hint="eastAsia"/>
          <w:szCs w:val="21"/>
        </w:rPr>
        <w:t>（2）验收时，供应商须提供软件文档包括《用户需求说明书》、《系统概要设计说明书》、《系统详细设计说明书》、《三方功能需求确认单》、《测试报告》、《用户使用手册》、《系统部署文档》等）及可安装的程序运行文件。所交付的文档与文件应当是可供自然人阅读的书面和电子文档。软件文档及可安装的程序运行文件验收通过后，视为验收通过。如有缺陷，招标方应向供应商出具书面报告，陈述需要改进的缺陷。供应商应立即严格依照招标方的书面报告中的要求改进缺陷，并再次进行验收。</w:t>
      </w:r>
    </w:p>
    <w:p w14:paraId="43145A59">
      <w:pPr>
        <w:rPr>
          <w:rFonts w:hint="eastAsia"/>
          <w:szCs w:val="21"/>
        </w:rPr>
      </w:pPr>
      <w:r>
        <w:rPr>
          <w:rFonts w:hint="eastAsia"/>
          <w:szCs w:val="21"/>
        </w:rPr>
        <w:t>（3）如果属于供应商原因致使本项目未能通过终验，供应商应当排除缺陷，直至本项目完全符合验收标准，由上述情形而产生的相关费用应由供应商自行承担。</w:t>
      </w:r>
    </w:p>
    <w:p w14:paraId="1A5487DB">
      <w:pPr>
        <w:rPr>
          <w:rFonts w:hint="eastAsia"/>
          <w:szCs w:val="21"/>
        </w:rPr>
      </w:pPr>
      <w:r>
        <w:rPr>
          <w:rFonts w:hint="eastAsia"/>
          <w:szCs w:val="21"/>
        </w:rPr>
        <w:t>（4）如果由于招标方原因导致本项目在终验通过前出现故障或问题，供应商应及时配合排除该方面的故障或问题。</w:t>
      </w:r>
    </w:p>
    <w:p w14:paraId="0EB64A08">
      <w:pPr>
        <w:rPr>
          <w:rFonts w:hint="eastAsia"/>
          <w:szCs w:val="21"/>
        </w:rPr>
      </w:pPr>
      <w:r>
        <w:rPr>
          <w:rFonts w:hint="eastAsia"/>
          <w:szCs w:val="21"/>
        </w:rPr>
        <w:t>（5）如本项目连续3次验收未通过，招标方有权解除项目，并有权依照本项目约定的违约条款追究供应商的违约责任</w:t>
      </w:r>
      <w:r>
        <w:rPr>
          <w:szCs w:val="21"/>
        </w:rPr>
        <w:t>。</w:t>
      </w:r>
    </w:p>
    <w:p w14:paraId="3A8CBEC7">
      <w:pPr>
        <w:pStyle w:val="3"/>
        <w:rPr>
          <w:rFonts w:hint="eastAsia"/>
        </w:rPr>
      </w:pPr>
      <w:bookmarkStart w:id="33" w:name="_Toc63785509"/>
      <w:r>
        <w:rPr>
          <w:rFonts w:hint="eastAsia"/>
        </w:rPr>
        <w:t>进度要求</w:t>
      </w:r>
      <w:bookmarkEnd w:id="33"/>
    </w:p>
    <w:p w14:paraId="62C65C4F">
      <w:pPr>
        <w:rPr>
          <w:rFonts w:hint="eastAsia"/>
        </w:rPr>
      </w:pPr>
      <w:r>
        <w:rPr>
          <w:rFonts w:hint="eastAsia"/>
        </w:rPr>
        <w:t>投标人应根据建设内容，分阶段制定合理的时间进度，并且应根据招标方要求进行调整和细化。</w:t>
      </w:r>
    </w:p>
    <w:p w14:paraId="492F5678">
      <w:pPr>
        <w:rPr>
          <w:rFonts w:hint="eastAsia"/>
        </w:rPr>
      </w:pPr>
      <w:r>
        <w:rPr>
          <w:rFonts w:hint="eastAsia"/>
        </w:rPr>
        <w:t>本项目要求在2</w:t>
      </w:r>
      <w:r>
        <w:t>02</w:t>
      </w:r>
      <w:r>
        <w:rPr>
          <w:rFonts w:hint="eastAsia"/>
        </w:rPr>
        <w:t>6年完成项目验收。分阶段时间进度要求如下（具体可根据实际情况调整）：</w:t>
      </w:r>
    </w:p>
    <w:p w14:paraId="36B9D408">
      <w:pPr>
        <w:rPr>
          <w:rFonts w:hint="eastAsia"/>
        </w:rPr>
      </w:pPr>
      <w:r>
        <w:rPr>
          <w:rFonts w:hint="eastAsia"/>
        </w:rPr>
        <w:t>系统建设：合同签订之日—9月份，完成需求调研、系统设计、系统开发等。</w:t>
      </w:r>
    </w:p>
    <w:p w14:paraId="469E620B">
      <w:pPr>
        <w:rPr>
          <w:rFonts w:hint="eastAsia"/>
        </w:rPr>
      </w:pPr>
      <w:r>
        <w:rPr>
          <w:rFonts w:hint="eastAsia"/>
        </w:rPr>
        <w:t>系统测试：10月份，完成系统配置、部署、系统接口实现、系统测试等。</w:t>
      </w:r>
    </w:p>
    <w:p w14:paraId="7CCFD03E">
      <w:pPr>
        <w:rPr>
          <w:rFonts w:hint="eastAsia"/>
        </w:rPr>
      </w:pPr>
      <w:r>
        <w:rPr>
          <w:rFonts w:hint="eastAsia"/>
        </w:rPr>
        <w:t>系统试运行：提供至少一个月试运行，完成系统试运行和系统培训，发现并解决系统问题。</w:t>
      </w:r>
    </w:p>
    <w:p w14:paraId="50888CF8">
      <w:pPr>
        <w:rPr>
          <w:rFonts w:hint="eastAsia"/>
        </w:rPr>
      </w:pPr>
      <w:r>
        <w:rPr>
          <w:rFonts w:hint="eastAsia"/>
        </w:rPr>
        <w:t>项目验收：11月份，完成项目专家验收。</w:t>
      </w:r>
    </w:p>
    <w:p w14:paraId="4927119A">
      <w:pPr>
        <w:pStyle w:val="3"/>
        <w:rPr>
          <w:rFonts w:hint="eastAsia"/>
        </w:rPr>
      </w:pPr>
      <w:bookmarkStart w:id="34" w:name="_Toc63785510"/>
      <w:r>
        <w:rPr>
          <w:rFonts w:hint="eastAsia"/>
        </w:rPr>
        <w:t>项目团队及驻场人员要求</w:t>
      </w:r>
      <w:bookmarkEnd w:id="34"/>
    </w:p>
    <w:p w14:paraId="1D1E9636">
      <w:pPr>
        <w:rPr>
          <w:rFonts w:hint="eastAsia"/>
        </w:rPr>
      </w:pPr>
      <w:r>
        <w:t>1）投标人须具有稳定的在职技术保障力量，能够提供及时的技术支援或服务，应针对本项目提供不少于</w:t>
      </w:r>
      <w:r>
        <w:rPr>
          <w:rFonts w:hint="eastAsia"/>
        </w:rPr>
        <w:t>9</w:t>
      </w:r>
      <w:r>
        <w:t>人的项目服务团队（包括项目经理、产品经理、技术负责人、研发等），投标单位的相关服务人员需具备相应的服务能力</w:t>
      </w:r>
      <w:r>
        <w:rPr>
          <w:rFonts w:hint="eastAsia"/>
          <w:lang w:eastAsia="zh-CN"/>
        </w:rPr>
        <w:t>（如数据治理能力）</w:t>
      </w:r>
      <w:r>
        <w:t>，需提供相关证明。</w:t>
      </w:r>
    </w:p>
    <w:tbl>
      <w:tblPr>
        <w:tblStyle w:val="3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740"/>
        <w:gridCol w:w="1152"/>
        <w:gridCol w:w="2460"/>
        <w:gridCol w:w="2063"/>
      </w:tblGrid>
      <w:tr w14:paraId="5D1B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7" w:type="dxa"/>
            <w:noWrap/>
            <w:vAlign w:val="center"/>
          </w:tcPr>
          <w:p w14:paraId="4CE1D5B7">
            <w:pPr>
              <w:widowControl/>
              <w:spacing w:line="240" w:lineRule="auto"/>
              <w:ind w:firstLine="0" w:firstLineChars="0"/>
              <w:jc w:val="center"/>
              <w:rPr>
                <w:rFonts w:hint="eastAsia"/>
                <w:b/>
              </w:rPr>
            </w:pPr>
            <w:r>
              <w:rPr>
                <w:rFonts w:hint="eastAsia"/>
                <w:b/>
              </w:rPr>
              <w:t>角色</w:t>
            </w:r>
          </w:p>
        </w:tc>
        <w:tc>
          <w:tcPr>
            <w:tcW w:w="1740" w:type="dxa"/>
            <w:noWrap/>
            <w:vAlign w:val="center"/>
          </w:tcPr>
          <w:p w14:paraId="4155A05D">
            <w:pPr>
              <w:widowControl/>
              <w:spacing w:line="240" w:lineRule="auto"/>
              <w:ind w:firstLine="0" w:firstLineChars="0"/>
              <w:jc w:val="center"/>
              <w:rPr>
                <w:rFonts w:hint="eastAsia"/>
                <w:b/>
              </w:rPr>
            </w:pPr>
            <w:r>
              <w:rPr>
                <w:rFonts w:hint="eastAsia"/>
                <w:b/>
              </w:rPr>
              <w:t>主要职责</w:t>
            </w:r>
          </w:p>
        </w:tc>
        <w:tc>
          <w:tcPr>
            <w:tcW w:w="1152" w:type="dxa"/>
            <w:noWrap/>
            <w:vAlign w:val="center"/>
          </w:tcPr>
          <w:p w14:paraId="077EF6B5">
            <w:pPr>
              <w:widowControl/>
              <w:spacing w:line="240" w:lineRule="auto"/>
              <w:ind w:firstLine="0" w:firstLineChars="0"/>
              <w:jc w:val="center"/>
              <w:rPr>
                <w:rFonts w:hint="eastAsia"/>
                <w:b/>
              </w:rPr>
            </w:pPr>
            <w:r>
              <w:rPr>
                <w:rFonts w:hint="eastAsia"/>
                <w:b/>
              </w:rPr>
              <w:t>人员数量</w:t>
            </w:r>
          </w:p>
        </w:tc>
        <w:tc>
          <w:tcPr>
            <w:tcW w:w="2460" w:type="dxa"/>
            <w:vAlign w:val="center"/>
          </w:tcPr>
          <w:p w14:paraId="23F931BD">
            <w:pPr>
              <w:widowControl/>
              <w:spacing w:line="240" w:lineRule="auto"/>
              <w:ind w:firstLine="0" w:firstLineChars="0"/>
              <w:jc w:val="center"/>
              <w:rPr>
                <w:rFonts w:hint="eastAsia"/>
                <w:b/>
              </w:rPr>
            </w:pPr>
            <w:r>
              <w:rPr>
                <w:rFonts w:hint="eastAsia"/>
                <w:b/>
              </w:rPr>
              <w:t>人员要求</w:t>
            </w:r>
          </w:p>
        </w:tc>
        <w:tc>
          <w:tcPr>
            <w:tcW w:w="2063" w:type="dxa"/>
            <w:noWrap/>
            <w:vAlign w:val="center"/>
          </w:tcPr>
          <w:p w14:paraId="6B1D1BC8">
            <w:pPr>
              <w:widowControl/>
              <w:spacing w:line="240" w:lineRule="auto"/>
              <w:ind w:firstLine="0" w:firstLineChars="0"/>
              <w:jc w:val="center"/>
              <w:rPr>
                <w:rFonts w:hint="eastAsia"/>
                <w:b/>
              </w:rPr>
            </w:pPr>
            <w:r>
              <w:rPr>
                <w:rFonts w:hint="eastAsia"/>
                <w:b/>
              </w:rPr>
              <w:t>驻场要求</w:t>
            </w:r>
          </w:p>
        </w:tc>
      </w:tr>
      <w:tr w14:paraId="34B3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7" w:type="dxa"/>
            <w:noWrap/>
            <w:vAlign w:val="center"/>
          </w:tcPr>
          <w:p w14:paraId="681B9CD1">
            <w:pPr>
              <w:widowControl/>
              <w:spacing w:line="240" w:lineRule="auto"/>
              <w:ind w:firstLine="0" w:firstLineChars="0"/>
              <w:jc w:val="center"/>
              <w:rPr>
                <w:rFonts w:hint="eastAsia"/>
              </w:rPr>
            </w:pPr>
            <w:r>
              <w:rPr>
                <w:rFonts w:hint="eastAsia"/>
              </w:rPr>
              <w:t>项目经理</w:t>
            </w:r>
          </w:p>
        </w:tc>
        <w:tc>
          <w:tcPr>
            <w:tcW w:w="1740" w:type="dxa"/>
            <w:vAlign w:val="center"/>
          </w:tcPr>
          <w:p w14:paraId="30CE0564">
            <w:pPr>
              <w:widowControl/>
              <w:spacing w:line="240" w:lineRule="auto"/>
              <w:ind w:firstLine="0" w:firstLineChars="0"/>
              <w:jc w:val="center"/>
              <w:rPr>
                <w:rFonts w:hint="eastAsia"/>
              </w:rPr>
            </w:pPr>
            <w:r>
              <w:rPr>
                <w:rFonts w:hint="eastAsia"/>
              </w:rPr>
              <w:t>负责项目质量和进度控制</w:t>
            </w:r>
          </w:p>
        </w:tc>
        <w:tc>
          <w:tcPr>
            <w:tcW w:w="1152" w:type="dxa"/>
            <w:noWrap/>
            <w:vAlign w:val="center"/>
          </w:tcPr>
          <w:p w14:paraId="66391D99">
            <w:pPr>
              <w:widowControl/>
              <w:spacing w:line="240" w:lineRule="auto"/>
              <w:ind w:firstLine="0" w:firstLineChars="0"/>
              <w:jc w:val="center"/>
              <w:rPr>
                <w:rFonts w:hint="eastAsia"/>
              </w:rPr>
            </w:pPr>
            <w:r>
              <w:rPr>
                <w:rFonts w:hint="eastAsia"/>
              </w:rPr>
              <w:t>1人</w:t>
            </w:r>
          </w:p>
        </w:tc>
        <w:tc>
          <w:tcPr>
            <w:tcW w:w="2460" w:type="dxa"/>
            <w:vAlign w:val="center"/>
          </w:tcPr>
          <w:p w14:paraId="684B191B">
            <w:pPr>
              <w:widowControl/>
              <w:spacing w:line="240" w:lineRule="auto"/>
              <w:ind w:firstLine="0" w:firstLineChars="0"/>
              <w:jc w:val="center"/>
              <w:rPr>
                <w:rFonts w:hint="eastAsia"/>
              </w:rPr>
            </w:pPr>
            <w:r>
              <w:rPr>
                <w:rFonts w:hint="eastAsia"/>
              </w:rPr>
              <w:t>信息系统项目管理师、数据库系统工程师，十年以上政务类项目实施经验</w:t>
            </w:r>
          </w:p>
        </w:tc>
        <w:tc>
          <w:tcPr>
            <w:tcW w:w="2063" w:type="dxa"/>
            <w:noWrap/>
            <w:vAlign w:val="center"/>
          </w:tcPr>
          <w:p w14:paraId="6C19E38D">
            <w:pPr>
              <w:widowControl/>
              <w:spacing w:line="240" w:lineRule="auto"/>
              <w:ind w:firstLine="0" w:firstLineChars="0"/>
              <w:jc w:val="center"/>
              <w:rPr>
                <w:rFonts w:hint="eastAsia"/>
              </w:rPr>
            </w:pPr>
            <w:r>
              <w:rPr>
                <w:rFonts w:hint="eastAsia"/>
                <w:lang w:eastAsia="zh-CN"/>
              </w:rPr>
              <w:t>项目开始至九月驻场</w:t>
            </w:r>
          </w:p>
        </w:tc>
      </w:tr>
      <w:tr w14:paraId="789C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7" w:type="dxa"/>
            <w:noWrap/>
            <w:vAlign w:val="center"/>
          </w:tcPr>
          <w:p w14:paraId="351F2679">
            <w:pPr>
              <w:widowControl/>
              <w:spacing w:line="240" w:lineRule="auto"/>
              <w:ind w:firstLine="0" w:firstLineChars="0"/>
              <w:jc w:val="center"/>
              <w:rPr>
                <w:rFonts w:hint="eastAsia"/>
              </w:rPr>
            </w:pPr>
            <w:r>
              <w:rPr>
                <w:rFonts w:hint="eastAsia"/>
              </w:rPr>
              <w:t>产品经理</w:t>
            </w:r>
          </w:p>
        </w:tc>
        <w:tc>
          <w:tcPr>
            <w:tcW w:w="1740" w:type="dxa"/>
            <w:vAlign w:val="center"/>
          </w:tcPr>
          <w:p w14:paraId="4F1A0523">
            <w:pPr>
              <w:widowControl/>
              <w:spacing w:line="240" w:lineRule="auto"/>
              <w:ind w:firstLine="0" w:firstLineChars="0"/>
              <w:jc w:val="center"/>
              <w:rPr>
                <w:rFonts w:hint="eastAsia"/>
              </w:rPr>
            </w:pPr>
            <w:r>
              <w:rPr>
                <w:rFonts w:hint="eastAsia"/>
              </w:rPr>
              <w:t>负责项目需求评估与产品设计</w:t>
            </w:r>
          </w:p>
        </w:tc>
        <w:tc>
          <w:tcPr>
            <w:tcW w:w="1152" w:type="dxa"/>
            <w:noWrap/>
            <w:vAlign w:val="center"/>
          </w:tcPr>
          <w:p w14:paraId="2B6F1371">
            <w:pPr>
              <w:widowControl/>
              <w:spacing w:line="240" w:lineRule="auto"/>
              <w:ind w:firstLine="0" w:firstLineChars="0"/>
              <w:jc w:val="center"/>
              <w:rPr>
                <w:rFonts w:hint="eastAsia"/>
              </w:rPr>
            </w:pPr>
            <w:r>
              <w:rPr>
                <w:rFonts w:hint="eastAsia"/>
              </w:rPr>
              <w:t>1人</w:t>
            </w:r>
          </w:p>
        </w:tc>
        <w:tc>
          <w:tcPr>
            <w:tcW w:w="2460" w:type="dxa"/>
            <w:vAlign w:val="center"/>
          </w:tcPr>
          <w:p w14:paraId="1CCCAD71">
            <w:pPr>
              <w:widowControl/>
              <w:spacing w:line="240" w:lineRule="auto"/>
              <w:ind w:firstLine="0" w:firstLineChars="0"/>
              <w:jc w:val="center"/>
              <w:rPr>
                <w:rFonts w:hint="eastAsia"/>
              </w:rPr>
            </w:pPr>
          </w:p>
        </w:tc>
        <w:tc>
          <w:tcPr>
            <w:tcW w:w="2063" w:type="dxa"/>
            <w:noWrap/>
            <w:vAlign w:val="center"/>
          </w:tcPr>
          <w:p w14:paraId="5580287E">
            <w:pPr>
              <w:widowControl/>
              <w:spacing w:line="240" w:lineRule="auto"/>
              <w:ind w:firstLine="0" w:firstLineChars="0"/>
              <w:jc w:val="center"/>
              <w:rPr>
                <w:rFonts w:hint="eastAsia"/>
              </w:rPr>
            </w:pPr>
            <w:r>
              <w:rPr>
                <w:rFonts w:hint="eastAsia"/>
              </w:rPr>
              <w:t>驻场</w:t>
            </w:r>
          </w:p>
        </w:tc>
      </w:tr>
      <w:tr w14:paraId="77A2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7" w:type="dxa"/>
            <w:noWrap/>
            <w:vAlign w:val="center"/>
          </w:tcPr>
          <w:p w14:paraId="0E059E03">
            <w:pPr>
              <w:widowControl/>
              <w:spacing w:line="240" w:lineRule="auto"/>
              <w:ind w:firstLine="0" w:firstLineChars="0"/>
              <w:jc w:val="center"/>
              <w:rPr>
                <w:rFonts w:hint="eastAsia"/>
              </w:rPr>
            </w:pPr>
            <w:r>
              <w:rPr>
                <w:rFonts w:hint="eastAsia"/>
              </w:rPr>
              <w:t>研发</w:t>
            </w:r>
          </w:p>
        </w:tc>
        <w:tc>
          <w:tcPr>
            <w:tcW w:w="1740" w:type="dxa"/>
            <w:noWrap/>
            <w:vAlign w:val="center"/>
          </w:tcPr>
          <w:p w14:paraId="007E71AC">
            <w:pPr>
              <w:widowControl/>
              <w:spacing w:line="240" w:lineRule="auto"/>
              <w:ind w:firstLine="0" w:firstLineChars="0"/>
              <w:jc w:val="center"/>
              <w:rPr>
                <w:rFonts w:hint="eastAsia"/>
              </w:rPr>
            </w:pPr>
            <w:r>
              <w:rPr>
                <w:rFonts w:hint="eastAsia"/>
              </w:rPr>
              <w:t>负责项目具体开发与实施</w:t>
            </w:r>
          </w:p>
        </w:tc>
        <w:tc>
          <w:tcPr>
            <w:tcW w:w="1152" w:type="dxa"/>
            <w:noWrap/>
            <w:vAlign w:val="center"/>
          </w:tcPr>
          <w:p w14:paraId="0DA5AA26">
            <w:pPr>
              <w:widowControl/>
              <w:spacing w:line="240" w:lineRule="auto"/>
              <w:ind w:firstLine="0" w:firstLineChars="0"/>
              <w:jc w:val="center"/>
              <w:rPr>
                <w:rFonts w:hint="eastAsia"/>
              </w:rPr>
            </w:pPr>
            <w:r>
              <w:rPr>
                <w:rFonts w:hint="eastAsia"/>
              </w:rPr>
              <w:t>3人</w:t>
            </w:r>
          </w:p>
        </w:tc>
        <w:tc>
          <w:tcPr>
            <w:tcW w:w="2460" w:type="dxa"/>
            <w:vAlign w:val="center"/>
          </w:tcPr>
          <w:p w14:paraId="3805EE27">
            <w:pPr>
              <w:widowControl/>
              <w:spacing w:line="240" w:lineRule="auto"/>
              <w:ind w:firstLine="0" w:firstLineChars="0"/>
              <w:jc w:val="center"/>
              <w:rPr>
                <w:rFonts w:hint="eastAsia"/>
              </w:rPr>
            </w:pPr>
          </w:p>
        </w:tc>
        <w:tc>
          <w:tcPr>
            <w:tcW w:w="2063" w:type="dxa"/>
            <w:noWrap/>
            <w:vAlign w:val="center"/>
          </w:tcPr>
          <w:p w14:paraId="705790F2">
            <w:pPr>
              <w:widowControl/>
              <w:spacing w:line="240" w:lineRule="auto"/>
              <w:ind w:firstLine="0" w:firstLineChars="0"/>
              <w:jc w:val="center"/>
              <w:rPr>
                <w:rFonts w:hint="eastAsia"/>
              </w:rPr>
            </w:pPr>
            <w:r>
              <w:rPr>
                <w:rFonts w:hint="eastAsia"/>
              </w:rPr>
              <w:t>至少1人驻场</w:t>
            </w:r>
          </w:p>
        </w:tc>
      </w:tr>
      <w:tr w14:paraId="2768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7" w:type="dxa"/>
            <w:noWrap/>
            <w:vAlign w:val="center"/>
          </w:tcPr>
          <w:p w14:paraId="29344F29">
            <w:pPr>
              <w:widowControl/>
              <w:spacing w:line="240" w:lineRule="auto"/>
              <w:ind w:firstLine="0" w:firstLineChars="0"/>
              <w:jc w:val="center"/>
              <w:rPr>
                <w:rFonts w:hint="eastAsia"/>
              </w:rPr>
            </w:pPr>
            <w:r>
              <w:rPr>
                <w:rFonts w:hint="eastAsia"/>
              </w:rPr>
              <w:t>实施</w:t>
            </w:r>
          </w:p>
        </w:tc>
        <w:tc>
          <w:tcPr>
            <w:tcW w:w="1740" w:type="dxa"/>
            <w:noWrap/>
            <w:vAlign w:val="center"/>
          </w:tcPr>
          <w:p w14:paraId="17479056">
            <w:pPr>
              <w:widowControl/>
              <w:spacing w:line="240" w:lineRule="auto"/>
              <w:ind w:firstLine="0" w:firstLineChars="0"/>
              <w:jc w:val="center"/>
              <w:rPr>
                <w:rFonts w:hint="eastAsia"/>
              </w:rPr>
            </w:pPr>
            <w:r>
              <w:rPr>
                <w:rFonts w:hint="eastAsia"/>
              </w:rPr>
              <w:t>负责项目实施服务</w:t>
            </w:r>
          </w:p>
        </w:tc>
        <w:tc>
          <w:tcPr>
            <w:tcW w:w="1152" w:type="dxa"/>
            <w:noWrap/>
            <w:vAlign w:val="center"/>
          </w:tcPr>
          <w:p w14:paraId="6E1E4D40">
            <w:pPr>
              <w:widowControl/>
              <w:spacing w:line="240" w:lineRule="auto"/>
              <w:ind w:firstLine="0" w:firstLineChars="0"/>
              <w:jc w:val="center"/>
              <w:rPr>
                <w:rFonts w:hint="eastAsia"/>
              </w:rPr>
            </w:pPr>
            <w:r>
              <w:rPr>
                <w:rFonts w:hint="eastAsia"/>
              </w:rPr>
              <w:t>不少于4人</w:t>
            </w:r>
          </w:p>
        </w:tc>
        <w:tc>
          <w:tcPr>
            <w:tcW w:w="2460" w:type="dxa"/>
            <w:vAlign w:val="center"/>
          </w:tcPr>
          <w:p w14:paraId="496ECE69">
            <w:pPr>
              <w:widowControl/>
              <w:spacing w:line="240" w:lineRule="auto"/>
              <w:ind w:firstLine="0" w:firstLineChars="0"/>
              <w:jc w:val="center"/>
              <w:rPr>
                <w:rFonts w:hint="eastAsia"/>
              </w:rPr>
            </w:pPr>
          </w:p>
        </w:tc>
        <w:tc>
          <w:tcPr>
            <w:tcW w:w="2063" w:type="dxa"/>
            <w:noWrap/>
            <w:vAlign w:val="center"/>
          </w:tcPr>
          <w:p w14:paraId="591B47A5">
            <w:pPr>
              <w:widowControl/>
              <w:spacing w:line="240" w:lineRule="auto"/>
              <w:ind w:firstLine="0" w:firstLineChars="0"/>
              <w:jc w:val="center"/>
              <w:rPr>
                <w:rFonts w:hint="eastAsia"/>
              </w:rPr>
            </w:pPr>
            <w:r>
              <w:rPr>
                <w:rFonts w:hint="eastAsia"/>
              </w:rPr>
              <w:t>至少1人驻场</w:t>
            </w:r>
          </w:p>
        </w:tc>
      </w:tr>
    </w:tbl>
    <w:p w14:paraId="7BEF6DAE">
      <w:pPr>
        <w:rPr>
          <w:rFonts w:hint="eastAsia"/>
        </w:rPr>
      </w:pPr>
      <w:r>
        <w:t>2）投标人应针对本项目提供不少于</w:t>
      </w:r>
      <w:r>
        <w:rPr>
          <w:rFonts w:hint="eastAsia"/>
        </w:rPr>
        <w:t>3</w:t>
      </w:r>
      <w:r>
        <w:t>人的质保期间支撑团队（其中技术经理</w:t>
      </w:r>
      <w:r>
        <w:rPr>
          <w:rFonts w:hint="eastAsia"/>
        </w:rPr>
        <w:t>1</w:t>
      </w:r>
      <w:r>
        <w:t>人，产品经理</w:t>
      </w:r>
      <w:r>
        <w:rPr>
          <w:rFonts w:hint="eastAsia"/>
        </w:rPr>
        <w:t>1</w:t>
      </w:r>
      <w:r>
        <w:t>人，技术工程师不少于</w:t>
      </w:r>
      <w:r>
        <w:rPr>
          <w:rFonts w:hint="eastAsia"/>
        </w:rPr>
        <w:t>1</w:t>
      </w:r>
      <w:r>
        <w:t>人）；投标人的相关服务人员需具备相应的服务能力，需提供相关证明（最近一个季度依法缴纳社保费的证明）。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410"/>
        <w:gridCol w:w="1180"/>
        <w:gridCol w:w="2342"/>
        <w:gridCol w:w="1180"/>
      </w:tblGrid>
      <w:tr w14:paraId="7F24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65DD2467">
            <w:pPr>
              <w:widowControl/>
              <w:spacing w:line="240" w:lineRule="auto"/>
              <w:ind w:firstLine="0" w:firstLineChars="0"/>
              <w:jc w:val="center"/>
              <w:rPr>
                <w:rFonts w:hint="eastAsia"/>
                <w:b/>
              </w:rPr>
            </w:pPr>
            <w:r>
              <w:rPr>
                <w:rFonts w:hint="eastAsia"/>
                <w:b/>
              </w:rPr>
              <w:t>角色</w:t>
            </w:r>
          </w:p>
        </w:tc>
        <w:tc>
          <w:tcPr>
            <w:tcW w:w="0" w:type="auto"/>
            <w:noWrap/>
            <w:vAlign w:val="center"/>
          </w:tcPr>
          <w:p w14:paraId="478423AB">
            <w:pPr>
              <w:widowControl/>
              <w:spacing w:line="240" w:lineRule="auto"/>
              <w:ind w:firstLine="0" w:firstLineChars="0"/>
              <w:jc w:val="center"/>
              <w:rPr>
                <w:rFonts w:hint="eastAsia"/>
                <w:b/>
              </w:rPr>
            </w:pPr>
            <w:r>
              <w:rPr>
                <w:rFonts w:hint="eastAsia"/>
                <w:b/>
              </w:rPr>
              <w:t>主要职责</w:t>
            </w:r>
          </w:p>
        </w:tc>
        <w:tc>
          <w:tcPr>
            <w:tcW w:w="0" w:type="auto"/>
            <w:noWrap/>
            <w:vAlign w:val="center"/>
          </w:tcPr>
          <w:p w14:paraId="5FF2A945">
            <w:pPr>
              <w:widowControl/>
              <w:spacing w:line="240" w:lineRule="auto"/>
              <w:ind w:firstLine="0" w:firstLineChars="0"/>
              <w:jc w:val="center"/>
              <w:rPr>
                <w:rFonts w:hint="eastAsia"/>
                <w:b/>
              </w:rPr>
            </w:pPr>
            <w:r>
              <w:rPr>
                <w:rFonts w:hint="eastAsia"/>
                <w:b/>
              </w:rPr>
              <w:t>人员数量</w:t>
            </w:r>
          </w:p>
        </w:tc>
        <w:tc>
          <w:tcPr>
            <w:tcW w:w="0" w:type="auto"/>
            <w:vAlign w:val="center"/>
          </w:tcPr>
          <w:p w14:paraId="05EC16EA">
            <w:pPr>
              <w:widowControl/>
              <w:spacing w:line="240" w:lineRule="auto"/>
              <w:ind w:firstLine="0" w:firstLineChars="0"/>
              <w:jc w:val="center"/>
              <w:rPr>
                <w:rFonts w:hint="eastAsia"/>
                <w:b/>
              </w:rPr>
            </w:pPr>
            <w:r>
              <w:rPr>
                <w:rFonts w:hint="eastAsia"/>
                <w:b/>
              </w:rPr>
              <w:t>人员要求</w:t>
            </w:r>
          </w:p>
        </w:tc>
        <w:tc>
          <w:tcPr>
            <w:tcW w:w="0" w:type="auto"/>
            <w:noWrap/>
            <w:vAlign w:val="center"/>
          </w:tcPr>
          <w:p w14:paraId="1893222E">
            <w:pPr>
              <w:widowControl/>
              <w:spacing w:line="240" w:lineRule="auto"/>
              <w:ind w:firstLine="0" w:firstLineChars="0"/>
              <w:jc w:val="center"/>
              <w:rPr>
                <w:rFonts w:hint="eastAsia"/>
                <w:b/>
              </w:rPr>
            </w:pPr>
            <w:r>
              <w:rPr>
                <w:rFonts w:hint="eastAsia"/>
                <w:b/>
              </w:rPr>
              <w:t>驻场要求</w:t>
            </w:r>
          </w:p>
        </w:tc>
      </w:tr>
      <w:tr w14:paraId="790D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0DDBA6AE">
            <w:pPr>
              <w:widowControl/>
              <w:spacing w:line="240" w:lineRule="auto"/>
              <w:ind w:firstLine="0" w:firstLineChars="0"/>
              <w:jc w:val="center"/>
              <w:rPr>
                <w:rFonts w:hint="eastAsia"/>
              </w:rPr>
            </w:pPr>
            <w:r>
              <w:rPr>
                <w:rFonts w:hint="eastAsia"/>
              </w:rPr>
              <w:t>项目经理</w:t>
            </w:r>
          </w:p>
        </w:tc>
        <w:tc>
          <w:tcPr>
            <w:tcW w:w="0" w:type="auto"/>
            <w:vAlign w:val="center"/>
          </w:tcPr>
          <w:p w14:paraId="22189125">
            <w:pPr>
              <w:widowControl/>
              <w:spacing w:line="240" w:lineRule="auto"/>
              <w:ind w:firstLine="0" w:firstLineChars="0"/>
              <w:jc w:val="center"/>
              <w:rPr>
                <w:rFonts w:hint="eastAsia"/>
              </w:rPr>
            </w:pPr>
            <w:r>
              <w:rPr>
                <w:rFonts w:hint="eastAsia"/>
              </w:rPr>
              <w:t>负责项目质量和进度控制</w:t>
            </w:r>
          </w:p>
        </w:tc>
        <w:tc>
          <w:tcPr>
            <w:tcW w:w="0" w:type="auto"/>
            <w:noWrap/>
            <w:vAlign w:val="center"/>
          </w:tcPr>
          <w:p w14:paraId="28F2112F">
            <w:pPr>
              <w:widowControl/>
              <w:spacing w:line="240" w:lineRule="auto"/>
              <w:ind w:firstLine="0" w:firstLineChars="0"/>
              <w:jc w:val="center"/>
              <w:rPr>
                <w:rFonts w:hint="eastAsia"/>
              </w:rPr>
            </w:pPr>
            <w:r>
              <w:rPr>
                <w:rFonts w:hint="eastAsia"/>
              </w:rPr>
              <w:t>1人</w:t>
            </w:r>
          </w:p>
        </w:tc>
        <w:tc>
          <w:tcPr>
            <w:tcW w:w="0" w:type="auto"/>
            <w:vAlign w:val="center"/>
          </w:tcPr>
          <w:p w14:paraId="4BDA1FB3">
            <w:pPr>
              <w:widowControl/>
              <w:spacing w:line="240" w:lineRule="auto"/>
              <w:ind w:firstLine="0" w:firstLineChars="0"/>
              <w:jc w:val="center"/>
              <w:rPr>
                <w:rFonts w:hint="eastAsia"/>
              </w:rPr>
            </w:pPr>
            <w:r>
              <w:rPr>
                <w:rFonts w:hint="eastAsia"/>
              </w:rPr>
              <w:t>信息系统项目管理师、数据库系统工程师，十年以上政务类项目实施经验</w:t>
            </w:r>
          </w:p>
        </w:tc>
        <w:tc>
          <w:tcPr>
            <w:tcW w:w="0" w:type="auto"/>
            <w:noWrap/>
            <w:vAlign w:val="center"/>
          </w:tcPr>
          <w:p w14:paraId="484068BA">
            <w:pPr>
              <w:widowControl/>
              <w:spacing w:line="240" w:lineRule="auto"/>
              <w:ind w:firstLine="0" w:firstLineChars="0"/>
              <w:jc w:val="center"/>
              <w:rPr>
                <w:rFonts w:hint="eastAsia"/>
              </w:rPr>
            </w:pPr>
            <w:r>
              <w:rPr>
                <w:rFonts w:hint="eastAsia"/>
              </w:rPr>
              <w:t>不驻场</w:t>
            </w:r>
          </w:p>
        </w:tc>
      </w:tr>
      <w:tr w14:paraId="2064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736F0D66">
            <w:pPr>
              <w:widowControl/>
              <w:spacing w:line="240" w:lineRule="auto"/>
              <w:ind w:firstLine="0" w:firstLineChars="0"/>
              <w:jc w:val="center"/>
              <w:rPr>
                <w:rFonts w:hint="eastAsia"/>
              </w:rPr>
            </w:pPr>
            <w:r>
              <w:rPr>
                <w:rFonts w:hint="eastAsia"/>
              </w:rPr>
              <w:t>产品经理</w:t>
            </w:r>
          </w:p>
        </w:tc>
        <w:tc>
          <w:tcPr>
            <w:tcW w:w="0" w:type="auto"/>
            <w:vAlign w:val="center"/>
          </w:tcPr>
          <w:p w14:paraId="0022DDFE">
            <w:pPr>
              <w:widowControl/>
              <w:spacing w:line="240" w:lineRule="auto"/>
              <w:ind w:firstLine="0" w:firstLineChars="0"/>
              <w:jc w:val="center"/>
              <w:rPr>
                <w:rFonts w:hint="eastAsia"/>
              </w:rPr>
            </w:pPr>
            <w:r>
              <w:rPr>
                <w:rFonts w:hint="eastAsia"/>
              </w:rPr>
              <w:t>负责项目需求评估与产品设计</w:t>
            </w:r>
          </w:p>
        </w:tc>
        <w:tc>
          <w:tcPr>
            <w:tcW w:w="0" w:type="auto"/>
            <w:noWrap/>
            <w:vAlign w:val="center"/>
          </w:tcPr>
          <w:p w14:paraId="7522D989">
            <w:pPr>
              <w:widowControl/>
              <w:spacing w:line="240" w:lineRule="auto"/>
              <w:ind w:firstLine="0" w:firstLineChars="0"/>
              <w:jc w:val="center"/>
              <w:rPr>
                <w:rFonts w:hint="eastAsia"/>
              </w:rPr>
            </w:pPr>
            <w:r>
              <w:rPr>
                <w:rFonts w:hint="eastAsia"/>
              </w:rPr>
              <w:t>1人</w:t>
            </w:r>
          </w:p>
        </w:tc>
        <w:tc>
          <w:tcPr>
            <w:tcW w:w="0" w:type="auto"/>
            <w:vAlign w:val="center"/>
          </w:tcPr>
          <w:p w14:paraId="1FA6152B">
            <w:pPr>
              <w:widowControl/>
              <w:spacing w:line="240" w:lineRule="auto"/>
              <w:ind w:firstLine="0" w:firstLineChars="0"/>
              <w:jc w:val="center"/>
              <w:rPr>
                <w:rFonts w:hint="eastAsia"/>
              </w:rPr>
            </w:pPr>
          </w:p>
        </w:tc>
        <w:tc>
          <w:tcPr>
            <w:tcW w:w="0" w:type="auto"/>
            <w:noWrap/>
            <w:vAlign w:val="center"/>
          </w:tcPr>
          <w:p w14:paraId="6862D984">
            <w:pPr>
              <w:widowControl/>
              <w:spacing w:line="240" w:lineRule="auto"/>
              <w:ind w:firstLine="0" w:firstLineChars="0"/>
              <w:jc w:val="center"/>
              <w:rPr>
                <w:rFonts w:hint="eastAsia"/>
              </w:rPr>
            </w:pPr>
            <w:r>
              <w:rPr>
                <w:rFonts w:hint="eastAsia"/>
              </w:rPr>
              <w:t>不驻场</w:t>
            </w:r>
          </w:p>
        </w:tc>
      </w:tr>
      <w:tr w14:paraId="6E47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26E4A9EE">
            <w:pPr>
              <w:widowControl/>
              <w:spacing w:line="240" w:lineRule="auto"/>
              <w:ind w:firstLine="0" w:firstLineChars="0"/>
              <w:jc w:val="center"/>
              <w:rPr>
                <w:rFonts w:hint="eastAsia"/>
              </w:rPr>
            </w:pPr>
            <w:r>
              <w:rPr>
                <w:rFonts w:hint="eastAsia"/>
              </w:rPr>
              <w:t>技术工程师</w:t>
            </w:r>
          </w:p>
        </w:tc>
        <w:tc>
          <w:tcPr>
            <w:tcW w:w="0" w:type="auto"/>
            <w:noWrap/>
            <w:vAlign w:val="center"/>
          </w:tcPr>
          <w:p w14:paraId="2DC256EC">
            <w:pPr>
              <w:widowControl/>
              <w:spacing w:line="240" w:lineRule="auto"/>
              <w:ind w:firstLine="0" w:firstLineChars="0"/>
              <w:jc w:val="center"/>
              <w:rPr>
                <w:rFonts w:hint="eastAsia"/>
              </w:rPr>
            </w:pPr>
            <w:r>
              <w:rPr>
                <w:rFonts w:hint="eastAsia"/>
              </w:rPr>
              <w:t>负责项目运行维护</w:t>
            </w:r>
          </w:p>
        </w:tc>
        <w:tc>
          <w:tcPr>
            <w:tcW w:w="0" w:type="auto"/>
            <w:noWrap/>
            <w:vAlign w:val="center"/>
          </w:tcPr>
          <w:p w14:paraId="186FDFD4">
            <w:pPr>
              <w:widowControl/>
              <w:spacing w:line="240" w:lineRule="auto"/>
              <w:ind w:firstLine="0" w:firstLineChars="0"/>
              <w:jc w:val="center"/>
              <w:rPr>
                <w:rFonts w:hint="eastAsia"/>
              </w:rPr>
            </w:pPr>
            <w:r>
              <w:rPr>
                <w:rFonts w:hint="eastAsia"/>
              </w:rPr>
              <w:t>1人</w:t>
            </w:r>
          </w:p>
        </w:tc>
        <w:tc>
          <w:tcPr>
            <w:tcW w:w="0" w:type="auto"/>
            <w:vAlign w:val="center"/>
          </w:tcPr>
          <w:p w14:paraId="28C09838">
            <w:pPr>
              <w:widowControl/>
              <w:spacing w:line="240" w:lineRule="auto"/>
              <w:ind w:firstLine="0" w:firstLineChars="0"/>
              <w:jc w:val="center"/>
              <w:rPr>
                <w:rFonts w:hint="eastAsia"/>
              </w:rPr>
            </w:pPr>
          </w:p>
        </w:tc>
        <w:tc>
          <w:tcPr>
            <w:tcW w:w="0" w:type="auto"/>
            <w:noWrap/>
            <w:vAlign w:val="center"/>
          </w:tcPr>
          <w:p w14:paraId="7189DD01">
            <w:pPr>
              <w:widowControl/>
              <w:spacing w:line="240" w:lineRule="auto"/>
              <w:ind w:firstLine="0" w:firstLineChars="0"/>
              <w:jc w:val="center"/>
              <w:rPr>
                <w:rFonts w:hint="eastAsia"/>
              </w:rPr>
            </w:pPr>
            <w:r>
              <w:rPr>
                <w:rFonts w:hint="eastAsia"/>
              </w:rPr>
              <w:t>驻场</w:t>
            </w:r>
          </w:p>
        </w:tc>
      </w:tr>
    </w:tbl>
    <w:p w14:paraId="583F1B3D">
      <w:pPr>
        <w:pStyle w:val="3"/>
        <w:rPr>
          <w:rFonts w:hint="eastAsia"/>
        </w:rPr>
      </w:pPr>
      <w:bookmarkStart w:id="35" w:name="_Toc63785511"/>
      <w:r>
        <w:t>等级保护要求</w:t>
      </w:r>
      <w:bookmarkEnd w:id="35"/>
    </w:p>
    <w:p w14:paraId="6EBD1600">
      <w:pPr>
        <w:rPr>
          <w:rFonts w:hint="eastAsia"/>
        </w:rPr>
      </w:pPr>
      <w:r>
        <w:t>本项目等级保护要求</w:t>
      </w:r>
      <w:r>
        <w:rPr>
          <w:rFonts w:hint="eastAsia"/>
        </w:rPr>
        <w:t>为三级。</w:t>
      </w:r>
    </w:p>
    <w:p w14:paraId="60718A19">
      <w:pPr>
        <w:pStyle w:val="3"/>
        <w:rPr>
          <w:rFonts w:hint="eastAsia"/>
        </w:rPr>
      </w:pPr>
      <w:r>
        <w:rPr>
          <w:rFonts w:hint="eastAsia"/>
        </w:rPr>
        <w:t>商用密码应用需求</w:t>
      </w:r>
    </w:p>
    <w:p w14:paraId="7FDD14CF">
      <w:pPr>
        <w:rPr>
          <w:rFonts w:hint="eastAsia"/>
        </w:rPr>
      </w:pPr>
      <w:r>
        <w:rPr>
          <w:rFonts w:hint="eastAsia"/>
        </w:rPr>
        <w:t>根据安全风险分析，并对照《密码应用基本要求》中三级指标要求，梳理出本系统密码应用需求清单，如表</w:t>
      </w:r>
      <w:r>
        <w:t>所示。</w:t>
      </w:r>
    </w:p>
    <w:tbl>
      <w:tblPr>
        <w:tblStyle w:val="35"/>
        <w:tblW w:w="0" w:type="auto"/>
        <w:tblInd w:w="96" w:type="dxa"/>
        <w:tblLayout w:type="autofit"/>
        <w:tblCellMar>
          <w:top w:w="0" w:type="dxa"/>
          <w:left w:w="108" w:type="dxa"/>
          <w:bottom w:w="0" w:type="dxa"/>
          <w:right w:w="108" w:type="dxa"/>
        </w:tblCellMar>
      </w:tblPr>
      <w:tblGrid>
        <w:gridCol w:w="886"/>
        <w:gridCol w:w="1698"/>
        <w:gridCol w:w="5848"/>
      </w:tblGrid>
      <w:tr w14:paraId="2813D1D6">
        <w:tblPrEx>
          <w:tblCellMar>
            <w:top w:w="0" w:type="dxa"/>
            <w:left w:w="108" w:type="dxa"/>
            <w:bottom w:w="0" w:type="dxa"/>
            <w:right w:w="108" w:type="dxa"/>
          </w:tblCellMar>
        </w:tblPrEx>
        <w:trPr>
          <w:trHeight w:val="317" w:hRule="atLeast"/>
          <w:tblHeader/>
        </w:trPr>
        <w:tc>
          <w:tcPr>
            <w:tcW w:w="0" w:type="auto"/>
            <w:tcBorders>
              <w:top w:val="single" w:color="000000" w:sz="8" w:space="0"/>
              <w:left w:val="single" w:color="000000" w:sz="8" w:space="0"/>
              <w:bottom w:val="single" w:color="000000" w:sz="8" w:space="0"/>
              <w:right w:val="single" w:color="000000" w:sz="8" w:space="0"/>
            </w:tcBorders>
            <w:vAlign w:val="center"/>
          </w:tcPr>
          <w:p w14:paraId="6D9408C3">
            <w:pPr>
              <w:widowControl/>
              <w:ind w:firstLine="0" w:firstLineChars="0"/>
              <w:jc w:val="center"/>
              <w:textAlignment w:val="center"/>
              <w:rPr>
                <w:rFonts w:hint="eastAsia" w:cs="仿宋" w:asciiTheme="minorEastAsia" w:hAnsiTheme="minorEastAsia" w:eastAsiaTheme="minorEastAsia"/>
                <w:b/>
                <w:bCs/>
                <w:color w:val="000000"/>
              </w:rPr>
            </w:pPr>
            <w:r>
              <w:rPr>
                <w:rFonts w:hint="eastAsia" w:cs="仿宋" w:asciiTheme="minorEastAsia" w:hAnsiTheme="minorEastAsia" w:eastAsiaTheme="minorEastAsia"/>
                <w:b/>
                <w:bCs/>
                <w:color w:val="000000"/>
                <w:kern w:val="0"/>
                <w:lang w:bidi="ar"/>
              </w:rPr>
              <w:t>安全层面</w:t>
            </w:r>
          </w:p>
        </w:tc>
        <w:tc>
          <w:tcPr>
            <w:tcW w:w="0" w:type="auto"/>
            <w:tcBorders>
              <w:top w:val="single" w:color="000000" w:sz="8" w:space="0"/>
              <w:left w:val="nil"/>
              <w:bottom w:val="single" w:color="000000" w:sz="8" w:space="0"/>
              <w:right w:val="single" w:color="000000" w:sz="8" w:space="0"/>
            </w:tcBorders>
            <w:vAlign w:val="center"/>
          </w:tcPr>
          <w:p w14:paraId="60B664C1">
            <w:pPr>
              <w:widowControl/>
              <w:ind w:firstLine="0" w:firstLineChars="0"/>
              <w:jc w:val="center"/>
              <w:textAlignment w:val="center"/>
              <w:rPr>
                <w:rFonts w:hint="eastAsia" w:cs="仿宋" w:asciiTheme="minorEastAsia" w:hAnsiTheme="minorEastAsia" w:eastAsiaTheme="minorEastAsia"/>
                <w:b/>
                <w:bCs/>
                <w:color w:val="000000"/>
              </w:rPr>
            </w:pPr>
            <w:r>
              <w:rPr>
                <w:rFonts w:hint="eastAsia" w:cs="仿宋" w:asciiTheme="minorEastAsia" w:hAnsiTheme="minorEastAsia" w:eastAsiaTheme="minorEastAsia"/>
                <w:b/>
                <w:bCs/>
                <w:color w:val="000000"/>
                <w:kern w:val="0"/>
                <w:lang w:bidi="ar"/>
              </w:rPr>
              <w:t>指标要求</w:t>
            </w:r>
          </w:p>
        </w:tc>
        <w:tc>
          <w:tcPr>
            <w:tcW w:w="0" w:type="auto"/>
            <w:tcBorders>
              <w:top w:val="single" w:color="000000" w:sz="8" w:space="0"/>
              <w:left w:val="nil"/>
              <w:bottom w:val="single" w:color="000000" w:sz="8" w:space="0"/>
              <w:right w:val="single" w:color="000000" w:sz="8" w:space="0"/>
            </w:tcBorders>
            <w:vAlign w:val="center"/>
          </w:tcPr>
          <w:p w14:paraId="6E9480EC">
            <w:pPr>
              <w:widowControl/>
              <w:ind w:firstLine="0" w:firstLineChars="0"/>
              <w:jc w:val="center"/>
              <w:textAlignment w:val="center"/>
              <w:rPr>
                <w:rFonts w:hint="eastAsia" w:cs="仿宋" w:asciiTheme="minorEastAsia" w:hAnsiTheme="minorEastAsia" w:eastAsiaTheme="minorEastAsia"/>
                <w:b/>
                <w:bCs/>
                <w:color w:val="000000"/>
              </w:rPr>
            </w:pPr>
            <w:r>
              <w:rPr>
                <w:rFonts w:hint="eastAsia" w:cs="仿宋" w:asciiTheme="minorEastAsia" w:hAnsiTheme="minorEastAsia" w:eastAsiaTheme="minorEastAsia"/>
                <w:b/>
                <w:bCs/>
                <w:color w:val="000000"/>
                <w:kern w:val="0"/>
                <w:lang w:bidi="ar"/>
              </w:rPr>
              <w:t>系统密码应用需求</w:t>
            </w:r>
          </w:p>
        </w:tc>
      </w:tr>
      <w:tr w14:paraId="123AB6BA">
        <w:tblPrEx>
          <w:tblCellMar>
            <w:top w:w="0" w:type="dxa"/>
            <w:left w:w="108" w:type="dxa"/>
            <w:bottom w:w="0" w:type="dxa"/>
            <w:right w:w="108" w:type="dxa"/>
          </w:tblCellMar>
        </w:tblPrEx>
        <w:trPr>
          <w:trHeight w:val="615" w:hRule="atLeast"/>
        </w:trPr>
        <w:tc>
          <w:tcPr>
            <w:tcW w:w="0" w:type="auto"/>
            <w:vMerge w:val="restart"/>
            <w:tcBorders>
              <w:top w:val="nil"/>
              <w:left w:val="single" w:color="000000" w:sz="8" w:space="0"/>
              <w:bottom w:val="single" w:color="000000" w:sz="8" w:space="0"/>
              <w:right w:val="single" w:color="000000" w:sz="8" w:space="0"/>
            </w:tcBorders>
            <w:vAlign w:val="center"/>
          </w:tcPr>
          <w:p w14:paraId="35DC3511">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网络和通信安全</w:t>
            </w:r>
          </w:p>
        </w:tc>
        <w:tc>
          <w:tcPr>
            <w:tcW w:w="0" w:type="auto"/>
            <w:tcBorders>
              <w:top w:val="nil"/>
              <w:left w:val="nil"/>
              <w:bottom w:val="single" w:color="000000" w:sz="8" w:space="0"/>
              <w:right w:val="single" w:color="000000" w:sz="8" w:space="0"/>
            </w:tcBorders>
            <w:vAlign w:val="center"/>
          </w:tcPr>
          <w:p w14:paraId="471E119B">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身份鉴别</w:t>
            </w:r>
          </w:p>
        </w:tc>
        <w:tc>
          <w:tcPr>
            <w:tcW w:w="0" w:type="auto"/>
            <w:tcBorders>
              <w:top w:val="nil"/>
              <w:left w:val="nil"/>
              <w:bottom w:val="single" w:color="000000" w:sz="8" w:space="0"/>
              <w:right w:val="single" w:color="000000" w:sz="8" w:space="0"/>
            </w:tcBorders>
            <w:vAlign w:val="center"/>
          </w:tcPr>
          <w:p w14:paraId="7E91BA95">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确保终端和服务端通信实体身份的真实性，防止与假冒实体进行通信。</w:t>
            </w:r>
          </w:p>
        </w:tc>
      </w:tr>
      <w:tr w14:paraId="5F2EDD80">
        <w:tblPrEx>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vAlign w:val="center"/>
          </w:tcPr>
          <w:p w14:paraId="42134AD1">
            <w:pPr>
              <w:ind w:firstLine="0" w:firstLineChars="0"/>
              <w:jc w:val="center"/>
              <w:rPr>
                <w:rFonts w:hint="eastAsia" w:cs="仿宋" w:asciiTheme="minorEastAsia" w:hAnsiTheme="minorEastAsia" w:eastAsiaTheme="minorEastAsia"/>
                <w:color w:val="000000"/>
              </w:rPr>
            </w:pPr>
          </w:p>
        </w:tc>
        <w:tc>
          <w:tcPr>
            <w:tcW w:w="0" w:type="auto"/>
            <w:tcBorders>
              <w:top w:val="nil"/>
              <w:left w:val="nil"/>
              <w:bottom w:val="single" w:color="000000" w:sz="8" w:space="0"/>
              <w:right w:val="single" w:color="000000" w:sz="8" w:space="0"/>
            </w:tcBorders>
            <w:vAlign w:val="center"/>
          </w:tcPr>
          <w:p w14:paraId="69E66047">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通信数据完整性</w:t>
            </w:r>
          </w:p>
        </w:tc>
        <w:tc>
          <w:tcPr>
            <w:tcW w:w="0" w:type="auto"/>
            <w:vMerge w:val="restart"/>
            <w:tcBorders>
              <w:top w:val="nil"/>
              <w:left w:val="nil"/>
              <w:bottom w:val="single" w:color="000000" w:sz="8" w:space="0"/>
              <w:right w:val="single" w:color="000000" w:sz="8" w:space="0"/>
            </w:tcBorders>
            <w:vAlign w:val="center"/>
          </w:tcPr>
          <w:p w14:paraId="765730E5">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保证终端与平台服务器端通信过程中业务数据的机密性与完整性，防止数据泄露或被非授权篡改。</w:t>
            </w:r>
          </w:p>
        </w:tc>
      </w:tr>
      <w:tr w14:paraId="319C3A35">
        <w:tblPrEx>
          <w:tblCellMar>
            <w:top w:w="0" w:type="dxa"/>
            <w:left w:w="108" w:type="dxa"/>
            <w:bottom w:w="0" w:type="dxa"/>
            <w:right w:w="108" w:type="dxa"/>
          </w:tblCellMar>
        </w:tblPrEx>
        <w:trPr>
          <w:trHeight w:val="615" w:hRule="atLeast"/>
        </w:trPr>
        <w:tc>
          <w:tcPr>
            <w:tcW w:w="0" w:type="auto"/>
            <w:vMerge w:val="continue"/>
            <w:tcBorders>
              <w:top w:val="nil"/>
              <w:left w:val="single" w:color="000000" w:sz="8" w:space="0"/>
              <w:bottom w:val="single" w:color="000000" w:sz="8" w:space="0"/>
              <w:right w:val="single" w:color="000000" w:sz="8" w:space="0"/>
            </w:tcBorders>
            <w:vAlign w:val="center"/>
          </w:tcPr>
          <w:p w14:paraId="58F3EDA5">
            <w:pPr>
              <w:ind w:firstLine="0" w:firstLineChars="0"/>
              <w:jc w:val="center"/>
              <w:rPr>
                <w:rFonts w:hint="eastAsia" w:cs="仿宋" w:asciiTheme="minorEastAsia" w:hAnsiTheme="minorEastAsia" w:eastAsiaTheme="minorEastAsia"/>
                <w:color w:val="000000"/>
              </w:rPr>
            </w:pPr>
          </w:p>
        </w:tc>
        <w:tc>
          <w:tcPr>
            <w:tcW w:w="0" w:type="auto"/>
            <w:tcBorders>
              <w:top w:val="nil"/>
              <w:left w:val="nil"/>
              <w:bottom w:val="single" w:color="000000" w:sz="8" w:space="0"/>
              <w:right w:val="single" w:color="000000" w:sz="8" w:space="0"/>
            </w:tcBorders>
            <w:vAlign w:val="center"/>
          </w:tcPr>
          <w:p w14:paraId="01257CA4">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敏感信息或通信报文的机密性</w:t>
            </w:r>
          </w:p>
        </w:tc>
        <w:tc>
          <w:tcPr>
            <w:tcW w:w="0" w:type="auto"/>
            <w:vMerge w:val="continue"/>
            <w:tcBorders>
              <w:top w:val="nil"/>
              <w:left w:val="nil"/>
              <w:bottom w:val="single" w:color="000000" w:sz="8" w:space="0"/>
              <w:right w:val="single" w:color="000000" w:sz="8" w:space="0"/>
            </w:tcBorders>
            <w:vAlign w:val="center"/>
          </w:tcPr>
          <w:p w14:paraId="5CCB5A50">
            <w:pPr>
              <w:ind w:firstLine="0" w:firstLineChars="0"/>
              <w:jc w:val="center"/>
              <w:rPr>
                <w:rFonts w:hint="eastAsia" w:cs="仿宋" w:asciiTheme="minorEastAsia" w:hAnsiTheme="minorEastAsia" w:eastAsiaTheme="minorEastAsia"/>
                <w:color w:val="000000"/>
              </w:rPr>
            </w:pPr>
          </w:p>
        </w:tc>
      </w:tr>
      <w:tr w14:paraId="1658B485">
        <w:tblPrEx>
          <w:tblCellMar>
            <w:top w:w="0" w:type="dxa"/>
            <w:left w:w="108" w:type="dxa"/>
            <w:bottom w:w="0" w:type="dxa"/>
            <w:right w:w="108" w:type="dxa"/>
          </w:tblCellMar>
        </w:tblPrEx>
        <w:trPr>
          <w:trHeight w:val="615" w:hRule="atLeast"/>
        </w:trPr>
        <w:tc>
          <w:tcPr>
            <w:tcW w:w="0" w:type="auto"/>
            <w:vMerge w:val="continue"/>
            <w:tcBorders>
              <w:top w:val="nil"/>
              <w:left w:val="single" w:color="000000" w:sz="8" w:space="0"/>
              <w:bottom w:val="single" w:color="000000" w:sz="8" w:space="0"/>
              <w:right w:val="single" w:color="000000" w:sz="8" w:space="0"/>
            </w:tcBorders>
            <w:vAlign w:val="center"/>
          </w:tcPr>
          <w:p w14:paraId="01E4C842">
            <w:pPr>
              <w:ind w:firstLine="0" w:firstLineChars="0"/>
              <w:jc w:val="center"/>
              <w:rPr>
                <w:rFonts w:hint="eastAsia" w:cs="仿宋" w:asciiTheme="minorEastAsia" w:hAnsiTheme="minorEastAsia" w:eastAsiaTheme="minorEastAsia"/>
                <w:color w:val="000000"/>
              </w:rPr>
            </w:pPr>
          </w:p>
        </w:tc>
        <w:tc>
          <w:tcPr>
            <w:tcW w:w="0" w:type="auto"/>
            <w:tcBorders>
              <w:top w:val="nil"/>
              <w:left w:val="nil"/>
              <w:bottom w:val="single" w:color="000000" w:sz="8" w:space="0"/>
              <w:right w:val="single" w:color="000000" w:sz="8" w:space="0"/>
            </w:tcBorders>
            <w:vAlign w:val="center"/>
          </w:tcPr>
          <w:p w14:paraId="3E02E6FB">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网络边界访问控制信息的完整性</w:t>
            </w:r>
          </w:p>
        </w:tc>
        <w:tc>
          <w:tcPr>
            <w:tcW w:w="0" w:type="auto"/>
            <w:tcBorders>
              <w:top w:val="nil"/>
              <w:left w:val="nil"/>
              <w:bottom w:val="single" w:color="000000" w:sz="8" w:space="0"/>
              <w:right w:val="single" w:color="000000" w:sz="8" w:space="0"/>
            </w:tcBorders>
            <w:vAlign w:val="center"/>
          </w:tcPr>
          <w:p w14:paraId="4DE91DCD">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采用密码技术保证网络边界访问控制信息的完整性，防止访问控制信息被非法篡改</w:t>
            </w:r>
          </w:p>
        </w:tc>
      </w:tr>
      <w:tr w14:paraId="30AA3A2B">
        <w:tblPrEx>
          <w:tblCellMar>
            <w:top w:w="0" w:type="dxa"/>
            <w:left w:w="108" w:type="dxa"/>
            <w:bottom w:w="0" w:type="dxa"/>
            <w:right w:w="108" w:type="dxa"/>
          </w:tblCellMar>
        </w:tblPrEx>
        <w:trPr>
          <w:trHeight w:val="615" w:hRule="atLeast"/>
        </w:trPr>
        <w:tc>
          <w:tcPr>
            <w:tcW w:w="0" w:type="auto"/>
            <w:vMerge w:val="restart"/>
            <w:tcBorders>
              <w:top w:val="nil"/>
              <w:left w:val="single" w:color="000000" w:sz="8" w:space="0"/>
              <w:bottom w:val="single" w:color="000000" w:sz="8" w:space="0"/>
              <w:right w:val="single" w:color="000000" w:sz="8" w:space="0"/>
            </w:tcBorders>
            <w:vAlign w:val="center"/>
          </w:tcPr>
          <w:p w14:paraId="0EB50A5A">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设备和计算安全</w:t>
            </w:r>
          </w:p>
        </w:tc>
        <w:tc>
          <w:tcPr>
            <w:tcW w:w="0" w:type="auto"/>
            <w:tcBorders>
              <w:top w:val="nil"/>
              <w:left w:val="nil"/>
              <w:bottom w:val="single" w:color="000000" w:sz="8" w:space="0"/>
              <w:right w:val="single" w:color="000000" w:sz="8" w:space="0"/>
            </w:tcBorders>
            <w:vAlign w:val="center"/>
          </w:tcPr>
          <w:p w14:paraId="2F397DD0">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身份鉴别</w:t>
            </w:r>
          </w:p>
        </w:tc>
        <w:tc>
          <w:tcPr>
            <w:tcW w:w="0" w:type="auto"/>
            <w:tcBorders>
              <w:top w:val="nil"/>
              <w:left w:val="nil"/>
              <w:bottom w:val="single" w:color="000000" w:sz="8" w:space="0"/>
              <w:right w:val="single" w:color="000000" w:sz="8" w:space="0"/>
            </w:tcBorders>
            <w:vAlign w:val="center"/>
          </w:tcPr>
          <w:p w14:paraId="43FC5F0D">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对使用政务办公网PC端浏览器登录的管理员的身份真实性进行识别和确认，防止假冒人员登录</w:t>
            </w:r>
          </w:p>
        </w:tc>
      </w:tr>
      <w:tr w14:paraId="2079A7D3">
        <w:tblPrEx>
          <w:tblCellMar>
            <w:top w:w="0" w:type="dxa"/>
            <w:left w:w="108" w:type="dxa"/>
            <w:bottom w:w="0" w:type="dxa"/>
            <w:right w:w="108" w:type="dxa"/>
          </w:tblCellMar>
        </w:tblPrEx>
        <w:trPr>
          <w:trHeight w:val="615" w:hRule="atLeast"/>
        </w:trPr>
        <w:tc>
          <w:tcPr>
            <w:tcW w:w="0" w:type="auto"/>
            <w:vMerge w:val="continue"/>
            <w:tcBorders>
              <w:top w:val="nil"/>
              <w:left w:val="single" w:color="000000" w:sz="8" w:space="0"/>
              <w:bottom w:val="single" w:color="000000" w:sz="8" w:space="0"/>
              <w:right w:val="single" w:color="000000" w:sz="8" w:space="0"/>
            </w:tcBorders>
            <w:vAlign w:val="center"/>
          </w:tcPr>
          <w:p w14:paraId="304891A3">
            <w:pPr>
              <w:ind w:firstLine="0" w:firstLineChars="0"/>
              <w:jc w:val="center"/>
              <w:rPr>
                <w:rFonts w:hint="eastAsia" w:cs="仿宋" w:asciiTheme="minorEastAsia" w:hAnsiTheme="minorEastAsia" w:eastAsiaTheme="minorEastAsia"/>
                <w:color w:val="000000"/>
              </w:rPr>
            </w:pPr>
          </w:p>
        </w:tc>
        <w:tc>
          <w:tcPr>
            <w:tcW w:w="0" w:type="auto"/>
            <w:tcBorders>
              <w:top w:val="nil"/>
              <w:left w:val="nil"/>
              <w:bottom w:val="single" w:color="000000" w:sz="8" w:space="0"/>
              <w:right w:val="single" w:color="000000" w:sz="8" w:space="0"/>
            </w:tcBorders>
            <w:vAlign w:val="center"/>
          </w:tcPr>
          <w:p w14:paraId="051578B3">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远程管理通道安全</w:t>
            </w:r>
          </w:p>
        </w:tc>
        <w:tc>
          <w:tcPr>
            <w:tcW w:w="0" w:type="auto"/>
            <w:tcBorders>
              <w:top w:val="nil"/>
              <w:left w:val="nil"/>
              <w:bottom w:val="single" w:color="000000" w:sz="8" w:space="0"/>
              <w:right w:val="single" w:color="000000" w:sz="8" w:space="0"/>
            </w:tcBorders>
            <w:vAlign w:val="center"/>
          </w:tcPr>
          <w:p w14:paraId="1794FA81">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对服务器虚拟机等设备的远程运维管理通道进行保护，防止鉴别信息泄漏。</w:t>
            </w:r>
          </w:p>
        </w:tc>
      </w:tr>
      <w:tr w14:paraId="23AC070F">
        <w:tblPrEx>
          <w:tblCellMar>
            <w:top w:w="0" w:type="dxa"/>
            <w:left w:w="108" w:type="dxa"/>
            <w:bottom w:w="0" w:type="dxa"/>
            <w:right w:w="108" w:type="dxa"/>
          </w:tblCellMar>
        </w:tblPrEx>
        <w:trPr>
          <w:trHeight w:val="615" w:hRule="atLeast"/>
        </w:trPr>
        <w:tc>
          <w:tcPr>
            <w:tcW w:w="0" w:type="auto"/>
            <w:vMerge w:val="continue"/>
            <w:tcBorders>
              <w:top w:val="nil"/>
              <w:left w:val="single" w:color="000000" w:sz="8" w:space="0"/>
              <w:bottom w:val="single" w:color="000000" w:sz="8" w:space="0"/>
              <w:right w:val="single" w:color="000000" w:sz="8" w:space="0"/>
            </w:tcBorders>
            <w:vAlign w:val="center"/>
          </w:tcPr>
          <w:p w14:paraId="01D608CC">
            <w:pPr>
              <w:ind w:firstLine="0" w:firstLineChars="0"/>
              <w:jc w:val="center"/>
              <w:rPr>
                <w:rFonts w:hint="eastAsia" w:cs="仿宋" w:asciiTheme="minorEastAsia" w:hAnsiTheme="minorEastAsia" w:eastAsiaTheme="minorEastAsia"/>
                <w:color w:val="000000"/>
              </w:rPr>
            </w:pPr>
          </w:p>
        </w:tc>
        <w:tc>
          <w:tcPr>
            <w:tcW w:w="0" w:type="auto"/>
            <w:tcBorders>
              <w:top w:val="nil"/>
              <w:left w:val="nil"/>
              <w:bottom w:val="single" w:color="000000" w:sz="8" w:space="0"/>
              <w:right w:val="single" w:color="000000" w:sz="8" w:space="0"/>
            </w:tcBorders>
            <w:vAlign w:val="center"/>
          </w:tcPr>
          <w:p w14:paraId="116DEE1F">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系统资源访问控制信息完整性</w:t>
            </w:r>
          </w:p>
        </w:tc>
        <w:tc>
          <w:tcPr>
            <w:tcW w:w="0" w:type="auto"/>
            <w:tcBorders>
              <w:top w:val="nil"/>
              <w:left w:val="nil"/>
              <w:bottom w:val="single" w:color="000000" w:sz="8" w:space="0"/>
              <w:right w:val="single" w:color="000000" w:sz="8" w:space="0"/>
            </w:tcBorders>
            <w:vAlign w:val="center"/>
          </w:tcPr>
          <w:p w14:paraId="48B7192B">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保护计算机、服务器等设备中的系统资源访问控制信息的完整性，防止被非授权篡改</w:t>
            </w:r>
          </w:p>
        </w:tc>
      </w:tr>
      <w:tr w14:paraId="2D9545CA">
        <w:tblPrEx>
          <w:tblCellMar>
            <w:top w:w="0" w:type="dxa"/>
            <w:left w:w="108" w:type="dxa"/>
            <w:bottom w:w="0" w:type="dxa"/>
            <w:right w:w="108" w:type="dxa"/>
          </w:tblCellMar>
        </w:tblPrEx>
        <w:trPr>
          <w:trHeight w:val="615" w:hRule="atLeast"/>
        </w:trPr>
        <w:tc>
          <w:tcPr>
            <w:tcW w:w="0" w:type="auto"/>
            <w:vMerge w:val="continue"/>
            <w:tcBorders>
              <w:top w:val="nil"/>
              <w:left w:val="single" w:color="000000" w:sz="8" w:space="0"/>
              <w:bottom w:val="single" w:color="000000" w:sz="8" w:space="0"/>
              <w:right w:val="single" w:color="000000" w:sz="8" w:space="0"/>
            </w:tcBorders>
            <w:vAlign w:val="center"/>
          </w:tcPr>
          <w:p w14:paraId="484E7D26">
            <w:pPr>
              <w:ind w:firstLine="0" w:firstLineChars="0"/>
              <w:jc w:val="center"/>
              <w:rPr>
                <w:rFonts w:hint="eastAsia" w:cs="仿宋" w:asciiTheme="minorEastAsia" w:hAnsiTheme="minorEastAsia" w:eastAsiaTheme="minorEastAsia"/>
                <w:color w:val="000000"/>
              </w:rPr>
            </w:pPr>
          </w:p>
        </w:tc>
        <w:tc>
          <w:tcPr>
            <w:tcW w:w="0" w:type="auto"/>
            <w:tcBorders>
              <w:top w:val="nil"/>
              <w:left w:val="nil"/>
              <w:bottom w:val="single" w:color="000000" w:sz="8" w:space="0"/>
              <w:right w:val="single" w:color="000000" w:sz="8" w:space="0"/>
            </w:tcBorders>
            <w:vAlign w:val="center"/>
          </w:tcPr>
          <w:p w14:paraId="6256024C">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日志记录完整性</w:t>
            </w:r>
          </w:p>
        </w:tc>
        <w:tc>
          <w:tcPr>
            <w:tcW w:w="0" w:type="auto"/>
            <w:tcBorders>
              <w:top w:val="nil"/>
              <w:left w:val="nil"/>
              <w:bottom w:val="single" w:color="000000" w:sz="8" w:space="0"/>
              <w:right w:val="single" w:color="000000" w:sz="8" w:space="0"/>
            </w:tcBorders>
            <w:vAlign w:val="center"/>
          </w:tcPr>
          <w:p w14:paraId="7ABD83E7">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保护计算机、服务器等设备中的日志记录的完整性，防止被非授权篡改</w:t>
            </w:r>
          </w:p>
        </w:tc>
      </w:tr>
      <w:tr w14:paraId="516A990A">
        <w:tblPrEx>
          <w:tblCellMar>
            <w:top w:w="0" w:type="dxa"/>
            <w:left w:w="108" w:type="dxa"/>
            <w:bottom w:w="0" w:type="dxa"/>
            <w:right w:w="108" w:type="dxa"/>
          </w:tblCellMar>
        </w:tblPrEx>
        <w:trPr>
          <w:trHeight w:val="615" w:hRule="atLeast"/>
        </w:trPr>
        <w:tc>
          <w:tcPr>
            <w:tcW w:w="0" w:type="auto"/>
            <w:vMerge w:val="continue"/>
            <w:tcBorders>
              <w:top w:val="nil"/>
              <w:left w:val="single" w:color="000000" w:sz="8" w:space="0"/>
              <w:bottom w:val="single" w:color="000000" w:sz="8" w:space="0"/>
              <w:right w:val="single" w:color="000000" w:sz="8" w:space="0"/>
            </w:tcBorders>
            <w:vAlign w:val="center"/>
          </w:tcPr>
          <w:p w14:paraId="18B15F48">
            <w:pPr>
              <w:ind w:firstLine="0" w:firstLineChars="0"/>
              <w:jc w:val="center"/>
              <w:rPr>
                <w:rFonts w:hint="eastAsia" w:cs="仿宋" w:asciiTheme="minorEastAsia" w:hAnsiTheme="minorEastAsia" w:eastAsiaTheme="minorEastAsia"/>
                <w:color w:val="000000"/>
              </w:rPr>
            </w:pPr>
          </w:p>
        </w:tc>
        <w:tc>
          <w:tcPr>
            <w:tcW w:w="0" w:type="auto"/>
            <w:tcBorders>
              <w:top w:val="nil"/>
              <w:left w:val="nil"/>
              <w:bottom w:val="single" w:color="000000" w:sz="8" w:space="0"/>
              <w:right w:val="single" w:color="000000" w:sz="8" w:space="0"/>
            </w:tcBorders>
            <w:vAlign w:val="center"/>
          </w:tcPr>
          <w:p w14:paraId="2B999593">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重要可执行程序完整性、来源真实性</w:t>
            </w:r>
          </w:p>
        </w:tc>
        <w:tc>
          <w:tcPr>
            <w:tcW w:w="0" w:type="auto"/>
            <w:tcBorders>
              <w:top w:val="nil"/>
              <w:left w:val="nil"/>
              <w:bottom w:val="single" w:color="000000" w:sz="8" w:space="0"/>
              <w:right w:val="single" w:color="000000" w:sz="8" w:space="0"/>
            </w:tcBorders>
            <w:vAlign w:val="center"/>
          </w:tcPr>
          <w:p w14:paraId="31915725">
            <w:pPr>
              <w:widowControl/>
              <w:ind w:firstLine="0" w:firstLineChars="0"/>
              <w:jc w:val="center"/>
              <w:textAlignment w:val="center"/>
              <w:rPr>
                <w:rFonts w:hint="eastAsia" w:cs="仿宋" w:asciiTheme="minorEastAsia" w:hAnsiTheme="minorEastAsia" w:eastAsiaTheme="minorEastAsia"/>
                <w:color w:val="000000"/>
              </w:rPr>
            </w:pPr>
            <w:r>
              <w:rPr>
                <w:rStyle w:val="74"/>
                <w:rFonts w:hint="default" w:cs="仿宋" w:asciiTheme="minorEastAsia" w:hAnsiTheme="minorEastAsia" w:eastAsiaTheme="minorEastAsia"/>
                <w:sz w:val="24"/>
                <w:szCs w:val="24"/>
                <w:lang w:bidi="ar"/>
              </w:rPr>
              <w:t>保护应用服务器虚拟机等设备中重要可执行程序的完整性和来源真实性，防止被非授权篡改。</w:t>
            </w:r>
          </w:p>
        </w:tc>
      </w:tr>
      <w:tr w14:paraId="274B5E17">
        <w:tblPrEx>
          <w:tblCellMar>
            <w:top w:w="0" w:type="dxa"/>
            <w:left w:w="108" w:type="dxa"/>
            <w:bottom w:w="0" w:type="dxa"/>
            <w:right w:w="108" w:type="dxa"/>
          </w:tblCellMar>
        </w:tblPrEx>
        <w:trPr>
          <w:trHeight w:val="615" w:hRule="atLeast"/>
        </w:trPr>
        <w:tc>
          <w:tcPr>
            <w:tcW w:w="0" w:type="auto"/>
            <w:vMerge w:val="restart"/>
            <w:tcBorders>
              <w:top w:val="nil"/>
              <w:left w:val="single" w:color="000000" w:sz="8" w:space="0"/>
              <w:bottom w:val="single" w:color="000000" w:sz="8" w:space="0"/>
              <w:right w:val="single" w:color="000000" w:sz="8" w:space="0"/>
            </w:tcBorders>
            <w:vAlign w:val="center"/>
          </w:tcPr>
          <w:p w14:paraId="2E76CB18">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应用和数据安全</w:t>
            </w:r>
          </w:p>
        </w:tc>
        <w:tc>
          <w:tcPr>
            <w:tcW w:w="0" w:type="auto"/>
            <w:tcBorders>
              <w:top w:val="nil"/>
              <w:left w:val="nil"/>
              <w:bottom w:val="single" w:color="000000" w:sz="8" w:space="0"/>
              <w:right w:val="single" w:color="000000" w:sz="8" w:space="0"/>
            </w:tcBorders>
            <w:vAlign w:val="center"/>
          </w:tcPr>
          <w:p w14:paraId="05D32E5D">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身份鉴别</w:t>
            </w:r>
          </w:p>
        </w:tc>
        <w:tc>
          <w:tcPr>
            <w:tcW w:w="0" w:type="auto"/>
            <w:tcBorders>
              <w:top w:val="nil"/>
              <w:left w:val="nil"/>
              <w:bottom w:val="single" w:color="000000" w:sz="8" w:space="0"/>
              <w:right w:val="single" w:color="000000" w:sz="8" w:space="0"/>
            </w:tcBorders>
            <w:vAlign w:val="center"/>
          </w:tcPr>
          <w:p w14:paraId="2D104DE6">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确认互联网端、政务办公网PC端浏览器登录用户的身份真实性，防止假冒人员登录</w:t>
            </w:r>
          </w:p>
        </w:tc>
      </w:tr>
      <w:tr w14:paraId="1C24D8EF">
        <w:tblPrEx>
          <w:tblCellMar>
            <w:top w:w="0" w:type="dxa"/>
            <w:left w:w="108" w:type="dxa"/>
            <w:bottom w:w="0" w:type="dxa"/>
            <w:right w:w="108" w:type="dxa"/>
          </w:tblCellMar>
        </w:tblPrEx>
        <w:trPr>
          <w:trHeight w:val="615" w:hRule="atLeast"/>
        </w:trPr>
        <w:tc>
          <w:tcPr>
            <w:tcW w:w="0" w:type="auto"/>
            <w:vMerge w:val="continue"/>
            <w:tcBorders>
              <w:top w:val="nil"/>
              <w:left w:val="single" w:color="000000" w:sz="8" w:space="0"/>
              <w:bottom w:val="single" w:color="000000" w:sz="8" w:space="0"/>
              <w:right w:val="single" w:color="000000" w:sz="8" w:space="0"/>
            </w:tcBorders>
            <w:vAlign w:val="center"/>
          </w:tcPr>
          <w:p w14:paraId="276D7741">
            <w:pPr>
              <w:ind w:firstLine="0" w:firstLineChars="0"/>
              <w:jc w:val="center"/>
              <w:rPr>
                <w:rFonts w:hint="eastAsia" w:cs="仿宋" w:asciiTheme="minorEastAsia" w:hAnsiTheme="minorEastAsia" w:eastAsiaTheme="minorEastAsia"/>
                <w:color w:val="000000"/>
              </w:rPr>
            </w:pPr>
          </w:p>
        </w:tc>
        <w:tc>
          <w:tcPr>
            <w:tcW w:w="0" w:type="auto"/>
            <w:tcBorders>
              <w:top w:val="nil"/>
              <w:left w:val="nil"/>
              <w:bottom w:val="single" w:color="000000" w:sz="8" w:space="0"/>
              <w:right w:val="single" w:color="000000" w:sz="8" w:space="0"/>
            </w:tcBorders>
            <w:vAlign w:val="center"/>
          </w:tcPr>
          <w:p w14:paraId="5ABDAE51">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访问控制信息完整性</w:t>
            </w:r>
          </w:p>
        </w:tc>
        <w:tc>
          <w:tcPr>
            <w:tcW w:w="0" w:type="auto"/>
            <w:tcBorders>
              <w:top w:val="nil"/>
              <w:left w:val="nil"/>
              <w:bottom w:val="single" w:color="000000" w:sz="8" w:space="0"/>
              <w:right w:val="single" w:color="000000" w:sz="8" w:space="0"/>
            </w:tcBorders>
            <w:vAlign w:val="center"/>
          </w:tcPr>
          <w:p w14:paraId="6FBC25C5">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对统一身份认证系统的访问权限控制列表进行完整性保护，防止被非授权篡改</w:t>
            </w:r>
          </w:p>
        </w:tc>
      </w:tr>
      <w:tr w14:paraId="65F81E0B">
        <w:tblPrEx>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vAlign w:val="center"/>
          </w:tcPr>
          <w:p w14:paraId="38358741">
            <w:pPr>
              <w:ind w:firstLine="0" w:firstLineChars="0"/>
              <w:jc w:val="center"/>
              <w:rPr>
                <w:rFonts w:hint="eastAsia" w:cs="仿宋" w:asciiTheme="minorEastAsia" w:hAnsiTheme="minorEastAsia" w:eastAsiaTheme="minorEastAsia"/>
                <w:color w:val="000000"/>
              </w:rPr>
            </w:pPr>
          </w:p>
        </w:tc>
        <w:tc>
          <w:tcPr>
            <w:tcW w:w="0" w:type="auto"/>
            <w:tcBorders>
              <w:top w:val="nil"/>
              <w:left w:val="nil"/>
              <w:bottom w:val="single" w:color="000000" w:sz="8" w:space="0"/>
              <w:right w:val="single" w:color="000000" w:sz="8" w:space="0"/>
            </w:tcBorders>
            <w:vAlign w:val="center"/>
          </w:tcPr>
          <w:p w14:paraId="2FFA0AC0">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重要数据传输机密性</w:t>
            </w:r>
          </w:p>
        </w:tc>
        <w:tc>
          <w:tcPr>
            <w:tcW w:w="0" w:type="auto"/>
            <w:vMerge w:val="restart"/>
            <w:tcBorders>
              <w:top w:val="nil"/>
              <w:left w:val="nil"/>
              <w:bottom w:val="single" w:color="000000" w:sz="8" w:space="0"/>
              <w:right w:val="single" w:color="000000" w:sz="8" w:space="0"/>
            </w:tcBorders>
            <w:vAlign w:val="center"/>
          </w:tcPr>
          <w:p w14:paraId="062CE75B">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保护在客户端与服务器之间、应用系统之间的非安全网络信道中传输的和存储的用户登录身份鉴别信息、数据的机密性和完整性，防止数据泄露给非授权的个人、进程等</w:t>
            </w:r>
          </w:p>
        </w:tc>
      </w:tr>
      <w:tr w14:paraId="519E1408">
        <w:tblPrEx>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vAlign w:val="center"/>
          </w:tcPr>
          <w:p w14:paraId="4DF2E013">
            <w:pPr>
              <w:ind w:firstLine="0" w:firstLineChars="0"/>
              <w:jc w:val="center"/>
              <w:rPr>
                <w:rFonts w:hint="eastAsia" w:cs="仿宋" w:asciiTheme="minorEastAsia" w:hAnsiTheme="minorEastAsia" w:eastAsiaTheme="minorEastAsia"/>
                <w:color w:val="000000"/>
              </w:rPr>
            </w:pPr>
          </w:p>
        </w:tc>
        <w:tc>
          <w:tcPr>
            <w:tcW w:w="0" w:type="auto"/>
            <w:tcBorders>
              <w:top w:val="nil"/>
              <w:left w:val="nil"/>
              <w:bottom w:val="single" w:color="000000" w:sz="8" w:space="0"/>
              <w:right w:val="single" w:color="000000" w:sz="8" w:space="0"/>
            </w:tcBorders>
            <w:vAlign w:val="center"/>
          </w:tcPr>
          <w:p w14:paraId="55283C51">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重要数据存储机密性</w:t>
            </w:r>
          </w:p>
        </w:tc>
        <w:tc>
          <w:tcPr>
            <w:tcW w:w="0" w:type="auto"/>
            <w:vMerge w:val="continue"/>
            <w:tcBorders>
              <w:top w:val="nil"/>
              <w:left w:val="nil"/>
              <w:bottom w:val="single" w:color="000000" w:sz="8" w:space="0"/>
              <w:right w:val="single" w:color="000000" w:sz="8" w:space="0"/>
            </w:tcBorders>
            <w:vAlign w:val="center"/>
          </w:tcPr>
          <w:p w14:paraId="37C86A8B">
            <w:pPr>
              <w:ind w:firstLine="0" w:firstLineChars="0"/>
              <w:jc w:val="center"/>
              <w:rPr>
                <w:rFonts w:hint="eastAsia" w:cs="仿宋" w:asciiTheme="minorEastAsia" w:hAnsiTheme="minorEastAsia" w:eastAsiaTheme="minorEastAsia"/>
                <w:color w:val="000000"/>
              </w:rPr>
            </w:pPr>
          </w:p>
        </w:tc>
      </w:tr>
      <w:tr w14:paraId="0BA6B969">
        <w:tblPrEx>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vAlign w:val="center"/>
          </w:tcPr>
          <w:p w14:paraId="384BB53A">
            <w:pPr>
              <w:ind w:firstLine="0" w:firstLineChars="0"/>
              <w:jc w:val="center"/>
              <w:rPr>
                <w:rFonts w:hint="eastAsia" w:cs="仿宋" w:asciiTheme="minorEastAsia" w:hAnsiTheme="minorEastAsia" w:eastAsiaTheme="minorEastAsia"/>
                <w:color w:val="000000"/>
              </w:rPr>
            </w:pPr>
          </w:p>
        </w:tc>
        <w:tc>
          <w:tcPr>
            <w:tcW w:w="0" w:type="auto"/>
            <w:tcBorders>
              <w:top w:val="nil"/>
              <w:left w:val="nil"/>
              <w:bottom w:val="single" w:color="000000" w:sz="8" w:space="0"/>
              <w:right w:val="single" w:color="000000" w:sz="8" w:space="0"/>
            </w:tcBorders>
            <w:vAlign w:val="center"/>
          </w:tcPr>
          <w:p w14:paraId="1EC07B7E">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重要数据传输完整性</w:t>
            </w:r>
          </w:p>
        </w:tc>
        <w:tc>
          <w:tcPr>
            <w:tcW w:w="0" w:type="auto"/>
            <w:vMerge w:val="continue"/>
            <w:tcBorders>
              <w:top w:val="nil"/>
              <w:left w:val="nil"/>
              <w:bottom w:val="single" w:color="000000" w:sz="8" w:space="0"/>
              <w:right w:val="single" w:color="000000" w:sz="8" w:space="0"/>
            </w:tcBorders>
            <w:vAlign w:val="center"/>
          </w:tcPr>
          <w:p w14:paraId="6732348C">
            <w:pPr>
              <w:ind w:firstLine="0" w:firstLineChars="0"/>
              <w:jc w:val="center"/>
              <w:rPr>
                <w:rFonts w:hint="eastAsia" w:cs="仿宋" w:asciiTheme="minorEastAsia" w:hAnsiTheme="minorEastAsia" w:eastAsiaTheme="minorEastAsia"/>
                <w:color w:val="000000"/>
              </w:rPr>
            </w:pPr>
          </w:p>
        </w:tc>
      </w:tr>
      <w:tr w14:paraId="0A738654">
        <w:tblPrEx>
          <w:tblCellMar>
            <w:top w:w="0" w:type="dxa"/>
            <w:left w:w="108" w:type="dxa"/>
            <w:bottom w:w="0" w:type="dxa"/>
            <w:right w:w="108" w:type="dxa"/>
          </w:tblCellMar>
        </w:tblPrEx>
        <w:trPr>
          <w:trHeight w:val="315" w:hRule="atLeast"/>
        </w:trPr>
        <w:tc>
          <w:tcPr>
            <w:tcW w:w="0" w:type="auto"/>
            <w:vMerge w:val="continue"/>
            <w:tcBorders>
              <w:top w:val="nil"/>
              <w:left w:val="single" w:color="000000" w:sz="8" w:space="0"/>
              <w:bottom w:val="single" w:color="000000" w:sz="8" w:space="0"/>
              <w:right w:val="single" w:color="000000" w:sz="8" w:space="0"/>
            </w:tcBorders>
            <w:vAlign w:val="center"/>
          </w:tcPr>
          <w:p w14:paraId="09B8B49E">
            <w:pPr>
              <w:ind w:firstLine="0" w:firstLineChars="0"/>
              <w:jc w:val="center"/>
              <w:rPr>
                <w:rFonts w:hint="eastAsia" w:cs="仿宋" w:asciiTheme="minorEastAsia" w:hAnsiTheme="minorEastAsia" w:eastAsiaTheme="minorEastAsia"/>
                <w:color w:val="000000"/>
              </w:rPr>
            </w:pPr>
          </w:p>
        </w:tc>
        <w:tc>
          <w:tcPr>
            <w:tcW w:w="0" w:type="auto"/>
            <w:tcBorders>
              <w:top w:val="nil"/>
              <w:left w:val="nil"/>
              <w:bottom w:val="single" w:color="000000" w:sz="8" w:space="0"/>
              <w:right w:val="single" w:color="000000" w:sz="8" w:space="0"/>
            </w:tcBorders>
            <w:vAlign w:val="center"/>
          </w:tcPr>
          <w:p w14:paraId="28C12460">
            <w:pPr>
              <w:widowControl/>
              <w:ind w:firstLine="0" w:firstLineChars="0"/>
              <w:jc w:val="center"/>
              <w:textAlignment w:val="center"/>
              <w:rPr>
                <w:rFonts w:hint="eastAsia" w:cs="仿宋" w:asciiTheme="minorEastAsia" w:hAnsiTheme="minorEastAsia" w:eastAsiaTheme="minorEastAsia"/>
                <w:color w:val="000000"/>
              </w:rPr>
            </w:pPr>
            <w:r>
              <w:rPr>
                <w:rStyle w:val="92"/>
                <w:rFonts w:hint="default" w:cs="仿宋" w:asciiTheme="minorEastAsia" w:hAnsiTheme="minorEastAsia" w:eastAsiaTheme="minorEastAsia"/>
                <w:sz w:val="24"/>
                <w:szCs w:val="24"/>
                <w:lang w:bidi="ar"/>
              </w:rPr>
              <w:t>重要数据存储完整性</w:t>
            </w:r>
          </w:p>
        </w:tc>
        <w:tc>
          <w:tcPr>
            <w:tcW w:w="0" w:type="auto"/>
            <w:vMerge w:val="continue"/>
            <w:tcBorders>
              <w:top w:val="nil"/>
              <w:left w:val="nil"/>
              <w:bottom w:val="single" w:color="000000" w:sz="8" w:space="0"/>
              <w:right w:val="single" w:color="000000" w:sz="8" w:space="0"/>
            </w:tcBorders>
            <w:vAlign w:val="center"/>
          </w:tcPr>
          <w:p w14:paraId="73277180">
            <w:pPr>
              <w:ind w:firstLine="0" w:firstLineChars="0"/>
              <w:jc w:val="center"/>
              <w:rPr>
                <w:rFonts w:hint="eastAsia" w:cs="仿宋" w:asciiTheme="minorEastAsia" w:hAnsiTheme="minorEastAsia" w:eastAsiaTheme="minorEastAsia"/>
                <w:color w:val="000000"/>
              </w:rPr>
            </w:pPr>
          </w:p>
        </w:tc>
      </w:tr>
    </w:tbl>
    <w:p w14:paraId="48CFB4DF">
      <w:pPr>
        <w:pStyle w:val="3"/>
        <w:rPr>
          <w:rFonts w:hint="eastAsia"/>
        </w:rPr>
      </w:pPr>
      <w:bookmarkStart w:id="36" w:name="_Toc63785512"/>
      <w:r>
        <w:rPr>
          <w:rFonts w:hint="eastAsia"/>
        </w:rPr>
        <w:t>技术文件要求</w:t>
      </w:r>
    </w:p>
    <w:p w14:paraId="7AB0B3F8">
      <w:pPr>
        <w:rPr>
          <w:rFonts w:hint="eastAsia"/>
        </w:rPr>
      </w:pPr>
      <w:r>
        <w:rPr>
          <w:rFonts w:hint="eastAsia"/>
        </w:rPr>
        <w:t>投标人提供的书面技术资料应能确保系统正常运行所需的管理、运营及维护有关的全套文件。技术文件应该全面、完整、详细。投标人提供的技术文件至少应包括：</w:t>
      </w:r>
    </w:p>
    <w:p w14:paraId="54FA0715">
      <w:pPr>
        <w:rPr>
          <w:rFonts w:hint="eastAsia"/>
        </w:rPr>
      </w:pPr>
      <w:r>
        <w:rPr>
          <w:rFonts w:hint="eastAsia"/>
        </w:rPr>
        <w:t>－</w:t>
      </w:r>
      <w:r>
        <w:t xml:space="preserve"> 系统说明文件； </w:t>
      </w:r>
    </w:p>
    <w:p w14:paraId="58276F62">
      <w:pPr>
        <w:rPr>
          <w:rFonts w:hint="eastAsia"/>
        </w:rPr>
      </w:pPr>
      <w:r>
        <w:rPr>
          <w:rFonts w:hint="eastAsia"/>
        </w:rPr>
        <w:t>－</w:t>
      </w:r>
      <w:r>
        <w:t xml:space="preserve"> 技术手册(安装、测试、操作、维护、故障排除等)； </w:t>
      </w:r>
    </w:p>
    <w:p w14:paraId="6458C608">
      <w:pPr>
        <w:rPr>
          <w:rFonts w:hint="eastAsia"/>
        </w:rPr>
      </w:pPr>
      <w:r>
        <w:rPr>
          <w:rFonts w:hint="eastAsia"/>
        </w:rPr>
        <w:t>－</w:t>
      </w:r>
      <w:r>
        <w:t xml:space="preserve"> 项目文档，应该包括：</w:t>
      </w:r>
    </w:p>
    <w:p w14:paraId="45F27057">
      <w:pPr>
        <w:ind w:left="360"/>
        <w:rPr>
          <w:rFonts w:hint="eastAsia"/>
        </w:rPr>
      </w:pPr>
      <w:r>
        <w:t>(1)软件需求说明书</w:t>
      </w:r>
    </w:p>
    <w:p w14:paraId="6429F6AC">
      <w:pPr>
        <w:ind w:left="360"/>
        <w:rPr>
          <w:rFonts w:hint="eastAsia"/>
        </w:rPr>
      </w:pPr>
      <w:r>
        <w:t>(2)</w:t>
      </w:r>
      <w:r>
        <w:tab/>
      </w:r>
      <w:r>
        <w:t>系统总体设计说明书</w:t>
      </w:r>
    </w:p>
    <w:p w14:paraId="71686A2D">
      <w:pPr>
        <w:ind w:left="360"/>
        <w:rPr>
          <w:rFonts w:hint="eastAsia"/>
        </w:rPr>
      </w:pPr>
      <w:r>
        <w:t>(3)</w:t>
      </w:r>
      <w:r>
        <w:tab/>
      </w:r>
      <w:r>
        <w:t>应用软件功能清单</w:t>
      </w:r>
    </w:p>
    <w:p w14:paraId="1E51B5D7">
      <w:pPr>
        <w:rPr>
          <w:rFonts w:hint="eastAsia"/>
        </w:rPr>
      </w:pPr>
      <w:r>
        <w:rPr>
          <w:rFonts w:hint="eastAsia"/>
        </w:rPr>
        <w:t>提供全套技术文件纸介质</w:t>
      </w:r>
      <w:r>
        <w:t>3套以及电子文件1套。</w:t>
      </w:r>
    </w:p>
    <w:p w14:paraId="5C00CABD">
      <w:pPr>
        <w:pStyle w:val="2"/>
        <w:rPr>
          <w:rFonts w:hint="eastAsia"/>
        </w:rPr>
      </w:pPr>
      <w:r>
        <w:rPr>
          <w:rFonts w:hint="eastAsia"/>
        </w:rPr>
        <w:t>供应商管理要求</w:t>
      </w:r>
      <w:bookmarkEnd w:id="36"/>
    </w:p>
    <w:p w14:paraId="6D7DA10B">
      <w:pPr>
        <w:pStyle w:val="81"/>
        <w:ind w:firstLine="480"/>
        <w:rPr>
          <w:rFonts w:hint="eastAsia"/>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14:paraId="449653DC">
      <w:pPr>
        <w:pStyle w:val="81"/>
        <w:ind w:firstLine="480"/>
        <w:rPr>
          <w:rFonts w:hint="eastAsia"/>
          <w:sz w:val="24"/>
          <w:szCs w:val="24"/>
        </w:rPr>
      </w:pPr>
      <w:r>
        <w:rPr>
          <w:rFonts w:hint="eastAsia"/>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14:paraId="24CCF5AD">
      <w:pPr>
        <w:pStyle w:val="81"/>
        <w:ind w:firstLine="480"/>
        <w:rPr>
          <w:rFonts w:hint="eastAsia"/>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14:paraId="6F3312EE">
      <w:pPr>
        <w:pStyle w:val="81"/>
        <w:ind w:firstLine="480"/>
        <w:rPr>
          <w:rFonts w:hint="eastAsia"/>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04D0D71A">
      <w:pPr>
        <w:pStyle w:val="81"/>
        <w:ind w:firstLine="480"/>
        <w:rPr>
          <w:rFonts w:hint="eastAsia"/>
          <w:sz w:val="24"/>
          <w:szCs w:val="24"/>
        </w:rPr>
      </w:pPr>
      <w:r>
        <w:rPr>
          <w:rFonts w:hint="eastAsia"/>
          <w:sz w:val="24"/>
          <w:szCs w:val="24"/>
        </w:rPr>
        <w:t>5、中标人在项目实施期间必须遵守采购人的规章制度并提供实施人员名单。</w:t>
      </w:r>
    </w:p>
    <w:p w14:paraId="6993788B">
      <w:pPr>
        <w:pStyle w:val="81"/>
        <w:ind w:firstLine="480"/>
        <w:rPr>
          <w:rFonts w:hint="eastAsia"/>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59F76384">
      <w:pPr>
        <w:pStyle w:val="81"/>
        <w:ind w:firstLine="480"/>
        <w:rPr>
          <w:rFonts w:hint="eastAsia"/>
        </w:rPr>
      </w:pPr>
      <w:r>
        <w:rPr>
          <w:rFonts w:hint="eastAsia"/>
          <w:sz w:val="24"/>
          <w:szCs w:val="24"/>
        </w:rPr>
        <w:t>7、本项目软件开发及调试将纳入采购人的管理范围，中标人在此过程中须服从上述单位的管理协调。</w:t>
      </w:r>
    </w:p>
    <w:p w14:paraId="0F9AEB8A">
      <w:pPr>
        <w:pStyle w:val="2"/>
        <w:rPr>
          <w:rFonts w:hint="eastAsia"/>
        </w:rPr>
      </w:pPr>
      <w:bookmarkStart w:id="37" w:name="_Toc63785513"/>
      <w:r>
        <w:rPr>
          <w:rFonts w:hint="eastAsia"/>
        </w:rPr>
        <w:t>知识产权及保密要求</w:t>
      </w:r>
      <w:bookmarkEnd w:id="37"/>
    </w:p>
    <w:p w14:paraId="3CADE55B">
      <w:pPr>
        <w:rPr>
          <w:rFonts w:hint="eastAsia"/>
        </w:rPr>
      </w:pPr>
      <w:r>
        <w:rPr>
          <w:rFonts w:hint="eastAsia"/>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14:paraId="156F9576">
      <w:pPr>
        <w:rPr>
          <w:rFonts w:hint="eastAsia"/>
        </w:rPr>
      </w:pPr>
      <w:r>
        <w:rPr>
          <w:rFonts w:hint="eastAsia"/>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14:paraId="64913B19">
      <w:pPr>
        <w:rPr>
          <w:rFonts w:hint="eastAsia"/>
        </w:rPr>
      </w:pPr>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0C6B88CD">
      <w:pPr>
        <w:ind w:firstLine="482"/>
        <w:rPr>
          <w:rFonts w:hint="eastAsia"/>
          <w:b/>
        </w:rPr>
      </w:pPr>
      <w:r>
        <w:rPr>
          <w:b/>
        </w:rPr>
        <w:t>2、项目保密要求</w:t>
      </w:r>
    </w:p>
    <w:p w14:paraId="46A8C5B0">
      <w:pPr>
        <w:rPr>
          <w:rFonts w:hint="eastAsia"/>
        </w:rPr>
      </w:pPr>
      <w:r>
        <w:rPr>
          <w:rFonts w:hint="eastAsia"/>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14:paraId="60D135DA">
      <w:pPr>
        <w:rPr>
          <w:rFonts w:hint="eastAsia"/>
        </w:rPr>
      </w:pPr>
      <w:r>
        <w:rPr>
          <w:rFonts w:hint="eastAsia"/>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14:paraId="1DC40B59">
      <w:pPr>
        <w:rPr>
          <w:rFonts w:hint="eastAsia"/>
        </w:rPr>
      </w:pPr>
      <w:r>
        <w:rPr>
          <w:rFonts w:hint="eastAsia"/>
        </w:rPr>
        <w:t>中标人（含中标人参与本项目的人员以及其合作方）未经采购人书面许可，不得以任何形式自行使用或以任何方式向第三方披露、转让、授权、出售与本项目有关的技术成果、计算机软件、源代码、策划文档、技术诀窍、秘密信息、技术资料和其他文件。</w:t>
      </w:r>
    </w:p>
    <w:p w14:paraId="76091432">
      <w:pPr>
        <w:rPr>
          <w:rFonts w:hint="eastAsia"/>
        </w:rPr>
      </w:pPr>
      <w:r>
        <w:rPr>
          <w:rFonts w:hint="eastAsia"/>
        </w:rPr>
        <w:t>以上内容的保密期限自中标人知悉保密信息起始至保密信息被合法公开之日止。</w:t>
      </w:r>
    </w:p>
    <w:p w14:paraId="355091D1">
      <w:pPr>
        <w:ind w:firstLine="482"/>
        <w:rPr>
          <w:rFonts w:hint="eastAsia"/>
          <w:b/>
        </w:rPr>
      </w:pPr>
      <w:r>
        <w:rPr>
          <w:b/>
        </w:rPr>
        <w:t>3、临时账号等使用要求</w:t>
      </w:r>
    </w:p>
    <w:p w14:paraId="116789FB">
      <w:pPr>
        <w:rPr>
          <w:rFonts w:hint="eastAsia"/>
        </w:rPr>
      </w:pPr>
      <w:r>
        <w:rPr>
          <w:rFonts w:hint="eastAsia"/>
        </w:rPr>
        <w:t>中标人对采购人提拱的临时使用账号要保密，不得公开，对组件开发的账号密码需进行加密，避免信息安全的泄露。未经采购人的同意不得利用采购人的网络及平台进行短信、彩信、微信发送</w:t>
      </w:r>
      <w:r>
        <w:t>,造成的一切后果由中标人负责。</w:t>
      </w:r>
    </w:p>
    <w:p w14:paraId="28FECE0E">
      <w:pPr>
        <w:pStyle w:val="2"/>
        <w:numPr>
          <w:ilvl w:val="0"/>
          <w:numId w:val="0"/>
        </w:numPr>
        <w:ind w:left="425"/>
        <w:rPr>
          <w:rFonts w:hint="eastAsia"/>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time">
    <w:altName w:val="文泉驿微米黑"/>
    <w:panose1 w:val="00000000000000000000"/>
    <w:charset w:val="00"/>
    <w:family w:val="roman"/>
    <w:pitch w:val="default"/>
    <w:sig w:usb0="00000000" w:usb1="0000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 w:name="Microsoft YaHei UI">
    <w:altName w:val="文泉驿微米黑"/>
    <w:panose1 w:val="020B0503020204020204"/>
    <w:charset w:val="86"/>
    <w:family w:val="swiss"/>
    <w:pitch w:val="default"/>
    <w:sig w:usb0="00000000" w:usb1="00000000" w:usb2="00000016" w:usb3="00000000" w:csb0="0004001F" w:csb1="00000000"/>
  </w:font>
  <w:font w:name="Microsoft Sans Serif">
    <w:altName w:val="DejaVu Sans"/>
    <w:panose1 w:val="020B0604020202020204"/>
    <w:charset w:val="00"/>
    <w:family w:val="swiss"/>
    <w:pitch w:val="default"/>
    <w:sig w:usb0="00000000" w:usb1="00000000" w:usb2="00000029" w:usb3="00000000" w:csb0="200101FF" w:csb1="2028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Times New Roman (正文 CS 字体)">
    <w:altName w:val="DejaVu Sans"/>
    <w:panose1 w:val="00000000000000000000"/>
    <w:charset w:val="86"/>
    <w:family w:val="roman"/>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DC0B">
    <w:pPr>
      <w:ind w:firstLine="0" w:firstLineChars="0"/>
      <w:jc w:val="center"/>
      <w:rPr>
        <w:rFonts w:hint="eastAsia"/>
      </w:rPr>
    </w:pPr>
    <w:r>
      <w:fldChar w:fldCharType="begin"/>
    </w:r>
    <w:r>
      <w:instrText xml:space="preserve">PAGE   \* MERGEFORMAT</w:instrText>
    </w:r>
    <w:r>
      <w:fldChar w:fldCharType="separate"/>
    </w:r>
    <w:r>
      <w:rPr>
        <w:lang w:val="zh-CN"/>
      </w:rPr>
      <w:t>11</w:t>
    </w:r>
    <w:r>
      <w:rPr>
        <w:lang w:val="zh-CN"/>
      </w:rPr>
      <w:fldChar w:fldCharType="end"/>
    </w:r>
  </w:p>
  <w:p w14:paraId="1CCDDB6D">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9EE96">
    <w:pPr>
      <w:rPr>
        <w:rFonts w:hint="eastAsia"/>
      </w:rPr>
    </w:pPr>
  </w:p>
  <w:p w14:paraId="39EFE7EA">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9CA45">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A5427">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6941C815">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0FD44">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E9F7D">
    <w:pPr>
      <w:rPr>
        <w:rFonts w:hint="eastAsia"/>
      </w:rPr>
    </w:pPr>
  </w:p>
  <w:p w14:paraId="4F7E2395">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E4959">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01AF4C83"/>
    <w:multiLevelType w:val="multilevel"/>
    <w:tmpl w:val="01AF4C83"/>
    <w:lvl w:ilvl="0" w:tentative="0">
      <w:start w:val="1"/>
      <w:numFmt w:val="decimal"/>
      <w:lvlText w:val="%1、"/>
      <w:lvlJc w:val="left"/>
      <w:pPr>
        <w:ind w:left="1202" w:hanging="72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2">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A2F4AB3"/>
    <w:multiLevelType w:val="multilevel"/>
    <w:tmpl w:val="6A2F4AB3"/>
    <w:lvl w:ilvl="0" w:tentative="0">
      <w:start w:val="1"/>
      <w:numFmt w:val="chineseCountingThousand"/>
      <w:pStyle w:val="2"/>
      <w:suff w:val="nothing"/>
      <w:lvlText w:val="%1、"/>
      <w:lvlJc w:val="left"/>
      <w:pPr>
        <w:ind w:left="2976"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lMzJiYTgyNTJkM2E5NzA5NDNiNGU0YmVkYTRiODEifQ=="/>
  </w:docVars>
  <w:rsids>
    <w:rsidRoot w:val="006910C0"/>
    <w:rsid w:val="0000005A"/>
    <w:rsid w:val="00000AED"/>
    <w:rsid w:val="00002DBA"/>
    <w:rsid w:val="00003516"/>
    <w:rsid w:val="0000380E"/>
    <w:rsid w:val="00005AE1"/>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163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2DFA"/>
    <w:rsid w:val="000541D7"/>
    <w:rsid w:val="000545C0"/>
    <w:rsid w:val="000549B0"/>
    <w:rsid w:val="000550ED"/>
    <w:rsid w:val="0005586D"/>
    <w:rsid w:val="00056C0E"/>
    <w:rsid w:val="000574A8"/>
    <w:rsid w:val="000574F8"/>
    <w:rsid w:val="00057A49"/>
    <w:rsid w:val="0006231F"/>
    <w:rsid w:val="00062A05"/>
    <w:rsid w:val="00062EE6"/>
    <w:rsid w:val="0006344E"/>
    <w:rsid w:val="00063938"/>
    <w:rsid w:val="000649E6"/>
    <w:rsid w:val="00064A6A"/>
    <w:rsid w:val="0006794B"/>
    <w:rsid w:val="00067DCA"/>
    <w:rsid w:val="00070063"/>
    <w:rsid w:val="0007087A"/>
    <w:rsid w:val="000710EC"/>
    <w:rsid w:val="00072237"/>
    <w:rsid w:val="00072ABE"/>
    <w:rsid w:val="000747DF"/>
    <w:rsid w:val="00080B39"/>
    <w:rsid w:val="00082033"/>
    <w:rsid w:val="00083950"/>
    <w:rsid w:val="0008452F"/>
    <w:rsid w:val="00084E8E"/>
    <w:rsid w:val="00085A68"/>
    <w:rsid w:val="00090625"/>
    <w:rsid w:val="00090948"/>
    <w:rsid w:val="00091162"/>
    <w:rsid w:val="00091652"/>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4DC1"/>
    <w:rsid w:val="000B5363"/>
    <w:rsid w:val="000B53BA"/>
    <w:rsid w:val="000B642F"/>
    <w:rsid w:val="000B6C99"/>
    <w:rsid w:val="000C3F3C"/>
    <w:rsid w:val="000C5A75"/>
    <w:rsid w:val="000C75E9"/>
    <w:rsid w:val="000C75F7"/>
    <w:rsid w:val="000C7A1C"/>
    <w:rsid w:val="000D0AB2"/>
    <w:rsid w:val="000D1212"/>
    <w:rsid w:val="000D225C"/>
    <w:rsid w:val="000D36F2"/>
    <w:rsid w:val="000D4B26"/>
    <w:rsid w:val="000D74DB"/>
    <w:rsid w:val="000E24D6"/>
    <w:rsid w:val="000E6072"/>
    <w:rsid w:val="000E6D61"/>
    <w:rsid w:val="000E7A23"/>
    <w:rsid w:val="000F1AA5"/>
    <w:rsid w:val="000F1C29"/>
    <w:rsid w:val="000F1E9E"/>
    <w:rsid w:val="000F2B10"/>
    <w:rsid w:val="000F3F72"/>
    <w:rsid w:val="001055B2"/>
    <w:rsid w:val="001068F0"/>
    <w:rsid w:val="00106AB8"/>
    <w:rsid w:val="00106C9E"/>
    <w:rsid w:val="00106E16"/>
    <w:rsid w:val="0010768B"/>
    <w:rsid w:val="00111701"/>
    <w:rsid w:val="00112A29"/>
    <w:rsid w:val="00112C1B"/>
    <w:rsid w:val="001167F6"/>
    <w:rsid w:val="00116C86"/>
    <w:rsid w:val="00121ACF"/>
    <w:rsid w:val="00121D8F"/>
    <w:rsid w:val="00122037"/>
    <w:rsid w:val="001220BD"/>
    <w:rsid w:val="0012210C"/>
    <w:rsid w:val="00122A7F"/>
    <w:rsid w:val="00123F98"/>
    <w:rsid w:val="001242A5"/>
    <w:rsid w:val="00124531"/>
    <w:rsid w:val="001263D3"/>
    <w:rsid w:val="00126EDF"/>
    <w:rsid w:val="00127BBE"/>
    <w:rsid w:val="00131D52"/>
    <w:rsid w:val="001329C1"/>
    <w:rsid w:val="00132C16"/>
    <w:rsid w:val="00135B6F"/>
    <w:rsid w:val="00136320"/>
    <w:rsid w:val="00136FFA"/>
    <w:rsid w:val="00137AC6"/>
    <w:rsid w:val="00145512"/>
    <w:rsid w:val="00145FB5"/>
    <w:rsid w:val="001465BD"/>
    <w:rsid w:val="00147B45"/>
    <w:rsid w:val="001506EB"/>
    <w:rsid w:val="00150803"/>
    <w:rsid w:val="00151D83"/>
    <w:rsid w:val="001546C9"/>
    <w:rsid w:val="00154872"/>
    <w:rsid w:val="00154FAE"/>
    <w:rsid w:val="00155E77"/>
    <w:rsid w:val="00156A70"/>
    <w:rsid w:val="00160A61"/>
    <w:rsid w:val="00160FC0"/>
    <w:rsid w:val="0016429B"/>
    <w:rsid w:val="00164525"/>
    <w:rsid w:val="00164C50"/>
    <w:rsid w:val="00165CB2"/>
    <w:rsid w:val="00166203"/>
    <w:rsid w:val="00166767"/>
    <w:rsid w:val="001707CB"/>
    <w:rsid w:val="00170C54"/>
    <w:rsid w:val="00171477"/>
    <w:rsid w:val="00172A1A"/>
    <w:rsid w:val="00173251"/>
    <w:rsid w:val="00176BED"/>
    <w:rsid w:val="0017759D"/>
    <w:rsid w:val="00177653"/>
    <w:rsid w:val="001804A5"/>
    <w:rsid w:val="00181C94"/>
    <w:rsid w:val="00182C84"/>
    <w:rsid w:val="00187031"/>
    <w:rsid w:val="00191EA4"/>
    <w:rsid w:val="00192B6C"/>
    <w:rsid w:val="00192C30"/>
    <w:rsid w:val="0019381E"/>
    <w:rsid w:val="00194CF5"/>
    <w:rsid w:val="00194DA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C54"/>
    <w:rsid w:val="001B4DC5"/>
    <w:rsid w:val="001B5505"/>
    <w:rsid w:val="001C2180"/>
    <w:rsid w:val="001C29CC"/>
    <w:rsid w:val="001C3217"/>
    <w:rsid w:val="001C3B98"/>
    <w:rsid w:val="001C3E44"/>
    <w:rsid w:val="001C6028"/>
    <w:rsid w:val="001C6365"/>
    <w:rsid w:val="001C7F57"/>
    <w:rsid w:val="001D0E79"/>
    <w:rsid w:val="001D6049"/>
    <w:rsid w:val="001D7339"/>
    <w:rsid w:val="001E2657"/>
    <w:rsid w:val="001E2750"/>
    <w:rsid w:val="001E405D"/>
    <w:rsid w:val="001E4343"/>
    <w:rsid w:val="001E52BB"/>
    <w:rsid w:val="001E660A"/>
    <w:rsid w:val="001F05D6"/>
    <w:rsid w:val="001F5B0A"/>
    <w:rsid w:val="001F640F"/>
    <w:rsid w:val="001F6794"/>
    <w:rsid w:val="001F6F65"/>
    <w:rsid w:val="001F7726"/>
    <w:rsid w:val="002002DF"/>
    <w:rsid w:val="002031DD"/>
    <w:rsid w:val="00203A6F"/>
    <w:rsid w:val="0020452F"/>
    <w:rsid w:val="00205365"/>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479"/>
    <w:rsid w:val="00226C70"/>
    <w:rsid w:val="00226CFB"/>
    <w:rsid w:val="00230C8A"/>
    <w:rsid w:val="00231F98"/>
    <w:rsid w:val="002324F8"/>
    <w:rsid w:val="0023275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97ABF"/>
    <w:rsid w:val="002A1FE0"/>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3893"/>
    <w:rsid w:val="002F4E32"/>
    <w:rsid w:val="002F503F"/>
    <w:rsid w:val="002F51DD"/>
    <w:rsid w:val="002F5695"/>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16E3"/>
    <w:rsid w:val="00334DE6"/>
    <w:rsid w:val="0033536D"/>
    <w:rsid w:val="003353FF"/>
    <w:rsid w:val="00335FCE"/>
    <w:rsid w:val="003366D2"/>
    <w:rsid w:val="00336A2E"/>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5433"/>
    <w:rsid w:val="003663D6"/>
    <w:rsid w:val="00367579"/>
    <w:rsid w:val="0036795B"/>
    <w:rsid w:val="00370A29"/>
    <w:rsid w:val="003722F9"/>
    <w:rsid w:val="00372349"/>
    <w:rsid w:val="00372CBC"/>
    <w:rsid w:val="00373A61"/>
    <w:rsid w:val="00374BDE"/>
    <w:rsid w:val="00376B39"/>
    <w:rsid w:val="003772C0"/>
    <w:rsid w:val="003777B7"/>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0602"/>
    <w:rsid w:val="003B102E"/>
    <w:rsid w:val="003B2167"/>
    <w:rsid w:val="003B5F5D"/>
    <w:rsid w:val="003B62C8"/>
    <w:rsid w:val="003C0C62"/>
    <w:rsid w:val="003C11BC"/>
    <w:rsid w:val="003C12DC"/>
    <w:rsid w:val="003C2CDA"/>
    <w:rsid w:val="003C73D1"/>
    <w:rsid w:val="003D000A"/>
    <w:rsid w:val="003D31E9"/>
    <w:rsid w:val="003D544E"/>
    <w:rsid w:val="003D5980"/>
    <w:rsid w:val="003E0842"/>
    <w:rsid w:val="003E13B0"/>
    <w:rsid w:val="003E2580"/>
    <w:rsid w:val="003E3DEE"/>
    <w:rsid w:val="003E3EBB"/>
    <w:rsid w:val="003E3EEC"/>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074E5"/>
    <w:rsid w:val="004117AB"/>
    <w:rsid w:val="00412B2F"/>
    <w:rsid w:val="00414C60"/>
    <w:rsid w:val="00415281"/>
    <w:rsid w:val="00415716"/>
    <w:rsid w:val="0041584B"/>
    <w:rsid w:val="0041604D"/>
    <w:rsid w:val="004171E0"/>
    <w:rsid w:val="00417842"/>
    <w:rsid w:val="00417A6E"/>
    <w:rsid w:val="00420CDF"/>
    <w:rsid w:val="00421EBB"/>
    <w:rsid w:val="0042285D"/>
    <w:rsid w:val="00426768"/>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2131"/>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46E8"/>
    <w:rsid w:val="004A4A45"/>
    <w:rsid w:val="004A5F2C"/>
    <w:rsid w:val="004A6E4F"/>
    <w:rsid w:val="004A720D"/>
    <w:rsid w:val="004B00D0"/>
    <w:rsid w:val="004B6084"/>
    <w:rsid w:val="004B7AE0"/>
    <w:rsid w:val="004C0BC4"/>
    <w:rsid w:val="004C260D"/>
    <w:rsid w:val="004C2D47"/>
    <w:rsid w:val="004C4357"/>
    <w:rsid w:val="004C4477"/>
    <w:rsid w:val="004C568F"/>
    <w:rsid w:val="004C5730"/>
    <w:rsid w:val="004C6397"/>
    <w:rsid w:val="004C668F"/>
    <w:rsid w:val="004C682B"/>
    <w:rsid w:val="004D142C"/>
    <w:rsid w:val="004D29F7"/>
    <w:rsid w:val="004D2AFA"/>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2EAF"/>
    <w:rsid w:val="004F3A52"/>
    <w:rsid w:val="004F449F"/>
    <w:rsid w:val="004F4E7E"/>
    <w:rsid w:val="004F63AB"/>
    <w:rsid w:val="004F6B76"/>
    <w:rsid w:val="004F6C7C"/>
    <w:rsid w:val="004F7F1A"/>
    <w:rsid w:val="004F7FBB"/>
    <w:rsid w:val="005042B3"/>
    <w:rsid w:val="005045AB"/>
    <w:rsid w:val="00507A13"/>
    <w:rsid w:val="00507D43"/>
    <w:rsid w:val="005103F2"/>
    <w:rsid w:val="00510E2C"/>
    <w:rsid w:val="00511FDC"/>
    <w:rsid w:val="005124C6"/>
    <w:rsid w:val="00513EBC"/>
    <w:rsid w:val="00514CE1"/>
    <w:rsid w:val="00517155"/>
    <w:rsid w:val="00517DB3"/>
    <w:rsid w:val="005200DC"/>
    <w:rsid w:val="005200F2"/>
    <w:rsid w:val="00523147"/>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2E2C"/>
    <w:rsid w:val="00563D4D"/>
    <w:rsid w:val="00564B9A"/>
    <w:rsid w:val="00565694"/>
    <w:rsid w:val="00566DD6"/>
    <w:rsid w:val="005714EF"/>
    <w:rsid w:val="005717D9"/>
    <w:rsid w:val="00571CEC"/>
    <w:rsid w:val="00572FCE"/>
    <w:rsid w:val="005750DB"/>
    <w:rsid w:val="005759FC"/>
    <w:rsid w:val="00575B85"/>
    <w:rsid w:val="00576BF5"/>
    <w:rsid w:val="00576DB9"/>
    <w:rsid w:val="0057738F"/>
    <w:rsid w:val="005805E4"/>
    <w:rsid w:val="0058202F"/>
    <w:rsid w:val="00584221"/>
    <w:rsid w:val="00584C6B"/>
    <w:rsid w:val="00584EB6"/>
    <w:rsid w:val="00586B68"/>
    <w:rsid w:val="0058774E"/>
    <w:rsid w:val="005878CF"/>
    <w:rsid w:val="00590CA0"/>
    <w:rsid w:val="00595B01"/>
    <w:rsid w:val="00596D98"/>
    <w:rsid w:val="005970FB"/>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3747"/>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3218"/>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1C4A"/>
    <w:rsid w:val="00632094"/>
    <w:rsid w:val="00636C0A"/>
    <w:rsid w:val="00637EC6"/>
    <w:rsid w:val="0064240C"/>
    <w:rsid w:val="00642FF5"/>
    <w:rsid w:val="00643059"/>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6BE1"/>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BE8"/>
    <w:rsid w:val="006A6E41"/>
    <w:rsid w:val="006B012F"/>
    <w:rsid w:val="006B27CF"/>
    <w:rsid w:val="006B41BD"/>
    <w:rsid w:val="006B4243"/>
    <w:rsid w:val="006B5678"/>
    <w:rsid w:val="006B62B2"/>
    <w:rsid w:val="006C0439"/>
    <w:rsid w:val="006C1C57"/>
    <w:rsid w:val="006C5760"/>
    <w:rsid w:val="006C6D6F"/>
    <w:rsid w:val="006D0D78"/>
    <w:rsid w:val="006D1128"/>
    <w:rsid w:val="006D2848"/>
    <w:rsid w:val="006D30E0"/>
    <w:rsid w:val="006D5521"/>
    <w:rsid w:val="006D5FE9"/>
    <w:rsid w:val="006D6CBB"/>
    <w:rsid w:val="006D76A9"/>
    <w:rsid w:val="006D77F4"/>
    <w:rsid w:val="006E0898"/>
    <w:rsid w:val="006E1748"/>
    <w:rsid w:val="006E41CD"/>
    <w:rsid w:val="006E6312"/>
    <w:rsid w:val="006F3BEC"/>
    <w:rsid w:val="0070075C"/>
    <w:rsid w:val="007036CB"/>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41EE7"/>
    <w:rsid w:val="00742F1A"/>
    <w:rsid w:val="00743A79"/>
    <w:rsid w:val="007444D4"/>
    <w:rsid w:val="0074594D"/>
    <w:rsid w:val="007459F3"/>
    <w:rsid w:val="00746E35"/>
    <w:rsid w:val="007470E2"/>
    <w:rsid w:val="0075232F"/>
    <w:rsid w:val="00753132"/>
    <w:rsid w:val="007550B3"/>
    <w:rsid w:val="00760451"/>
    <w:rsid w:val="0077182A"/>
    <w:rsid w:val="00771913"/>
    <w:rsid w:val="00772718"/>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A4AB7"/>
    <w:rsid w:val="007B014B"/>
    <w:rsid w:val="007B0D88"/>
    <w:rsid w:val="007B306F"/>
    <w:rsid w:val="007B4714"/>
    <w:rsid w:val="007B4E82"/>
    <w:rsid w:val="007C1996"/>
    <w:rsid w:val="007C3773"/>
    <w:rsid w:val="007C3F1F"/>
    <w:rsid w:val="007D065E"/>
    <w:rsid w:val="007D2D0D"/>
    <w:rsid w:val="007D3325"/>
    <w:rsid w:val="007D3818"/>
    <w:rsid w:val="007D6DC5"/>
    <w:rsid w:val="007D7425"/>
    <w:rsid w:val="007E320E"/>
    <w:rsid w:val="007E3280"/>
    <w:rsid w:val="007E4A02"/>
    <w:rsid w:val="007E595C"/>
    <w:rsid w:val="007E59A5"/>
    <w:rsid w:val="007E7CC5"/>
    <w:rsid w:val="007F3B8C"/>
    <w:rsid w:val="007F41D0"/>
    <w:rsid w:val="007F4B8B"/>
    <w:rsid w:val="007F5957"/>
    <w:rsid w:val="007F616F"/>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3DEF"/>
    <w:rsid w:val="00855543"/>
    <w:rsid w:val="008566B3"/>
    <w:rsid w:val="008576B7"/>
    <w:rsid w:val="00857F7B"/>
    <w:rsid w:val="00863DA1"/>
    <w:rsid w:val="008654A6"/>
    <w:rsid w:val="00865D86"/>
    <w:rsid w:val="00866BDF"/>
    <w:rsid w:val="00870495"/>
    <w:rsid w:val="00870EA1"/>
    <w:rsid w:val="008710C5"/>
    <w:rsid w:val="00874438"/>
    <w:rsid w:val="00874E75"/>
    <w:rsid w:val="008767F3"/>
    <w:rsid w:val="00876CEF"/>
    <w:rsid w:val="00877342"/>
    <w:rsid w:val="008803C3"/>
    <w:rsid w:val="00881450"/>
    <w:rsid w:val="008817C7"/>
    <w:rsid w:val="00881875"/>
    <w:rsid w:val="0088195C"/>
    <w:rsid w:val="008848A3"/>
    <w:rsid w:val="00884AF1"/>
    <w:rsid w:val="00885F7A"/>
    <w:rsid w:val="00890712"/>
    <w:rsid w:val="00890D81"/>
    <w:rsid w:val="00892955"/>
    <w:rsid w:val="00893628"/>
    <w:rsid w:val="008941EB"/>
    <w:rsid w:val="0089545A"/>
    <w:rsid w:val="00895A02"/>
    <w:rsid w:val="00897508"/>
    <w:rsid w:val="008A01EE"/>
    <w:rsid w:val="008A0DAC"/>
    <w:rsid w:val="008A3B78"/>
    <w:rsid w:val="008A4166"/>
    <w:rsid w:val="008A7DBF"/>
    <w:rsid w:val="008B136C"/>
    <w:rsid w:val="008B55EF"/>
    <w:rsid w:val="008B6910"/>
    <w:rsid w:val="008C0B5C"/>
    <w:rsid w:val="008C1343"/>
    <w:rsid w:val="008C3912"/>
    <w:rsid w:val="008C5598"/>
    <w:rsid w:val="008C5789"/>
    <w:rsid w:val="008C69EA"/>
    <w:rsid w:val="008C6F8B"/>
    <w:rsid w:val="008C7AB7"/>
    <w:rsid w:val="008C7FB4"/>
    <w:rsid w:val="008D2C8C"/>
    <w:rsid w:val="008D3040"/>
    <w:rsid w:val="008D3ECD"/>
    <w:rsid w:val="008D5C03"/>
    <w:rsid w:val="008D695A"/>
    <w:rsid w:val="008D7580"/>
    <w:rsid w:val="008D7C35"/>
    <w:rsid w:val="008E2959"/>
    <w:rsid w:val="008E5698"/>
    <w:rsid w:val="008E5733"/>
    <w:rsid w:val="008E77D2"/>
    <w:rsid w:val="008E78FD"/>
    <w:rsid w:val="008E7EDD"/>
    <w:rsid w:val="008F199D"/>
    <w:rsid w:val="008F38A0"/>
    <w:rsid w:val="008F39C9"/>
    <w:rsid w:val="008F3BD4"/>
    <w:rsid w:val="008F5EB5"/>
    <w:rsid w:val="008F678C"/>
    <w:rsid w:val="008F75A7"/>
    <w:rsid w:val="008F7E5A"/>
    <w:rsid w:val="00900A7F"/>
    <w:rsid w:val="009036EE"/>
    <w:rsid w:val="00905815"/>
    <w:rsid w:val="00905D1D"/>
    <w:rsid w:val="0091016D"/>
    <w:rsid w:val="009108A7"/>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6A82"/>
    <w:rsid w:val="00947678"/>
    <w:rsid w:val="00947878"/>
    <w:rsid w:val="009504C2"/>
    <w:rsid w:val="0095254A"/>
    <w:rsid w:val="0095273B"/>
    <w:rsid w:val="00954167"/>
    <w:rsid w:val="009559E1"/>
    <w:rsid w:val="009568D5"/>
    <w:rsid w:val="00957CD3"/>
    <w:rsid w:val="0096269B"/>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913"/>
    <w:rsid w:val="00992977"/>
    <w:rsid w:val="009937D4"/>
    <w:rsid w:val="00993C78"/>
    <w:rsid w:val="009948C7"/>
    <w:rsid w:val="00995850"/>
    <w:rsid w:val="0099796C"/>
    <w:rsid w:val="009A194E"/>
    <w:rsid w:val="009A1EA2"/>
    <w:rsid w:val="009A209E"/>
    <w:rsid w:val="009A3FD7"/>
    <w:rsid w:val="009A6652"/>
    <w:rsid w:val="009A74FD"/>
    <w:rsid w:val="009B09F6"/>
    <w:rsid w:val="009B1D93"/>
    <w:rsid w:val="009B25D8"/>
    <w:rsid w:val="009B42E3"/>
    <w:rsid w:val="009B5859"/>
    <w:rsid w:val="009C6D07"/>
    <w:rsid w:val="009C7CEC"/>
    <w:rsid w:val="009D154D"/>
    <w:rsid w:val="009D18EF"/>
    <w:rsid w:val="009D3BE8"/>
    <w:rsid w:val="009D3DCB"/>
    <w:rsid w:val="009D44E0"/>
    <w:rsid w:val="009D573B"/>
    <w:rsid w:val="009D59A0"/>
    <w:rsid w:val="009D716A"/>
    <w:rsid w:val="009E1AC4"/>
    <w:rsid w:val="009E1C37"/>
    <w:rsid w:val="009E20B8"/>
    <w:rsid w:val="009E29A0"/>
    <w:rsid w:val="009E41B5"/>
    <w:rsid w:val="009E55D7"/>
    <w:rsid w:val="009E5A96"/>
    <w:rsid w:val="009E627C"/>
    <w:rsid w:val="009F110B"/>
    <w:rsid w:val="009F1498"/>
    <w:rsid w:val="009F1E9F"/>
    <w:rsid w:val="009F3793"/>
    <w:rsid w:val="009F54F2"/>
    <w:rsid w:val="009F6E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29D7"/>
    <w:rsid w:val="00A438BA"/>
    <w:rsid w:val="00A446FD"/>
    <w:rsid w:val="00A46F46"/>
    <w:rsid w:val="00A52CB6"/>
    <w:rsid w:val="00A52F99"/>
    <w:rsid w:val="00A538BB"/>
    <w:rsid w:val="00A54164"/>
    <w:rsid w:val="00A56737"/>
    <w:rsid w:val="00A57405"/>
    <w:rsid w:val="00A60002"/>
    <w:rsid w:val="00A603D8"/>
    <w:rsid w:val="00A60AE2"/>
    <w:rsid w:val="00A61834"/>
    <w:rsid w:val="00A618B0"/>
    <w:rsid w:val="00A62790"/>
    <w:rsid w:val="00A6291F"/>
    <w:rsid w:val="00A63F53"/>
    <w:rsid w:val="00A702A1"/>
    <w:rsid w:val="00A7111E"/>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7AC1"/>
    <w:rsid w:val="00AB6327"/>
    <w:rsid w:val="00AB6466"/>
    <w:rsid w:val="00AB6B8F"/>
    <w:rsid w:val="00AB754F"/>
    <w:rsid w:val="00AC0C65"/>
    <w:rsid w:val="00AC0FB2"/>
    <w:rsid w:val="00AC3721"/>
    <w:rsid w:val="00AC41C6"/>
    <w:rsid w:val="00AC70C7"/>
    <w:rsid w:val="00AC76B7"/>
    <w:rsid w:val="00AD0223"/>
    <w:rsid w:val="00AD123A"/>
    <w:rsid w:val="00AD15FF"/>
    <w:rsid w:val="00AD1AA5"/>
    <w:rsid w:val="00AD2920"/>
    <w:rsid w:val="00AD2CD5"/>
    <w:rsid w:val="00AD2DFC"/>
    <w:rsid w:val="00AD3430"/>
    <w:rsid w:val="00AD38C4"/>
    <w:rsid w:val="00AD5A4A"/>
    <w:rsid w:val="00AD60EE"/>
    <w:rsid w:val="00AD6A2B"/>
    <w:rsid w:val="00AD73D4"/>
    <w:rsid w:val="00AE1EA2"/>
    <w:rsid w:val="00AE2874"/>
    <w:rsid w:val="00AE2BA2"/>
    <w:rsid w:val="00AE2F98"/>
    <w:rsid w:val="00AE3602"/>
    <w:rsid w:val="00AE5342"/>
    <w:rsid w:val="00AE5987"/>
    <w:rsid w:val="00AE6472"/>
    <w:rsid w:val="00AE7F1E"/>
    <w:rsid w:val="00AF1345"/>
    <w:rsid w:val="00AF38A8"/>
    <w:rsid w:val="00AF63EB"/>
    <w:rsid w:val="00B0163F"/>
    <w:rsid w:val="00B016D2"/>
    <w:rsid w:val="00B018EC"/>
    <w:rsid w:val="00B060C7"/>
    <w:rsid w:val="00B11AB7"/>
    <w:rsid w:val="00B12213"/>
    <w:rsid w:val="00B13710"/>
    <w:rsid w:val="00B165A4"/>
    <w:rsid w:val="00B22881"/>
    <w:rsid w:val="00B23EFC"/>
    <w:rsid w:val="00B24B72"/>
    <w:rsid w:val="00B25DB8"/>
    <w:rsid w:val="00B264E5"/>
    <w:rsid w:val="00B2656C"/>
    <w:rsid w:val="00B266E6"/>
    <w:rsid w:val="00B3094D"/>
    <w:rsid w:val="00B30B04"/>
    <w:rsid w:val="00B311BC"/>
    <w:rsid w:val="00B31810"/>
    <w:rsid w:val="00B31C10"/>
    <w:rsid w:val="00B3446D"/>
    <w:rsid w:val="00B34652"/>
    <w:rsid w:val="00B34F89"/>
    <w:rsid w:val="00B3557F"/>
    <w:rsid w:val="00B358C8"/>
    <w:rsid w:val="00B36185"/>
    <w:rsid w:val="00B3662F"/>
    <w:rsid w:val="00B373CD"/>
    <w:rsid w:val="00B376E5"/>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4E8C"/>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82DF7"/>
    <w:rsid w:val="00B900FE"/>
    <w:rsid w:val="00B9064C"/>
    <w:rsid w:val="00B93A54"/>
    <w:rsid w:val="00BA0A14"/>
    <w:rsid w:val="00BA228D"/>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25A"/>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259C"/>
    <w:rsid w:val="00C13D76"/>
    <w:rsid w:val="00C15D16"/>
    <w:rsid w:val="00C20015"/>
    <w:rsid w:val="00C247DD"/>
    <w:rsid w:val="00C25B43"/>
    <w:rsid w:val="00C26A54"/>
    <w:rsid w:val="00C3261C"/>
    <w:rsid w:val="00C3318B"/>
    <w:rsid w:val="00C33C20"/>
    <w:rsid w:val="00C35362"/>
    <w:rsid w:val="00C357EA"/>
    <w:rsid w:val="00C366AD"/>
    <w:rsid w:val="00C379F8"/>
    <w:rsid w:val="00C37A1C"/>
    <w:rsid w:val="00C42323"/>
    <w:rsid w:val="00C42480"/>
    <w:rsid w:val="00C4316E"/>
    <w:rsid w:val="00C453A9"/>
    <w:rsid w:val="00C465D5"/>
    <w:rsid w:val="00C4756A"/>
    <w:rsid w:val="00C47C39"/>
    <w:rsid w:val="00C50649"/>
    <w:rsid w:val="00C50E1F"/>
    <w:rsid w:val="00C51C09"/>
    <w:rsid w:val="00C52BB6"/>
    <w:rsid w:val="00C53471"/>
    <w:rsid w:val="00C55143"/>
    <w:rsid w:val="00C5611B"/>
    <w:rsid w:val="00C5695E"/>
    <w:rsid w:val="00C60E5A"/>
    <w:rsid w:val="00C61528"/>
    <w:rsid w:val="00C63457"/>
    <w:rsid w:val="00C64964"/>
    <w:rsid w:val="00C6631E"/>
    <w:rsid w:val="00C67473"/>
    <w:rsid w:val="00C67AA4"/>
    <w:rsid w:val="00C7148C"/>
    <w:rsid w:val="00C71E00"/>
    <w:rsid w:val="00C72192"/>
    <w:rsid w:val="00C732E5"/>
    <w:rsid w:val="00C73D0B"/>
    <w:rsid w:val="00C75017"/>
    <w:rsid w:val="00C765B4"/>
    <w:rsid w:val="00C80C93"/>
    <w:rsid w:val="00C813EA"/>
    <w:rsid w:val="00C81496"/>
    <w:rsid w:val="00C82CE6"/>
    <w:rsid w:val="00C82E22"/>
    <w:rsid w:val="00C82E4F"/>
    <w:rsid w:val="00C85144"/>
    <w:rsid w:val="00C86738"/>
    <w:rsid w:val="00C86A27"/>
    <w:rsid w:val="00C91517"/>
    <w:rsid w:val="00C91BB8"/>
    <w:rsid w:val="00C929BD"/>
    <w:rsid w:val="00C931A2"/>
    <w:rsid w:val="00CA02E1"/>
    <w:rsid w:val="00CA15DA"/>
    <w:rsid w:val="00CA224E"/>
    <w:rsid w:val="00CA3037"/>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06AB"/>
    <w:rsid w:val="00CD2749"/>
    <w:rsid w:val="00CD2A60"/>
    <w:rsid w:val="00CD306F"/>
    <w:rsid w:val="00CD3971"/>
    <w:rsid w:val="00CD3DAB"/>
    <w:rsid w:val="00CE0DF1"/>
    <w:rsid w:val="00CE3786"/>
    <w:rsid w:val="00CE4027"/>
    <w:rsid w:val="00CE47CC"/>
    <w:rsid w:val="00CE48C7"/>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31654"/>
    <w:rsid w:val="00D3215D"/>
    <w:rsid w:val="00D33352"/>
    <w:rsid w:val="00D347D9"/>
    <w:rsid w:val="00D35565"/>
    <w:rsid w:val="00D36A19"/>
    <w:rsid w:val="00D40DCF"/>
    <w:rsid w:val="00D41075"/>
    <w:rsid w:val="00D41C76"/>
    <w:rsid w:val="00D41DD8"/>
    <w:rsid w:val="00D4222C"/>
    <w:rsid w:val="00D425CE"/>
    <w:rsid w:val="00D42BC7"/>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57AE1"/>
    <w:rsid w:val="00D6053F"/>
    <w:rsid w:val="00D6073D"/>
    <w:rsid w:val="00D618D6"/>
    <w:rsid w:val="00D62426"/>
    <w:rsid w:val="00D62804"/>
    <w:rsid w:val="00D66D28"/>
    <w:rsid w:val="00D70F55"/>
    <w:rsid w:val="00D70FA5"/>
    <w:rsid w:val="00D74171"/>
    <w:rsid w:val="00D7474C"/>
    <w:rsid w:val="00D8032C"/>
    <w:rsid w:val="00D80471"/>
    <w:rsid w:val="00D80CE2"/>
    <w:rsid w:val="00D826B8"/>
    <w:rsid w:val="00D83080"/>
    <w:rsid w:val="00D83E66"/>
    <w:rsid w:val="00D84D5F"/>
    <w:rsid w:val="00D851E2"/>
    <w:rsid w:val="00D87FFA"/>
    <w:rsid w:val="00D91419"/>
    <w:rsid w:val="00D92A09"/>
    <w:rsid w:val="00D92D2A"/>
    <w:rsid w:val="00D92EEC"/>
    <w:rsid w:val="00D93470"/>
    <w:rsid w:val="00D9395F"/>
    <w:rsid w:val="00D93B4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1445"/>
    <w:rsid w:val="00DC2A65"/>
    <w:rsid w:val="00DC2A86"/>
    <w:rsid w:val="00DC3631"/>
    <w:rsid w:val="00DC37F7"/>
    <w:rsid w:val="00DC6F54"/>
    <w:rsid w:val="00DD0C00"/>
    <w:rsid w:val="00DD0F8C"/>
    <w:rsid w:val="00DD116C"/>
    <w:rsid w:val="00DD23D5"/>
    <w:rsid w:val="00DD2AF1"/>
    <w:rsid w:val="00DD46DA"/>
    <w:rsid w:val="00DD6072"/>
    <w:rsid w:val="00DD62BE"/>
    <w:rsid w:val="00DD7035"/>
    <w:rsid w:val="00DD77D9"/>
    <w:rsid w:val="00DD7CA4"/>
    <w:rsid w:val="00DE167C"/>
    <w:rsid w:val="00DE3B70"/>
    <w:rsid w:val="00DE5813"/>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0A23"/>
    <w:rsid w:val="00E1112F"/>
    <w:rsid w:val="00E1318F"/>
    <w:rsid w:val="00E13B3B"/>
    <w:rsid w:val="00E13E29"/>
    <w:rsid w:val="00E16857"/>
    <w:rsid w:val="00E16C3A"/>
    <w:rsid w:val="00E20651"/>
    <w:rsid w:val="00E2107C"/>
    <w:rsid w:val="00E21E70"/>
    <w:rsid w:val="00E224DE"/>
    <w:rsid w:val="00E23DCE"/>
    <w:rsid w:val="00E26363"/>
    <w:rsid w:val="00E264B5"/>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20D"/>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27B6"/>
    <w:rsid w:val="00E831D3"/>
    <w:rsid w:val="00E84C91"/>
    <w:rsid w:val="00E84E60"/>
    <w:rsid w:val="00E8556E"/>
    <w:rsid w:val="00E86B2D"/>
    <w:rsid w:val="00E86F4D"/>
    <w:rsid w:val="00E87D08"/>
    <w:rsid w:val="00E90D0E"/>
    <w:rsid w:val="00E91B2D"/>
    <w:rsid w:val="00E92FCA"/>
    <w:rsid w:val="00E95CAA"/>
    <w:rsid w:val="00E97551"/>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0CDC"/>
    <w:rsid w:val="00ED1866"/>
    <w:rsid w:val="00ED3134"/>
    <w:rsid w:val="00ED38E2"/>
    <w:rsid w:val="00ED5C44"/>
    <w:rsid w:val="00ED635B"/>
    <w:rsid w:val="00EE5394"/>
    <w:rsid w:val="00EE742D"/>
    <w:rsid w:val="00EF0A22"/>
    <w:rsid w:val="00EF1267"/>
    <w:rsid w:val="00EF180C"/>
    <w:rsid w:val="00EF3B6B"/>
    <w:rsid w:val="00EF4B43"/>
    <w:rsid w:val="00EF6750"/>
    <w:rsid w:val="00EF770B"/>
    <w:rsid w:val="00F02836"/>
    <w:rsid w:val="00F02FB5"/>
    <w:rsid w:val="00F0534E"/>
    <w:rsid w:val="00F05C30"/>
    <w:rsid w:val="00F10F1B"/>
    <w:rsid w:val="00F133B3"/>
    <w:rsid w:val="00F14179"/>
    <w:rsid w:val="00F15786"/>
    <w:rsid w:val="00F167C5"/>
    <w:rsid w:val="00F17833"/>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32D3"/>
    <w:rsid w:val="00F65E3C"/>
    <w:rsid w:val="00F67076"/>
    <w:rsid w:val="00F677FA"/>
    <w:rsid w:val="00F7115A"/>
    <w:rsid w:val="00F71339"/>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86DDB"/>
    <w:rsid w:val="00F90C47"/>
    <w:rsid w:val="00F90CB3"/>
    <w:rsid w:val="00F912A2"/>
    <w:rsid w:val="00F913A3"/>
    <w:rsid w:val="00F91A65"/>
    <w:rsid w:val="00F925C3"/>
    <w:rsid w:val="00FA0109"/>
    <w:rsid w:val="00FA458B"/>
    <w:rsid w:val="00FA5EC5"/>
    <w:rsid w:val="00FA6B35"/>
    <w:rsid w:val="00FA7016"/>
    <w:rsid w:val="00FA7174"/>
    <w:rsid w:val="00FA793D"/>
    <w:rsid w:val="00FB020E"/>
    <w:rsid w:val="00FB0F17"/>
    <w:rsid w:val="00FB4B9D"/>
    <w:rsid w:val="00FB4D04"/>
    <w:rsid w:val="00FB50ED"/>
    <w:rsid w:val="00FB6E18"/>
    <w:rsid w:val="00FC144B"/>
    <w:rsid w:val="00FC16D0"/>
    <w:rsid w:val="00FC2169"/>
    <w:rsid w:val="00FC28E2"/>
    <w:rsid w:val="00FC3BF6"/>
    <w:rsid w:val="00FC3D22"/>
    <w:rsid w:val="00FC4E90"/>
    <w:rsid w:val="00FC6FE1"/>
    <w:rsid w:val="00FD0C3D"/>
    <w:rsid w:val="00FD2F6B"/>
    <w:rsid w:val="00FE064A"/>
    <w:rsid w:val="00FE0B55"/>
    <w:rsid w:val="00FE1E98"/>
    <w:rsid w:val="00FE21B6"/>
    <w:rsid w:val="00FE2452"/>
    <w:rsid w:val="00FE2EAE"/>
    <w:rsid w:val="00FE5469"/>
    <w:rsid w:val="00FE66C2"/>
    <w:rsid w:val="00FE684A"/>
    <w:rsid w:val="00FE6F23"/>
    <w:rsid w:val="00FF0F8C"/>
    <w:rsid w:val="00FF408B"/>
    <w:rsid w:val="00FF43E1"/>
    <w:rsid w:val="03430854"/>
    <w:rsid w:val="039F5FA6"/>
    <w:rsid w:val="08236132"/>
    <w:rsid w:val="09305ADA"/>
    <w:rsid w:val="0AF53DB5"/>
    <w:rsid w:val="0E8013B7"/>
    <w:rsid w:val="10D604C6"/>
    <w:rsid w:val="11B515E0"/>
    <w:rsid w:val="13A53267"/>
    <w:rsid w:val="13F970D2"/>
    <w:rsid w:val="14AA4136"/>
    <w:rsid w:val="1572463D"/>
    <w:rsid w:val="163A420B"/>
    <w:rsid w:val="19413B26"/>
    <w:rsid w:val="1C6D3688"/>
    <w:rsid w:val="1C974DF7"/>
    <w:rsid w:val="1CC63D0A"/>
    <w:rsid w:val="1DC2081A"/>
    <w:rsid w:val="1DD94266"/>
    <w:rsid w:val="1F9D0947"/>
    <w:rsid w:val="1FFB29C6"/>
    <w:rsid w:val="208337BA"/>
    <w:rsid w:val="218B0B78"/>
    <w:rsid w:val="22AF3620"/>
    <w:rsid w:val="22E70AD4"/>
    <w:rsid w:val="24F1508D"/>
    <w:rsid w:val="266F634F"/>
    <w:rsid w:val="274041B2"/>
    <w:rsid w:val="291059EA"/>
    <w:rsid w:val="29FC17DF"/>
    <w:rsid w:val="2A524352"/>
    <w:rsid w:val="2BBF12EC"/>
    <w:rsid w:val="2BC649D9"/>
    <w:rsid w:val="2C3342E6"/>
    <w:rsid w:val="3515160D"/>
    <w:rsid w:val="3B7807FE"/>
    <w:rsid w:val="3C7D00D8"/>
    <w:rsid w:val="3CA06C0C"/>
    <w:rsid w:val="3EA25851"/>
    <w:rsid w:val="3F6C3757"/>
    <w:rsid w:val="405D6A10"/>
    <w:rsid w:val="41DA6594"/>
    <w:rsid w:val="444C1A75"/>
    <w:rsid w:val="44A3526F"/>
    <w:rsid w:val="44B032F4"/>
    <w:rsid w:val="457D25F7"/>
    <w:rsid w:val="468341CD"/>
    <w:rsid w:val="472C2589"/>
    <w:rsid w:val="4A760AEB"/>
    <w:rsid w:val="4F3162CA"/>
    <w:rsid w:val="50D95873"/>
    <w:rsid w:val="526102AF"/>
    <w:rsid w:val="528444DA"/>
    <w:rsid w:val="537745D5"/>
    <w:rsid w:val="552306F6"/>
    <w:rsid w:val="56E352D5"/>
    <w:rsid w:val="57E435FE"/>
    <w:rsid w:val="582D0655"/>
    <w:rsid w:val="5951205C"/>
    <w:rsid w:val="59D079E8"/>
    <w:rsid w:val="59D40847"/>
    <w:rsid w:val="5A2B709A"/>
    <w:rsid w:val="5AE37F25"/>
    <w:rsid w:val="5CB23D47"/>
    <w:rsid w:val="5DFF76A2"/>
    <w:rsid w:val="5FAF09C4"/>
    <w:rsid w:val="608C4642"/>
    <w:rsid w:val="62795572"/>
    <w:rsid w:val="64DD6417"/>
    <w:rsid w:val="66004745"/>
    <w:rsid w:val="6A567F20"/>
    <w:rsid w:val="6CD97953"/>
    <w:rsid w:val="6ED30FD7"/>
    <w:rsid w:val="6FFF7BD7"/>
    <w:rsid w:val="727D78FD"/>
    <w:rsid w:val="73CC655F"/>
    <w:rsid w:val="73FA8648"/>
    <w:rsid w:val="75957445"/>
    <w:rsid w:val="75D01AE1"/>
    <w:rsid w:val="76FB89A3"/>
    <w:rsid w:val="77524363"/>
    <w:rsid w:val="77B917B5"/>
    <w:rsid w:val="77F75380"/>
    <w:rsid w:val="78703975"/>
    <w:rsid w:val="7ABF40C0"/>
    <w:rsid w:val="7BDC08A0"/>
    <w:rsid w:val="7BE420FD"/>
    <w:rsid w:val="7D0D296B"/>
    <w:rsid w:val="7D4E0B54"/>
    <w:rsid w:val="7D503E78"/>
    <w:rsid w:val="7DBF5162"/>
    <w:rsid w:val="7E0160D4"/>
    <w:rsid w:val="7EFA8CB8"/>
    <w:rsid w:val="7EFFE754"/>
    <w:rsid w:val="7F5D2AD9"/>
    <w:rsid w:val="7FD57599"/>
    <w:rsid w:val="7FE7555F"/>
    <w:rsid w:val="B79A69B2"/>
    <w:rsid w:val="B876D410"/>
    <w:rsid w:val="BD3C3BC4"/>
    <w:rsid w:val="BDE68119"/>
    <w:rsid w:val="BDFADB2E"/>
    <w:rsid w:val="BFFFE414"/>
    <w:rsid w:val="CBFFEB42"/>
    <w:rsid w:val="DF6A3348"/>
    <w:rsid w:val="E35BB45F"/>
    <w:rsid w:val="EEFFB78C"/>
    <w:rsid w:val="F7B584B2"/>
    <w:rsid w:val="F7BBBDB2"/>
    <w:rsid w:val="F9BF3E0B"/>
    <w:rsid w:val="FD7F2BD5"/>
    <w:rsid w:val="FFBC2512"/>
    <w:rsid w:val="FFFB24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7"/>
    <w:qFormat/>
    <w:uiPriority w:val="9"/>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2"/>
    <w:qFormat/>
    <w:uiPriority w:val="9"/>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61"/>
    <w:qFormat/>
    <w:uiPriority w:val="9"/>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qFormat/>
    <w:uiPriority w:val="9"/>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9"/>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48"/>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55"/>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8"/>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52"/>
    <w:qFormat/>
    <w:uiPriority w:val="99"/>
    <w:pPr>
      <w:jc w:val="left"/>
    </w:pPr>
    <w:rPr>
      <w:rFonts w:ascii="Times New Roman" w:hAnsi="Times New Roman" w:eastAsia="仿宋"/>
      <w:sz w:val="28"/>
    </w:rPr>
  </w:style>
  <w:style w:type="paragraph" w:styleId="16">
    <w:name w:val="Body Text"/>
    <w:basedOn w:val="1"/>
    <w:link w:val="62"/>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9"/>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54"/>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5 字符"/>
    <w:semiHidden/>
    <w:qFormat/>
    <w:uiPriority w:val="9"/>
    <w:rPr>
      <w:rFonts w:ascii="宋体" w:hAnsi="宋体"/>
      <w:b/>
      <w:bCs/>
      <w:kern w:val="2"/>
      <w:sz w:val="28"/>
      <w:szCs w:val="28"/>
    </w:rPr>
  </w:style>
  <w:style w:type="character" w:customStyle="1" w:styleId="43">
    <w:name w:val="标题 6 字符"/>
    <w:semiHidden/>
    <w:qFormat/>
    <w:uiPriority w:val="9"/>
    <w:rPr>
      <w:rFonts w:ascii="等线 Light" w:hAnsi="等线 Light" w:eastAsia="等线 Light" w:cs="Times New Roman"/>
      <w:b/>
      <w:bCs/>
      <w:kern w:val="2"/>
      <w:sz w:val="24"/>
      <w:szCs w:val="24"/>
    </w:rPr>
  </w:style>
  <w:style w:type="character" w:customStyle="1" w:styleId="44">
    <w:name w:val="标题 1 字符"/>
    <w:qFormat/>
    <w:uiPriority w:val="9"/>
    <w:rPr>
      <w:rFonts w:ascii="宋体" w:hAnsi="宋体"/>
      <w:b/>
      <w:bCs/>
      <w:kern w:val="44"/>
      <w:sz w:val="44"/>
      <w:szCs w:val="44"/>
    </w:rPr>
  </w:style>
  <w:style w:type="character" w:customStyle="1" w:styleId="45">
    <w:name w:val="标题 2 字符"/>
    <w:semiHidden/>
    <w:qFormat/>
    <w:uiPriority w:val="9"/>
    <w:rPr>
      <w:rFonts w:ascii="等线 Light" w:hAnsi="等线 Light" w:eastAsia="等线 Light" w:cs="Times New Roman"/>
      <w:b/>
      <w:bCs/>
      <w:kern w:val="2"/>
      <w:sz w:val="32"/>
      <w:szCs w:val="32"/>
    </w:rPr>
  </w:style>
  <w:style w:type="character" w:customStyle="1" w:styleId="46">
    <w:name w:val="标题 3 字符"/>
    <w:semiHidden/>
    <w:qFormat/>
    <w:uiPriority w:val="9"/>
    <w:rPr>
      <w:rFonts w:ascii="宋体" w:hAnsi="宋体"/>
      <w:b/>
      <w:bCs/>
      <w:kern w:val="2"/>
      <w:sz w:val="32"/>
      <w:szCs w:val="32"/>
    </w:rPr>
  </w:style>
  <w:style w:type="character" w:customStyle="1" w:styleId="47">
    <w:name w:val="标题 4 字符"/>
    <w:semiHidden/>
    <w:qFormat/>
    <w:uiPriority w:val="9"/>
    <w:rPr>
      <w:rFonts w:ascii="等线 Light" w:hAnsi="等线 Light" w:eastAsia="等线 Light" w:cs="Times New Roman"/>
      <w:b/>
      <w:bCs/>
      <w:kern w:val="2"/>
      <w:sz w:val="28"/>
      <w:szCs w:val="28"/>
    </w:rPr>
  </w:style>
  <w:style w:type="character" w:customStyle="1" w:styleId="48">
    <w:name w:val="标题 7 字符"/>
    <w:link w:val="8"/>
    <w:qFormat/>
    <w:uiPriority w:val="9"/>
    <w:rPr>
      <w:b/>
      <w:bCs/>
      <w:kern w:val="2"/>
      <w:sz w:val="21"/>
      <w:szCs w:val="24"/>
    </w:rPr>
  </w:style>
  <w:style w:type="character" w:customStyle="1" w:styleId="49">
    <w:name w:val="标题 3 字符1"/>
    <w:qFormat/>
    <w:uiPriority w:val="0"/>
    <w:rPr>
      <w:rFonts w:ascii="宋体" w:hAnsi="宋体"/>
      <w:b/>
      <w:bCs/>
      <w:kern w:val="2"/>
      <w:sz w:val="28"/>
      <w:szCs w:val="28"/>
    </w:rPr>
  </w:style>
  <w:style w:type="character" w:customStyle="1" w:styleId="50">
    <w:name w:val="首行缩进正文 Char"/>
    <w:link w:val="51"/>
    <w:qFormat/>
    <w:uiPriority w:val="0"/>
    <w:rPr>
      <w:kern w:val="2"/>
      <w:sz w:val="24"/>
    </w:rPr>
  </w:style>
  <w:style w:type="paragraph" w:customStyle="1" w:styleId="51">
    <w:name w:val="首行缩进正文"/>
    <w:basedOn w:val="1"/>
    <w:link w:val="50"/>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52">
    <w:name w:val="批注文字 字符1"/>
    <w:link w:val="15"/>
    <w:qFormat/>
    <w:uiPriority w:val="99"/>
    <w:rPr>
      <w:rFonts w:eastAsia="仿宋"/>
      <w:kern w:val="2"/>
      <w:sz w:val="28"/>
      <w:szCs w:val="24"/>
    </w:rPr>
  </w:style>
  <w:style w:type="character" w:customStyle="1" w:styleId="53">
    <w:name w:val="日期 字符"/>
    <w:semiHidden/>
    <w:qFormat/>
    <w:uiPriority w:val="99"/>
    <w:rPr>
      <w:rFonts w:ascii="宋体" w:hAnsi="宋体"/>
      <w:kern w:val="2"/>
      <w:sz w:val="24"/>
      <w:szCs w:val="24"/>
    </w:rPr>
  </w:style>
  <w:style w:type="character" w:customStyle="1" w:styleId="54">
    <w:name w:val="日期 字符1"/>
    <w:link w:val="22"/>
    <w:qFormat/>
    <w:uiPriority w:val="0"/>
    <w:rPr>
      <w:kern w:val="2"/>
      <w:sz w:val="21"/>
      <w:szCs w:val="24"/>
    </w:rPr>
  </w:style>
  <w:style w:type="character" w:customStyle="1" w:styleId="55">
    <w:name w:val="标题 9 字符"/>
    <w:link w:val="10"/>
    <w:qFormat/>
    <w:uiPriority w:val="9"/>
    <w:rPr>
      <w:rFonts w:ascii="Cambria" w:hAnsi="Cambria"/>
      <w:kern w:val="2"/>
      <w:sz w:val="21"/>
      <w:szCs w:val="21"/>
    </w:rPr>
  </w:style>
  <w:style w:type="character" w:customStyle="1" w:styleId="56">
    <w:name w:val="未处理的提及1"/>
    <w:unhideWhenUsed/>
    <w:qFormat/>
    <w:uiPriority w:val="99"/>
    <w:rPr>
      <w:color w:val="605E5C"/>
      <w:shd w:val="clear" w:color="auto" w:fill="E1DFDD"/>
    </w:rPr>
  </w:style>
  <w:style w:type="character" w:customStyle="1" w:styleId="57">
    <w:name w:val="页脚 字符"/>
    <w:qFormat/>
    <w:uiPriority w:val="99"/>
  </w:style>
  <w:style w:type="character" w:customStyle="1" w:styleId="58">
    <w:name w:val="题注 字符"/>
    <w:link w:val="13"/>
    <w:qFormat/>
    <w:locked/>
    <w:uiPriority w:val="0"/>
    <w:rPr>
      <w:rFonts w:ascii="Arial" w:hAnsi="Arial" w:eastAsia="黑体"/>
      <w:kern w:val="2"/>
    </w:rPr>
  </w:style>
  <w:style w:type="character" w:customStyle="1" w:styleId="59">
    <w:name w:val="纯文本 字符"/>
    <w:qFormat/>
    <w:uiPriority w:val="0"/>
    <w:rPr>
      <w:rFonts w:ascii="宋体" w:hAnsi="Courier New" w:cs="Courier New"/>
      <w:kern w:val="2"/>
      <w:sz w:val="21"/>
      <w:szCs w:val="21"/>
    </w:rPr>
  </w:style>
  <w:style w:type="character" w:customStyle="1" w:styleId="60">
    <w:name w:val="列表段落 字符"/>
    <w:qFormat/>
    <w:uiPriority w:val="34"/>
    <w:rPr>
      <w:kern w:val="2"/>
      <w:sz w:val="21"/>
      <w:szCs w:val="22"/>
    </w:rPr>
  </w:style>
  <w:style w:type="character" w:customStyle="1" w:styleId="61">
    <w:name w:val="标题 4 字符1"/>
    <w:link w:val="5"/>
    <w:qFormat/>
    <w:uiPriority w:val="0"/>
    <w:rPr>
      <w:rFonts w:ascii="宋体" w:hAnsi="宋体"/>
      <w:b/>
      <w:bCs/>
      <w:kern w:val="2"/>
      <w:sz w:val="30"/>
      <w:szCs w:val="30"/>
    </w:rPr>
  </w:style>
  <w:style w:type="character" w:customStyle="1" w:styleId="62">
    <w:name w:val="正文文本 字符"/>
    <w:link w:val="16"/>
    <w:qFormat/>
    <w:uiPriority w:val="0"/>
    <w:rPr>
      <w:kern w:val="2"/>
      <w:sz w:val="21"/>
      <w:szCs w:val="24"/>
    </w:rPr>
  </w:style>
  <w:style w:type="character" w:customStyle="1" w:styleId="63">
    <w:name w:val="列表段落 字符1"/>
    <w:link w:val="64"/>
    <w:qFormat/>
    <w:uiPriority w:val="34"/>
    <w:rPr>
      <w:kern w:val="2"/>
      <w:sz w:val="21"/>
      <w:szCs w:val="24"/>
    </w:rPr>
  </w:style>
  <w:style w:type="paragraph" w:styleId="64">
    <w:name w:val="List Paragraph"/>
    <w:basedOn w:val="1"/>
    <w:link w:val="63"/>
    <w:qFormat/>
    <w:uiPriority w:val="34"/>
    <w:pPr>
      <w:ind w:firstLine="420"/>
    </w:pPr>
    <w:rPr>
      <w:rFonts w:ascii="Times New Roman" w:hAnsi="Times New Roman"/>
      <w:sz w:val="21"/>
    </w:rPr>
  </w:style>
  <w:style w:type="character" w:customStyle="1" w:styleId="65">
    <w:name w:val="font21"/>
    <w:qFormat/>
    <w:uiPriority w:val="0"/>
    <w:rPr>
      <w:rFonts w:ascii="Calibri" w:hAnsi="Calibri" w:cs="Calibri"/>
      <w:color w:val="000000"/>
      <w:sz w:val="21"/>
      <w:szCs w:val="21"/>
      <w:u w:val="none"/>
    </w:rPr>
  </w:style>
  <w:style w:type="character" w:customStyle="1" w:styleId="66">
    <w:name w:val="*正文 Char"/>
    <w:link w:val="67"/>
    <w:qFormat/>
    <w:uiPriority w:val="0"/>
    <w:rPr>
      <w:rFonts w:ascii="time" w:hAnsi="time"/>
      <w:sz w:val="24"/>
      <w:szCs w:val="24"/>
      <w:lang w:bidi="en-US"/>
    </w:rPr>
  </w:style>
  <w:style w:type="paragraph" w:customStyle="1" w:styleId="67">
    <w:name w:val="*正文"/>
    <w:basedOn w:val="1"/>
    <w:link w:val="66"/>
    <w:qFormat/>
    <w:uiPriority w:val="0"/>
    <w:pPr>
      <w:widowControl/>
      <w:ind w:firstLine="200"/>
      <w:contextualSpacing/>
    </w:pPr>
    <w:rPr>
      <w:rFonts w:ascii="time" w:hAnsi="time"/>
      <w:kern w:val="0"/>
      <w:lang w:bidi="en-US"/>
    </w:rPr>
  </w:style>
  <w:style w:type="character" w:customStyle="1" w:styleId="68">
    <w:name w:val="正文文本缩进 字符"/>
    <w:semiHidden/>
    <w:qFormat/>
    <w:uiPriority w:val="99"/>
    <w:rPr>
      <w:rFonts w:ascii="宋体" w:hAnsi="宋体"/>
      <w:kern w:val="2"/>
      <w:sz w:val="24"/>
      <w:szCs w:val="24"/>
    </w:rPr>
  </w:style>
  <w:style w:type="character" w:customStyle="1" w:styleId="69">
    <w:name w:val="纯文本 字符1"/>
    <w:link w:val="20"/>
    <w:qFormat/>
    <w:locked/>
    <w:uiPriority w:val="0"/>
    <w:rPr>
      <w:rFonts w:ascii="宋体" w:hAnsi="Courier New"/>
      <w:kern w:val="2"/>
      <w:sz w:val="21"/>
    </w:rPr>
  </w:style>
  <w:style w:type="character" w:customStyle="1" w:styleId="70">
    <w:name w:val="my正文 Char"/>
    <w:link w:val="71"/>
    <w:qFormat/>
    <w:uiPriority w:val="0"/>
    <w:rPr>
      <w:kern w:val="2"/>
      <w:sz w:val="21"/>
      <w:szCs w:val="24"/>
    </w:rPr>
  </w:style>
  <w:style w:type="paragraph" w:customStyle="1" w:styleId="71">
    <w:name w:val="my正文"/>
    <w:basedOn w:val="1"/>
    <w:link w:val="70"/>
    <w:qFormat/>
    <w:uiPriority w:val="0"/>
    <w:pPr>
      <w:spacing w:line="240" w:lineRule="auto"/>
      <w:ind w:firstLine="0" w:firstLineChars="0"/>
    </w:pPr>
    <w:rPr>
      <w:rFonts w:ascii="Times New Roman" w:hAnsi="Times New Roman"/>
      <w:sz w:val="21"/>
    </w:rPr>
  </w:style>
  <w:style w:type="character" w:customStyle="1" w:styleId="72">
    <w:name w:val="正文2 字符"/>
    <w:link w:val="73"/>
    <w:qFormat/>
    <w:uiPriority w:val="0"/>
    <w:rPr>
      <w:kern w:val="2"/>
      <w:sz w:val="21"/>
      <w:szCs w:val="24"/>
    </w:rPr>
  </w:style>
  <w:style w:type="paragraph" w:customStyle="1" w:styleId="73">
    <w:name w:val="正文2"/>
    <w:basedOn w:val="1"/>
    <w:link w:val="72"/>
    <w:qFormat/>
    <w:uiPriority w:val="0"/>
    <w:pPr>
      <w:ind w:firstLine="420"/>
    </w:pPr>
    <w:rPr>
      <w:rFonts w:ascii="Times New Roman" w:hAnsi="Times New Roman"/>
      <w:sz w:val="21"/>
    </w:rPr>
  </w:style>
  <w:style w:type="character" w:customStyle="1" w:styleId="74">
    <w:name w:val="font41"/>
    <w:qFormat/>
    <w:uiPriority w:val="0"/>
    <w:rPr>
      <w:rFonts w:hint="eastAsia" w:ascii="宋体" w:hAnsi="宋体" w:eastAsia="宋体" w:cs="宋体"/>
      <w:color w:val="000000"/>
      <w:sz w:val="21"/>
      <w:szCs w:val="21"/>
      <w:u w:val="none"/>
    </w:rPr>
  </w:style>
  <w:style w:type="character" w:customStyle="1" w:styleId="75">
    <w:name w:val="批注框文本 字符"/>
    <w:semiHidden/>
    <w:qFormat/>
    <w:uiPriority w:val="99"/>
    <w:rPr>
      <w:rFonts w:ascii="宋体" w:hAnsi="宋体"/>
      <w:kern w:val="2"/>
      <w:sz w:val="18"/>
      <w:szCs w:val="18"/>
    </w:rPr>
  </w:style>
  <w:style w:type="character" w:customStyle="1" w:styleId="76">
    <w:name w:val="副标题 Char1"/>
    <w:qFormat/>
    <w:uiPriority w:val="0"/>
    <w:rPr>
      <w:rFonts w:ascii="Calibri Light" w:hAnsi="Calibri Light" w:cs="Times New Roman"/>
      <w:b/>
      <w:bCs/>
      <w:kern w:val="28"/>
      <w:sz w:val="32"/>
      <w:szCs w:val="32"/>
    </w:rPr>
  </w:style>
  <w:style w:type="character" w:customStyle="1" w:styleId="77">
    <w:name w:val="标题 1 字符1"/>
    <w:link w:val="2"/>
    <w:qFormat/>
    <w:uiPriority w:val="0"/>
    <w:rPr>
      <w:rFonts w:ascii="宋体" w:hAnsi="宋体" w:eastAsia="黑体"/>
      <w:b/>
      <w:bCs/>
      <w:kern w:val="44"/>
      <w:sz w:val="32"/>
      <w:szCs w:val="28"/>
    </w:rPr>
  </w:style>
  <w:style w:type="character" w:customStyle="1" w:styleId="78">
    <w:name w:val="批注文字 字符"/>
    <w:qFormat/>
    <w:uiPriority w:val="99"/>
    <w:rPr>
      <w:rFonts w:ascii="宋体" w:hAnsi="宋体"/>
      <w:kern w:val="2"/>
      <w:sz w:val="24"/>
      <w:szCs w:val="24"/>
    </w:rPr>
  </w:style>
  <w:style w:type="character" w:customStyle="1" w:styleId="79">
    <w:name w:val="文档结构图 字符"/>
    <w:semiHidden/>
    <w:qFormat/>
    <w:uiPriority w:val="99"/>
    <w:rPr>
      <w:rFonts w:ascii="Microsoft YaHei UI" w:hAnsi="宋体" w:eastAsia="Microsoft YaHei UI"/>
      <w:kern w:val="2"/>
      <w:sz w:val="18"/>
      <w:szCs w:val="18"/>
    </w:rPr>
  </w:style>
  <w:style w:type="character" w:customStyle="1" w:styleId="80">
    <w:name w:val="正文正文2 Char"/>
    <w:link w:val="81"/>
    <w:qFormat/>
    <w:uiPriority w:val="0"/>
    <w:rPr>
      <w:rFonts w:ascii="宋体" w:hAnsi="宋体"/>
      <w:kern w:val="2"/>
      <w:sz w:val="21"/>
      <w:szCs w:val="21"/>
    </w:rPr>
  </w:style>
  <w:style w:type="paragraph" w:customStyle="1" w:styleId="81">
    <w:name w:val="正文正文2"/>
    <w:basedOn w:val="1"/>
    <w:link w:val="80"/>
    <w:qFormat/>
    <w:uiPriority w:val="0"/>
    <w:pPr>
      <w:ind w:firstLine="460"/>
    </w:pPr>
    <w:rPr>
      <w:sz w:val="21"/>
      <w:szCs w:val="21"/>
    </w:rPr>
  </w:style>
  <w:style w:type="character" w:customStyle="1" w:styleId="82">
    <w:name w:val="标题 3 字符2"/>
    <w:link w:val="4"/>
    <w:qFormat/>
    <w:uiPriority w:val="0"/>
    <w:rPr>
      <w:rFonts w:ascii="宋体" w:hAnsi="宋体"/>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列出段落1"/>
    <w:basedOn w:val="1"/>
    <w:qFormat/>
    <w:uiPriority w:val="34"/>
    <w:pPr>
      <w:spacing w:line="240" w:lineRule="auto"/>
      <w:ind w:firstLine="420"/>
    </w:pPr>
    <w:rPr>
      <w:rFonts w:ascii="Calibri" w:hAnsi="Calibri"/>
      <w:sz w:val="21"/>
      <w:szCs w:val="22"/>
    </w:rPr>
  </w:style>
  <w:style w:type="paragraph" w:customStyle="1" w:styleId="135">
    <w:name w:val="图片"/>
    <w:next w:val="1"/>
    <w:qFormat/>
    <w:uiPriority w:val="6"/>
    <w:pPr>
      <w:jc w:val="center"/>
    </w:pPr>
    <w:rPr>
      <w:rFonts w:ascii="Times New Roman" w:hAnsi="Times New Roman" w:eastAsia="宋体" w:cs="Times New Roman (正文 CS 字体)"/>
      <w:bCs/>
      <w:kern w:val="44"/>
      <w:sz w:val="24"/>
      <w:szCs w:val="44"/>
      <w:lang w:val="en-US" w:eastAsia="zh-CN" w:bidi="ar-SA"/>
    </w:rPr>
  </w:style>
  <w:style w:type="character" w:customStyle="1" w:styleId="136">
    <w:name w:val="font11"/>
    <w:basedOn w:val="37"/>
    <w:qFormat/>
    <w:uiPriority w:val="0"/>
    <w:rPr>
      <w:rFonts w:hint="eastAsia" w:ascii="宋体" w:hAnsi="宋体" w:eastAsia="宋体"/>
      <w:b/>
      <w:bCs/>
      <w:color w:val="000000"/>
      <w:sz w:val="24"/>
      <w:szCs w:val="24"/>
      <w:u w:val="none"/>
    </w:rPr>
  </w:style>
  <w:style w:type="paragraph" w:customStyle="1" w:styleId="137">
    <w:name w:val="修订2"/>
    <w:hidden/>
    <w:unhideWhenUsed/>
    <w:qFormat/>
    <w:uiPriority w:val="99"/>
    <w:rPr>
      <w:rFonts w:ascii="宋体" w:hAnsi="宋体" w:eastAsia="宋体" w:cs="Times New Roman"/>
      <w:kern w:val="2"/>
      <w:sz w:val="24"/>
      <w:szCs w:val="24"/>
      <w:lang w:val="en-US" w:eastAsia="zh-CN" w:bidi="ar-SA"/>
    </w:rPr>
  </w:style>
  <w:style w:type="paragraph" w:customStyle="1" w:styleId="138">
    <w:name w:val="修订3"/>
    <w:hidden/>
    <w:unhideWhenUsed/>
    <w:qFormat/>
    <w:uiPriority w:val="99"/>
    <w:rPr>
      <w:rFonts w:ascii="宋体" w:hAnsi="宋体" w:eastAsia="宋体" w:cs="Times New Roman"/>
      <w:kern w:val="2"/>
      <w:sz w:val="24"/>
      <w:szCs w:val="24"/>
      <w:lang w:val="en-US" w:eastAsia="zh-CN" w:bidi="ar-SA"/>
    </w:rPr>
  </w:style>
  <w:style w:type="paragraph" w:customStyle="1" w:styleId="139">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9124</Words>
  <Characters>9308</Characters>
  <Lines>930</Lines>
  <Paragraphs>575</Paragraphs>
  <TotalTime>993</TotalTime>
  <ScaleCrop>false</ScaleCrop>
  <LinksUpToDate>false</LinksUpToDate>
  <CharactersWithSpaces>17857</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2026-01-14T14:09:00Z</dcterms:created>
  <dc:creator>gtig_tzb</dc:creator>
  <cp:lastModifiedBy>user</cp:lastModifiedBy>
  <cp:lastPrinted>2020-08-10T04:08:00Z</cp:lastPrinted>
  <dcterms:modified xsi:type="dcterms:W3CDTF">2026-03-24T11:02:42Z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5DFF1F130C7440548379C749DE2FA267_13</vt:lpwstr>
  </property>
  <property fmtid="{D5CDD505-2E9C-101B-9397-08002B2CF9AE}" pid="4" name="KSOTemplateDocerSaveRecord">
    <vt:lpwstr>eyJoZGlkIjoiMmU5ZTU0MjFhY2RkMDVlNjJkNmQ3MDRmOTgzNDI3Y2QiLCJ1c2VySWQiOiIxMzU2MTM3NTk4In0=</vt:lpwstr>
  </property>
</Properties>
</file>