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A445C">
      <w:pPr>
        <w:widowControl w:val="0"/>
        <w:topLinePunct/>
        <w:autoSpaceDE w:val="0"/>
        <w:autoSpaceDN w:val="0"/>
        <w:spacing w:line="360" w:lineRule="auto"/>
        <w:jc w:val="center"/>
        <w:rPr>
          <w:rFonts w:ascii="宋体" w:hAnsi="宋体" w:eastAsia="宋体" w:cs="宋体"/>
          <w:b/>
          <w:sz w:val="96"/>
          <w:szCs w:val="96"/>
          <w:highlight w:val="none"/>
          <w:lang w:eastAsia="zh-CN"/>
        </w:rPr>
      </w:pPr>
    </w:p>
    <w:p w14:paraId="3E7F2DA8">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hint="eastAsia" w:ascii="仿宋" w:hAnsi="仿宋" w:eastAsia="仿宋" w:cs="仿宋"/>
          <w:b/>
          <w:sz w:val="44"/>
          <w:szCs w:val="44"/>
          <w:highlight w:val="none"/>
          <w:lang w:eastAsia="zh-CN"/>
        </w:rPr>
        <w:t>包件十：</w:t>
      </w:r>
    </w:p>
    <w:p w14:paraId="5BAECCF3">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ascii="仿宋" w:hAnsi="仿宋" w:eastAsia="仿宋" w:cs="仿宋"/>
          <w:b/>
          <w:sz w:val="44"/>
          <w:szCs w:val="44"/>
          <w:highlight w:val="none"/>
          <w:lang w:eastAsia="zh-CN"/>
        </w:rPr>
        <w:t>网上办税系统技术咨询服务</w:t>
      </w:r>
      <w:r>
        <w:rPr>
          <w:rFonts w:hint="eastAsia" w:ascii="仿宋" w:hAnsi="仿宋" w:eastAsia="仿宋" w:cs="仿宋"/>
          <w:b/>
          <w:sz w:val="44"/>
          <w:szCs w:val="44"/>
          <w:highlight w:val="none"/>
          <w:lang w:eastAsia="zh-CN"/>
        </w:rPr>
        <w:t>（闵行区税务局、第三税务分局）</w:t>
      </w:r>
    </w:p>
    <w:p w14:paraId="023263F3">
      <w:pPr>
        <w:widowControl w:val="0"/>
        <w:topLinePunct/>
        <w:autoSpaceDE w:val="0"/>
        <w:autoSpaceDN w:val="0"/>
        <w:spacing w:line="360" w:lineRule="auto"/>
        <w:jc w:val="center"/>
        <w:rPr>
          <w:rFonts w:ascii="宋体" w:hAnsi="宋体" w:eastAsia="宋体" w:cs="宋体"/>
          <w:b/>
          <w:sz w:val="80"/>
          <w:szCs w:val="80"/>
          <w:highlight w:val="none"/>
          <w:lang w:eastAsia="zh-CN"/>
        </w:rPr>
      </w:pPr>
      <w:r>
        <w:rPr>
          <w:rFonts w:hint="eastAsia" w:ascii="仿宋" w:hAnsi="仿宋" w:eastAsia="仿宋" w:cs="仿宋"/>
          <w:b/>
          <w:sz w:val="44"/>
          <w:szCs w:val="44"/>
          <w:highlight w:val="none"/>
          <w:lang w:eastAsia="zh-CN"/>
        </w:rPr>
        <w:t>需求说明书</w:t>
      </w:r>
    </w:p>
    <w:p w14:paraId="3A901FAA">
      <w:pPr>
        <w:widowControl w:val="0"/>
        <w:topLinePunct/>
        <w:autoSpaceDE w:val="0"/>
        <w:autoSpaceDN w:val="0"/>
        <w:spacing w:line="360" w:lineRule="auto"/>
        <w:jc w:val="center"/>
        <w:rPr>
          <w:rFonts w:ascii="宋体" w:hAnsi="宋体" w:eastAsia="宋体" w:cs="宋体"/>
          <w:b/>
          <w:sz w:val="80"/>
          <w:szCs w:val="80"/>
          <w:highlight w:val="none"/>
          <w:lang w:eastAsia="zh-CN"/>
        </w:rPr>
      </w:pPr>
    </w:p>
    <w:p w14:paraId="4DB4EDFA">
      <w:pPr>
        <w:widowControl w:val="0"/>
        <w:topLinePunct/>
        <w:autoSpaceDE w:val="0"/>
        <w:autoSpaceDN w:val="0"/>
        <w:spacing w:line="360" w:lineRule="auto"/>
        <w:jc w:val="center"/>
        <w:rPr>
          <w:rFonts w:ascii="宋体" w:hAnsi="宋体" w:eastAsia="宋体" w:cs="宋体"/>
          <w:b/>
          <w:sz w:val="80"/>
          <w:szCs w:val="80"/>
          <w:highlight w:val="none"/>
          <w:lang w:eastAsia="zh-CN"/>
        </w:rPr>
      </w:pPr>
    </w:p>
    <w:p w14:paraId="06397F69">
      <w:pPr>
        <w:widowControl w:val="0"/>
        <w:spacing w:line="360" w:lineRule="auto"/>
        <w:jc w:val="both"/>
        <w:rPr>
          <w:rFonts w:ascii="宋体" w:hAnsi="宋体" w:eastAsia="宋体" w:cs="宋体"/>
          <w:kern w:val="2"/>
          <w:sz w:val="32"/>
          <w:szCs w:val="32"/>
          <w:highlight w:val="none"/>
          <w:lang w:eastAsia="zh-CN"/>
        </w:rPr>
      </w:pPr>
    </w:p>
    <w:p w14:paraId="6237D987">
      <w:pPr>
        <w:widowControl w:val="0"/>
        <w:spacing w:line="360" w:lineRule="auto"/>
        <w:jc w:val="both"/>
        <w:rPr>
          <w:rFonts w:ascii="宋体" w:hAnsi="宋体" w:eastAsia="宋体" w:cs="宋体"/>
          <w:kern w:val="2"/>
          <w:sz w:val="32"/>
          <w:szCs w:val="32"/>
          <w:highlight w:val="none"/>
          <w:lang w:eastAsia="zh-CN"/>
        </w:rPr>
      </w:pPr>
    </w:p>
    <w:p w14:paraId="5C58B3E7">
      <w:pPr>
        <w:widowControl w:val="0"/>
        <w:spacing w:line="360" w:lineRule="auto"/>
        <w:jc w:val="both"/>
        <w:rPr>
          <w:rFonts w:ascii="宋体" w:hAnsi="宋体" w:eastAsia="宋体" w:cs="宋体"/>
          <w:kern w:val="2"/>
          <w:sz w:val="32"/>
          <w:szCs w:val="32"/>
          <w:highlight w:val="none"/>
          <w:lang w:eastAsia="zh-CN"/>
        </w:rPr>
      </w:pPr>
    </w:p>
    <w:p w14:paraId="1E5725DB">
      <w:pPr>
        <w:widowControl w:val="0"/>
        <w:topLinePunct/>
        <w:autoSpaceDE w:val="0"/>
        <w:autoSpaceDN w:val="0"/>
        <w:spacing w:line="360" w:lineRule="auto"/>
        <w:jc w:val="both"/>
        <w:rPr>
          <w:rFonts w:ascii="宋体" w:hAnsi="宋体" w:eastAsia="宋体" w:cs="宋体"/>
          <w:sz w:val="32"/>
          <w:szCs w:val="32"/>
          <w:highlight w:val="none"/>
          <w:lang w:eastAsia="zh-CN"/>
        </w:rPr>
      </w:pPr>
    </w:p>
    <w:p w14:paraId="3507DCFA">
      <w:pPr>
        <w:spacing w:line="360" w:lineRule="auto"/>
        <w:jc w:val="center"/>
        <w:rPr>
          <w:rFonts w:ascii="宋体" w:hAnsi="宋体" w:eastAsia="宋体" w:cs="宋体"/>
          <w:sz w:val="32"/>
          <w:highlight w:val="none"/>
        </w:rPr>
      </w:pPr>
      <w:r>
        <w:rPr>
          <w:highlight w:val="none"/>
        </w:rPr>
        <w:br w:type="page"/>
      </w:r>
      <w:r>
        <w:rPr>
          <w:rFonts w:ascii="宋体" w:hAnsi="宋体" w:eastAsia="宋体" w:cs="宋体"/>
          <w:sz w:val="32"/>
          <w:highlight w:val="none"/>
        </w:rPr>
        <w:t>目 录</w:t>
      </w:r>
    </w:p>
    <w:p w14:paraId="7110E3FD">
      <w:pPr>
        <w:pStyle w:val="2"/>
        <w:tabs>
          <w:tab w:val="right" w:leader="dot" w:pos="9026"/>
        </w:tabs>
        <w:rPr>
          <w:highlight w:val="none"/>
        </w:rPr>
      </w:pPr>
      <w:r>
        <w:rPr>
          <w:rFonts w:ascii="宋体" w:hAnsi="宋体" w:eastAsia="宋体" w:cs="宋体"/>
          <w:sz w:val="32"/>
          <w:highlight w:val="none"/>
        </w:rPr>
        <w:fldChar w:fldCharType="begin"/>
      </w:r>
      <w:r>
        <w:rPr>
          <w:rFonts w:ascii="宋体" w:hAnsi="宋体" w:eastAsia="宋体" w:cs="宋体"/>
          <w:sz w:val="32"/>
          <w:highlight w:val="none"/>
        </w:rPr>
        <w:instrText xml:space="preserve">TOC \o "1-3" \h \z \u</w:instrText>
      </w:r>
      <w:r>
        <w:rPr>
          <w:rFonts w:ascii="宋体" w:hAnsi="宋体" w:eastAsia="宋体" w:cs="宋体"/>
          <w:sz w:val="32"/>
          <w:highlight w:val="none"/>
        </w:rPr>
        <w:fldChar w:fldCharType="separate"/>
      </w:r>
      <w:r>
        <w:rPr>
          <w:highlight w:val="none"/>
        </w:rPr>
        <w:fldChar w:fldCharType="begin"/>
      </w:r>
      <w:r>
        <w:rPr>
          <w:highlight w:val="none"/>
        </w:rPr>
        <w:instrText xml:space="preserve"> HYPERLINK \l "_Toc24380" </w:instrText>
      </w:r>
      <w:r>
        <w:rPr>
          <w:highlight w:val="none"/>
        </w:rPr>
        <w:fldChar w:fldCharType="separate"/>
      </w:r>
      <w:r>
        <w:rPr>
          <w:rFonts w:ascii="仿宋_GB2312" w:hAnsi="仿宋_GB2312" w:eastAsia="仿宋_GB2312" w:cs="仿宋_GB2312"/>
          <w:kern w:val="36"/>
          <w:highlight w:val="none"/>
          <w:lang w:eastAsia="zh-CN"/>
        </w:rPr>
        <w:t>1项目概述</w:t>
      </w:r>
      <w:r>
        <w:rPr>
          <w:highlight w:val="none"/>
        </w:rPr>
        <w:tab/>
      </w:r>
      <w:r>
        <w:rPr>
          <w:highlight w:val="none"/>
        </w:rPr>
        <w:fldChar w:fldCharType="begin"/>
      </w:r>
      <w:r>
        <w:rPr>
          <w:highlight w:val="none"/>
        </w:rPr>
        <w:instrText xml:space="preserve"> PAGEREF _Toc24380 \h </w:instrText>
      </w:r>
      <w:r>
        <w:rPr>
          <w:highlight w:val="none"/>
        </w:rPr>
        <w:fldChar w:fldCharType="separate"/>
      </w:r>
      <w:r>
        <w:rPr>
          <w:highlight w:val="none"/>
        </w:rPr>
        <w:t>3</w:t>
      </w:r>
      <w:r>
        <w:rPr>
          <w:highlight w:val="none"/>
        </w:rPr>
        <w:fldChar w:fldCharType="end"/>
      </w:r>
      <w:r>
        <w:rPr>
          <w:highlight w:val="none"/>
        </w:rPr>
        <w:fldChar w:fldCharType="end"/>
      </w:r>
    </w:p>
    <w:p w14:paraId="1BD1F6CB">
      <w:pPr>
        <w:pStyle w:val="13"/>
        <w:tabs>
          <w:tab w:val="right" w:leader="dot" w:pos="9026"/>
        </w:tabs>
        <w:rPr>
          <w:highlight w:val="none"/>
        </w:rPr>
      </w:pPr>
      <w:r>
        <w:rPr>
          <w:highlight w:val="none"/>
        </w:rPr>
        <w:fldChar w:fldCharType="begin"/>
      </w:r>
      <w:r>
        <w:rPr>
          <w:highlight w:val="none"/>
        </w:rPr>
        <w:instrText xml:space="preserve"> HYPERLINK \l "_Toc13007" </w:instrText>
      </w:r>
      <w:r>
        <w:rPr>
          <w:highlight w:val="none"/>
        </w:rPr>
        <w:fldChar w:fldCharType="separate"/>
      </w:r>
      <w:r>
        <w:rPr>
          <w:rFonts w:ascii="仿宋_GB2312" w:hAnsi="仿宋_GB2312" w:eastAsia="仿宋_GB2312" w:cs="仿宋_GB2312"/>
          <w:highlight w:val="none"/>
          <w:lang w:eastAsia="zh-CN"/>
        </w:rPr>
        <w:t>1.1项目背景</w:t>
      </w:r>
      <w:r>
        <w:rPr>
          <w:highlight w:val="none"/>
        </w:rPr>
        <w:tab/>
      </w:r>
      <w:r>
        <w:rPr>
          <w:highlight w:val="none"/>
        </w:rPr>
        <w:fldChar w:fldCharType="begin"/>
      </w:r>
      <w:r>
        <w:rPr>
          <w:highlight w:val="none"/>
        </w:rPr>
        <w:instrText xml:space="preserve"> PAGEREF _Toc13007 \h </w:instrText>
      </w:r>
      <w:r>
        <w:rPr>
          <w:highlight w:val="none"/>
        </w:rPr>
        <w:fldChar w:fldCharType="separate"/>
      </w:r>
      <w:r>
        <w:rPr>
          <w:highlight w:val="none"/>
        </w:rPr>
        <w:t>3</w:t>
      </w:r>
      <w:r>
        <w:rPr>
          <w:highlight w:val="none"/>
        </w:rPr>
        <w:fldChar w:fldCharType="end"/>
      </w:r>
      <w:r>
        <w:rPr>
          <w:highlight w:val="none"/>
        </w:rPr>
        <w:fldChar w:fldCharType="end"/>
      </w:r>
    </w:p>
    <w:p w14:paraId="098AB68A">
      <w:pPr>
        <w:pStyle w:val="8"/>
        <w:tabs>
          <w:tab w:val="right" w:leader="dot" w:pos="9026"/>
        </w:tabs>
        <w:rPr>
          <w:highlight w:val="none"/>
        </w:rPr>
      </w:pPr>
      <w:r>
        <w:rPr>
          <w:highlight w:val="none"/>
        </w:rPr>
        <w:fldChar w:fldCharType="begin"/>
      </w:r>
      <w:r>
        <w:rPr>
          <w:highlight w:val="none"/>
        </w:rPr>
        <w:instrText xml:space="preserve"> HYPERLINK \l "_Toc14721" </w:instrText>
      </w:r>
      <w:r>
        <w:rPr>
          <w:highlight w:val="none"/>
        </w:rPr>
        <w:fldChar w:fldCharType="separate"/>
      </w:r>
      <w:r>
        <w:rPr>
          <w:rFonts w:ascii="仿宋_GB2312" w:hAnsi="仿宋_GB2312" w:eastAsia="仿宋_GB2312" w:cs="仿宋_GB2312"/>
          <w:szCs w:val="28"/>
          <w:highlight w:val="none"/>
          <w:lang w:eastAsia="zh-CN"/>
        </w:rPr>
        <w:t>1.1.1项目背景</w:t>
      </w:r>
      <w:r>
        <w:rPr>
          <w:highlight w:val="none"/>
        </w:rPr>
        <w:tab/>
      </w:r>
      <w:r>
        <w:rPr>
          <w:highlight w:val="none"/>
        </w:rPr>
        <w:fldChar w:fldCharType="begin"/>
      </w:r>
      <w:r>
        <w:rPr>
          <w:highlight w:val="none"/>
        </w:rPr>
        <w:instrText xml:space="preserve"> PAGEREF _Toc14721 \h </w:instrText>
      </w:r>
      <w:r>
        <w:rPr>
          <w:highlight w:val="none"/>
        </w:rPr>
        <w:fldChar w:fldCharType="separate"/>
      </w:r>
      <w:r>
        <w:rPr>
          <w:highlight w:val="none"/>
        </w:rPr>
        <w:t>3</w:t>
      </w:r>
      <w:r>
        <w:rPr>
          <w:highlight w:val="none"/>
        </w:rPr>
        <w:fldChar w:fldCharType="end"/>
      </w:r>
      <w:r>
        <w:rPr>
          <w:highlight w:val="none"/>
        </w:rPr>
        <w:fldChar w:fldCharType="end"/>
      </w:r>
    </w:p>
    <w:p w14:paraId="2C110E5E">
      <w:pPr>
        <w:pStyle w:val="13"/>
        <w:tabs>
          <w:tab w:val="right" w:leader="dot" w:pos="9026"/>
        </w:tabs>
        <w:rPr>
          <w:highlight w:val="none"/>
        </w:rPr>
      </w:pPr>
      <w:r>
        <w:rPr>
          <w:highlight w:val="none"/>
        </w:rPr>
        <w:fldChar w:fldCharType="begin"/>
      </w:r>
      <w:r>
        <w:rPr>
          <w:highlight w:val="none"/>
        </w:rPr>
        <w:instrText xml:space="preserve"> HYPERLINK \l "_Toc14746" </w:instrText>
      </w:r>
      <w:r>
        <w:rPr>
          <w:highlight w:val="none"/>
        </w:rPr>
        <w:fldChar w:fldCharType="separate"/>
      </w:r>
      <w:r>
        <w:rPr>
          <w:rFonts w:ascii="仿宋_GB2312" w:hAnsi="仿宋_GB2312" w:eastAsia="仿宋_GB2312" w:cs="仿宋_GB2312"/>
          <w:highlight w:val="none"/>
          <w:lang w:eastAsia="zh-CN"/>
        </w:rPr>
        <w:t>1.2项目内容</w:t>
      </w:r>
      <w:r>
        <w:rPr>
          <w:highlight w:val="none"/>
        </w:rPr>
        <w:tab/>
      </w:r>
      <w:r>
        <w:rPr>
          <w:highlight w:val="none"/>
        </w:rPr>
        <w:fldChar w:fldCharType="begin"/>
      </w:r>
      <w:r>
        <w:rPr>
          <w:highlight w:val="none"/>
        </w:rPr>
        <w:instrText xml:space="preserve"> PAGEREF _Toc14746 \h </w:instrText>
      </w:r>
      <w:r>
        <w:rPr>
          <w:highlight w:val="none"/>
        </w:rPr>
        <w:fldChar w:fldCharType="separate"/>
      </w:r>
      <w:r>
        <w:rPr>
          <w:highlight w:val="none"/>
        </w:rPr>
        <w:t>3</w:t>
      </w:r>
      <w:r>
        <w:rPr>
          <w:highlight w:val="none"/>
        </w:rPr>
        <w:fldChar w:fldCharType="end"/>
      </w:r>
      <w:r>
        <w:rPr>
          <w:highlight w:val="none"/>
        </w:rPr>
        <w:fldChar w:fldCharType="end"/>
      </w:r>
    </w:p>
    <w:p w14:paraId="38EA1303">
      <w:pPr>
        <w:pStyle w:val="8"/>
        <w:tabs>
          <w:tab w:val="right" w:leader="dot" w:pos="9026"/>
        </w:tabs>
        <w:rPr>
          <w:highlight w:val="none"/>
        </w:rPr>
      </w:pPr>
      <w:r>
        <w:rPr>
          <w:highlight w:val="none"/>
        </w:rPr>
        <w:fldChar w:fldCharType="begin"/>
      </w:r>
      <w:r>
        <w:rPr>
          <w:highlight w:val="none"/>
        </w:rPr>
        <w:instrText xml:space="preserve"> HYPERLINK \l "_Toc29556" </w:instrText>
      </w:r>
      <w:r>
        <w:rPr>
          <w:highlight w:val="none"/>
        </w:rPr>
        <w:fldChar w:fldCharType="separate"/>
      </w:r>
      <w:r>
        <w:rPr>
          <w:rFonts w:ascii="仿宋_GB2312" w:hAnsi="仿宋_GB2312" w:eastAsia="仿宋_GB2312" w:cs="仿宋_GB2312"/>
          <w:szCs w:val="28"/>
          <w:highlight w:val="none"/>
          <w:lang w:eastAsia="zh-CN"/>
        </w:rPr>
        <w:t>1.2.1采购内容</w:t>
      </w:r>
      <w:r>
        <w:rPr>
          <w:highlight w:val="none"/>
        </w:rPr>
        <w:tab/>
      </w:r>
      <w:r>
        <w:rPr>
          <w:highlight w:val="none"/>
        </w:rPr>
        <w:fldChar w:fldCharType="begin"/>
      </w:r>
      <w:r>
        <w:rPr>
          <w:highlight w:val="none"/>
        </w:rPr>
        <w:instrText xml:space="preserve"> PAGEREF _Toc29556 \h </w:instrText>
      </w:r>
      <w:r>
        <w:rPr>
          <w:highlight w:val="none"/>
        </w:rPr>
        <w:fldChar w:fldCharType="separate"/>
      </w:r>
      <w:r>
        <w:rPr>
          <w:highlight w:val="none"/>
        </w:rPr>
        <w:t>3</w:t>
      </w:r>
      <w:r>
        <w:rPr>
          <w:highlight w:val="none"/>
        </w:rPr>
        <w:fldChar w:fldCharType="end"/>
      </w:r>
      <w:r>
        <w:rPr>
          <w:highlight w:val="none"/>
        </w:rPr>
        <w:fldChar w:fldCharType="end"/>
      </w:r>
    </w:p>
    <w:p w14:paraId="58F6A7B0">
      <w:pPr>
        <w:pStyle w:val="8"/>
        <w:tabs>
          <w:tab w:val="right" w:leader="dot" w:pos="9026"/>
        </w:tabs>
        <w:rPr>
          <w:highlight w:val="none"/>
        </w:rPr>
      </w:pPr>
      <w:r>
        <w:rPr>
          <w:highlight w:val="none"/>
        </w:rPr>
        <w:fldChar w:fldCharType="begin"/>
      </w:r>
      <w:r>
        <w:rPr>
          <w:highlight w:val="none"/>
        </w:rPr>
        <w:instrText xml:space="preserve"> HYPERLINK \l "_Toc29540" </w:instrText>
      </w:r>
      <w:r>
        <w:rPr>
          <w:highlight w:val="none"/>
        </w:rPr>
        <w:fldChar w:fldCharType="separate"/>
      </w:r>
      <w:r>
        <w:rPr>
          <w:rFonts w:ascii="仿宋_GB2312" w:hAnsi="仿宋_GB2312" w:eastAsia="仿宋_GB2312" w:cs="仿宋_GB2312"/>
          <w:szCs w:val="28"/>
          <w:highlight w:val="none"/>
          <w:lang w:eastAsia="zh-CN"/>
        </w:rPr>
        <w:t>1.2.2项目实施要求</w:t>
      </w:r>
      <w:r>
        <w:rPr>
          <w:highlight w:val="none"/>
        </w:rPr>
        <w:tab/>
      </w:r>
      <w:r>
        <w:rPr>
          <w:highlight w:val="none"/>
        </w:rPr>
        <w:fldChar w:fldCharType="begin"/>
      </w:r>
      <w:r>
        <w:rPr>
          <w:highlight w:val="none"/>
        </w:rPr>
        <w:instrText xml:space="preserve"> PAGEREF _Toc29540 \h </w:instrText>
      </w:r>
      <w:r>
        <w:rPr>
          <w:highlight w:val="none"/>
        </w:rPr>
        <w:fldChar w:fldCharType="separate"/>
      </w:r>
      <w:r>
        <w:rPr>
          <w:highlight w:val="none"/>
        </w:rPr>
        <w:t>3</w:t>
      </w:r>
      <w:r>
        <w:rPr>
          <w:highlight w:val="none"/>
        </w:rPr>
        <w:fldChar w:fldCharType="end"/>
      </w:r>
      <w:r>
        <w:rPr>
          <w:highlight w:val="none"/>
        </w:rPr>
        <w:fldChar w:fldCharType="end"/>
      </w:r>
    </w:p>
    <w:p w14:paraId="0B0DCD25">
      <w:pPr>
        <w:pStyle w:val="13"/>
        <w:tabs>
          <w:tab w:val="right" w:leader="dot" w:pos="9026"/>
        </w:tabs>
        <w:rPr>
          <w:highlight w:val="none"/>
        </w:rPr>
      </w:pPr>
      <w:r>
        <w:rPr>
          <w:highlight w:val="none"/>
        </w:rPr>
        <w:fldChar w:fldCharType="begin"/>
      </w:r>
      <w:r>
        <w:rPr>
          <w:highlight w:val="none"/>
        </w:rPr>
        <w:instrText xml:space="preserve"> HYPERLINK \l "_Toc5964" </w:instrText>
      </w:r>
      <w:r>
        <w:rPr>
          <w:highlight w:val="none"/>
        </w:rPr>
        <w:fldChar w:fldCharType="separate"/>
      </w:r>
      <w:r>
        <w:rPr>
          <w:rFonts w:ascii="仿宋_GB2312" w:hAnsi="仿宋_GB2312" w:eastAsia="仿宋_GB2312" w:cs="仿宋_GB2312"/>
          <w:highlight w:val="none"/>
        </w:rPr>
        <w:t>1.3其他要求</w:t>
      </w:r>
      <w:r>
        <w:rPr>
          <w:highlight w:val="none"/>
        </w:rPr>
        <w:tab/>
      </w:r>
      <w:r>
        <w:rPr>
          <w:highlight w:val="none"/>
        </w:rPr>
        <w:fldChar w:fldCharType="begin"/>
      </w:r>
      <w:r>
        <w:rPr>
          <w:highlight w:val="none"/>
        </w:rPr>
        <w:instrText xml:space="preserve"> PAGEREF _Toc5964 \h </w:instrText>
      </w:r>
      <w:r>
        <w:rPr>
          <w:highlight w:val="none"/>
        </w:rPr>
        <w:fldChar w:fldCharType="separate"/>
      </w:r>
      <w:r>
        <w:rPr>
          <w:highlight w:val="none"/>
        </w:rPr>
        <w:t>4</w:t>
      </w:r>
      <w:r>
        <w:rPr>
          <w:highlight w:val="none"/>
        </w:rPr>
        <w:fldChar w:fldCharType="end"/>
      </w:r>
      <w:r>
        <w:rPr>
          <w:highlight w:val="none"/>
        </w:rPr>
        <w:fldChar w:fldCharType="end"/>
      </w:r>
    </w:p>
    <w:p w14:paraId="49E7B9DB">
      <w:pPr>
        <w:pStyle w:val="8"/>
        <w:tabs>
          <w:tab w:val="right" w:leader="dot" w:pos="9026"/>
        </w:tabs>
        <w:rPr>
          <w:highlight w:val="none"/>
        </w:rPr>
      </w:pPr>
      <w:r>
        <w:rPr>
          <w:highlight w:val="none"/>
        </w:rPr>
        <w:fldChar w:fldCharType="begin"/>
      </w:r>
      <w:r>
        <w:rPr>
          <w:highlight w:val="none"/>
        </w:rPr>
        <w:instrText xml:space="preserve"> HYPERLINK \l "_Toc31707" </w:instrText>
      </w:r>
      <w:r>
        <w:rPr>
          <w:highlight w:val="none"/>
        </w:rPr>
        <w:fldChar w:fldCharType="separate"/>
      </w:r>
      <w:r>
        <w:rPr>
          <w:rFonts w:ascii="仿宋_GB2312" w:hAnsi="仿宋_GB2312" w:eastAsia="仿宋_GB2312" w:cs="仿宋_GB2312"/>
          <w:szCs w:val="28"/>
          <w:highlight w:val="none"/>
        </w:rPr>
        <w:t>1.3.1采购标的需执行的相关标准规范</w:t>
      </w:r>
      <w:r>
        <w:rPr>
          <w:highlight w:val="none"/>
        </w:rPr>
        <w:tab/>
      </w:r>
      <w:r>
        <w:rPr>
          <w:highlight w:val="none"/>
        </w:rPr>
        <w:fldChar w:fldCharType="begin"/>
      </w:r>
      <w:r>
        <w:rPr>
          <w:highlight w:val="none"/>
        </w:rPr>
        <w:instrText xml:space="preserve"> PAGEREF _Toc31707 \h </w:instrText>
      </w:r>
      <w:r>
        <w:rPr>
          <w:highlight w:val="none"/>
        </w:rPr>
        <w:fldChar w:fldCharType="separate"/>
      </w:r>
      <w:r>
        <w:rPr>
          <w:highlight w:val="none"/>
        </w:rPr>
        <w:t>4</w:t>
      </w:r>
      <w:r>
        <w:rPr>
          <w:highlight w:val="none"/>
        </w:rPr>
        <w:fldChar w:fldCharType="end"/>
      </w:r>
      <w:r>
        <w:rPr>
          <w:highlight w:val="none"/>
        </w:rPr>
        <w:fldChar w:fldCharType="end"/>
      </w:r>
    </w:p>
    <w:p w14:paraId="50A5EEEB">
      <w:pPr>
        <w:pStyle w:val="2"/>
        <w:tabs>
          <w:tab w:val="right" w:leader="dot" w:pos="9026"/>
        </w:tabs>
        <w:rPr>
          <w:highlight w:val="none"/>
        </w:rPr>
      </w:pPr>
      <w:r>
        <w:rPr>
          <w:highlight w:val="none"/>
        </w:rPr>
        <w:fldChar w:fldCharType="begin"/>
      </w:r>
      <w:r>
        <w:rPr>
          <w:highlight w:val="none"/>
        </w:rPr>
        <w:instrText xml:space="preserve"> HYPERLINK \l "_Toc27399" </w:instrText>
      </w:r>
      <w:r>
        <w:rPr>
          <w:highlight w:val="none"/>
        </w:rPr>
        <w:fldChar w:fldCharType="separate"/>
      </w:r>
      <w:r>
        <w:rPr>
          <w:rFonts w:ascii="仿宋_GB2312" w:hAnsi="仿宋_GB2312" w:eastAsia="仿宋_GB2312" w:cs="仿宋_GB2312"/>
          <w:kern w:val="36"/>
          <w:highlight w:val="none"/>
          <w:lang w:eastAsia="zh-CN"/>
        </w:rPr>
        <w:t>2投标/响应要求</w:t>
      </w:r>
      <w:r>
        <w:rPr>
          <w:highlight w:val="none"/>
        </w:rPr>
        <w:tab/>
      </w:r>
      <w:r>
        <w:rPr>
          <w:highlight w:val="none"/>
        </w:rPr>
        <w:fldChar w:fldCharType="begin"/>
      </w:r>
      <w:r>
        <w:rPr>
          <w:highlight w:val="none"/>
        </w:rPr>
        <w:instrText xml:space="preserve"> PAGEREF _Toc27399 \h </w:instrText>
      </w:r>
      <w:r>
        <w:rPr>
          <w:highlight w:val="none"/>
        </w:rPr>
        <w:fldChar w:fldCharType="separate"/>
      </w:r>
      <w:r>
        <w:rPr>
          <w:highlight w:val="none"/>
        </w:rPr>
        <w:t>4</w:t>
      </w:r>
      <w:r>
        <w:rPr>
          <w:highlight w:val="none"/>
        </w:rPr>
        <w:fldChar w:fldCharType="end"/>
      </w:r>
      <w:r>
        <w:rPr>
          <w:highlight w:val="none"/>
        </w:rPr>
        <w:fldChar w:fldCharType="end"/>
      </w:r>
    </w:p>
    <w:p w14:paraId="49AE56BF">
      <w:pPr>
        <w:pStyle w:val="13"/>
        <w:tabs>
          <w:tab w:val="right" w:leader="dot" w:pos="9026"/>
        </w:tabs>
        <w:rPr>
          <w:highlight w:val="none"/>
        </w:rPr>
      </w:pPr>
      <w:r>
        <w:rPr>
          <w:highlight w:val="none"/>
        </w:rPr>
        <w:fldChar w:fldCharType="begin"/>
      </w:r>
      <w:r>
        <w:rPr>
          <w:highlight w:val="none"/>
        </w:rPr>
        <w:instrText xml:space="preserve"> HYPERLINK \l "_Toc24040" </w:instrText>
      </w:r>
      <w:r>
        <w:rPr>
          <w:highlight w:val="none"/>
        </w:rPr>
        <w:fldChar w:fldCharType="separate"/>
      </w:r>
      <w:r>
        <w:rPr>
          <w:rFonts w:ascii="仿宋_GB2312" w:hAnsi="仿宋_GB2312" w:eastAsia="仿宋_GB2312" w:cs="仿宋_GB2312"/>
          <w:highlight w:val="none"/>
          <w:lang w:eastAsia="zh-CN"/>
        </w:rPr>
        <w:t>2.1对供应商的要求</w:t>
      </w:r>
      <w:r>
        <w:rPr>
          <w:highlight w:val="none"/>
        </w:rPr>
        <w:tab/>
      </w:r>
      <w:r>
        <w:rPr>
          <w:highlight w:val="none"/>
        </w:rPr>
        <w:fldChar w:fldCharType="begin"/>
      </w:r>
      <w:r>
        <w:rPr>
          <w:highlight w:val="none"/>
        </w:rPr>
        <w:instrText xml:space="preserve"> PAGEREF _Toc24040 \h </w:instrText>
      </w:r>
      <w:r>
        <w:rPr>
          <w:highlight w:val="none"/>
        </w:rPr>
        <w:fldChar w:fldCharType="separate"/>
      </w:r>
      <w:r>
        <w:rPr>
          <w:highlight w:val="none"/>
        </w:rPr>
        <w:t>4</w:t>
      </w:r>
      <w:r>
        <w:rPr>
          <w:highlight w:val="none"/>
        </w:rPr>
        <w:fldChar w:fldCharType="end"/>
      </w:r>
      <w:r>
        <w:rPr>
          <w:highlight w:val="none"/>
        </w:rPr>
        <w:fldChar w:fldCharType="end"/>
      </w:r>
    </w:p>
    <w:p w14:paraId="4B24AA03">
      <w:pPr>
        <w:pStyle w:val="8"/>
        <w:tabs>
          <w:tab w:val="right" w:leader="dot" w:pos="9026"/>
        </w:tabs>
        <w:rPr>
          <w:highlight w:val="none"/>
        </w:rPr>
      </w:pPr>
      <w:r>
        <w:rPr>
          <w:highlight w:val="none"/>
        </w:rPr>
        <w:fldChar w:fldCharType="begin"/>
      </w:r>
      <w:r>
        <w:rPr>
          <w:highlight w:val="none"/>
        </w:rPr>
        <w:instrText xml:space="preserve"> HYPERLINK \l "_Toc16197" </w:instrText>
      </w:r>
      <w:r>
        <w:rPr>
          <w:highlight w:val="none"/>
        </w:rPr>
        <w:fldChar w:fldCharType="separate"/>
      </w:r>
      <w:r>
        <w:rPr>
          <w:rFonts w:ascii="仿宋_GB2312" w:hAnsi="仿宋_GB2312" w:eastAsia="仿宋_GB2312" w:cs="仿宋_GB2312"/>
          <w:szCs w:val="28"/>
          <w:highlight w:val="none"/>
          <w:lang w:eastAsia="zh-CN"/>
        </w:rPr>
        <w:t>2.1.1必备资质</w:t>
      </w:r>
      <w:r>
        <w:rPr>
          <w:highlight w:val="none"/>
        </w:rPr>
        <w:tab/>
      </w:r>
      <w:r>
        <w:rPr>
          <w:highlight w:val="none"/>
        </w:rPr>
        <w:fldChar w:fldCharType="begin"/>
      </w:r>
      <w:r>
        <w:rPr>
          <w:highlight w:val="none"/>
        </w:rPr>
        <w:instrText xml:space="preserve"> PAGEREF _Toc16197 \h </w:instrText>
      </w:r>
      <w:r>
        <w:rPr>
          <w:highlight w:val="none"/>
        </w:rPr>
        <w:fldChar w:fldCharType="separate"/>
      </w:r>
      <w:r>
        <w:rPr>
          <w:highlight w:val="none"/>
        </w:rPr>
        <w:t>4</w:t>
      </w:r>
      <w:r>
        <w:rPr>
          <w:highlight w:val="none"/>
        </w:rPr>
        <w:fldChar w:fldCharType="end"/>
      </w:r>
      <w:r>
        <w:rPr>
          <w:highlight w:val="none"/>
        </w:rPr>
        <w:fldChar w:fldCharType="end"/>
      </w:r>
    </w:p>
    <w:p w14:paraId="3FDD4595">
      <w:pPr>
        <w:pStyle w:val="8"/>
        <w:tabs>
          <w:tab w:val="right" w:leader="dot" w:pos="9026"/>
        </w:tabs>
        <w:rPr>
          <w:highlight w:val="none"/>
        </w:rPr>
      </w:pPr>
      <w:r>
        <w:rPr>
          <w:highlight w:val="none"/>
        </w:rPr>
        <w:fldChar w:fldCharType="begin"/>
      </w:r>
      <w:r>
        <w:rPr>
          <w:highlight w:val="none"/>
        </w:rPr>
        <w:instrText xml:space="preserve"> HYPERLINK \l "_Toc15261" </w:instrText>
      </w:r>
      <w:r>
        <w:rPr>
          <w:highlight w:val="none"/>
        </w:rPr>
        <w:fldChar w:fldCharType="separate"/>
      </w:r>
      <w:r>
        <w:rPr>
          <w:rFonts w:ascii="仿宋_GB2312" w:hAnsi="仿宋_GB2312" w:eastAsia="仿宋_GB2312" w:cs="仿宋_GB2312"/>
          <w:szCs w:val="28"/>
          <w:highlight w:val="none"/>
          <w:lang w:eastAsia="zh-CN"/>
        </w:rPr>
        <w:t>2.1.2优选资质/优选指标</w:t>
      </w:r>
      <w:r>
        <w:rPr>
          <w:highlight w:val="none"/>
        </w:rPr>
        <w:tab/>
      </w:r>
      <w:r>
        <w:rPr>
          <w:highlight w:val="none"/>
        </w:rPr>
        <w:fldChar w:fldCharType="begin"/>
      </w:r>
      <w:r>
        <w:rPr>
          <w:highlight w:val="none"/>
        </w:rPr>
        <w:instrText xml:space="preserve"> PAGEREF _Toc15261 \h </w:instrText>
      </w:r>
      <w:r>
        <w:rPr>
          <w:highlight w:val="none"/>
        </w:rPr>
        <w:fldChar w:fldCharType="separate"/>
      </w:r>
      <w:r>
        <w:rPr>
          <w:highlight w:val="none"/>
        </w:rPr>
        <w:t>4</w:t>
      </w:r>
      <w:r>
        <w:rPr>
          <w:highlight w:val="none"/>
        </w:rPr>
        <w:fldChar w:fldCharType="end"/>
      </w:r>
      <w:r>
        <w:rPr>
          <w:highlight w:val="none"/>
        </w:rPr>
        <w:fldChar w:fldCharType="end"/>
      </w:r>
    </w:p>
    <w:p w14:paraId="5D262284">
      <w:pPr>
        <w:pStyle w:val="8"/>
        <w:tabs>
          <w:tab w:val="right" w:leader="dot" w:pos="9026"/>
        </w:tabs>
        <w:rPr>
          <w:highlight w:val="none"/>
        </w:rPr>
      </w:pPr>
      <w:r>
        <w:rPr>
          <w:highlight w:val="none"/>
        </w:rPr>
        <w:fldChar w:fldCharType="begin"/>
      </w:r>
      <w:r>
        <w:rPr>
          <w:highlight w:val="none"/>
        </w:rPr>
        <w:instrText xml:space="preserve"> HYPERLINK \l "_Toc14845" </w:instrText>
      </w:r>
      <w:r>
        <w:rPr>
          <w:highlight w:val="none"/>
        </w:rPr>
        <w:fldChar w:fldCharType="separate"/>
      </w:r>
      <w:r>
        <w:rPr>
          <w:rFonts w:ascii="仿宋_GB2312" w:hAnsi="仿宋_GB2312" w:eastAsia="仿宋_GB2312" w:cs="仿宋_GB2312"/>
          <w:szCs w:val="28"/>
          <w:highlight w:val="none"/>
          <w:lang w:eastAsia="zh-CN"/>
        </w:rPr>
        <w:t>2.1.3是否允许联合体</w:t>
      </w:r>
      <w:r>
        <w:rPr>
          <w:highlight w:val="none"/>
        </w:rPr>
        <w:tab/>
      </w:r>
      <w:r>
        <w:rPr>
          <w:highlight w:val="none"/>
        </w:rPr>
        <w:fldChar w:fldCharType="begin"/>
      </w:r>
      <w:r>
        <w:rPr>
          <w:highlight w:val="none"/>
        </w:rPr>
        <w:instrText xml:space="preserve"> PAGEREF _Toc14845 \h </w:instrText>
      </w:r>
      <w:r>
        <w:rPr>
          <w:highlight w:val="none"/>
        </w:rPr>
        <w:fldChar w:fldCharType="separate"/>
      </w:r>
      <w:r>
        <w:rPr>
          <w:highlight w:val="none"/>
        </w:rPr>
        <w:t>4</w:t>
      </w:r>
      <w:r>
        <w:rPr>
          <w:highlight w:val="none"/>
        </w:rPr>
        <w:fldChar w:fldCharType="end"/>
      </w:r>
      <w:r>
        <w:rPr>
          <w:highlight w:val="none"/>
        </w:rPr>
        <w:fldChar w:fldCharType="end"/>
      </w:r>
    </w:p>
    <w:p w14:paraId="78181A07">
      <w:pPr>
        <w:pStyle w:val="8"/>
        <w:tabs>
          <w:tab w:val="right" w:leader="dot" w:pos="9026"/>
        </w:tabs>
        <w:rPr>
          <w:highlight w:val="none"/>
        </w:rPr>
      </w:pPr>
      <w:r>
        <w:rPr>
          <w:highlight w:val="none"/>
        </w:rPr>
        <w:fldChar w:fldCharType="begin"/>
      </w:r>
      <w:r>
        <w:rPr>
          <w:highlight w:val="none"/>
        </w:rPr>
        <w:instrText xml:space="preserve"> HYPERLINK \l "_Toc9877" </w:instrText>
      </w:r>
      <w:r>
        <w:rPr>
          <w:highlight w:val="none"/>
        </w:rPr>
        <w:fldChar w:fldCharType="separate"/>
      </w:r>
      <w:r>
        <w:rPr>
          <w:rFonts w:ascii="仿宋_GB2312" w:hAnsi="仿宋_GB2312" w:eastAsia="仿宋_GB2312" w:cs="仿宋_GB2312"/>
          <w:szCs w:val="28"/>
          <w:highlight w:val="none"/>
          <w:lang w:eastAsia="zh-CN"/>
        </w:rPr>
        <w:t>2.1.4是否专门面向中小企业</w:t>
      </w:r>
      <w:r>
        <w:rPr>
          <w:highlight w:val="none"/>
        </w:rPr>
        <w:tab/>
      </w:r>
      <w:r>
        <w:rPr>
          <w:highlight w:val="none"/>
        </w:rPr>
        <w:fldChar w:fldCharType="begin"/>
      </w:r>
      <w:r>
        <w:rPr>
          <w:highlight w:val="none"/>
        </w:rPr>
        <w:instrText xml:space="preserve"> PAGEREF _Toc9877 \h </w:instrText>
      </w:r>
      <w:r>
        <w:rPr>
          <w:highlight w:val="none"/>
        </w:rPr>
        <w:fldChar w:fldCharType="separate"/>
      </w:r>
      <w:r>
        <w:rPr>
          <w:highlight w:val="none"/>
        </w:rPr>
        <w:t>5</w:t>
      </w:r>
      <w:r>
        <w:rPr>
          <w:highlight w:val="none"/>
        </w:rPr>
        <w:fldChar w:fldCharType="end"/>
      </w:r>
      <w:r>
        <w:rPr>
          <w:highlight w:val="none"/>
        </w:rPr>
        <w:fldChar w:fldCharType="end"/>
      </w:r>
    </w:p>
    <w:p w14:paraId="60336ECE">
      <w:pPr>
        <w:pStyle w:val="13"/>
        <w:tabs>
          <w:tab w:val="right" w:leader="dot" w:pos="9026"/>
        </w:tabs>
        <w:rPr>
          <w:highlight w:val="none"/>
        </w:rPr>
      </w:pPr>
      <w:r>
        <w:rPr>
          <w:highlight w:val="none"/>
        </w:rPr>
        <w:fldChar w:fldCharType="begin"/>
      </w:r>
      <w:r>
        <w:rPr>
          <w:highlight w:val="none"/>
        </w:rPr>
        <w:instrText xml:space="preserve"> HYPERLINK \l "_Toc9170" </w:instrText>
      </w:r>
      <w:r>
        <w:rPr>
          <w:highlight w:val="none"/>
        </w:rPr>
        <w:fldChar w:fldCharType="separate"/>
      </w:r>
      <w:r>
        <w:rPr>
          <w:rFonts w:ascii="仿宋_GB2312" w:hAnsi="仿宋_GB2312" w:eastAsia="仿宋_GB2312" w:cs="仿宋_GB2312"/>
          <w:highlight w:val="none"/>
          <w:lang w:eastAsia="zh-CN"/>
        </w:rPr>
        <w:t>2.2技术部分投标/响应内容</w:t>
      </w:r>
      <w:r>
        <w:rPr>
          <w:highlight w:val="none"/>
        </w:rPr>
        <w:tab/>
      </w:r>
      <w:r>
        <w:rPr>
          <w:highlight w:val="none"/>
        </w:rPr>
        <w:fldChar w:fldCharType="begin"/>
      </w:r>
      <w:r>
        <w:rPr>
          <w:highlight w:val="none"/>
        </w:rPr>
        <w:instrText xml:space="preserve"> PAGEREF _Toc9170 \h </w:instrText>
      </w:r>
      <w:r>
        <w:rPr>
          <w:highlight w:val="none"/>
        </w:rPr>
        <w:fldChar w:fldCharType="separate"/>
      </w:r>
      <w:r>
        <w:rPr>
          <w:highlight w:val="none"/>
        </w:rPr>
        <w:t>5</w:t>
      </w:r>
      <w:r>
        <w:rPr>
          <w:highlight w:val="none"/>
        </w:rPr>
        <w:fldChar w:fldCharType="end"/>
      </w:r>
      <w:r>
        <w:rPr>
          <w:highlight w:val="none"/>
        </w:rPr>
        <w:fldChar w:fldCharType="end"/>
      </w:r>
    </w:p>
    <w:p w14:paraId="2AB26160">
      <w:pPr>
        <w:pStyle w:val="8"/>
        <w:tabs>
          <w:tab w:val="right" w:leader="dot" w:pos="9026"/>
        </w:tabs>
        <w:rPr>
          <w:highlight w:val="none"/>
        </w:rPr>
      </w:pPr>
      <w:r>
        <w:rPr>
          <w:highlight w:val="none"/>
        </w:rPr>
        <w:fldChar w:fldCharType="begin"/>
      </w:r>
      <w:r>
        <w:rPr>
          <w:highlight w:val="none"/>
        </w:rPr>
        <w:instrText xml:space="preserve"> HYPERLINK \l "_Toc13436" </w:instrText>
      </w:r>
      <w:r>
        <w:rPr>
          <w:highlight w:val="none"/>
        </w:rPr>
        <w:fldChar w:fldCharType="separate"/>
      </w:r>
      <w:r>
        <w:rPr>
          <w:rFonts w:ascii="仿宋_GB2312" w:hAnsi="仿宋_GB2312" w:eastAsia="仿宋_GB2312" w:cs="仿宋_GB2312"/>
          <w:szCs w:val="28"/>
          <w:highlight w:val="none"/>
          <w:lang w:eastAsia="zh-CN"/>
        </w:rPr>
        <w:t>2.2.1投标/响应方案要求</w:t>
      </w:r>
      <w:r>
        <w:rPr>
          <w:highlight w:val="none"/>
        </w:rPr>
        <w:tab/>
      </w:r>
      <w:r>
        <w:rPr>
          <w:highlight w:val="none"/>
        </w:rPr>
        <w:fldChar w:fldCharType="begin"/>
      </w:r>
      <w:r>
        <w:rPr>
          <w:highlight w:val="none"/>
        </w:rPr>
        <w:instrText xml:space="preserve"> PAGEREF _Toc13436 \h </w:instrText>
      </w:r>
      <w:r>
        <w:rPr>
          <w:highlight w:val="none"/>
        </w:rPr>
        <w:fldChar w:fldCharType="separate"/>
      </w:r>
      <w:r>
        <w:rPr>
          <w:highlight w:val="none"/>
        </w:rPr>
        <w:t>5</w:t>
      </w:r>
      <w:r>
        <w:rPr>
          <w:highlight w:val="none"/>
        </w:rPr>
        <w:fldChar w:fldCharType="end"/>
      </w:r>
      <w:r>
        <w:rPr>
          <w:highlight w:val="none"/>
        </w:rPr>
        <w:fldChar w:fldCharType="end"/>
      </w:r>
    </w:p>
    <w:p w14:paraId="0FAC3C71">
      <w:pPr>
        <w:pStyle w:val="2"/>
        <w:tabs>
          <w:tab w:val="right" w:leader="dot" w:pos="9026"/>
        </w:tabs>
        <w:rPr>
          <w:highlight w:val="none"/>
        </w:rPr>
      </w:pPr>
      <w:r>
        <w:rPr>
          <w:highlight w:val="none"/>
        </w:rPr>
        <w:fldChar w:fldCharType="begin"/>
      </w:r>
      <w:r>
        <w:rPr>
          <w:highlight w:val="none"/>
        </w:rPr>
        <w:instrText xml:space="preserve"> HYPERLINK \l "_Toc13584" </w:instrText>
      </w:r>
      <w:r>
        <w:rPr>
          <w:highlight w:val="none"/>
        </w:rPr>
        <w:fldChar w:fldCharType="separate"/>
      </w:r>
      <w:r>
        <w:rPr>
          <w:rFonts w:ascii="仿宋_GB2312" w:hAnsi="仿宋_GB2312" w:eastAsia="仿宋_GB2312" w:cs="仿宋_GB2312"/>
          <w:kern w:val="36"/>
          <w:highlight w:val="none"/>
          <w:lang w:eastAsia="zh-CN"/>
        </w:rPr>
        <w:t>3项目需求</w:t>
      </w:r>
      <w:r>
        <w:rPr>
          <w:highlight w:val="none"/>
        </w:rPr>
        <w:tab/>
      </w:r>
      <w:r>
        <w:rPr>
          <w:highlight w:val="none"/>
        </w:rPr>
        <w:fldChar w:fldCharType="begin"/>
      </w:r>
      <w:r>
        <w:rPr>
          <w:highlight w:val="none"/>
        </w:rPr>
        <w:instrText xml:space="preserve"> PAGEREF _Toc13584 \h </w:instrText>
      </w:r>
      <w:r>
        <w:rPr>
          <w:highlight w:val="none"/>
        </w:rPr>
        <w:fldChar w:fldCharType="separate"/>
      </w:r>
      <w:r>
        <w:rPr>
          <w:highlight w:val="none"/>
        </w:rPr>
        <w:t>5</w:t>
      </w:r>
      <w:r>
        <w:rPr>
          <w:highlight w:val="none"/>
        </w:rPr>
        <w:fldChar w:fldCharType="end"/>
      </w:r>
      <w:r>
        <w:rPr>
          <w:highlight w:val="none"/>
        </w:rPr>
        <w:fldChar w:fldCharType="end"/>
      </w:r>
    </w:p>
    <w:p w14:paraId="14529F0B">
      <w:pPr>
        <w:pStyle w:val="13"/>
        <w:tabs>
          <w:tab w:val="right" w:leader="dot" w:pos="9026"/>
        </w:tabs>
        <w:rPr>
          <w:highlight w:val="none"/>
        </w:rPr>
      </w:pPr>
      <w:r>
        <w:rPr>
          <w:highlight w:val="none"/>
        </w:rPr>
        <w:fldChar w:fldCharType="begin"/>
      </w:r>
      <w:r>
        <w:rPr>
          <w:highlight w:val="none"/>
        </w:rPr>
        <w:instrText xml:space="preserve"> HYPERLINK \l "_Toc30860" </w:instrText>
      </w:r>
      <w:r>
        <w:rPr>
          <w:highlight w:val="none"/>
        </w:rPr>
        <w:fldChar w:fldCharType="separate"/>
      </w:r>
      <w:r>
        <w:rPr>
          <w:rFonts w:ascii="仿宋_GB2312" w:hAnsi="仿宋_GB2312" w:eastAsia="仿宋_GB2312" w:cs="仿宋_GB2312"/>
          <w:highlight w:val="none"/>
          <w:lang w:eastAsia="zh-CN"/>
        </w:rPr>
        <w:t>3.1总体要求</w:t>
      </w:r>
      <w:r>
        <w:rPr>
          <w:highlight w:val="none"/>
        </w:rPr>
        <w:tab/>
      </w:r>
      <w:r>
        <w:rPr>
          <w:highlight w:val="none"/>
        </w:rPr>
        <w:fldChar w:fldCharType="begin"/>
      </w:r>
      <w:r>
        <w:rPr>
          <w:highlight w:val="none"/>
        </w:rPr>
        <w:instrText xml:space="preserve"> PAGEREF _Toc30860 \h </w:instrText>
      </w:r>
      <w:r>
        <w:rPr>
          <w:highlight w:val="none"/>
        </w:rPr>
        <w:fldChar w:fldCharType="separate"/>
      </w:r>
      <w:r>
        <w:rPr>
          <w:highlight w:val="none"/>
        </w:rPr>
        <w:t>5</w:t>
      </w:r>
      <w:r>
        <w:rPr>
          <w:highlight w:val="none"/>
        </w:rPr>
        <w:fldChar w:fldCharType="end"/>
      </w:r>
      <w:r>
        <w:rPr>
          <w:highlight w:val="none"/>
        </w:rPr>
        <w:fldChar w:fldCharType="end"/>
      </w:r>
    </w:p>
    <w:p w14:paraId="6A28DA9C">
      <w:pPr>
        <w:pStyle w:val="13"/>
        <w:tabs>
          <w:tab w:val="right" w:leader="dot" w:pos="9026"/>
        </w:tabs>
        <w:rPr>
          <w:highlight w:val="none"/>
        </w:rPr>
      </w:pPr>
      <w:r>
        <w:rPr>
          <w:highlight w:val="none"/>
        </w:rPr>
        <w:fldChar w:fldCharType="begin"/>
      </w:r>
      <w:r>
        <w:rPr>
          <w:highlight w:val="none"/>
        </w:rPr>
        <w:instrText xml:space="preserve"> HYPERLINK \l "_Toc1949" </w:instrText>
      </w:r>
      <w:r>
        <w:rPr>
          <w:highlight w:val="none"/>
        </w:rPr>
        <w:fldChar w:fldCharType="separate"/>
      </w:r>
      <w:r>
        <w:rPr>
          <w:rFonts w:ascii="仿宋_GB2312" w:hAnsi="仿宋_GB2312" w:eastAsia="仿宋_GB2312" w:cs="仿宋_GB2312"/>
          <w:highlight w:val="none"/>
          <w:lang w:eastAsia="zh-CN"/>
        </w:rPr>
        <w:t>3.2</w:t>
      </w:r>
      <w:r>
        <w:rPr>
          <w:rFonts w:ascii="仿宋_GB2312" w:hAnsi="仿宋_GB2312" w:eastAsia="仿宋_GB2312" w:cs="仿宋_GB2312"/>
          <w:highlight w:val="none"/>
        </w:rPr>
        <w:t>服务内容和要求</w:t>
      </w:r>
      <w:r>
        <w:rPr>
          <w:highlight w:val="none"/>
        </w:rPr>
        <w:tab/>
      </w:r>
      <w:r>
        <w:rPr>
          <w:highlight w:val="none"/>
        </w:rPr>
        <w:fldChar w:fldCharType="begin"/>
      </w:r>
      <w:r>
        <w:rPr>
          <w:highlight w:val="none"/>
        </w:rPr>
        <w:instrText xml:space="preserve"> PAGEREF _Toc1949 \h </w:instrText>
      </w:r>
      <w:r>
        <w:rPr>
          <w:highlight w:val="none"/>
        </w:rPr>
        <w:fldChar w:fldCharType="separate"/>
      </w:r>
      <w:r>
        <w:rPr>
          <w:highlight w:val="none"/>
        </w:rPr>
        <w:t>5</w:t>
      </w:r>
      <w:r>
        <w:rPr>
          <w:highlight w:val="none"/>
        </w:rPr>
        <w:fldChar w:fldCharType="end"/>
      </w:r>
      <w:r>
        <w:rPr>
          <w:highlight w:val="none"/>
        </w:rPr>
        <w:fldChar w:fldCharType="end"/>
      </w:r>
    </w:p>
    <w:p w14:paraId="37425671">
      <w:pPr>
        <w:pStyle w:val="8"/>
        <w:tabs>
          <w:tab w:val="right" w:leader="dot" w:pos="9026"/>
        </w:tabs>
        <w:rPr>
          <w:highlight w:val="none"/>
        </w:rPr>
      </w:pPr>
      <w:r>
        <w:rPr>
          <w:highlight w:val="none"/>
        </w:rPr>
        <w:fldChar w:fldCharType="begin"/>
      </w:r>
      <w:r>
        <w:rPr>
          <w:highlight w:val="none"/>
        </w:rPr>
        <w:instrText xml:space="preserve"> HYPERLINK \l "_Toc4680" </w:instrText>
      </w:r>
      <w:r>
        <w:rPr>
          <w:highlight w:val="none"/>
        </w:rPr>
        <w:fldChar w:fldCharType="separate"/>
      </w:r>
      <w:r>
        <w:rPr>
          <w:rFonts w:hint="eastAsia" w:ascii="仿宋_GB2312" w:hAnsi="仿宋_GB2312" w:eastAsia="仿宋_GB2312" w:cs="仿宋_GB2312"/>
          <w:szCs w:val="28"/>
          <w:highlight w:val="none"/>
          <w:lang w:eastAsia="zh-CN"/>
        </w:rPr>
        <w:t>3.2.1技术和服务客观指标</w:t>
      </w:r>
      <w:r>
        <w:rPr>
          <w:highlight w:val="none"/>
        </w:rPr>
        <w:tab/>
      </w:r>
      <w:r>
        <w:rPr>
          <w:highlight w:val="none"/>
        </w:rPr>
        <w:fldChar w:fldCharType="begin"/>
      </w:r>
      <w:r>
        <w:rPr>
          <w:highlight w:val="none"/>
        </w:rPr>
        <w:instrText xml:space="preserve"> PAGEREF _Toc4680 \h </w:instrText>
      </w:r>
      <w:r>
        <w:rPr>
          <w:highlight w:val="none"/>
        </w:rPr>
        <w:fldChar w:fldCharType="separate"/>
      </w:r>
      <w:r>
        <w:rPr>
          <w:highlight w:val="none"/>
        </w:rPr>
        <w:t>5</w:t>
      </w:r>
      <w:r>
        <w:rPr>
          <w:highlight w:val="none"/>
        </w:rPr>
        <w:fldChar w:fldCharType="end"/>
      </w:r>
      <w:r>
        <w:rPr>
          <w:highlight w:val="none"/>
        </w:rPr>
        <w:fldChar w:fldCharType="end"/>
      </w:r>
    </w:p>
    <w:p w14:paraId="2D0F6CD5">
      <w:pPr>
        <w:pStyle w:val="8"/>
        <w:tabs>
          <w:tab w:val="right" w:leader="dot" w:pos="9026"/>
        </w:tabs>
        <w:rPr>
          <w:highlight w:val="none"/>
        </w:rPr>
      </w:pPr>
      <w:r>
        <w:rPr>
          <w:highlight w:val="none"/>
        </w:rPr>
        <w:fldChar w:fldCharType="begin"/>
      </w:r>
      <w:r>
        <w:rPr>
          <w:highlight w:val="none"/>
        </w:rPr>
        <w:instrText xml:space="preserve"> HYPERLINK \l "_Toc15712" </w:instrText>
      </w:r>
      <w:r>
        <w:rPr>
          <w:highlight w:val="none"/>
        </w:rPr>
        <w:fldChar w:fldCharType="separate"/>
      </w:r>
      <w:r>
        <w:rPr>
          <w:rFonts w:hint="eastAsia" w:ascii="仿宋_GB2312" w:hAnsi="仿宋_GB2312" w:eastAsia="仿宋_GB2312" w:cs="仿宋_GB2312"/>
          <w:szCs w:val="28"/>
          <w:highlight w:val="none"/>
          <w:lang w:eastAsia="zh-CN"/>
        </w:rPr>
        <w:t>3.2.2</w:t>
      </w:r>
      <w:r>
        <w:rPr>
          <w:rFonts w:ascii="仿宋_GB2312" w:hAnsi="仿宋_GB2312" w:eastAsia="仿宋_GB2312" w:cs="仿宋_GB2312"/>
          <w:szCs w:val="28"/>
          <w:highlight w:val="none"/>
        </w:rPr>
        <w:t>技术和服务其他要求</w:t>
      </w:r>
      <w:r>
        <w:rPr>
          <w:highlight w:val="none"/>
        </w:rPr>
        <w:tab/>
      </w:r>
      <w:r>
        <w:rPr>
          <w:highlight w:val="none"/>
        </w:rPr>
        <w:fldChar w:fldCharType="begin"/>
      </w:r>
      <w:r>
        <w:rPr>
          <w:highlight w:val="none"/>
        </w:rPr>
        <w:instrText xml:space="preserve"> PAGEREF _Toc15712 \h </w:instrText>
      </w:r>
      <w:r>
        <w:rPr>
          <w:highlight w:val="none"/>
        </w:rPr>
        <w:fldChar w:fldCharType="separate"/>
      </w:r>
      <w:r>
        <w:rPr>
          <w:highlight w:val="none"/>
        </w:rPr>
        <w:t>6</w:t>
      </w:r>
      <w:r>
        <w:rPr>
          <w:highlight w:val="none"/>
        </w:rPr>
        <w:fldChar w:fldCharType="end"/>
      </w:r>
      <w:r>
        <w:rPr>
          <w:highlight w:val="none"/>
        </w:rPr>
        <w:fldChar w:fldCharType="end"/>
      </w:r>
    </w:p>
    <w:p w14:paraId="40D8B837">
      <w:pPr>
        <w:pStyle w:val="2"/>
        <w:tabs>
          <w:tab w:val="right" w:leader="dot" w:pos="9026"/>
        </w:tabs>
        <w:rPr>
          <w:highlight w:val="none"/>
        </w:rPr>
      </w:pPr>
      <w:r>
        <w:rPr>
          <w:highlight w:val="none"/>
        </w:rPr>
        <w:fldChar w:fldCharType="begin"/>
      </w:r>
      <w:r>
        <w:rPr>
          <w:highlight w:val="none"/>
        </w:rPr>
        <w:instrText xml:space="preserve"> HYPERLINK \l "_Toc17085" </w:instrText>
      </w:r>
      <w:r>
        <w:rPr>
          <w:highlight w:val="none"/>
        </w:rPr>
        <w:fldChar w:fldCharType="separate"/>
      </w:r>
      <w:r>
        <w:rPr>
          <w:rFonts w:ascii="仿宋_GB2312" w:hAnsi="仿宋_GB2312" w:eastAsia="仿宋_GB2312" w:cs="仿宋_GB2312"/>
          <w:kern w:val="36"/>
          <w:highlight w:val="none"/>
          <w:lang w:eastAsia="zh-CN"/>
        </w:rPr>
        <w:t>4人员要求</w:t>
      </w:r>
      <w:r>
        <w:rPr>
          <w:highlight w:val="none"/>
        </w:rPr>
        <w:tab/>
      </w:r>
      <w:r>
        <w:rPr>
          <w:highlight w:val="none"/>
        </w:rPr>
        <w:fldChar w:fldCharType="begin"/>
      </w:r>
      <w:r>
        <w:rPr>
          <w:highlight w:val="none"/>
        </w:rPr>
        <w:instrText xml:space="preserve"> PAGEREF _Toc17085 \h </w:instrText>
      </w:r>
      <w:r>
        <w:rPr>
          <w:highlight w:val="none"/>
        </w:rPr>
        <w:fldChar w:fldCharType="separate"/>
      </w:r>
      <w:r>
        <w:rPr>
          <w:highlight w:val="none"/>
        </w:rPr>
        <w:t>7</w:t>
      </w:r>
      <w:r>
        <w:rPr>
          <w:highlight w:val="none"/>
        </w:rPr>
        <w:fldChar w:fldCharType="end"/>
      </w:r>
      <w:r>
        <w:rPr>
          <w:highlight w:val="none"/>
        </w:rPr>
        <w:fldChar w:fldCharType="end"/>
      </w:r>
    </w:p>
    <w:p w14:paraId="3AC02320">
      <w:pPr>
        <w:pStyle w:val="13"/>
        <w:tabs>
          <w:tab w:val="right" w:leader="dot" w:pos="9026"/>
        </w:tabs>
        <w:rPr>
          <w:highlight w:val="none"/>
        </w:rPr>
      </w:pPr>
      <w:r>
        <w:rPr>
          <w:highlight w:val="none"/>
        </w:rPr>
        <w:fldChar w:fldCharType="begin"/>
      </w:r>
      <w:r>
        <w:rPr>
          <w:highlight w:val="none"/>
        </w:rPr>
        <w:instrText xml:space="preserve"> HYPERLINK \l "_Toc9962" </w:instrText>
      </w:r>
      <w:r>
        <w:rPr>
          <w:highlight w:val="none"/>
        </w:rPr>
        <w:fldChar w:fldCharType="separate"/>
      </w:r>
      <w:r>
        <w:rPr>
          <w:rFonts w:hint="eastAsia" w:ascii="仿宋_GB2312" w:hAnsi="仿宋_GB2312" w:eastAsia="仿宋_GB2312" w:cs="仿宋_GB2312"/>
          <w:highlight w:val="none"/>
          <w:lang w:eastAsia="zh-CN"/>
        </w:rPr>
        <w:t>4.1总体要求</w:t>
      </w:r>
      <w:r>
        <w:rPr>
          <w:highlight w:val="none"/>
        </w:rPr>
        <w:tab/>
      </w:r>
      <w:r>
        <w:rPr>
          <w:highlight w:val="none"/>
        </w:rPr>
        <w:fldChar w:fldCharType="begin"/>
      </w:r>
      <w:r>
        <w:rPr>
          <w:highlight w:val="none"/>
        </w:rPr>
        <w:instrText xml:space="preserve"> PAGEREF _Toc9962 \h </w:instrText>
      </w:r>
      <w:r>
        <w:rPr>
          <w:highlight w:val="none"/>
        </w:rPr>
        <w:fldChar w:fldCharType="separate"/>
      </w:r>
      <w:r>
        <w:rPr>
          <w:highlight w:val="none"/>
        </w:rPr>
        <w:t>7</w:t>
      </w:r>
      <w:r>
        <w:rPr>
          <w:highlight w:val="none"/>
        </w:rPr>
        <w:fldChar w:fldCharType="end"/>
      </w:r>
      <w:r>
        <w:rPr>
          <w:highlight w:val="none"/>
        </w:rPr>
        <w:fldChar w:fldCharType="end"/>
      </w:r>
    </w:p>
    <w:p w14:paraId="763C4FEB">
      <w:pPr>
        <w:pStyle w:val="13"/>
        <w:tabs>
          <w:tab w:val="right" w:leader="dot" w:pos="9026"/>
        </w:tabs>
        <w:rPr>
          <w:highlight w:val="none"/>
        </w:rPr>
      </w:pPr>
      <w:r>
        <w:rPr>
          <w:highlight w:val="none"/>
        </w:rPr>
        <w:fldChar w:fldCharType="begin"/>
      </w:r>
      <w:r>
        <w:rPr>
          <w:highlight w:val="none"/>
        </w:rPr>
        <w:instrText xml:space="preserve"> HYPERLINK \l "_Toc17673" </w:instrText>
      </w:r>
      <w:r>
        <w:rPr>
          <w:highlight w:val="none"/>
        </w:rPr>
        <w:fldChar w:fldCharType="separate"/>
      </w:r>
      <w:r>
        <w:rPr>
          <w:rFonts w:ascii="仿宋_GB2312" w:hAnsi="仿宋_GB2312" w:eastAsia="仿宋_GB2312" w:cs="仿宋_GB2312"/>
          <w:highlight w:val="none"/>
          <w:lang w:eastAsia="zh-CN"/>
        </w:rPr>
        <w:t>4.</w:t>
      </w:r>
      <w:r>
        <w:rPr>
          <w:rFonts w:hint="eastAsia" w:ascii="仿宋_GB2312" w:hAnsi="仿宋_GB2312" w:eastAsia="仿宋_GB2312" w:cs="仿宋_GB2312"/>
          <w:highlight w:val="none"/>
          <w:lang w:eastAsia="zh-CN"/>
        </w:rPr>
        <w:t>2具体</w:t>
      </w:r>
      <w:r>
        <w:rPr>
          <w:rFonts w:ascii="仿宋_GB2312" w:hAnsi="仿宋_GB2312" w:eastAsia="仿宋_GB2312" w:cs="仿宋_GB2312"/>
          <w:highlight w:val="none"/>
          <w:lang w:eastAsia="zh-CN"/>
        </w:rPr>
        <w:t>要求</w:t>
      </w:r>
      <w:r>
        <w:rPr>
          <w:highlight w:val="none"/>
        </w:rPr>
        <w:tab/>
      </w:r>
      <w:r>
        <w:rPr>
          <w:highlight w:val="none"/>
        </w:rPr>
        <w:fldChar w:fldCharType="begin"/>
      </w:r>
      <w:r>
        <w:rPr>
          <w:highlight w:val="none"/>
        </w:rPr>
        <w:instrText xml:space="preserve"> PAGEREF _Toc17673 \h </w:instrText>
      </w:r>
      <w:r>
        <w:rPr>
          <w:highlight w:val="none"/>
        </w:rPr>
        <w:fldChar w:fldCharType="separate"/>
      </w:r>
      <w:r>
        <w:rPr>
          <w:highlight w:val="none"/>
        </w:rPr>
        <w:t>8</w:t>
      </w:r>
      <w:r>
        <w:rPr>
          <w:highlight w:val="none"/>
        </w:rPr>
        <w:fldChar w:fldCharType="end"/>
      </w:r>
      <w:r>
        <w:rPr>
          <w:highlight w:val="none"/>
        </w:rPr>
        <w:fldChar w:fldCharType="end"/>
      </w:r>
    </w:p>
    <w:p w14:paraId="772E237C">
      <w:pPr>
        <w:pStyle w:val="2"/>
        <w:tabs>
          <w:tab w:val="right" w:leader="dot" w:pos="9026"/>
        </w:tabs>
        <w:rPr>
          <w:highlight w:val="none"/>
        </w:rPr>
      </w:pPr>
      <w:r>
        <w:rPr>
          <w:highlight w:val="none"/>
        </w:rPr>
        <w:fldChar w:fldCharType="begin"/>
      </w:r>
      <w:r>
        <w:rPr>
          <w:highlight w:val="none"/>
        </w:rPr>
        <w:instrText xml:space="preserve"> HYPERLINK \l "_Toc21608" </w:instrText>
      </w:r>
      <w:r>
        <w:rPr>
          <w:highlight w:val="none"/>
        </w:rPr>
        <w:fldChar w:fldCharType="separate"/>
      </w:r>
      <w:r>
        <w:rPr>
          <w:rFonts w:ascii="仿宋_GB2312" w:hAnsi="仿宋_GB2312" w:eastAsia="仿宋_GB2312" w:cs="仿宋_GB2312"/>
          <w:kern w:val="36"/>
          <w:highlight w:val="none"/>
          <w:lang w:eastAsia="zh-CN"/>
        </w:rPr>
        <w:t>5管理实施要求</w:t>
      </w:r>
      <w:r>
        <w:rPr>
          <w:highlight w:val="none"/>
        </w:rPr>
        <w:tab/>
      </w:r>
      <w:r>
        <w:rPr>
          <w:highlight w:val="none"/>
        </w:rPr>
        <w:fldChar w:fldCharType="begin"/>
      </w:r>
      <w:r>
        <w:rPr>
          <w:highlight w:val="none"/>
        </w:rPr>
        <w:instrText xml:space="preserve"> PAGEREF _Toc21608 \h </w:instrText>
      </w:r>
      <w:r>
        <w:rPr>
          <w:highlight w:val="none"/>
        </w:rPr>
        <w:fldChar w:fldCharType="separate"/>
      </w:r>
      <w:r>
        <w:rPr>
          <w:highlight w:val="none"/>
        </w:rPr>
        <w:t>9</w:t>
      </w:r>
      <w:r>
        <w:rPr>
          <w:highlight w:val="none"/>
        </w:rPr>
        <w:fldChar w:fldCharType="end"/>
      </w:r>
      <w:r>
        <w:rPr>
          <w:highlight w:val="none"/>
        </w:rPr>
        <w:fldChar w:fldCharType="end"/>
      </w:r>
    </w:p>
    <w:p w14:paraId="0D059D83">
      <w:pPr>
        <w:pStyle w:val="2"/>
        <w:tabs>
          <w:tab w:val="right" w:leader="dot" w:pos="9026"/>
        </w:tabs>
        <w:rPr>
          <w:highlight w:val="none"/>
        </w:rPr>
      </w:pPr>
      <w:r>
        <w:rPr>
          <w:highlight w:val="none"/>
        </w:rPr>
        <w:fldChar w:fldCharType="begin"/>
      </w:r>
      <w:r>
        <w:rPr>
          <w:highlight w:val="none"/>
        </w:rPr>
        <w:instrText xml:space="preserve"> HYPERLINK \l "_Toc19462" </w:instrText>
      </w:r>
      <w:r>
        <w:rPr>
          <w:highlight w:val="none"/>
        </w:rPr>
        <w:fldChar w:fldCharType="separate"/>
      </w:r>
      <w:r>
        <w:rPr>
          <w:rFonts w:ascii="仿宋_GB2312" w:hAnsi="仿宋_GB2312" w:eastAsia="仿宋_GB2312" w:cs="仿宋_GB2312"/>
          <w:kern w:val="36"/>
          <w:highlight w:val="none"/>
          <w:lang w:eastAsia="zh-CN"/>
        </w:rPr>
        <w:t>6风险管控要求</w:t>
      </w:r>
      <w:r>
        <w:rPr>
          <w:highlight w:val="none"/>
        </w:rPr>
        <w:tab/>
      </w:r>
      <w:r>
        <w:rPr>
          <w:highlight w:val="none"/>
        </w:rPr>
        <w:fldChar w:fldCharType="begin"/>
      </w:r>
      <w:r>
        <w:rPr>
          <w:highlight w:val="none"/>
        </w:rPr>
        <w:instrText xml:space="preserve"> PAGEREF _Toc19462 \h </w:instrText>
      </w:r>
      <w:r>
        <w:rPr>
          <w:highlight w:val="none"/>
        </w:rPr>
        <w:fldChar w:fldCharType="separate"/>
      </w:r>
      <w:r>
        <w:rPr>
          <w:highlight w:val="none"/>
        </w:rPr>
        <w:t>10</w:t>
      </w:r>
      <w:r>
        <w:rPr>
          <w:highlight w:val="none"/>
        </w:rPr>
        <w:fldChar w:fldCharType="end"/>
      </w:r>
      <w:r>
        <w:rPr>
          <w:highlight w:val="none"/>
        </w:rPr>
        <w:fldChar w:fldCharType="end"/>
      </w:r>
    </w:p>
    <w:p w14:paraId="64B0F79C">
      <w:pPr>
        <w:pStyle w:val="2"/>
        <w:tabs>
          <w:tab w:val="right" w:leader="dot" w:pos="9026"/>
        </w:tabs>
        <w:rPr>
          <w:highlight w:val="none"/>
        </w:rPr>
      </w:pPr>
      <w:r>
        <w:rPr>
          <w:highlight w:val="none"/>
        </w:rPr>
        <w:fldChar w:fldCharType="begin"/>
      </w:r>
      <w:r>
        <w:rPr>
          <w:highlight w:val="none"/>
        </w:rPr>
        <w:instrText xml:space="preserve"> HYPERLINK \l "_Toc2856" </w:instrText>
      </w:r>
      <w:r>
        <w:rPr>
          <w:highlight w:val="none"/>
        </w:rPr>
        <w:fldChar w:fldCharType="separate"/>
      </w:r>
      <w:r>
        <w:rPr>
          <w:rFonts w:ascii="仿宋_GB2312" w:hAnsi="仿宋_GB2312" w:eastAsia="仿宋_GB2312" w:cs="仿宋_GB2312"/>
          <w:kern w:val="36"/>
          <w:highlight w:val="none"/>
        </w:rPr>
        <w:t>7履约验收要求</w:t>
      </w:r>
      <w:r>
        <w:rPr>
          <w:highlight w:val="none"/>
        </w:rPr>
        <w:tab/>
      </w:r>
      <w:r>
        <w:rPr>
          <w:highlight w:val="none"/>
        </w:rPr>
        <w:fldChar w:fldCharType="begin"/>
      </w:r>
      <w:r>
        <w:rPr>
          <w:highlight w:val="none"/>
        </w:rPr>
        <w:instrText xml:space="preserve"> PAGEREF _Toc2856 \h </w:instrText>
      </w:r>
      <w:r>
        <w:rPr>
          <w:highlight w:val="none"/>
        </w:rPr>
        <w:fldChar w:fldCharType="separate"/>
      </w:r>
      <w:r>
        <w:rPr>
          <w:highlight w:val="none"/>
        </w:rPr>
        <w:t>10</w:t>
      </w:r>
      <w:r>
        <w:rPr>
          <w:highlight w:val="none"/>
        </w:rPr>
        <w:fldChar w:fldCharType="end"/>
      </w:r>
      <w:r>
        <w:rPr>
          <w:highlight w:val="none"/>
        </w:rPr>
        <w:fldChar w:fldCharType="end"/>
      </w:r>
    </w:p>
    <w:p w14:paraId="0E3C16D9">
      <w:pPr>
        <w:pStyle w:val="13"/>
        <w:tabs>
          <w:tab w:val="right" w:leader="dot" w:pos="9026"/>
        </w:tabs>
        <w:rPr>
          <w:highlight w:val="none"/>
        </w:rPr>
      </w:pPr>
      <w:r>
        <w:rPr>
          <w:highlight w:val="none"/>
        </w:rPr>
        <w:fldChar w:fldCharType="begin"/>
      </w:r>
      <w:r>
        <w:rPr>
          <w:highlight w:val="none"/>
        </w:rPr>
        <w:instrText xml:space="preserve"> HYPERLINK \l "_Toc22080" </w:instrText>
      </w:r>
      <w:r>
        <w:rPr>
          <w:highlight w:val="none"/>
        </w:rPr>
        <w:fldChar w:fldCharType="separate"/>
      </w:r>
      <w:r>
        <w:rPr>
          <w:rFonts w:ascii="仿宋_GB2312" w:hAnsi="仿宋_GB2312" w:eastAsia="仿宋_GB2312" w:cs="仿宋_GB2312"/>
          <w:highlight w:val="none"/>
        </w:rPr>
        <w:t>7.1总体要求</w:t>
      </w:r>
      <w:r>
        <w:rPr>
          <w:highlight w:val="none"/>
        </w:rPr>
        <w:tab/>
      </w:r>
      <w:r>
        <w:rPr>
          <w:highlight w:val="none"/>
        </w:rPr>
        <w:fldChar w:fldCharType="begin"/>
      </w:r>
      <w:r>
        <w:rPr>
          <w:highlight w:val="none"/>
        </w:rPr>
        <w:instrText xml:space="preserve"> PAGEREF _Toc22080 \h </w:instrText>
      </w:r>
      <w:r>
        <w:rPr>
          <w:highlight w:val="none"/>
        </w:rPr>
        <w:fldChar w:fldCharType="separate"/>
      </w:r>
      <w:r>
        <w:rPr>
          <w:highlight w:val="none"/>
        </w:rPr>
        <w:t>10</w:t>
      </w:r>
      <w:r>
        <w:rPr>
          <w:highlight w:val="none"/>
        </w:rPr>
        <w:fldChar w:fldCharType="end"/>
      </w:r>
      <w:r>
        <w:rPr>
          <w:highlight w:val="none"/>
        </w:rPr>
        <w:fldChar w:fldCharType="end"/>
      </w:r>
    </w:p>
    <w:p w14:paraId="3242C23B">
      <w:pPr>
        <w:pStyle w:val="13"/>
        <w:tabs>
          <w:tab w:val="right" w:leader="dot" w:pos="9026"/>
        </w:tabs>
        <w:rPr>
          <w:highlight w:val="none"/>
        </w:rPr>
      </w:pPr>
      <w:r>
        <w:rPr>
          <w:highlight w:val="none"/>
        </w:rPr>
        <w:fldChar w:fldCharType="begin"/>
      </w:r>
      <w:r>
        <w:rPr>
          <w:highlight w:val="none"/>
        </w:rPr>
        <w:instrText xml:space="preserve"> HYPERLINK \l "_Toc11313" </w:instrText>
      </w:r>
      <w:r>
        <w:rPr>
          <w:highlight w:val="none"/>
        </w:rPr>
        <w:fldChar w:fldCharType="separate"/>
      </w:r>
      <w:r>
        <w:rPr>
          <w:rFonts w:ascii="仿宋_GB2312" w:hAnsi="仿宋_GB2312" w:eastAsia="仿宋_GB2312" w:cs="仿宋_GB2312"/>
          <w:highlight w:val="none"/>
          <w:lang w:eastAsia="zh-CN"/>
        </w:rPr>
        <w:t>7.2</w:t>
      </w:r>
      <w:r>
        <w:rPr>
          <w:rFonts w:hint="eastAsia" w:ascii="仿宋_GB2312" w:hAnsi="仿宋_GB2312" w:eastAsia="仿宋_GB2312" w:cs="仿宋_GB2312"/>
          <w:highlight w:val="none"/>
          <w:lang w:eastAsia="zh-CN"/>
        </w:rPr>
        <w:t>验收考核标准与要求</w:t>
      </w:r>
      <w:r>
        <w:rPr>
          <w:highlight w:val="none"/>
        </w:rPr>
        <w:tab/>
      </w:r>
      <w:r>
        <w:rPr>
          <w:highlight w:val="none"/>
        </w:rPr>
        <w:fldChar w:fldCharType="begin"/>
      </w:r>
      <w:r>
        <w:rPr>
          <w:highlight w:val="none"/>
        </w:rPr>
        <w:instrText xml:space="preserve"> PAGEREF _Toc11313 \h </w:instrText>
      </w:r>
      <w:r>
        <w:rPr>
          <w:highlight w:val="none"/>
        </w:rPr>
        <w:fldChar w:fldCharType="separate"/>
      </w:r>
      <w:r>
        <w:rPr>
          <w:highlight w:val="none"/>
        </w:rPr>
        <w:t>10</w:t>
      </w:r>
      <w:r>
        <w:rPr>
          <w:highlight w:val="none"/>
        </w:rPr>
        <w:fldChar w:fldCharType="end"/>
      </w:r>
      <w:r>
        <w:rPr>
          <w:highlight w:val="none"/>
        </w:rPr>
        <w:fldChar w:fldCharType="end"/>
      </w:r>
    </w:p>
    <w:p w14:paraId="02D8EA74">
      <w:pPr>
        <w:pStyle w:val="2"/>
        <w:tabs>
          <w:tab w:val="right" w:leader="dot" w:pos="9026"/>
        </w:tabs>
        <w:rPr>
          <w:highlight w:val="none"/>
        </w:rPr>
      </w:pPr>
      <w:r>
        <w:rPr>
          <w:highlight w:val="none"/>
        </w:rPr>
        <w:fldChar w:fldCharType="begin"/>
      </w:r>
      <w:r>
        <w:rPr>
          <w:highlight w:val="none"/>
        </w:rPr>
        <w:instrText xml:space="preserve"> HYPERLINK \l "_Toc21151" </w:instrText>
      </w:r>
      <w:r>
        <w:rPr>
          <w:highlight w:val="none"/>
        </w:rPr>
        <w:fldChar w:fldCharType="separate"/>
      </w:r>
      <w:r>
        <w:rPr>
          <w:rFonts w:ascii="仿宋_GB2312" w:hAnsi="仿宋_GB2312" w:eastAsia="仿宋_GB2312" w:cs="仿宋_GB2312"/>
          <w:kern w:val="36"/>
          <w:highlight w:val="none"/>
          <w:lang w:eastAsia="zh-CN"/>
        </w:rPr>
        <w:t>8其他要求</w:t>
      </w:r>
      <w:r>
        <w:rPr>
          <w:highlight w:val="none"/>
        </w:rPr>
        <w:tab/>
      </w:r>
      <w:r>
        <w:rPr>
          <w:highlight w:val="none"/>
        </w:rPr>
        <w:fldChar w:fldCharType="begin"/>
      </w:r>
      <w:r>
        <w:rPr>
          <w:highlight w:val="none"/>
        </w:rPr>
        <w:instrText xml:space="preserve"> PAGEREF _Toc21151 \h </w:instrText>
      </w:r>
      <w:r>
        <w:rPr>
          <w:highlight w:val="none"/>
        </w:rPr>
        <w:fldChar w:fldCharType="separate"/>
      </w:r>
      <w:r>
        <w:rPr>
          <w:highlight w:val="none"/>
        </w:rPr>
        <w:t>12</w:t>
      </w:r>
      <w:r>
        <w:rPr>
          <w:highlight w:val="none"/>
        </w:rPr>
        <w:fldChar w:fldCharType="end"/>
      </w:r>
      <w:r>
        <w:rPr>
          <w:highlight w:val="none"/>
        </w:rPr>
        <w:fldChar w:fldCharType="end"/>
      </w:r>
    </w:p>
    <w:p w14:paraId="2A4A4CCB">
      <w:pPr>
        <w:pStyle w:val="13"/>
        <w:tabs>
          <w:tab w:val="right" w:leader="dot" w:pos="9026"/>
        </w:tabs>
        <w:rPr>
          <w:highlight w:val="none"/>
        </w:rPr>
      </w:pPr>
      <w:r>
        <w:rPr>
          <w:highlight w:val="none"/>
        </w:rPr>
        <w:fldChar w:fldCharType="begin"/>
      </w:r>
      <w:r>
        <w:rPr>
          <w:highlight w:val="none"/>
        </w:rPr>
        <w:instrText xml:space="preserve"> HYPERLINK \l "_Toc15557" </w:instrText>
      </w:r>
      <w:r>
        <w:rPr>
          <w:highlight w:val="none"/>
        </w:rPr>
        <w:fldChar w:fldCharType="separate"/>
      </w:r>
      <w:r>
        <w:rPr>
          <w:rFonts w:ascii="仿宋_GB2312" w:hAnsi="仿宋_GB2312" w:eastAsia="仿宋_GB2312" w:cs="仿宋_GB2312"/>
          <w:highlight w:val="none"/>
          <w:lang w:eastAsia="zh-CN"/>
        </w:rPr>
        <w:t>8.1付款安排建议</w:t>
      </w:r>
      <w:r>
        <w:rPr>
          <w:highlight w:val="none"/>
        </w:rPr>
        <w:tab/>
      </w:r>
      <w:r>
        <w:rPr>
          <w:highlight w:val="none"/>
        </w:rPr>
        <w:fldChar w:fldCharType="begin"/>
      </w:r>
      <w:r>
        <w:rPr>
          <w:highlight w:val="none"/>
        </w:rPr>
        <w:instrText xml:space="preserve"> PAGEREF _Toc15557 \h </w:instrText>
      </w:r>
      <w:r>
        <w:rPr>
          <w:highlight w:val="none"/>
        </w:rPr>
        <w:fldChar w:fldCharType="separate"/>
      </w:r>
      <w:r>
        <w:rPr>
          <w:highlight w:val="none"/>
        </w:rPr>
        <w:t>12</w:t>
      </w:r>
      <w:r>
        <w:rPr>
          <w:highlight w:val="none"/>
        </w:rPr>
        <w:fldChar w:fldCharType="end"/>
      </w:r>
      <w:r>
        <w:rPr>
          <w:highlight w:val="none"/>
        </w:rPr>
        <w:fldChar w:fldCharType="end"/>
      </w:r>
    </w:p>
    <w:p w14:paraId="4DA89403">
      <w:pPr>
        <w:pStyle w:val="13"/>
        <w:tabs>
          <w:tab w:val="right" w:leader="dot" w:pos="9026"/>
        </w:tabs>
        <w:rPr>
          <w:highlight w:val="none"/>
        </w:rPr>
      </w:pPr>
      <w:r>
        <w:rPr>
          <w:highlight w:val="none"/>
        </w:rPr>
        <w:fldChar w:fldCharType="begin"/>
      </w:r>
      <w:r>
        <w:rPr>
          <w:highlight w:val="none"/>
        </w:rPr>
        <w:instrText xml:space="preserve"> HYPERLINK \l "_Toc9072" </w:instrText>
      </w:r>
      <w:r>
        <w:rPr>
          <w:highlight w:val="none"/>
        </w:rPr>
        <w:fldChar w:fldCharType="separate"/>
      </w:r>
      <w:r>
        <w:rPr>
          <w:rFonts w:ascii="仿宋_GB2312" w:hAnsi="仿宋_GB2312" w:eastAsia="仿宋_GB2312" w:cs="仿宋_GB2312"/>
          <w:highlight w:val="none"/>
          <w:lang w:eastAsia="zh-CN"/>
        </w:rPr>
        <w:t>8.2</w:t>
      </w:r>
      <w:r>
        <w:rPr>
          <w:rFonts w:hint="eastAsia" w:ascii="仿宋_GB2312" w:hAnsi="仿宋_GB2312" w:eastAsia="仿宋_GB2312" w:cs="仿宋_GB2312"/>
          <w:highlight w:val="none"/>
          <w:lang w:eastAsia="zh-CN"/>
        </w:rPr>
        <w:t>其他</w:t>
      </w:r>
      <w:r>
        <w:rPr>
          <w:rFonts w:ascii="仿宋_GB2312" w:hAnsi="仿宋_GB2312" w:eastAsia="仿宋_GB2312" w:cs="仿宋_GB2312"/>
          <w:highlight w:val="none"/>
          <w:lang w:eastAsia="zh-CN"/>
        </w:rPr>
        <w:t>要求</w:t>
      </w:r>
      <w:r>
        <w:rPr>
          <w:highlight w:val="none"/>
        </w:rPr>
        <w:tab/>
      </w:r>
      <w:r>
        <w:rPr>
          <w:highlight w:val="none"/>
        </w:rPr>
        <w:fldChar w:fldCharType="begin"/>
      </w:r>
      <w:r>
        <w:rPr>
          <w:highlight w:val="none"/>
        </w:rPr>
        <w:instrText xml:space="preserve"> PAGEREF _Toc9072 \h </w:instrText>
      </w:r>
      <w:r>
        <w:rPr>
          <w:highlight w:val="none"/>
        </w:rPr>
        <w:fldChar w:fldCharType="separate"/>
      </w:r>
      <w:r>
        <w:rPr>
          <w:highlight w:val="none"/>
        </w:rPr>
        <w:t>12</w:t>
      </w:r>
      <w:r>
        <w:rPr>
          <w:highlight w:val="none"/>
        </w:rPr>
        <w:fldChar w:fldCharType="end"/>
      </w:r>
      <w:r>
        <w:rPr>
          <w:highlight w:val="none"/>
        </w:rPr>
        <w:fldChar w:fldCharType="end"/>
      </w:r>
    </w:p>
    <w:p w14:paraId="5DC2F7DF">
      <w:pPr>
        <w:pStyle w:val="13"/>
        <w:tabs>
          <w:tab w:val="right" w:leader="dot" w:pos="9026"/>
        </w:tabs>
        <w:rPr>
          <w:highlight w:val="none"/>
        </w:rPr>
      </w:pPr>
      <w:r>
        <w:rPr>
          <w:highlight w:val="none"/>
        </w:rPr>
        <w:fldChar w:fldCharType="begin"/>
      </w:r>
      <w:r>
        <w:rPr>
          <w:highlight w:val="none"/>
        </w:rPr>
        <w:instrText xml:space="preserve"> HYPERLINK \l "_Toc1989" </w:instrText>
      </w:r>
      <w:r>
        <w:rPr>
          <w:highlight w:val="none"/>
        </w:rPr>
        <w:fldChar w:fldCharType="separate"/>
      </w:r>
      <w:r>
        <w:rPr>
          <w:rFonts w:ascii="仿宋_GB2312" w:hAnsi="仿宋_GB2312" w:eastAsia="仿宋_GB2312" w:cs="仿宋_GB2312"/>
          <w:highlight w:val="none"/>
          <w:lang w:eastAsia="zh-CN"/>
        </w:rPr>
        <w:t>8.</w:t>
      </w:r>
      <w:r>
        <w:rPr>
          <w:rFonts w:hint="eastAsia" w:ascii="仿宋_GB2312" w:hAnsi="仿宋_GB2312" w:eastAsia="仿宋_GB2312" w:cs="仿宋_GB2312"/>
          <w:highlight w:val="none"/>
          <w:lang w:eastAsia="zh-CN"/>
        </w:rPr>
        <w:t>2.1</w:t>
      </w:r>
      <w:r>
        <w:rPr>
          <w:rFonts w:ascii="仿宋_GB2312" w:hAnsi="仿宋_GB2312" w:eastAsia="仿宋_GB2312" w:cs="仿宋_GB2312"/>
          <w:highlight w:val="none"/>
          <w:lang w:eastAsia="zh-CN"/>
        </w:rPr>
        <w:t>保密要求</w:t>
      </w:r>
      <w:r>
        <w:rPr>
          <w:highlight w:val="none"/>
        </w:rPr>
        <w:tab/>
      </w:r>
      <w:r>
        <w:rPr>
          <w:highlight w:val="none"/>
        </w:rPr>
        <w:fldChar w:fldCharType="begin"/>
      </w:r>
      <w:r>
        <w:rPr>
          <w:highlight w:val="none"/>
        </w:rPr>
        <w:instrText xml:space="preserve"> PAGEREF _Toc1989 \h </w:instrText>
      </w:r>
      <w:r>
        <w:rPr>
          <w:highlight w:val="none"/>
        </w:rPr>
        <w:fldChar w:fldCharType="separate"/>
      </w:r>
      <w:r>
        <w:rPr>
          <w:highlight w:val="none"/>
        </w:rPr>
        <w:t>13</w:t>
      </w:r>
      <w:r>
        <w:rPr>
          <w:highlight w:val="none"/>
        </w:rPr>
        <w:fldChar w:fldCharType="end"/>
      </w:r>
      <w:r>
        <w:rPr>
          <w:highlight w:val="none"/>
        </w:rPr>
        <w:fldChar w:fldCharType="end"/>
      </w:r>
    </w:p>
    <w:p w14:paraId="6D699E7F">
      <w:pPr>
        <w:spacing w:line="360" w:lineRule="auto"/>
        <w:rPr>
          <w:highlight w:val="none"/>
        </w:rPr>
      </w:pPr>
      <w:r>
        <w:rPr>
          <w:rFonts w:ascii="宋体" w:hAnsi="宋体" w:eastAsia="宋体" w:cs="宋体"/>
          <w:highlight w:val="none"/>
        </w:rPr>
        <w:fldChar w:fldCharType="end"/>
      </w:r>
      <w:r>
        <w:rPr>
          <w:highlight w:val="none"/>
        </w:rPr>
        <w:br w:type="page"/>
      </w:r>
    </w:p>
    <w:p w14:paraId="07E88DC2">
      <w:pPr>
        <w:pStyle w:val="3"/>
        <w:keepNext w:val="0"/>
        <w:spacing w:before="0" w:after="0" w:line="360" w:lineRule="auto"/>
        <w:jc w:val="center"/>
        <w:rPr>
          <w:rFonts w:ascii="仿宋_GB2312" w:hAnsi="仿宋_GB2312" w:eastAsia="仿宋_GB2312" w:cs="仿宋_GB2312"/>
          <w:highlight w:val="none"/>
          <w:lang w:eastAsia="zh-CN"/>
        </w:rPr>
      </w:pPr>
      <w:bookmarkStart w:id="0" w:name="_Toc24380"/>
      <w:r>
        <w:rPr>
          <w:rFonts w:ascii="仿宋_GB2312" w:hAnsi="仿宋_GB2312" w:eastAsia="仿宋_GB2312" w:cs="仿宋_GB2312"/>
          <w:kern w:val="36"/>
          <w:highlight w:val="none"/>
          <w:lang w:eastAsia="zh-CN"/>
        </w:rPr>
        <w:t>1项目概述</w:t>
      </w:r>
      <w:bookmarkEnd w:id="0"/>
    </w:p>
    <w:p w14:paraId="0A87EF28">
      <w:pPr>
        <w:pStyle w:val="4"/>
        <w:keepNext w:val="0"/>
        <w:spacing w:before="0" w:after="0" w:line="360" w:lineRule="auto"/>
        <w:rPr>
          <w:rFonts w:ascii="仿宋_GB2312" w:hAnsi="仿宋_GB2312" w:eastAsia="仿宋_GB2312" w:cs="仿宋_GB2312"/>
          <w:highlight w:val="none"/>
          <w:lang w:eastAsia="zh-CN"/>
        </w:rPr>
      </w:pPr>
      <w:bookmarkStart w:id="1" w:name="_Toc13007"/>
      <w:r>
        <w:rPr>
          <w:rFonts w:ascii="仿宋_GB2312" w:hAnsi="仿宋_GB2312" w:eastAsia="仿宋_GB2312" w:cs="仿宋_GB2312"/>
          <w:i w:val="0"/>
          <w:iCs w:val="0"/>
          <w:highlight w:val="none"/>
          <w:lang w:eastAsia="zh-CN"/>
        </w:rPr>
        <w:t>1.1项目背景</w:t>
      </w:r>
      <w:bookmarkEnd w:id="1"/>
    </w:p>
    <w:p w14:paraId="44673892">
      <w:pPr>
        <w:pStyle w:val="5"/>
        <w:keepNext w:val="0"/>
        <w:spacing w:before="0" w:after="0" w:line="360" w:lineRule="auto"/>
        <w:rPr>
          <w:rFonts w:ascii="仿宋_GB2312" w:hAnsi="仿宋_GB2312" w:eastAsia="仿宋_GB2312" w:cs="仿宋_GB2312"/>
          <w:sz w:val="28"/>
          <w:szCs w:val="28"/>
          <w:highlight w:val="none"/>
          <w:lang w:eastAsia="zh-CN"/>
        </w:rPr>
      </w:pPr>
      <w:bookmarkStart w:id="2" w:name="_Toc14721"/>
      <w:r>
        <w:rPr>
          <w:rFonts w:ascii="仿宋_GB2312" w:hAnsi="仿宋_GB2312" w:eastAsia="仿宋_GB2312" w:cs="仿宋_GB2312"/>
          <w:sz w:val="28"/>
          <w:szCs w:val="28"/>
          <w:highlight w:val="none"/>
          <w:lang w:eastAsia="zh-CN"/>
        </w:rPr>
        <w:t>1.1.1项目背景</w:t>
      </w:r>
      <w:bookmarkEnd w:id="2"/>
    </w:p>
    <w:p w14:paraId="628A0506">
      <w:pPr>
        <w:spacing w:line="360" w:lineRule="auto"/>
        <w:ind w:firstLine="560" w:firstLineChars="200"/>
        <w:jc w:val="both"/>
        <w:rPr>
          <w:rFonts w:ascii="仿宋_GB2312" w:hAnsi="仿宋_GB2312" w:eastAsia="仿宋_GB2312" w:cs="仿宋_GB2312"/>
          <w:sz w:val="28"/>
          <w:szCs w:val="28"/>
          <w:highlight w:val="none"/>
          <w:lang w:eastAsia="zh-CN"/>
        </w:rPr>
      </w:pPr>
      <w:bookmarkStart w:id="3" w:name="项目名称1"/>
      <w:r>
        <w:rPr>
          <w:rFonts w:hint="eastAsia" w:ascii="仿宋_GB2312" w:hAnsi="仿宋_GB2312" w:eastAsia="仿宋_GB2312" w:cs="仿宋_GB2312"/>
          <w:sz w:val="28"/>
          <w:szCs w:val="28"/>
          <w:highlight w:val="none"/>
          <w:lang w:eastAsia="zh-CN"/>
        </w:rPr>
        <w:t>按照税务总局的要求，本市正深入推进办税服务厅和12366一体化转型升级，实现问办协同是当前税费服务改革的总体趋势之一。总局明确提出，要推进对外公开电话整合工作，要求将税费咨询和投诉电话、税收违法行为举报电话、税务部门联系电话、信访电话、政府信息公开电话和纳税人端税务软件支持这六类电话整合进12366一个号码，让纳税人只需拨打一个号码即可联系各税务部门。基于此背景拟参照转型方案实施本市网上办税系统技术咨询服务项目。</w:t>
      </w:r>
    </w:p>
    <w:bookmarkEnd w:id="3"/>
    <w:p w14:paraId="0E035401">
      <w:pPr>
        <w:pStyle w:val="4"/>
        <w:keepNext w:val="0"/>
        <w:spacing w:before="0" w:after="0" w:line="360" w:lineRule="auto"/>
        <w:rPr>
          <w:rFonts w:ascii="仿宋_GB2312" w:hAnsi="仿宋_GB2312" w:eastAsia="仿宋_GB2312" w:cs="仿宋_GB2312"/>
          <w:highlight w:val="none"/>
          <w:lang w:eastAsia="zh-CN"/>
        </w:rPr>
      </w:pPr>
      <w:bookmarkStart w:id="4" w:name="_Toc14746"/>
      <w:r>
        <w:rPr>
          <w:rFonts w:ascii="仿宋_GB2312" w:hAnsi="仿宋_GB2312" w:eastAsia="仿宋_GB2312" w:cs="仿宋_GB2312"/>
          <w:i w:val="0"/>
          <w:iCs w:val="0"/>
          <w:highlight w:val="none"/>
          <w:lang w:eastAsia="zh-CN"/>
        </w:rPr>
        <w:t>1.2项目内容</w:t>
      </w:r>
      <w:bookmarkEnd w:id="4"/>
    </w:p>
    <w:p w14:paraId="43E294E3">
      <w:pPr>
        <w:pStyle w:val="5"/>
        <w:keepNext w:val="0"/>
        <w:spacing w:before="0" w:after="0" w:line="360" w:lineRule="auto"/>
        <w:rPr>
          <w:rFonts w:ascii="仿宋_GB2312" w:hAnsi="仿宋_GB2312" w:eastAsia="仿宋_GB2312" w:cs="仿宋_GB2312"/>
          <w:sz w:val="28"/>
          <w:szCs w:val="28"/>
          <w:highlight w:val="none"/>
          <w:lang w:eastAsia="zh-CN"/>
        </w:rPr>
      </w:pPr>
      <w:bookmarkStart w:id="5" w:name="_Toc29556"/>
      <w:r>
        <w:rPr>
          <w:rFonts w:ascii="仿宋_GB2312" w:hAnsi="仿宋_GB2312" w:eastAsia="仿宋_GB2312" w:cs="仿宋_GB2312"/>
          <w:sz w:val="28"/>
          <w:szCs w:val="28"/>
          <w:highlight w:val="none"/>
          <w:lang w:eastAsia="zh-CN"/>
        </w:rPr>
        <w:t>1.2.1采购内容</w:t>
      </w:r>
      <w:bookmarkEnd w:id="5"/>
    </w:p>
    <w:p w14:paraId="563F71B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闵行区税务局、第三税务分局网上办税系统技术咨询服务，服务内容：为纳税人提供免费的咨询服务，包括税费政策咨询、操作辅导、驻点服务、软件技术咨询、涉税投诉举报等。闵行区税务局服务时间为法定工作日上午8:30至下午17:00，第三税务分局服务时间为法定工作日上午</w:t>
      </w:r>
      <w:r>
        <w:rPr>
          <w:rFonts w:hint="eastAsia" w:ascii="仿宋_GB2312" w:hAnsi="仿宋_GB2312" w:eastAsia="仿宋_GB2312" w:cs="仿宋_GB2312"/>
          <w:sz w:val="28"/>
          <w:szCs w:val="28"/>
          <w:highlight w:val="none"/>
          <w:lang w:val="en-US" w:eastAsia="zh-CN"/>
        </w:rPr>
        <w:t>9</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00</w:t>
      </w:r>
      <w:r>
        <w:rPr>
          <w:rFonts w:hint="eastAsia" w:ascii="仿宋_GB2312" w:hAnsi="仿宋_GB2312" w:eastAsia="仿宋_GB2312" w:cs="仿宋_GB2312"/>
          <w:sz w:val="28"/>
          <w:szCs w:val="28"/>
          <w:highlight w:val="none"/>
          <w:lang w:eastAsia="zh-CN"/>
        </w:rPr>
        <w:t>至下午17:00。如需提供延时服务按照采购人具体工作布置落实。</w:t>
      </w:r>
    </w:p>
    <w:p w14:paraId="42A3C63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本包件预算金额为7879327.36元。</w:t>
      </w:r>
    </w:p>
    <w:p w14:paraId="5A025862">
      <w:pPr>
        <w:pStyle w:val="5"/>
        <w:keepNext w:val="0"/>
        <w:spacing w:before="0" w:after="0" w:line="360" w:lineRule="auto"/>
        <w:rPr>
          <w:rFonts w:ascii="仿宋_GB2312" w:hAnsi="仿宋_GB2312" w:eastAsia="仿宋_GB2312" w:cs="仿宋_GB2312"/>
          <w:sz w:val="28"/>
          <w:szCs w:val="28"/>
          <w:highlight w:val="none"/>
          <w:lang w:eastAsia="zh-CN"/>
        </w:rPr>
      </w:pPr>
      <w:bookmarkStart w:id="6" w:name="_Toc29540"/>
      <w:r>
        <w:rPr>
          <w:rFonts w:ascii="仿宋_GB2312" w:hAnsi="仿宋_GB2312" w:eastAsia="仿宋_GB2312" w:cs="仿宋_GB2312"/>
          <w:sz w:val="28"/>
          <w:szCs w:val="28"/>
          <w:highlight w:val="none"/>
          <w:lang w:eastAsia="zh-CN"/>
        </w:rPr>
        <w:t>1.2.2项目实施要求</w:t>
      </w:r>
      <w:bookmarkEnd w:id="6"/>
    </w:p>
    <w:p w14:paraId="319CFA75">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1.2.2.1实施范围要求</w:t>
      </w:r>
    </w:p>
    <w:p w14:paraId="1924B1E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闵行区税务局、第三税务分局网上办税系统技术咨询服务，服务内容：为纳税人提供免费的咨询服务，包括税费政策咨询、操作辅导、驻点服务、软件技术咨询、涉税投诉举报等。闵行区税务局服务时间为法定工作日上午8:30至下午17:00，第三税务分局服务时间为法定工作日上午</w:t>
      </w:r>
      <w:r>
        <w:rPr>
          <w:rFonts w:hint="eastAsia" w:ascii="仿宋_GB2312" w:hAnsi="仿宋_GB2312" w:eastAsia="仿宋_GB2312" w:cs="仿宋_GB2312"/>
          <w:sz w:val="28"/>
          <w:szCs w:val="28"/>
          <w:highlight w:val="none"/>
          <w:lang w:val="en-US" w:eastAsia="zh-CN"/>
        </w:rPr>
        <w:t>9</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00</w:t>
      </w:r>
      <w:r>
        <w:rPr>
          <w:rFonts w:hint="eastAsia" w:ascii="仿宋_GB2312" w:hAnsi="仿宋_GB2312" w:eastAsia="仿宋_GB2312" w:cs="仿宋_GB2312"/>
          <w:sz w:val="28"/>
          <w:szCs w:val="28"/>
          <w:highlight w:val="none"/>
          <w:lang w:eastAsia="zh-CN"/>
        </w:rPr>
        <w:t>至下午17:00。如需提供延时服务按照采购人具体工作布置落实。</w:t>
      </w:r>
    </w:p>
    <w:p w14:paraId="2E2D740E">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1.2.2.2实施时间要求</w:t>
      </w:r>
    </w:p>
    <w:p w14:paraId="1D59D49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本包件服务期限为</w:t>
      </w:r>
      <w:bookmarkStart w:id="41" w:name="_GoBack"/>
      <w:r>
        <w:rPr>
          <w:rFonts w:hint="eastAsia" w:ascii="仿宋_GB2312" w:hAnsi="仿宋_GB2312" w:eastAsia="仿宋_GB2312" w:cs="仿宋_GB2312"/>
          <w:sz w:val="28"/>
          <w:szCs w:val="28"/>
          <w:highlight w:val="none"/>
          <w:lang w:eastAsia="zh-CN"/>
        </w:rPr>
        <w:t>自合同签订生效之日起一年。</w:t>
      </w:r>
      <w:bookmarkEnd w:id="41"/>
    </w:p>
    <w:p w14:paraId="7B96B3CB">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1.2.2.3实施地点要求</w:t>
      </w:r>
    </w:p>
    <w:p w14:paraId="7FE5298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采购人指定地点。</w:t>
      </w:r>
    </w:p>
    <w:p w14:paraId="1A32049A">
      <w:pPr>
        <w:pStyle w:val="4"/>
        <w:keepNext w:val="0"/>
        <w:spacing w:before="0" w:after="0" w:line="360" w:lineRule="auto"/>
        <w:rPr>
          <w:rFonts w:ascii="仿宋_GB2312" w:hAnsi="仿宋_GB2312" w:eastAsia="仿宋_GB2312" w:cs="仿宋_GB2312"/>
          <w:highlight w:val="none"/>
          <w:lang w:eastAsia="zh-CN"/>
        </w:rPr>
      </w:pPr>
      <w:bookmarkStart w:id="7" w:name="_Toc5964"/>
      <w:r>
        <w:rPr>
          <w:rFonts w:ascii="仿宋_GB2312" w:hAnsi="仿宋_GB2312" w:eastAsia="仿宋_GB2312" w:cs="仿宋_GB2312"/>
          <w:i w:val="0"/>
          <w:iCs w:val="0"/>
          <w:highlight w:val="none"/>
          <w:lang w:eastAsia="zh-CN"/>
        </w:rPr>
        <w:t>1.3其他要求</w:t>
      </w:r>
      <w:bookmarkEnd w:id="7"/>
    </w:p>
    <w:p w14:paraId="1A0E5385">
      <w:pPr>
        <w:pStyle w:val="5"/>
        <w:keepNext w:val="0"/>
        <w:spacing w:before="0" w:after="0" w:line="360" w:lineRule="auto"/>
        <w:rPr>
          <w:rFonts w:ascii="仿宋_GB2312" w:hAnsi="仿宋_GB2312" w:eastAsia="仿宋_GB2312" w:cs="仿宋_GB2312"/>
          <w:sz w:val="28"/>
          <w:szCs w:val="28"/>
          <w:highlight w:val="none"/>
          <w:lang w:eastAsia="zh-CN"/>
        </w:rPr>
      </w:pPr>
      <w:bookmarkStart w:id="8" w:name="_Toc31707"/>
      <w:r>
        <w:rPr>
          <w:rFonts w:ascii="仿宋_GB2312" w:hAnsi="仿宋_GB2312" w:eastAsia="仿宋_GB2312" w:cs="仿宋_GB2312"/>
          <w:sz w:val="28"/>
          <w:szCs w:val="28"/>
          <w:highlight w:val="none"/>
          <w:lang w:eastAsia="zh-CN"/>
        </w:rPr>
        <w:t>1.3.1采购标的需执行的相关标准规范</w:t>
      </w:r>
      <w:bookmarkEnd w:id="8"/>
    </w:p>
    <w:p w14:paraId="0347337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需符合GB/T33358-2016政府热线服务规范、GB/T33357-2016政府热线服务评价等国家及行业相关标准。</w:t>
      </w:r>
    </w:p>
    <w:tbl>
      <w:tblPr>
        <w:tblStyle w:val="15"/>
        <w:tblW w:w="9051" w:type="dxa"/>
        <w:jc w:val="center"/>
        <w:tblCellSpacing w:w="0" w:type="dxa"/>
        <w:tblLayout w:type="autofit"/>
        <w:tblCellMar>
          <w:top w:w="15" w:type="dxa"/>
          <w:left w:w="15" w:type="dxa"/>
          <w:bottom w:w="15" w:type="dxa"/>
          <w:right w:w="15" w:type="dxa"/>
        </w:tblCellMar>
      </w:tblPr>
      <w:tblGrid>
        <w:gridCol w:w="1596"/>
        <w:gridCol w:w="7515"/>
      </w:tblGrid>
      <w:tr w14:paraId="42AD3449">
        <w:tblPrEx>
          <w:tblCellMar>
            <w:top w:w="15" w:type="dxa"/>
            <w:left w:w="15" w:type="dxa"/>
            <w:bottom w:w="15" w:type="dxa"/>
            <w:right w:w="15" w:type="dxa"/>
          </w:tblCellMar>
        </w:tblPrEx>
        <w:trPr>
          <w:trHeight w:val="454" w:hRule="atLeast"/>
          <w:tblCellSpacing w:w="0" w:type="dxa"/>
          <w:jc w:val="center"/>
        </w:trPr>
        <w:tc>
          <w:tcPr>
            <w:tcW w:w="1556" w:type="dxa"/>
            <w:tcBorders>
              <w:top w:val="single" w:color="000000" w:sz="8" w:space="0"/>
              <w:left w:val="single" w:color="000000" w:sz="8" w:space="0"/>
              <w:right w:val="single" w:color="000000" w:sz="8" w:space="0"/>
            </w:tcBorders>
            <w:shd w:val="clear" w:color="auto" w:fill="D8D8D8" w:themeFill="background1" w:themeFillShade="D9"/>
            <w:noWrap/>
            <w:tcMar>
              <w:top w:w="0" w:type="dxa"/>
              <w:left w:w="118" w:type="dxa"/>
              <w:bottom w:w="0" w:type="dxa"/>
              <w:right w:w="118" w:type="dxa"/>
            </w:tcMar>
            <w:vAlign w:val="center"/>
          </w:tcPr>
          <w:p w14:paraId="5166F975">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w:t>
            </w:r>
          </w:p>
        </w:tc>
        <w:tc>
          <w:tcPr>
            <w:tcW w:w="7495" w:type="dxa"/>
            <w:tcBorders>
              <w:top w:val="single" w:color="000000" w:sz="8" w:space="0"/>
              <w:right w:val="single" w:color="000000" w:sz="8" w:space="0"/>
            </w:tcBorders>
            <w:shd w:val="clear" w:color="auto" w:fill="D8D8D8" w:themeFill="background1" w:themeFillShade="D9"/>
            <w:noWrap/>
            <w:tcMar>
              <w:top w:w="0" w:type="dxa"/>
              <w:left w:w="108" w:type="dxa"/>
              <w:bottom w:w="0" w:type="dxa"/>
              <w:right w:w="118" w:type="dxa"/>
            </w:tcMar>
            <w:vAlign w:val="center"/>
          </w:tcPr>
          <w:p w14:paraId="7A0940B6">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质量属性描述</w:t>
            </w:r>
          </w:p>
        </w:tc>
      </w:tr>
      <w:tr w14:paraId="645266D6">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5C6954A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公正性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38976169">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很高，如实记录用户反馈及评价。</w:t>
            </w:r>
          </w:p>
        </w:tc>
      </w:tr>
      <w:tr w14:paraId="6469BE62">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0EF8A48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可靠性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4767D18E">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很高，提供详细的通话及沟通痕迹，绩效报告应无差错，可信赖。根据知识库内容作答，或根据口径作答，内容无差错。</w:t>
            </w:r>
          </w:p>
        </w:tc>
      </w:tr>
      <w:tr w14:paraId="224AE8C6">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0337074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专业化</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3C6890FC">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很高，具备专业的服务态度，如文明用语、规范用语，提供热情、耐心的解答。</w:t>
            </w:r>
          </w:p>
        </w:tc>
      </w:tr>
      <w:tr w14:paraId="787BC539">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558DAE8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高效性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10AFEC9C">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很高，应在系统提示来电5</w:t>
            </w:r>
            <w:r>
              <w:rPr>
                <w:rFonts w:hint="eastAsia" w:ascii="仿宋_GB2312" w:hAnsi="宋体" w:eastAsia="仿宋_GB2312" w:cs="宋体"/>
                <w:color w:val="000000"/>
                <w:kern w:val="2"/>
                <w:sz w:val="21"/>
                <w:szCs w:val="21"/>
                <w:highlight w:val="none"/>
                <w:lang w:eastAsia="zh-CN"/>
              </w:rPr>
              <w:t>秒内或者响铃</w:t>
            </w:r>
            <w:r>
              <w:rPr>
                <w:rFonts w:hint="eastAsia" w:ascii="仿宋_GB2312" w:eastAsia="仿宋_GB2312"/>
                <w:color w:val="000000"/>
                <w:kern w:val="2"/>
                <w:sz w:val="21"/>
                <w:szCs w:val="21"/>
                <w:highlight w:val="none"/>
                <w:lang w:eastAsia="zh-CN"/>
              </w:rPr>
              <w:t>3</w:t>
            </w:r>
            <w:r>
              <w:rPr>
                <w:rFonts w:hint="eastAsia" w:ascii="仿宋_GB2312" w:hAnsi="宋体" w:eastAsia="仿宋_GB2312" w:cs="宋体"/>
                <w:color w:val="000000"/>
                <w:kern w:val="2"/>
                <w:sz w:val="21"/>
                <w:szCs w:val="21"/>
                <w:highlight w:val="none"/>
                <w:lang w:eastAsia="zh-CN"/>
              </w:rPr>
              <w:t>声内接听电话，无法当场办理的事项，当日接通率、流失率等指标应满足采购方实际需求，保障服务的有效性。</w:t>
            </w:r>
          </w:p>
        </w:tc>
      </w:tr>
    </w:tbl>
    <w:p w14:paraId="6A45AF38">
      <w:pPr>
        <w:rPr>
          <w:highlight w:val="none"/>
          <w:lang w:eastAsia="zh-CN"/>
        </w:rPr>
      </w:pPr>
    </w:p>
    <w:p w14:paraId="7D50D083">
      <w:pPr>
        <w:rPr>
          <w:rFonts w:eastAsia="FangSong_GB2312"/>
          <w:highlight w:val="none"/>
          <w:lang w:eastAsia="zh-CN"/>
        </w:rPr>
      </w:pPr>
    </w:p>
    <w:p w14:paraId="4359ABEB">
      <w:pPr>
        <w:pStyle w:val="3"/>
        <w:keepNext w:val="0"/>
        <w:spacing w:before="0" w:after="0" w:line="360" w:lineRule="auto"/>
        <w:jc w:val="center"/>
        <w:rPr>
          <w:rFonts w:ascii="仿宋_GB2312" w:hAnsi="仿宋_GB2312" w:eastAsia="仿宋_GB2312" w:cs="仿宋_GB2312"/>
          <w:highlight w:val="none"/>
          <w:lang w:eastAsia="zh-CN"/>
        </w:rPr>
      </w:pPr>
      <w:bookmarkStart w:id="9" w:name="_Toc27399"/>
      <w:r>
        <w:rPr>
          <w:rFonts w:ascii="仿宋_GB2312" w:hAnsi="仿宋_GB2312" w:eastAsia="仿宋_GB2312" w:cs="仿宋_GB2312"/>
          <w:kern w:val="36"/>
          <w:highlight w:val="none"/>
          <w:lang w:eastAsia="zh-CN"/>
        </w:rPr>
        <w:t>2投标/响应要求</w:t>
      </w:r>
      <w:bookmarkEnd w:id="9"/>
    </w:p>
    <w:p w14:paraId="256FA305">
      <w:pPr>
        <w:pStyle w:val="4"/>
        <w:keepNext w:val="0"/>
        <w:spacing w:before="0" w:after="0" w:line="360" w:lineRule="auto"/>
        <w:rPr>
          <w:rFonts w:ascii="仿宋_GB2312" w:hAnsi="仿宋_GB2312" w:eastAsia="仿宋_GB2312" w:cs="仿宋_GB2312"/>
          <w:highlight w:val="none"/>
          <w:lang w:eastAsia="zh-CN"/>
        </w:rPr>
      </w:pPr>
      <w:bookmarkStart w:id="10" w:name="_Toc24040"/>
      <w:r>
        <w:rPr>
          <w:rFonts w:ascii="仿宋_GB2312" w:hAnsi="仿宋_GB2312" w:eastAsia="仿宋_GB2312" w:cs="仿宋_GB2312"/>
          <w:i w:val="0"/>
          <w:iCs w:val="0"/>
          <w:highlight w:val="none"/>
          <w:lang w:eastAsia="zh-CN"/>
        </w:rPr>
        <w:t>2.1对供应商的要求</w:t>
      </w:r>
      <w:bookmarkEnd w:id="10"/>
    </w:p>
    <w:p w14:paraId="257988FE">
      <w:pPr>
        <w:pStyle w:val="5"/>
        <w:keepNext w:val="0"/>
        <w:spacing w:before="0" w:after="0" w:line="360" w:lineRule="auto"/>
        <w:rPr>
          <w:rFonts w:ascii="仿宋_GB2312" w:hAnsi="仿宋_GB2312" w:eastAsia="仿宋_GB2312" w:cs="仿宋_GB2312"/>
          <w:sz w:val="28"/>
          <w:szCs w:val="28"/>
          <w:highlight w:val="none"/>
          <w:lang w:eastAsia="zh-CN"/>
        </w:rPr>
      </w:pPr>
      <w:bookmarkStart w:id="11" w:name="_Toc16197"/>
      <w:r>
        <w:rPr>
          <w:rFonts w:ascii="仿宋_GB2312" w:hAnsi="仿宋_GB2312" w:eastAsia="仿宋_GB2312" w:cs="仿宋_GB2312"/>
          <w:sz w:val="28"/>
          <w:szCs w:val="28"/>
          <w:highlight w:val="none"/>
          <w:lang w:eastAsia="zh-CN"/>
        </w:rPr>
        <w:t>2.1.1必备资质</w:t>
      </w:r>
      <w:bookmarkEnd w:id="11"/>
    </w:p>
    <w:p w14:paraId="1DD9F646">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2.1.1.1供应商应遵守有关国家法律、法规和条例,具备《中华人民共和国政府采购法》第二十二条的规定和本文件中规定的条件。</w:t>
      </w:r>
    </w:p>
    <w:p w14:paraId="7D0E0D90">
      <w:pPr>
        <w:pStyle w:val="5"/>
        <w:keepNext w:val="0"/>
        <w:spacing w:before="0" w:after="0" w:line="360" w:lineRule="auto"/>
        <w:rPr>
          <w:rFonts w:ascii="仿宋_GB2312" w:hAnsi="仿宋_GB2312" w:eastAsia="仿宋_GB2312" w:cs="仿宋_GB2312"/>
          <w:sz w:val="28"/>
          <w:szCs w:val="28"/>
          <w:highlight w:val="none"/>
          <w:lang w:eastAsia="zh-CN"/>
        </w:rPr>
      </w:pPr>
      <w:bookmarkStart w:id="12" w:name="_Toc15261"/>
      <w:r>
        <w:rPr>
          <w:rFonts w:ascii="仿宋_GB2312" w:hAnsi="仿宋_GB2312" w:eastAsia="仿宋_GB2312" w:cs="仿宋_GB2312"/>
          <w:sz w:val="28"/>
          <w:szCs w:val="28"/>
          <w:highlight w:val="none"/>
          <w:lang w:eastAsia="zh-CN"/>
        </w:rPr>
        <w:t>2.1.2优选资质/优选指标</w:t>
      </w:r>
      <w:bookmarkEnd w:id="12"/>
    </w:p>
    <w:p w14:paraId="43A74685">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2.1.2.1相关证书</w:t>
      </w:r>
    </w:p>
    <w:p w14:paraId="38D326C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供应商具有ISO9001质量管理体系认证证书、ISO45001职业健康安全管理体系认证证书、ISO27001信息安全管理体系认证证书，并在认证有效期的优先考虑。</w:t>
      </w:r>
    </w:p>
    <w:p w14:paraId="6EF0BC31">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2.1.2.2成功案例</w:t>
      </w:r>
    </w:p>
    <w:p w14:paraId="5510F32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供应商在2023年1月1日以来（以合同签订日期为准）有税费政策、技术咨询服务或其他政务热线咨询服务项目业绩的优先考虑。</w:t>
      </w:r>
    </w:p>
    <w:p w14:paraId="270E9FC8">
      <w:pPr>
        <w:pStyle w:val="5"/>
        <w:keepNext w:val="0"/>
        <w:spacing w:before="0" w:after="0" w:line="360" w:lineRule="auto"/>
        <w:rPr>
          <w:rFonts w:ascii="仿宋_GB2312" w:hAnsi="仿宋_GB2312" w:eastAsia="仿宋_GB2312" w:cs="仿宋_GB2312"/>
          <w:sz w:val="28"/>
          <w:szCs w:val="28"/>
          <w:highlight w:val="none"/>
          <w:lang w:eastAsia="zh-CN"/>
        </w:rPr>
      </w:pPr>
      <w:bookmarkStart w:id="13" w:name="_Toc14845"/>
      <w:r>
        <w:rPr>
          <w:rFonts w:ascii="仿宋_GB2312" w:hAnsi="仿宋_GB2312" w:eastAsia="仿宋_GB2312" w:cs="仿宋_GB2312"/>
          <w:sz w:val="28"/>
          <w:szCs w:val="28"/>
          <w:highlight w:val="none"/>
          <w:lang w:eastAsia="zh-CN"/>
        </w:rPr>
        <w:t>2.1.3是否允许联合体</w:t>
      </w:r>
      <w:bookmarkEnd w:id="13"/>
    </w:p>
    <w:p w14:paraId="7556435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否。</w:t>
      </w:r>
    </w:p>
    <w:p w14:paraId="748793B5">
      <w:pPr>
        <w:pStyle w:val="5"/>
        <w:keepNext w:val="0"/>
        <w:spacing w:before="0" w:after="0" w:line="360" w:lineRule="auto"/>
        <w:rPr>
          <w:rFonts w:ascii="仿宋_GB2312" w:hAnsi="仿宋_GB2312" w:eastAsia="仿宋_GB2312" w:cs="仿宋_GB2312"/>
          <w:sz w:val="28"/>
          <w:szCs w:val="28"/>
          <w:highlight w:val="none"/>
          <w:lang w:eastAsia="zh-CN"/>
        </w:rPr>
      </w:pPr>
      <w:bookmarkStart w:id="14" w:name="_Toc9877"/>
      <w:r>
        <w:rPr>
          <w:rFonts w:ascii="仿宋_GB2312" w:hAnsi="仿宋_GB2312" w:eastAsia="仿宋_GB2312" w:cs="仿宋_GB2312"/>
          <w:sz w:val="28"/>
          <w:szCs w:val="28"/>
          <w:highlight w:val="none"/>
          <w:lang w:eastAsia="zh-CN"/>
        </w:rPr>
        <w:t>2.1.4是否专门面向中小企业</w:t>
      </w:r>
      <w:bookmarkEnd w:id="14"/>
    </w:p>
    <w:p w14:paraId="2A32657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本项目不专门面向中小企业采购项目。</w:t>
      </w:r>
    </w:p>
    <w:p w14:paraId="47F43331">
      <w:pPr>
        <w:pStyle w:val="4"/>
        <w:keepNext w:val="0"/>
        <w:spacing w:before="0" w:after="0" w:line="360" w:lineRule="auto"/>
        <w:rPr>
          <w:rFonts w:ascii="仿宋_GB2312" w:hAnsi="仿宋_GB2312" w:eastAsia="仿宋_GB2312" w:cs="仿宋_GB2312"/>
          <w:highlight w:val="none"/>
          <w:lang w:eastAsia="zh-CN"/>
        </w:rPr>
      </w:pPr>
      <w:bookmarkStart w:id="15" w:name="_Toc9170"/>
      <w:r>
        <w:rPr>
          <w:rFonts w:ascii="仿宋_GB2312" w:hAnsi="仿宋_GB2312" w:eastAsia="仿宋_GB2312" w:cs="仿宋_GB2312"/>
          <w:i w:val="0"/>
          <w:iCs w:val="0"/>
          <w:highlight w:val="none"/>
          <w:lang w:eastAsia="zh-CN"/>
        </w:rPr>
        <w:t>2.2技术部分投标/响应内容</w:t>
      </w:r>
      <w:bookmarkEnd w:id="15"/>
    </w:p>
    <w:p w14:paraId="53A820EC">
      <w:pPr>
        <w:pStyle w:val="5"/>
        <w:keepNext w:val="0"/>
        <w:spacing w:before="0" w:after="0" w:line="360" w:lineRule="auto"/>
        <w:rPr>
          <w:rFonts w:ascii="仿宋_GB2312" w:hAnsi="仿宋_GB2312" w:eastAsia="仿宋_GB2312" w:cs="仿宋_GB2312"/>
          <w:sz w:val="28"/>
          <w:szCs w:val="28"/>
          <w:highlight w:val="none"/>
          <w:lang w:eastAsia="zh-CN"/>
        </w:rPr>
      </w:pPr>
      <w:bookmarkStart w:id="16" w:name="_Toc13436"/>
      <w:r>
        <w:rPr>
          <w:rFonts w:ascii="仿宋_GB2312" w:hAnsi="仿宋_GB2312" w:eastAsia="仿宋_GB2312" w:cs="仿宋_GB2312"/>
          <w:sz w:val="28"/>
          <w:szCs w:val="28"/>
          <w:highlight w:val="none"/>
          <w:lang w:eastAsia="zh-CN"/>
        </w:rPr>
        <w:t>2.2.1投标/响应方案要求</w:t>
      </w:r>
      <w:bookmarkEnd w:id="16"/>
    </w:p>
    <w:p w14:paraId="0B999BD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投标人对本项目总体需求的理解。</w:t>
      </w:r>
    </w:p>
    <w:p w14:paraId="4A18CE8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投标人针对本项目的服务方案，至少包含下列内容：电话咨询服务方案、在线咨询服务方案、大厅驻点服务方案、服务人员培训方案、服务衔接方案、管理实施方案、风险管控方案。</w:t>
      </w:r>
    </w:p>
    <w:p w14:paraId="09BFF05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投标人针对本项目的服务承诺、管理和服务人员配置情况。</w:t>
      </w:r>
    </w:p>
    <w:p w14:paraId="4CD5A227">
      <w:pPr>
        <w:pStyle w:val="3"/>
        <w:keepNext w:val="0"/>
        <w:spacing w:before="0" w:after="0" w:line="360" w:lineRule="auto"/>
        <w:jc w:val="center"/>
        <w:rPr>
          <w:rFonts w:ascii="仿宋_GB2312" w:hAnsi="仿宋_GB2312" w:eastAsia="仿宋_GB2312" w:cs="仿宋_GB2312"/>
          <w:highlight w:val="none"/>
          <w:lang w:eastAsia="zh-CN"/>
        </w:rPr>
      </w:pPr>
      <w:bookmarkStart w:id="17" w:name="_Toc13584"/>
      <w:r>
        <w:rPr>
          <w:rFonts w:ascii="仿宋_GB2312" w:hAnsi="仿宋_GB2312" w:eastAsia="仿宋_GB2312" w:cs="仿宋_GB2312"/>
          <w:kern w:val="36"/>
          <w:highlight w:val="none"/>
          <w:lang w:eastAsia="zh-CN"/>
        </w:rPr>
        <w:t>3项目需求</w:t>
      </w:r>
      <w:bookmarkEnd w:id="17"/>
    </w:p>
    <w:p w14:paraId="4D37541E">
      <w:pPr>
        <w:pStyle w:val="4"/>
        <w:keepNext w:val="0"/>
        <w:spacing w:before="0" w:after="0" w:line="360" w:lineRule="auto"/>
        <w:rPr>
          <w:rFonts w:ascii="仿宋_GB2312" w:hAnsi="仿宋_GB2312" w:eastAsia="仿宋_GB2312" w:cs="仿宋_GB2312"/>
          <w:highlight w:val="none"/>
          <w:lang w:eastAsia="zh-CN"/>
        </w:rPr>
      </w:pPr>
      <w:bookmarkStart w:id="18" w:name="_Toc30860"/>
      <w:r>
        <w:rPr>
          <w:rFonts w:ascii="仿宋_GB2312" w:hAnsi="仿宋_GB2312" w:eastAsia="仿宋_GB2312" w:cs="仿宋_GB2312"/>
          <w:i w:val="0"/>
          <w:iCs w:val="0"/>
          <w:highlight w:val="none"/>
          <w:lang w:eastAsia="zh-CN"/>
        </w:rPr>
        <w:t>3.1总体要求</w:t>
      </w:r>
      <w:bookmarkEnd w:id="18"/>
    </w:p>
    <w:p w14:paraId="77F2C71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闵行区税务局、第三税务分局网上办税系统技术咨询服务，服务内容：为纳税人提供免费的咨询服务，包括税费政策咨询、操作辅导、驻点服务、软件技术咨询、涉税投诉举报等。闵行区税务局服务时间为法定工作日上午8:30至下午17:00，第三税务分局服务时间为法定工作日上午</w:t>
      </w:r>
      <w:r>
        <w:rPr>
          <w:rFonts w:hint="eastAsia" w:ascii="仿宋_GB2312" w:hAnsi="仿宋_GB2312" w:eastAsia="仿宋_GB2312" w:cs="仿宋_GB2312"/>
          <w:sz w:val="28"/>
          <w:szCs w:val="28"/>
          <w:highlight w:val="none"/>
          <w:lang w:val="en-US" w:eastAsia="zh-CN"/>
        </w:rPr>
        <w:t>9</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00</w:t>
      </w:r>
      <w:r>
        <w:rPr>
          <w:rFonts w:hint="eastAsia" w:ascii="仿宋_GB2312" w:hAnsi="仿宋_GB2312" w:eastAsia="仿宋_GB2312" w:cs="仿宋_GB2312"/>
          <w:sz w:val="28"/>
          <w:szCs w:val="28"/>
          <w:highlight w:val="none"/>
          <w:lang w:eastAsia="zh-CN"/>
        </w:rPr>
        <w:t>至下午17:00。如需提供延时服务按照采购人具体工作布置落实。</w:t>
      </w:r>
    </w:p>
    <w:p w14:paraId="3845E14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为确保与采购单位系统平台的数据兼容性和交互安全，本项目实施需使用“征纳互动电话互动系统”。投标人应承诺中标后向国家税务总局征纳互动电话互动系统技术服务公司获得具有电话呼入呼出权限的坐席账号或授权，按照每名坐席支付相应费用。需提供加盖投标人公章的承诺函，否则视为无效投标。</w:t>
      </w:r>
    </w:p>
    <w:p w14:paraId="334A0DB6">
      <w:pPr>
        <w:pStyle w:val="4"/>
        <w:keepNext w:val="0"/>
        <w:spacing w:before="0" w:after="0" w:line="360" w:lineRule="auto"/>
        <w:rPr>
          <w:rFonts w:ascii="仿宋_GB2312" w:hAnsi="仿宋_GB2312" w:eastAsia="仿宋_GB2312" w:cs="仿宋_GB2312"/>
          <w:highlight w:val="none"/>
          <w:lang w:eastAsia="zh-CN"/>
        </w:rPr>
      </w:pPr>
      <w:bookmarkStart w:id="19" w:name="_Toc1949"/>
      <w:r>
        <w:rPr>
          <w:rFonts w:ascii="仿宋_GB2312" w:hAnsi="仿宋_GB2312" w:eastAsia="仿宋_GB2312" w:cs="仿宋_GB2312"/>
          <w:i w:val="0"/>
          <w:iCs w:val="0"/>
          <w:highlight w:val="none"/>
          <w:lang w:eastAsia="zh-CN"/>
        </w:rPr>
        <w:t>3.2服务内容和要求</w:t>
      </w:r>
      <w:bookmarkEnd w:id="19"/>
    </w:p>
    <w:p w14:paraId="191E8504">
      <w:pPr>
        <w:pStyle w:val="5"/>
        <w:keepNext w:val="0"/>
        <w:spacing w:before="0" w:after="0" w:line="360" w:lineRule="auto"/>
        <w:rPr>
          <w:rFonts w:ascii="仿宋_GB2312" w:hAnsi="仿宋_GB2312" w:eastAsia="仿宋_GB2312" w:cs="仿宋_GB2312"/>
          <w:sz w:val="28"/>
          <w:szCs w:val="28"/>
          <w:highlight w:val="none"/>
          <w:lang w:eastAsia="zh-CN"/>
        </w:rPr>
      </w:pPr>
      <w:bookmarkStart w:id="20" w:name="_Toc4680"/>
      <w:r>
        <w:rPr>
          <w:rFonts w:hint="eastAsia" w:ascii="仿宋_GB2312" w:hAnsi="仿宋_GB2312" w:eastAsia="仿宋_GB2312" w:cs="仿宋_GB2312"/>
          <w:sz w:val="28"/>
          <w:szCs w:val="28"/>
          <w:highlight w:val="none"/>
          <w:lang w:eastAsia="zh-CN"/>
        </w:rPr>
        <w:t>3.2.1技术和服务客观指标</w:t>
      </w:r>
      <w:bookmarkEnd w:id="20"/>
    </w:p>
    <w:p w14:paraId="3A540151">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3.2.1.1服务场地</w:t>
      </w:r>
    </w:p>
    <w:p w14:paraId="4F01B1E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本包件提供人工服务所需的办公场地由对应征管区（分）局提供。</w:t>
      </w:r>
    </w:p>
    <w:p w14:paraId="761074E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供应商承诺在本市设置支持服务机构，配备与开展本项目业务相适配的办公场地及专职服务团队，并按需设立咨询服务、业务培训、现场服务、投诉处理等业务部门的优先考虑。</w:t>
      </w:r>
    </w:p>
    <w:p w14:paraId="52CBFE4B">
      <w:pPr>
        <w:pStyle w:val="6"/>
        <w:keepNext w:val="0"/>
        <w:spacing w:before="0" w:after="0" w:line="360" w:lineRule="auto"/>
        <w:rPr>
          <w:rFonts w:ascii="FangSong_GB2312" w:hAnsi="FangSong_GB2312" w:eastAsia="FangSong_GB2312" w:cs="FangSong_GB2312"/>
          <w:b w:val="0"/>
          <w:bCs w:val="0"/>
          <w:highlight w:val="none"/>
          <w:lang w:eastAsia="zh-CN"/>
        </w:rPr>
      </w:pPr>
      <w:r>
        <w:rPr>
          <w:rFonts w:hint="eastAsia" w:ascii="仿宋" w:hAnsi="仿宋" w:eastAsia="仿宋" w:cs="仿宋"/>
          <w:highlight w:val="none"/>
          <w:lang w:eastAsia="zh-CN"/>
        </w:rPr>
        <w:t>3.2.1.2软硬件设施</w:t>
      </w:r>
    </w:p>
    <w:p w14:paraId="72437BC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按照每人一台且不少于包件岗位总人数的配置，为每位人员配备符合采购人信息安全要求的电脑、电话、耳机等办公设备的优先考虑。供应商承诺配备的办公设备性能满足支撑相关软件及关联系统的稳定、高效运行，其中电脑配置要求为CPU四核以上，内存16G以上，硬盘500G以上，包含显示器、键盘、鼠标等外设的优先考虑。</w:t>
      </w:r>
    </w:p>
    <w:p w14:paraId="53A6B15B">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3.2.1.3项目配置时限</w:t>
      </w:r>
    </w:p>
    <w:p w14:paraId="529CC15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供应商承诺在中标后立即提供服务，按包件服务期限要求，在服务期开始的1个月内确保投标响应的所有人员全部到岗，并入驻相应征管区（分）局的优先考虑。</w:t>
      </w:r>
    </w:p>
    <w:p w14:paraId="123BC2D9">
      <w:pPr>
        <w:pStyle w:val="5"/>
        <w:keepNext w:val="0"/>
        <w:spacing w:before="0" w:after="0" w:line="360" w:lineRule="auto"/>
        <w:rPr>
          <w:rFonts w:ascii="仿宋_GB2312" w:hAnsi="仿宋_GB2312" w:eastAsia="仿宋_GB2312" w:cs="仿宋_GB2312"/>
          <w:sz w:val="28"/>
          <w:szCs w:val="28"/>
          <w:highlight w:val="none"/>
          <w:lang w:eastAsia="zh-CN"/>
        </w:rPr>
      </w:pPr>
      <w:bookmarkStart w:id="21" w:name="_Toc15712"/>
      <w:r>
        <w:rPr>
          <w:rFonts w:hint="eastAsia" w:ascii="仿宋_GB2312" w:hAnsi="仿宋_GB2312" w:eastAsia="仿宋_GB2312" w:cs="仿宋_GB2312"/>
          <w:sz w:val="28"/>
          <w:szCs w:val="28"/>
          <w:highlight w:val="none"/>
          <w:lang w:eastAsia="zh-CN"/>
        </w:rPr>
        <w:t>3.2.2</w:t>
      </w:r>
      <w:r>
        <w:rPr>
          <w:rFonts w:ascii="仿宋_GB2312" w:hAnsi="仿宋_GB2312" w:eastAsia="仿宋_GB2312" w:cs="仿宋_GB2312"/>
          <w:sz w:val="28"/>
          <w:szCs w:val="28"/>
          <w:highlight w:val="none"/>
          <w:lang w:eastAsia="zh-CN"/>
        </w:rPr>
        <w:t>技术和服务其他要求</w:t>
      </w:r>
      <w:bookmarkEnd w:id="21"/>
    </w:p>
    <w:p w14:paraId="5D36A10A">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3.2.2.1电话咨询服务</w:t>
      </w:r>
    </w:p>
    <w:p w14:paraId="527AE34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供应商提供专业咨询人员，使用12366服务热线为纳税人提供电话咨询服务，服务内容包括税费政策咨询、税费相关软件技术咨询、业务办理、投诉举报受理、意见建议受理等。</w:t>
      </w:r>
    </w:p>
    <w:p w14:paraId="117B9A98">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3.2.2.2在线咨询服务</w:t>
      </w:r>
    </w:p>
    <w:p w14:paraId="36EBB4B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供应商提供专业咨询人员，使用征纳互动平台为纳税人提供在线咨询服务，服务内容包括税费政策咨询、税费相关软件技术咨询、业务办理、投诉举报受理、意见建议受理等。</w:t>
      </w:r>
    </w:p>
    <w:p w14:paraId="05FE28CA">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3.2.2.3大厅驻点服务</w:t>
      </w:r>
    </w:p>
    <w:p w14:paraId="382629F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供应商根据对应的征管区（分）局要求，指派技术和服务等素质全面的专业人员在申报期内到对应的征管区（分）局办税服务厅实地开展技术和服务的支持。</w:t>
      </w:r>
    </w:p>
    <w:p w14:paraId="071B27C8">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3.2.2.4服务人员培训</w:t>
      </w:r>
    </w:p>
    <w:p w14:paraId="73D85E8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供应商应配备专业培训师资团队（包含不限于税务师、注册会计师），对服务人员定期开展税费政策、系统操作、服务规范等培训，提供最新政策、税费热点问题、系统操作更新的及时解读。</w:t>
      </w:r>
    </w:p>
    <w:p w14:paraId="3319C76D">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3.2.2.5服务衔接</w:t>
      </w:r>
    </w:p>
    <w:p w14:paraId="7CCBEBB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供应商应制定服务衔接方案，方案应符合实际服务工作现状，与现有服务业务和流程无缝对接，从人员、业务、技术等方面详细阐述对接服务保障，确保服务的平稳过渡。</w:t>
      </w:r>
    </w:p>
    <w:p w14:paraId="68195B3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目前以热线电话为主的税费咨询服务相关工作处于正常运行中，本次中标人须做好以下衔接工作：</w:t>
      </w:r>
    </w:p>
    <w:p w14:paraId="555FC20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（1）运行衔接。本次中标人必须确保做好所有前期准备工作，确保咨询服务平稳运行，各类服务正常开展，不得出现服务中断，服务暂停以及服务质效下降等情况。</w:t>
      </w:r>
    </w:p>
    <w:p w14:paraId="1E09191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（2）制度衔接。本次中标人应建立和完善各项管理制度规范，并与热线原制度规范做好衔接，确保热线团队内部管理的稳定性和延续性。</w:t>
      </w:r>
    </w:p>
    <w:p w14:paraId="69ACCDF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（3）技术衔接。本次中标人应及时做好技术衔接，确保各类线路、网络、设备转换顺利，确保咨询服务相关设备设施调整期间保持正常运行状态，且在后续服务期内的运行中不出现明显技术障碍。</w:t>
      </w:r>
    </w:p>
    <w:p w14:paraId="6FE1A2E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（4）业务衔接。本次中标人应确保承接原服务商未完成的各项业务工作，与原服务商做好沟通协调，妥善处理遗留问题，不得影响税务部门纳税服务质量和对外形象。</w:t>
      </w:r>
    </w:p>
    <w:p w14:paraId="4144EC46">
      <w:pPr>
        <w:rPr>
          <w:highlight w:val="none"/>
          <w:lang w:eastAsia="zh-CN"/>
        </w:rPr>
      </w:pPr>
    </w:p>
    <w:p w14:paraId="02580EF5">
      <w:pPr>
        <w:rPr>
          <w:rFonts w:eastAsia="FangSong_GB2312"/>
          <w:highlight w:val="none"/>
          <w:lang w:eastAsia="zh-CN"/>
        </w:rPr>
      </w:pPr>
    </w:p>
    <w:p w14:paraId="53B593AE">
      <w:pPr>
        <w:pStyle w:val="3"/>
        <w:keepNext w:val="0"/>
        <w:spacing w:before="0" w:after="0" w:line="360" w:lineRule="auto"/>
        <w:jc w:val="center"/>
        <w:rPr>
          <w:rFonts w:ascii="仿宋_GB2312" w:hAnsi="仿宋_GB2312" w:eastAsia="仿宋_GB2312" w:cs="仿宋_GB2312"/>
          <w:highlight w:val="none"/>
          <w:lang w:eastAsia="zh-CN"/>
        </w:rPr>
      </w:pPr>
      <w:bookmarkStart w:id="22" w:name="_Toc17085"/>
      <w:r>
        <w:rPr>
          <w:rFonts w:ascii="仿宋_GB2312" w:hAnsi="仿宋_GB2312" w:eastAsia="仿宋_GB2312" w:cs="仿宋_GB2312"/>
          <w:kern w:val="36"/>
          <w:highlight w:val="none"/>
          <w:lang w:eastAsia="zh-CN"/>
        </w:rPr>
        <w:t>4人员要求</w:t>
      </w:r>
      <w:bookmarkEnd w:id="22"/>
    </w:p>
    <w:p w14:paraId="2B4C5781">
      <w:pPr>
        <w:pStyle w:val="4"/>
        <w:keepNext w:val="0"/>
        <w:spacing w:before="0" w:after="0" w:line="360" w:lineRule="auto"/>
        <w:rPr>
          <w:rFonts w:ascii="仿宋_GB2312" w:hAnsi="仿宋_GB2312" w:eastAsia="仿宋_GB2312" w:cs="仿宋_GB2312"/>
          <w:i w:val="0"/>
          <w:iCs w:val="0"/>
          <w:highlight w:val="none"/>
          <w:lang w:eastAsia="zh-CN"/>
        </w:rPr>
      </w:pPr>
      <w:bookmarkStart w:id="23" w:name="_Toc9962"/>
      <w:r>
        <w:rPr>
          <w:rFonts w:hint="eastAsia" w:ascii="仿宋_GB2312" w:hAnsi="仿宋_GB2312" w:eastAsia="仿宋_GB2312" w:cs="仿宋_GB2312"/>
          <w:i w:val="0"/>
          <w:iCs w:val="0"/>
          <w:highlight w:val="none"/>
          <w:lang w:eastAsia="zh-CN"/>
        </w:rPr>
        <w:t>4.1总体要求</w:t>
      </w:r>
      <w:bookmarkEnd w:id="23"/>
    </w:p>
    <w:p w14:paraId="54B1779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★1.本包件服务人员总数不得少于60人，其中闵行区税务局服务人员总数不少于55人，第三税务分局服务人员总数不少于5人。需提供加盖投标人公章的承诺函，否则视为无效投标。</w:t>
      </w:r>
    </w:p>
    <w:p w14:paraId="48F72B9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w:t>
      </w:r>
      <w:r>
        <w:rPr>
          <w:rFonts w:hint="eastAsia" w:ascii="仿宋_GB2312" w:hAnsi="仿宋_GB2312" w:eastAsia="仿宋_GB2312" w:cs="仿宋_GB2312"/>
          <w:sz w:val="28"/>
          <w:szCs w:val="28"/>
          <w:highlight w:val="none"/>
          <w:lang w:val="zh-TW" w:eastAsia="zh-TW"/>
        </w:rPr>
        <w:t>须选派责任心强、技术水平高、业务熟练、有丰富管理经验的项目</w:t>
      </w:r>
      <w:r>
        <w:rPr>
          <w:rFonts w:hint="eastAsia" w:ascii="仿宋_GB2312" w:hAnsi="仿宋_GB2312" w:eastAsia="仿宋_GB2312" w:cs="仿宋_GB2312"/>
          <w:sz w:val="28"/>
          <w:szCs w:val="28"/>
          <w:highlight w:val="none"/>
          <w:lang w:val="zh-TW" w:eastAsia="zh-CN"/>
        </w:rPr>
        <w:t>管理人员</w:t>
      </w:r>
      <w:r>
        <w:rPr>
          <w:rFonts w:hint="eastAsia" w:ascii="仿宋_GB2312" w:hAnsi="仿宋_GB2312" w:eastAsia="仿宋_GB2312" w:cs="仿宋_GB2312"/>
          <w:sz w:val="28"/>
          <w:szCs w:val="28"/>
          <w:highlight w:val="none"/>
          <w:lang w:val="zh-TW" w:eastAsia="zh-TW"/>
        </w:rPr>
        <w:t>和服务人员参与该项目服务</w:t>
      </w:r>
      <w:r>
        <w:rPr>
          <w:rFonts w:hint="eastAsia" w:ascii="仿宋_GB2312" w:hAnsi="仿宋_GB2312" w:eastAsia="仿宋_GB2312" w:cs="仿宋_GB2312"/>
          <w:sz w:val="28"/>
          <w:szCs w:val="28"/>
          <w:highlight w:val="none"/>
          <w:lang w:val="zh-TW" w:eastAsia="zh-CN"/>
        </w:rPr>
        <w:t>。</w:t>
      </w:r>
    </w:p>
    <w:p w14:paraId="31B5FB1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3.供应商必须成立合理的实施团队，建立健全保障项目顺利实施的各项管理制度和质量保证体系。</w:t>
      </w:r>
    </w:p>
    <w:p w14:paraId="5F8B337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4.供应商提供的服务人员不能复用于其他项目，人员变动须提前向采购人提出书面申请并得到认可。</w:t>
      </w:r>
    </w:p>
    <w:p w14:paraId="5891848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5.采购人有要求供应商更换项目成员直至满意的权力。项目实施人员一经双方确定，供应商应保证其在项目中的稳定性、长期性。</w:t>
      </w:r>
    </w:p>
    <w:p w14:paraId="099C2EE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6.供应商承诺中标后项目管理人员、客服人员、大厅驻点人员均能够提供无违法犯罪记录证明的优先考虑。</w:t>
      </w:r>
    </w:p>
    <w:p w14:paraId="0C8F0AB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7.供应商承诺在项目实施过程中保证团队人员稳定的优先考虑。</w:t>
      </w:r>
    </w:p>
    <w:p w14:paraId="02B888CE">
      <w:pPr>
        <w:pStyle w:val="4"/>
        <w:keepNext w:val="0"/>
        <w:spacing w:before="0" w:after="0" w:line="360" w:lineRule="auto"/>
        <w:rPr>
          <w:rFonts w:ascii="仿宋_GB2312" w:hAnsi="仿宋_GB2312" w:eastAsia="仿宋_GB2312" w:cs="仿宋_GB2312"/>
          <w:highlight w:val="none"/>
          <w:lang w:eastAsia="zh-CN"/>
        </w:rPr>
      </w:pPr>
      <w:bookmarkStart w:id="24" w:name="_Toc17673"/>
      <w:r>
        <w:rPr>
          <w:rFonts w:ascii="仿宋_GB2312" w:hAnsi="仿宋_GB2312" w:eastAsia="仿宋_GB2312" w:cs="仿宋_GB2312"/>
          <w:i w:val="0"/>
          <w:iCs w:val="0"/>
          <w:highlight w:val="none"/>
          <w:lang w:eastAsia="zh-CN"/>
        </w:rPr>
        <w:t>4.</w:t>
      </w:r>
      <w:r>
        <w:rPr>
          <w:rFonts w:hint="eastAsia" w:ascii="仿宋_GB2312" w:hAnsi="仿宋_GB2312" w:eastAsia="仿宋_GB2312" w:cs="仿宋_GB2312"/>
          <w:i w:val="0"/>
          <w:iCs w:val="0"/>
          <w:highlight w:val="none"/>
          <w:lang w:eastAsia="zh-CN"/>
        </w:rPr>
        <w:t>2具体</w:t>
      </w:r>
      <w:r>
        <w:rPr>
          <w:rFonts w:ascii="仿宋_GB2312" w:hAnsi="仿宋_GB2312" w:eastAsia="仿宋_GB2312" w:cs="仿宋_GB2312"/>
          <w:i w:val="0"/>
          <w:iCs w:val="0"/>
          <w:highlight w:val="none"/>
          <w:lang w:eastAsia="zh-CN"/>
        </w:rPr>
        <w:t>要求</w:t>
      </w:r>
      <w:bookmarkEnd w:id="24"/>
    </w:p>
    <w:p w14:paraId="40042247">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4.2.1项目管理人员</w:t>
      </w:r>
    </w:p>
    <w:p w14:paraId="5DE4180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供应商需提供至少2名项目管理人员，具备丰富的管理经验及应急处置能力，负责项目运营管理、业务数据分析处理，以确保达到服务标准和目标，每个征管区（分）局需配置1名项目管理人员。</w:t>
      </w:r>
    </w:p>
    <w:p w14:paraId="4B54CE5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项目管理人员具有相关管理经验的优先考虑。</w:t>
      </w:r>
    </w:p>
    <w:p w14:paraId="26A5A105">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4.2.2客服人员</w:t>
      </w:r>
    </w:p>
    <w:p w14:paraId="55A06A0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55名客服人员，其中闵行区税务局客服人员至少52人，第三税务分局客服人员至少3人，开展税费咨询服务及其他拓展业务（如遇电话激增、人员不足情况，需根据招标方统筹安排，提供应急支援确保全市热线接听率）。客服人员应身体健康能正常履职，具备良好沟通表达能力与学习意愿，具备独立接线能力，能适应咨询服务轮排班制度。客服人员应具备较强的业务能力，熟悉税费政策及系统操作，具备良好的心理素质、表达能力、理解能力、计算机操作能力等。</w:t>
      </w:r>
    </w:p>
    <w:p w14:paraId="68DA626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客服人员具有与岗位相匹配的财务税法类或财税信息技术类相关证书、具有一年及以上相关税费政策或税费技术咨询服务经验的优先考虑。</w:t>
      </w:r>
    </w:p>
    <w:p w14:paraId="4957184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供应商承诺提供至少4个后备坐席岗位的优先考虑。</w:t>
      </w:r>
    </w:p>
    <w:p w14:paraId="33393504">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4.2.3大厅驻点人员</w:t>
      </w:r>
    </w:p>
    <w:p w14:paraId="3F9DB48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供应商需提供至少3名技术和服务等素质全面的专业人员到对应的征管区（分）局办税服务厅实地开展技术和服务的支持，闵行区税务局需配置2名大厅驻点人员，第三税务分局需配置1名大厅驻点人员。</w:t>
      </w:r>
    </w:p>
    <w:p w14:paraId="5C53EA3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供应商承诺大厅驻点人员具有相关税费政策或技术支持服务经验的优先考虑。</w:t>
      </w:r>
    </w:p>
    <w:p w14:paraId="0FA7C4B0">
      <w:pPr>
        <w:rPr>
          <w:highlight w:val="none"/>
          <w:lang w:eastAsia="zh-CN"/>
        </w:rPr>
      </w:pPr>
    </w:p>
    <w:p w14:paraId="20DF46AD">
      <w:pPr>
        <w:pStyle w:val="3"/>
        <w:keepNext w:val="0"/>
        <w:spacing w:before="0" w:after="0" w:line="360" w:lineRule="auto"/>
        <w:jc w:val="center"/>
        <w:rPr>
          <w:rFonts w:ascii="仿宋_GB2312" w:hAnsi="仿宋_GB2312" w:eastAsia="仿宋_GB2312" w:cs="仿宋_GB2312"/>
          <w:highlight w:val="none"/>
          <w:lang w:eastAsia="zh-CN"/>
        </w:rPr>
      </w:pPr>
      <w:bookmarkStart w:id="25" w:name="_Toc21608"/>
      <w:r>
        <w:rPr>
          <w:rFonts w:ascii="仿宋_GB2312" w:hAnsi="仿宋_GB2312" w:eastAsia="仿宋_GB2312" w:cs="仿宋_GB2312"/>
          <w:kern w:val="36"/>
          <w:highlight w:val="none"/>
          <w:lang w:eastAsia="zh-CN"/>
        </w:rPr>
        <w:t>5管理实施要求</w:t>
      </w:r>
      <w:bookmarkEnd w:id="25"/>
    </w:p>
    <w:p w14:paraId="2B06615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1.供应商应具有完善的客服管理体系，包括客服中心现场管理机制、客服质量管理机制等。</w:t>
      </w:r>
    </w:p>
    <w:p w14:paraId="6C878EA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应按照采购人要求统一管理一线坐席人员，采购人有权对供应商提供服务的主要管理人员进行面试，根据管理人员的专业能力、综合能力，以及其背景和经历是否符合本项目服务要求而决定接受或拒绝该人员。在项目服务期间，对于违反相关工作规范的供应商服务人员，采购人有权要求更换，供应商应当自采购人提出更换要求之日起十个工作日内更换该人员，产生的费用由供应商承担。</w:t>
      </w:r>
    </w:p>
    <w:p w14:paraId="3B56091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3.在服务期内如相关标准更新，以最新标准为准。</w:t>
      </w:r>
    </w:p>
    <w:p w14:paraId="5C36421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4.本项目服务期内，如果税费咨询服务职能进行拓展，供应商需及时按照采购人的要求调整工作内容及相关管理措施，适应业务变化，确保各项工作达到采购人规定标准。</w:t>
      </w:r>
    </w:p>
    <w:p w14:paraId="6726F5CE">
      <w:pPr>
        <w:rPr>
          <w:rFonts w:eastAsia="FangSong_GB2312"/>
          <w:highlight w:val="none"/>
          <w:lang w:eastAsia="zh-CN"/>
        </w:rPr>
      </w:pPr>
    </w:p>
    <w:p w14:paraId="09570A82">
      <w:pPr>
        <w:pStyle w:val="3"/>
        <w:keepNext w:val="0"/>
        <w:spacing w:before="0" w:after="0" w:line="360" w:lineRule="auto"/>
        <w:jc w:val="center"/>
        <w:rPr>
          <w:rFonts w:ascii="仿宋_GB2312" w:hAnsi="仿宋_GB2312" w:eastAsia="仿宋_GB2312" w:cs="仿宋_GB2312"/>
          <w:highlight w:val="none"/>
          <w:lang w:eastAsia="zh-CN"/>
        </w:rPr>
      </w:pPr>
      <w:bookmarkStart w:id="26" w:name="_Toc19462"/>
      <w:r>
        <w:rPr>
          <w:rFonts w:ascii="仿宋_GB2312" w:hAnsi="仿宋_GB2312" w:eastAsia="仿宋_GB2312" w:cs="仿宋_GB2312"/>
          <w:kern w:val="36"/>
          <w:highlight w:val="none"/>
          <w:lang w:eastAsia="zh-CN"/>
        </w:rPr>
        <w:t>6风险管控要求</w:t>
      </w:r>
      <w:bookmarkEnd w:id="26"/>
    </w:p>
    <w:p w14:paraId="01A6001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针对本项目可能发生的突发情况（如遇到系统故障等问题导致系统中断、电话激增、合同期间服务人员因不可控因素缺勤等），建立符合性、适用性、实际操作性强的应急响应预案。如遇到话务量激增、服务人员因不可控因素缺勤等情况，需及时补充坐席，保证接通率。</w:t>
      </w:r>
    </w:p>
    <w:p w14:paraId="35AA3E1B">
      <w:pPr>
        <w:pStyle w:val="4"/>
        <w:keepNext w:val="0"/>
        <w:spacing w:before="0" w:after="0" w:line="360" w:lineRule="auto"/>
        <w:ind w:firstLine="560" w:firstLineChars="200"/>
        <w:rPr>
          <w:rFonts w:ascii="FangSong_GB2312" w:hAnsi="FangSong_GB2312" w:eastAsia="FangSong_GB2312" w:cs="FangSong_GB2312"/>
          <w:b w:val="0"/>
          <w:bCs w:val="0"/>
          <w:i w:val="0"/>
          <w:iCs w:val="0"/>
          <w:highlight w:val="none"/>
          <w:lang w:eastAsia="zh-CN"/>
        </w:rPr>
      </w:pPr>
    </w:p>
    <w:p w14:paraId="1057464D">
      <w:pPr>
        <w:pStyle w:val="3"/>
        <w:keepNext w:val="0"/>
        <w:spacing w:before="0" w:after="0" w:line="360" w:lineRule="auto"/>
        <w:jc w:val="center"/>
        <w:rPr>
          <w:rFonts w:ascii="仿宋_GB2312" w:hAnsi="仿宋_GB2312" w:eastAsia="仿宋_GB2312" w:cs="仿宋_GB2312"/>
          <w:highlight w:val="none"/>
        </w:rPr>
      </w:pPr>
      <w:bookmarkStart w:id="27" w:name="_Toc2856"/>
      <w:r>
        <w:rPr>
          <w:rFonts w:ascii="仿宋_GB2312" w:hAnsi="仿宋_GB2312" w:eastAsia="仿宋_GB2312" w:cs="仿宋_GB2312"/>
          <w:kern w:val="36"/>
          <w:highlight w:val="none"/>
        </w:rPr>
        <w:t>7履约验收要求</w:t>
      </w:r>
      <w:bookmarkEnd w:id="27"/>
    </w:p>
    <w:p w14:paraId="2C7D134A">
      <w:pPr>
        <w:pStyle w:val="4"/>
        <w:keepNext w:val="0"/>
        <w:spacing w:before="0" w:after="0" w:line="360" w:lineRule="auto"/>
        <w:rPr>
          <w:rFonts w:ascii="仿宋_GB2312" w:hAnsi="仿宋_GB2312" w:eastAsia="仿宋_GB2312" w:cs="仿宋_GB2312"/>
          <w:i w:val="0"/>
          <w:iCs w:val="0"/>
          <w:highlight w:val="none"/>
          <w:lang w:eastAsia="zh-CN"/>
        </w:rPr>
      </w:pPr>
      <w:bookmarkStart w:id="28" w:name="_Toc22080"/>
      <w:r>
        <w:rPr>
          <w:rFonts w:ascii="仿宋_GB2312" w:hAnsi="仿宋_GB2312" w:eastAsia="仿宋_GB2312" w:cs="仿宋_GB2312"/>
          <w:i w:val="0"/>
          <w:iCs w:val="0"/>
          <w:highlight w:val="none"/>
        </w:rPr>
        <w:t>7.1总体要求</w:t>
      </w:r>
      <w:bookmarkEnd w:id="28"/>
    </w:p>
    <w:tbl>
      <w:tblPr>
        <w:tblStyle w:val="15"/>
        <w:tblW w:w="5048" w:type="pct"/>
        <w:jc w:val="center"/>
        <w:tblLayout w:type="autofit"/>
        <w:tblCellMar>
          <w:top w:w="15" w:type="dxa"/>
          <w:left w:w="15" w:type="dxa"/>
          <w:bottom w:w="15" w:type="dxa"/>
          <w:right w:w="15" w:type="dxa"/>
        </w:tblCellMar>
      </w:tblPr>
      <w:tblGrid>
        <w:gridCol w:w="1667"/>
        <w:gridCol w:w="7490"/>
      </w:tblGrid>
      <w:tr w14:paraId="5AF30C5E">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511775E7">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验收名称</w:t>
            </w:r>
          </w:p>
        </w:tc>
        <w:tc>
          <w:tcPr>
            <w:tcW w:w="749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6FCDA83B">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验收要求</w:t>
            </w:r>
          </w:p>
        </w:tc>
      </w:tr>
      <w:tr w14:paraId="3C11A8B0">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EC845E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FFC685E">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对中标人一季度服务情况进行验收考核，结果作为支付对应合同款的依据。验收考核要求按采购需求“7.2验收考核标准与要求”执行。</w:t>
            </w:r>
          </w:p>
        </w:tc>
      </w:tr>
      <w:tr w14:paraId="1F983A92">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68DF2D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B2304C0">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对中标人二季度服务情况进行验收考核，结果作为支付对应合同款的依据。验收考核要求按采购需求“7.2验收考核标准与要求”执行。</w:t>
            </w:r>
          </w:p>
        </w:tc>
      </w:tr>
      <w:tr w14:paraId="795D9972">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13BA53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86FAA71">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对中标人三季度服务情况进行验收考核，结果作为支付对应合同款的依据。验收考核要求按采购需求“7.2验收考核标准与要求”执行。</w:t>
            </w:r>
          </w:p>
        </w:tc>
      </w:tr>
      <w:tr w14:paraId="78241A67">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55AF5D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D3CF380">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对中标人四季度服务情况进行验收考核，结果作为支付对应合同款的依据。验收考核要求按采购需求“7.2验收考核标准与要求”执行。</w:t>
            </w:r>
          </w:p>
        </w:tc>
      </w:tr>
      <w:tr w14:paraId="038D5DCE">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632615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第5次验收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B09ABEC">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以季度考核为基础对中标人全年服务情况进行验收考核，结果作为退还履约保证金的依据。验收考核要求按采购需求“7.2验收考核标准与要求”执行。</w:t>
            </w:r>
          </w:p>
        </w:tc>
      </w:tr>
    </w:tbl>
    <w:p w14:paraId="0236F543">
      <w:pPr>
        <w:rPr>
          <w:rFonts w:eastAsia="仿宋_GB2312"/>
          <w:highlight w:val="none"/>
          <w:lang w:eastAsia="zh-CN"/>
        </w:rPr>
      </w:pPr>
    </w:p>
    <w:p w14:paraId="78C9764C">
      <w:pPr>
        <w:pStyle w:val="4"/>
        <w:keepNext w:val="0"/>
        <w:spacing w:before="0" w:after="0" w:line="360" w:lineRule="auto"/>
        <w:rPr>
          <w:rFonts w:ascii="仿宋_GB2312" w:hAnsi="仿宋_GB2312" w:eastAsia="仿宋_GB2312" w:cs="仿宋_GB2312"/>
          <w:highlight w:val="none"/>
          <w:lang w:eastAsia="zh-CN"/>
        </w:rPr>
      </w:pPr>
      <w:bookmarkStart w:id="29" w:name="_Toc11313"/>
      <w:r>
        <w:rPr>
          <w:rFonts w:ascii="仿宋_GB2312" w:hAnsi="仿宋_GB2312" w:eastAsia="仿宋_GB2312" w:cs="仿宋_GB2312"/>
          <w:i w:val="0"/>
          <w:iCs w:val="0"/>
          <w:highlight w:val="none"/>
          <w:lang w:eastAsia="zh-CN"/>
        </w:rPr>
        <w:t>7.2</w:t>
      </w:r>
      <w:r>
        <w:rPr>
          <w:rFonts w:hint="eastAsia" w:ascii="仿宋_GB2312" w:hAnsi="仿宋_GB2312" w:eastAsia="仿宋_GB2312" w:cs="仿宋_GB2312"/>
          <w:i w:val="0"/>
          <w:iCs w:val="0"/>
          <w:highlight w:val="none"/>
          <w:lang w:eastAsia="zh-CN"/>
        </w:rPr>
        <w:t>验收考核标准与要求</w:t>
      </w:r>
      <w:bookmarkEnd w:id="29"/>
    </w:p>
    <w:p w14:paraId="437FA5A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采购人对中标供应商的考核分为季度考核和年度考核，季度考核作为支付季度合同款的依据，年度考核作为退还履约保证金的依据。</w:t>
      </w:r>
    </w:p>
    <w:p w14:paraId="7F6D3AF0">
      <w:pPr>
        <w:spacing w:line="360" w:lineRule="auto"/>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 xml:space="preserve">    1.考核办法</w:t>
      </w:r>
    </w:p>
    <w:p w14:paraId="66E0B99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（1）季度考核</w:t>
      </w:r>
    </w:p>
    <w:tbl>
      <w:tblPr>
        <w:tblStyle w:val="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29"/>
        <w:gridCol w:w="900"/>
        <w:gridCol w:w="6612"/>
      </w:tblGrid>
      <w:tr w14:paraId="74D92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50375248">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季度考核内容</w:t>
            </w:r>
          </w:p>
        </w:tc>
        <w:tc>
          <w:tcPr>
            <w:tcW w:w="900" w:type="dxa"/>
            <w:tcBorders>
              <w:top w:val="single" w:color="000000" w:sz="4" w:space="0"/>
              <w:left w:val="single" w:color="000000" w:sz="4" w:space="0"/>
              <w:bottom w:val="single" w:color="000000" w:sz="4" w:space="0"/>
              <w:right w:val="single" w:color="000000" w:sz="4" w:space="0"/>
            </w:tcBorders>
            <w:vAlign w:val="center"/>
          </w:tcPr>
          <w:p w14:paraId="4DC7DEFE">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6612" w:type="dxa"/>
            <w:tcBorders>
              <w:top w:val="single" w:color="000000" w:sz="4" w:space="0"/>
              <w:left w:val="single" w:color="000000" w:sz="4" w:space="0"/>
              <w:bottom w:val="single" w:color="000000" w:sz="4" w:space="0"/>
              <w:right w:val="single" w:color="000000" w:sz="4" w:space="0"/>
            </w:tcBorders>
            <w:vAlign w:val="center"/>
          </w:tcPr>
          <w:p w14:paraId="08A40EC4">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季度考核评分要求</w:t>
            </w:r>
          </w:p>
        </w:tc>
      </w:tr>
      <w:tr w14:paraId="19E813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71584C5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900" w:type="dxa"/>
            <w:tcBorders>
              <w:top w:val="single" w:color="000000" w:sz="4" w:space="0"/>
              <w:left w:val="single" w:color="000000" w:sz="4" w:space="0"/>
              <w:bottom w:val="single" w:color="000000" w:sz="4" w:space="0"/>
              <w:right w:val="single" w:color="000000" w:sz="4" w:space="0"/>
            </w:tcBorders>
            <w:vAlign w:val="center"/>
          </w:tcPr>
          <w:p w14:paraId="76340FB4">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3A4CDFC9">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通过全国</w:t>
            </w:r>
            <w:r>
              <w:rPr>
                <w:rFonts w:hint="eastAsia" w:ascii="仿宋_GB2312" w:eastAsia="仿宋_GB2312"/>
                <w:color w:val="000000"/>
                <w:kern w:val="2"/>
                <w:sz w:val="21"/>
                <w:szCs w:val="21"/>
                <w:highlight w:val="none"/>
                <w:lang w:eastAsia="zh-CN"/>
              </w:rPr>
              <w:t>拨测</w:t>
            </w:r>
            <w:r>
              <w:rPr>
                <w:rFonts w:ascii="仿宋_GB2312" w:eastAsia="仿宋_GB2312"/>
                <w:color w:val="000000"/>
                <w:kern w:val="2"/>
                <w:sz w:val="21"/>
                <w:szCs w:val="21"/>
                <w:highlight w:val="none"/>
                <w:lang w:eastAsia="zh-CN"/>
              </w:rPr>
              <w:t>、</w:t>
            </w:r>
            <w:r>
              <w:rPr>
                <w:rFonts w:hint="eastAsia" w:ascii="仿宋_GB2312" w:eastAsia="仿宋_GB2312"/>
                <w:color w:val="000000"/>
                <w:kern w:val="2"/>
                <w:sz w:val="21"/>
                <w:szCs w:val="21"/>
                <w:highlight w:val="none"/>
                <w:lang w:eastAsia="zh-CN"/>
              </w:rPr>
              <w:t>质量拨测、日常监听</w:t>
            </w:r>
            <w:r>
              <w:rPr>
                <w:rFonts w:ascii="仿宋_GB2312" w:eastAsia="仿宋_GB2312"/>
                <w:color w:val="000000"/>
                <w:kern w:val="2"/>
                <w:sz w:val="21"/>
                <w:szCs w:val="21"/>
                <w:highlight w:val="none"/>
                <w:lang w:eastAsia="zh-CN"/>
              </w:rPr>
              <w:t>、业务测试</w:t>
            </w:r>
            <w:r>
              <w:rPr>
                <w:rFonts w:hint="eastAsia" w:ascii="仿宋_GB2312" w:eastAsia="仿宋_GB2312"/>
                <w:color w:val="000000"/>
                <w:kern w:val="2"/>
                <w:sz w:val="21"/>
                <w:szCs w:val="21"/>
                <w:highlight w:val="none"/>
                <w:lang w:eastAsia="zh-CN"/>
              </w:rPr>
              <w:t>四</w:t>
            </w:r>
            <w:r>
              <w:rPr>
                <w:rFonts w:ascii="仿宋_GB2312" w:eastAsia="仿宋_GB2312"/>
                <w:color w:val="000000"/>
                <w:kern w:val="2"/>
                <w:sz w:val="21"/>
                <w:szCs w:val="21"/>
                <w:highlight w:val="none"/>
                <w:lang w:eastAsia="zh-CN"/>
              </w:rPr>
              <w:t>个方面对服务质量开展考核，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14:paraId="79730DC9">
            <w:pPr>
              <w:widowControl w:val="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提供服务区（分）局季度考核成绩之和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提供服务区（分）局数量</m:t>
                    </m:r>
                    <m:ctrlPr>
                      <w:rPr>
                        <w:rFonts w:ascii="Cambria Math" w:hAnsi="Cambria Math" w:eastAsia="仿宋_GB2312"/>
                        <w:color w:val="000000"/>
                        <w:kern w:val="2"/>
                        <w:sz w:val="21"/>
                        <w:szCs w:val="21"/>
                        <w:highlight w:val="none"/>
                        <w:lang w:eastAsia="zh-CN"/>
                      </w:rPr>
                    </m:ctrlPr>
                  </m:den>
                </m:f>
              </m:oMath>
            </m:oMathPara>
          </w:p>
        </w:tc>
      </w:tr>
      <w:tr w14:paraId="2A11F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77E2163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运行成效</w:t>
            </w:r>
          </w:p>
        </w:tc>
        <w:tc>
          <w:tcPr>
            <w:tcW w:w="900" w:type="dxa"/>
            <w:tcBorders>
              <w:top w:val="single" w:color="000000" w:sz="4" w:space="0"/>
              <w:left w:val="single" w:color="000000" w:sz="4" w:space="0"/>
              <w:bottom w:val="single" w:color="000000" w:sz="4" w:space="0"/>
              <w:right w:val="single" w:color="000000" w:sz="4" w:space="0"/>
            </w:tcBorders>
            <w:vAlign w:val="center"/>
          </w:tcPr>
          <w:p w14:paraId="50559FCE">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007CF91A">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w:t>
            </w:r>
            <w:r>
              <w:rPr>
                <w:rFonts w:hint="eastAsia" w:ascii="仿宋_GB2312" w:eastAsia="仿宋_GB2312"/>
                <w:color w:val="000000"/>
                <w:kern w:val="2"/>
                <w:sz w:val="21"/>
                <w:szCs w:val="21"/>
                <w:highlight w:val="none"/>
                <w:lang w:eastAsia="zh-CN"/>
              </w:rPr>
              <w:t>热线平均接通率、平均等待时长、好差评主动发起率、转接办结率、服务满意率、工单质量、投诉情况七</w:t>
            </w:r>
            <w:r>
              <w:rPr>
                <w:rFonts w:ascii="仿宋_GB2312" w:eastAsia="仿宋_GB2312"/>
                <w:color w:val="000000"/>
                <w:kern w:val="2"/>
                <w:sz w:val="21"/>
                <w:szCs w:val="21"/>
                <w:highlight w:val="none"/>
                <w:lang w:eastAsia="zh-CN"/>
              </w:rPr>
              <w:t>个方面对热线服务商</w:t>
            </w:r>
            <w:r>
              <w:rPr>
                <w:rFonts w:hint="eastAsia" w:ascii="仿宋_GB2312" w:eastAsia="仿宋_GB2312"/>
                <w:color w:val="000000"/>
                <w:kern w:val="2"/>
                <w:sz w:val="21"/>
                <w:szCs w:val="21"/>
                <w:highlight w:val="none"/>
                <w:lang w:eastAsia="zh-CN"/>
              </w:rPr>
              <w:t>运行成效</w:t>
            </w:r>
            <w:r>
              <w:rPr>
                <w:rFonts w:ascii="仿宋_GB2312" w:eastAsia="仿宋_GB2312"/>
                <w:color w:val="000000"/>
                <w:kern w:val="2"/>
                <w:sz w:val="21"/>
                <w:szCs w:val="21"/>
                <w:highlight w:val="none"/>
                <w:lang w:eastAsia="zh-CN"/>
              </w:rPr>
              <w:t>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14:paraId="7ADF432A">
            <w:pPr>
              <w:pStyle w:val="19"/>
              <w:ind w:firstLine="0" w:firstLineChars="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提供服务区（分）局季度考核成绩之和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提供服务区（分）局数量</m:t>
                    </m:r>
                    <m:ctrlPr>
                      <w:rPr>
                        <w:rFonts w:ascii="Cambria Math" w:hAnsi="Cambria Math" w:eastAsia="仿宋_GB2312"/>
                        <w:color w:val="000000"/>
                        <w:kern w:val="2"/>
                        <w:sz w:val="21"/>
                        <w:szCs w:val="21"/>
                        <w:highlight w:val="none"/>
                        <w:lang w:eastAsia="zh-CN"/>
                      </w:rPr>
                    </m:ctrlPr>
                  </m:den>
                </m:f>
              </m:oMath>
            </m:oMathPara>
          </w:p>
        </w:tc>
      </w:tr>
      <w:tr w14:paraId="378E44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1FFB16E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服务对象满意度</w:t>
            </w:r>
          </w:p>
        </w:tc>
        <w:tc>
          <w:tcPr>
            <w:tcW w:w="900" w:type="dxa"/>
            <w:tcBorders>
              <w:top w:val="single" w:color="000000" w:sz="4" w:space="0"/>
              <w:left w:val="single" w:color="000000" w:sz="4" w:space="0"/>
              <w:bottom w:val="single" w:color="000000" w:sz="4" w:space="0"/>
              <w:right w:val="single" w:color="000000" w:sz="4" w:space="0"/>
            </w:tcBorders>
            <w:vAlign w:val="center"/>
          </w:tcPr>
          <w:p w14:paraId="7B4DE08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6612" w:type="dxa"/>
            <w:tcBorders>
              <w:top w:val="single" w:color="000000" w:sz="4" w:space="0"/>
              <w:left w:val="single" w:color="000000" w:sz="4" w:space="0"/>
              <w:bottom w:val="single" w:color="000000" w:sz="4" w:space="0"/>
              <w:right w:val="single" w:color="000000" w:sz="4" w:space="0"/>
            </w:tcBorders>
            <w:vAlign w:val="center"/>
          </w:tcPr>
          <w:p w14:paraId="1026F87E">
            <w:pPr>
              <w:widowControl w:val="0"/>
              <w:rPr>
                <w:highlight w:val="none"/>
                <w:lang w:eastAsia="zh-CN"/>
              </w:rPr>
            </w:pPr>
            <w:r>
              <w:rPr>
                <w:rFonts w:hint="eastAsia" w:ascii="仿宋_GB2312" w:eastAsia="仿宋_GB2312"/>
                <w:color w:val="000000"/>
                <w:kern w:val="2"/>
                <w:sz w:val="21"/>
                <w:szCs w:val="21"/>
                <w:highlight w:val="none"/>
                <w:lang w:val="zh-CN" w:eastAsia="zh-CN"/>
              </w:rPr>
              <w:t>各区（分）局按季度根据热线服务商坐席配备、人员培训管理、热线接听量、征纳互动咨询量、投诉等履约情况进行评价。其中“满意”不扣分，“一般”扣3分，“不满意”扣10分。季度扣分值累加，扣完为止。</w:t>
            </w:r>
          </w:p>
        </w:tc>
      </w:tr>
      <w:tr w14:paraId="50D445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0B3F3C1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人员稳定性</w:t>
            </w:r>
          </w:p>
        </w:tc>
        <w:tc>
          <w:tcPr>
            <w:tcW w:w="900" w:type="dxa"/>
            <w:tcBorders>
              <w:top w:val="single" w:color="000000" w:sz="4" w:space="0"/>
              <w:left w:val="single" w:color="000000" w:sz="4" w:space="0"/>
              <w:bottom w:val="single" w:color="000000" w:sz="4" w:space="0"/>
              <w:right w:val="single" w:color="000000" w:sz="4" w:space="0"/>
            </w:tcBorders>
            <w:vAlign w:val="center"/>
          </w:tcPr>
          <w:p w14:paraId="69EACBB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6612" w:type="dxa"/>
            <w:tcBorders>
              <w:top w:val="single" w:color="000000" w:sz="4" w:space="0"/>
              <w:left w:val="single" w:color="000000" w:sz="4" w:space="0"/>
              <w:bottom w:val="single" w:color="000000" w:sz="4" w:space="0"/>
              <w:right w:val="single" w:color="000000" w:sz="4" w:space="0"/>
            </w:tcBorders>
            <w:vAlign w:val="center"/>
          </w:tcPr>
          <w:p w14:paraId="2BCB2F65">
            <w:pPr>
              <w:widowControl w:val="0"/>
              <w:rPr>
                <w:rFonts w:ascii="仿宋_GB2312" w:eastAsia="仿宋_GB2312"/>
                <w:color w:val="000000"/>
                <w:kern w:val="2"/>
                <w:sz w:val="21"/>
                <w:szCs w:val="21"/>
                <w:highlight w:val="none"/>
                <w:lang w:val="zh-CN" w:eastAsia="zh-CN"/>
              </w:rPr>
            </w:pPr>
            <w:r>
              <w:rPr>
                <w:rFonts w:ascii="仿宋_GB2312" w:eastAsia="仿宋_GB2312"/>
                <w:color w:val="000000"/>
                <w:kern w:val="2"/>
                <w:sz w:val="21"/>
                <w:szCs w:val="21"/>
                <w:highlight w:val="none"/>
                <w:lang w:eastAsia="zh-CN"/>
              </w:rPr>
              <w:t>统计每季度员工离职的人数，以每个季度离职人员的数量考核人员的稳定性。</w:t>
            </w:r>
            <w:r>
              <w:rPr>
                <w:rFonts w:hint="eastAsia" w:ascii="仿宋_GB2312" w:eastAsia="仿宋_GB2312"/>
                <w:color w:val="000000"/>
                <w:kern w:val="2"/>
                <w:sz w:val="21"/>
                <w:szCs w:val="21"/>
                <w:highlight w:val="none"/>
                <w:lang w:eastAsia="zh-CN"/>
              </w:rPr>
              <w:t>每季度员工离职人数不超过当季总人数10%（含）的，不扣分；离职人数超过当季总人数10%的，每增加1%，扣0.5分。</w:t>
            </w:r>
            <w:r>
              <w:rPr>
                <w:rFonts w:ascii="仿宋_GB2312" w:eastAsia="仿宋_GB2312"/>
                <w:color w:val="000000"/>
                <w:kern w:val="2"/>
                <w:sz w:val="21"/>
                <w:szCs w:val="21"/>
                <w:highlight w:val="none"/>
                <w:lang w:eastAsia="zh-CN"/>
              </w:rPr>
              <w:t>员工离职数不包括如下人员：内部岗位调动人员</w:t>
            </w:r>
            <w:r>
              <w:rPr>
                <w:rFonts w:hint="eastAsia" w:ascii="仿宋_GB2312" w:eastAsia="仿宋_GB2312"/>
                <w:color w:val="000000"/>
                <w:kern w:val="2"/>
                <w:sz w:val="21"/>
                <w:szCs w:val="21"/>
                <w:highlight w:val="none"/>
                <w:lang w:eastAsia="zh-CN"/>
              </w:rPr>
              <w:t>、各区（分）局因员工个人问题主动要求热线服务商撤换的人数</w:t>
            </w:r>
            <w:r>
              <w:rPr>
                <w:rFonts w:ascii="仿宋_GB2312" w:eastAsia="仿宋_GB2312"/>
                <w:color w:val="000000"/>
                <w:kern w:val="2"/>
                <w:sz w:val="21"/>
                <w:szCs w:val="21"/>
                <w:highlight w:val="none"/>
                <w:lang w:eastAsia="zh-CN"/>
              </w:rPr>
              <w:t>。</w:t>
            </w:r>
          </w:p>
        </w:tc>
      </w:tr>
      <w:tr w14:paraId="009820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21693B7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val="zh-CN" w:eastAsia="zh-CN"/>
              </w:rPr>
              <w:t>减分情形</w:t>
            </w:r>
          </w:p>
        </w:tc>
        <w:tc>
          <w:tcPr>
            <w:tcW w:w="900" w:type="dxa"/>
            <w:tcBorders>
              <w:top w:val="single" w:color="000000" w:sz="4" w:space="0"/>
              <w:left w:val="single" w:color="000000" w:sz="4" w:space="0"/>
              <w:bottom w:val="single" w:color="000000" w:sz="4" w:space="0"/>
              <w:right w:val="single" w:color="000000" w:sz="4" w:space="0"/>
            </w:tcBorders>
            <w:vAlign w:val="center"/>
          </w:tcPr>
          <w:p w14:paraId="02F3DF5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直接扣分</w:t>
            </w:r>
          </w:p>
        </w:tc>
        <w:tc>
          <w:tcPr>
            <w:tcW w:w="6612" w:type="dxa"/>
            <w:tcBorders>
              <w:top w:val="single" w:color="000000" w:sz="4" w:space="0"/>
              <w:left w:val="single" w:color="000000" w:sz="4" w:space="0"/>
              <w:bottom w:val="single" w:color="000000" w:sz="4" w:space="0"/>
              <w:right w:val="single" w:color="000000" w:sz="4" w:space="0"/>
            </w:tcBorders>
            <w:vAlign w:val="center"/>
          </w:tcPr>
          <w:p w14:paraId="5C68817F">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w:t>
            </w:r>
            <w:r>
              <w:rPr>
                <w:rFonts w:ascii="仿宋_GB2312" w:eastAsia="仿宋_GB2312"/>
                <w:color w:val="000000"/>
                <w:kern w:val="2"/>
                <w:sz w:val="21"/>
                <w:szCs w:val="21"/>
                <w:highlight w:val="none"/>
                <w:lang w:eastAsia="zh-CN"/>
              </w:rPr>
              <w:t>被税务总局、市委市政府、市局及其他相关单位通报，造成不良影响；产生负面舆情、涉税服务投诉、信访等</w:t>
            </w:r>
            <w:r>
              <w:rPr>
                <w:rFonts w:hint="eastAsia" w:ascii="仿宋_GB2312" w:eastAsia="仿宋_GB2312"/>
                <w:color w:val="000000"/>
                <w:kern w:val="2"/>
                <w:sz w:val="21"/>
                <w:szCs w:val="21"/>
                <w:highlight w:val="none"/>
                <w:lang w:eastAsia="zh-CN"/>
              </w:rPr>
              <w:t>，每次扣5分。</w:t>
            </w:r>
          </w:p>
          <w:p w14:paraId="7B26A92C">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2.服务人员</w:t>
            </w:r>
            <w:r>
              <w:rPr>
                <w:rFonts w:hint="eastAsia" w:ascii="仿宋_GB2312" w:eastAsia="仿宋_GB2312"/>
                <w:color w:val="000000"/>
                <w:kern w:val="2"/>
                <w:sz w:val="21"/>
                <w:szCs w:val="21"/>
                <w:highlight w:val="none"/>
                <w:lang w:val="zh-CN" w:eastAsia="zh-CN"/>
              </w:rPr>
              <w:t>与来电人发生争吵，甚至辱骂、威胁来电人等，严重违反工作纪律的，每人次扣1分。</w:t>
            </w:r>
          </w:p>
          <w:p w14:paraId="1A79F06A">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3.服务人员</w:t>
            </w:r>
            <w:r>
              <w:rPr>
                <w:rFonts w:hint="eastAsia" w:ascii="仿宋_GB2312" w:eastAsia="仿宋_GB2312"/>
                <w:color w:val="000000"/>
                <w:kern w:val="2"/>
                <w:sz w:val="21"/>
                <w:szCs w:val="21"/>
                <w:highlight w:val="none"/>
                <w:lang w:val="zh-CN" w:eastAsia="zh-CN"/>
              </w:rPr>
              <w:t>泄露不予公开、内部掌握等相关口径，未遵循保密工作要求，导致引发舆情风险的，每人次扣5分。</w:t>
            </w:r>
          </w:p>
          <w:p w14:paraId="181BA211">
            <w:pPr>
              <w:pStyle w:val="2"/>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4.中标供应商</w:t>
            </w:r>
            <w:r>
              <w:rPr>
                <w:rFonts w:hint="eastAsia" w:ascii="仿宋_GB2312" w:eastAsia="仿宋_GB2312"/>
                <w:color w:val="000000"/>
                <w:kern w:val="2"/>
                <w:sz w:val="21"/>
                <w:szCs w:val="21"/>
                <w:highlight w:val="none"/>
                <w:lang w:val="zh-CN" w:eastAsia="zh-CN"/>
              </w:rPr>
              <w:t>存在弄虚作假、虚报瞒报、篡改数据等，严重影响考核公平行为的，每次扣5分。</w:t>
            </w:r>
          </w:p>
          <w:p w14:paraId="303FAB6A">
            <w:pPr>
              <w:pStyle w:val="2"/>
              <w:rPr>
                <w:rFonts w:ascii="宋体" w:hAnsi="宋体" w:eastAsia="宋体" w:cs="宋体"/>
                <w:spacing w:val="-2"/>
                <w:highlight w:val="none"/>
                <w:lang w:eastAsia="zh-CN"/>
              </w:rPr>
            </w:pPr>
            <w:r>
              <w:rPr>
                <w:rFonts w:hint="eastAsia" w:ascii="仿宋_GB2312" w:eastAsia="仿宋_GB2312"/>
                <w:color w:val="000000"/>
                <w:kern w:val="2"/>
                <w:sz w:val="21"/>
                <w:szCs w:val="21"/>
                <w:highlight w:val="none"/>
                <w:lang w:eastAsia="zh-CN"/>
              </w:rPr>
              <w:t>5.纳税人无论通过何种渠道投诉反映坐席服务质量问题，经核实属实的，每存在一条扣2分。</w:t>
            </w:r>
          </w:p>
        </w:tc>
      </w:tr>
    </w:tbl>
    <w:p w14:paraId="1CD4094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采购人按上述方法计算得出中标服务商季度考核分值，分值60分（含）以上为合格，低于60分的为不合格。</w:t>
      </w:r>
    </w:p>
    <w:p w14:paraId="54BAFB5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服务质量和运行成效的具体考核标准如下：</w:t>
      </w:r>
    </w:p>
    <w:tbl>
      <w:tblPr>
        <w:tblStyle w:val="15"/>
        <w:tblW w:w="86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7"/>
        <w:gridCol w:w="1169"/>
        <w:gridCol w:w="1584"/>
        <w:gridCol w:w="708"/>
        <w:gridCol w:w="4727"/>
      </w:tblGrid>
      <w:tr w14:paraId="522A8C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D8D8D8" w:themeFill="background1" w:themeFillShade="D9"/>
            <w:noWrap/>
            <w:vAlign w:val="center"/>
          </w:tcPr>
          <w:p w14:paraId="58982584">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序号</w:t>
            </w:r>
          </w:p>
        </w:tc>
        <w:tc>
          <w:tcPr>
            <w:tcW w:w="1169" w:type="dxa"/>
            <w:tcBorders>
              <w:tl2br w:val="nil"/>
              <w:tr2bl w:val="nil"/>
            </w:tcBorders>
            <w:shd w:val="clear" w:color="auto" w:fill="D8D8D8" w:themeFill="background1" w:themeFillShade="D9"/>
            <w:noWrap/>
            <w:vAlign w:val="center"/>
          </w:tcPr>
          <w:p w14:paraId="2DA6F54E">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指标大类</w:t>
            </w:r>
          </w:p>
        </w:tc>
        <w:tc>
          <w:tcPr>
            <w:tcW w:w="1584" w:type="dxa"/>
            <w:tcBorders>
              <w:tl2br w:val="nil"/>
              <w:tr2bl w:val="nil"/>
            </w:tcBorders>
            <w:shd w:val="clear" w:color="auto" w:fill="D8D8D8" w:themeFill="background1" w:themeFillShade="D9"/>
            <w:noWrap/>
            <w:vAlign w:val="center"/>
          </w:tcPr>
          <w:p w14:paraId="2C97AE5D">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指标名称</w:t>
            </w:r>
          </w:p>
        </w:tc>
        <w:tc>
          <w:tcPr>
            <w:tcW w:w="708" w:type="dxa"/>
            <w:tcBorders>
              <w:tl2br w:val="nil"/>
              <w:tr2bl w:val="nil"/>
            </w:tcBorders>
            <w:shd w:val="clear" w:color="auto" w:fill="D8D8D8" w:themeFill="background1" w:themeFillShade="D9"/>
            <w:noWrap/>
            <w:vAlign w:val="center"/>
          </w:tcPr>
          <w:p w14:paraId="5B38B59A">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4727" w:type="dxa"/>
            <w:tcBorders>
              <w:tl2br w:val="nil"/>
              <w:tr2bl w:val="nil"/>
            </w:tcBorders>
            <w:shd w:val="clear" w:color="auto" w:fill="D8D8D8" w:themeFill="background1" w:themeFillShade="D9"/>
            <w:noWrap/>
            <w:vAlign w:val="center"/>
          </w:tcPr>
          <w:p w14:paraId="18ADB334">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指标定义</w:t>
            </w:r>
          </w:p>
        </w:tc>
      </w:tr>
      <w:tr w14:paraId="33632C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6406340C">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w:t>
            </w:r>
          </w:p>
        </w:tc>
        <w:tc>
          <w:tcPr>
            <w:tcW w:w="1169" w:type="dxa"/>
            <w:vMerge w:val="restart"/>
            <w:tcBorders>
              <w:tl2br w:val="nil"/>
              <w:tr2bl w:val="nil"/>
            </w:tcBorders>
            <w:shd w:val="clear" w:color="auto" w:fill="auto"/>
            <w:noWrap/>
            <w:vAlign w:val="center"/>
          </w:tcPr>
          <w:p w14:paraId="2D0351E3">
            <w:pPr>
              <w:widowControl w:val="0"/>
              <w:jc w:val="center"/>
              <w:rPr>
                <w:rFonts w:ascii="仿宋_GB2312" w:hAnsi="宋体" w:eastAsia="仿宋_GB2312" w:cs="宋体"/>
                <w:color w:val="000000"/>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1584" w:type="dxa"/>
            <w:tcBorders>
              <w:tl2br w:val="nil"/>
              <w:tr2bl w:val="nil"/>
            </w:tcBorders>
            <w:shd w:val="clear" w:color="auto" w:fill="auto"/>
            <w:noWrap/>
            <w:vAlign w:val="center"/>
          </w:tcPr>
          <w:p w14:paraId="2EAF302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全国拨测指标</w:t>
            </w:r>
          </w:p>
        </w:tc>
        <w:tc>
          <w:tcPr>
            <w:tcW w:w="708" w:type="dxa"/>
            <w:tcBorders>
              <w:tl2br w:val="nil"/>
              <w:tr2bl w:val="nil"/>
            </w:tcBorders>
            <w:shd w:val="clear" w:color="auto" w:fill="auto"/>
            <w:noWrap/>
            <w:vAlign w:val="center"/>
          </w:tcPr>
          <w:p w14:paraId="542658F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4727" w:type="dxa"/>
            <w:tcBorders>
              <w:tl2br w:val="nil"/>
              <w:tr2bl w:val="nil"/>
            </w:tcBorders>
            <w:shd w:val="clear" w:color="auto" w:fill="auto"/>
            <w:noWrap/>
            <w:vAlign w:val="center"/>
          </w:tcPr>
          <w:p w14:paraId="5B6829F6">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在全国拨测中，出现答复不准确、服务不规范的，每通电话扣3分。</w:t>
            </w:r>
          </w:p>
        </w:tc>
      </w:tr>
      <w:tr w14:paraId="5E4639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1F84ACAC">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2</w:t>
            </w:r>
          </w:p>
        </w:tc>
        <w:tc>
          <w:tcPr>
            <w:tcW w:w="1169" w:type="dxa"/>
            <w:vMerge w:val="continue"/>
            <w:tcBorders>
              <w:tl2br w:val="nil"/>
              <w:tr2bl w:val="nil"/>
            </w:tcBorders>
            <w:shd w:val="clear" w:color="auto" w:fill="auto"/>
            <w:noWrap/>
            <w:vAlign w:val="center"/>
          </w:tcPr>
          <w:p w14:paraId="64DF9D2E">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5AF6A50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质量拨测指标</w:t>
            </w:r>
          </w:p>
        </w:tc>
        <w:tc>
          <w:tcPr>
            <w:tcW w:w="708" w:type="dxa"/>
            <w:tcBorders>
              <w:tl2br w:val="nil"/>
              <w:tr2bl w:val="nil"/>
            </w:tcBorders>
            <w:shd w:val="clear" w:color="auto" w:fill="auto"/>
            <w:noWrap/>
            <w:vAlign w:val="center"/>
          </w:tcPr>
          <w:p w14:paraId="051224D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4727" w:type="dxa"/>
            <w:tcBorders>
              <w:tl2br w:val="nil"/>
              <w:tr2bl w:val="nil"/>
            </w:tcBorders>
            <w:shd w:val="clear" w:color="auto" w:fill="auto"/>
            <w:noWrap/>
            <w:vAlign w:val="center"/>
          </w:tcPr>
          <w:p w14:paraId="25EC007D">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在质量拨测中，出现答复不准确、服务不规范的，每通电话扣0.5分。</w:t>
            </w:r>
          </w:p>
        </w:tc>
      </w:tr>
      <w:tr w14:paraId="0DFDE3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272E96C8">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3</w:t>
            </w:r>
          </w:p>
        </w:tc>
        <w:tc>
          <w:tcPr>
            <w:tcW w:w="1169" w:type="dxa"/>
            <w:vMerge w:val="continue"/>
            <w:tcBorders>
              <w:tl2br w:val="nil"/>
              <w:tr2bl w:val="nil"/>
            </w:tcBorders>
            <w:shd w:val="clear" w:color="auto" w:fill="auto"/>
            <w:noWrap/>
            <w:vAlign w:val="center"/>
          </w:tcPr>
          <w:p w14:paraId="13F21894">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3EF7EB9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日常监听指标</w:t>
            </w:r>
          </w:p>
        </w:tc>
        <w:tc>
          <w:tcPr>
            <w:tcW w:w="708" w:type="dxa"/>
            <w:tcBorders>
              <w:tl2br w:val="nil"/>
              <w:tr2bl w:val="nil"/>
            </w:tcBorders>
            <w:shd w:val="clear" w:color="auto" w:fill="auto"/>
            <w:noWrap/>
            <w:vAlign w:val="center"/>
          </w:tcPr>
          <w:p w14:paraId="277D3221">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4727" w:type="dxa"/>
            <w:tcBorders>
              <w:tl2br w:val="nil"/>
              <w:tr2bl w:val="nil"/>
            </w:tcBorders>
            <w:shd w:val="clear" w:color="auto" w:fill="auto"/>
            <w:noWrap/>
            <w:vAlign w:val="center"/>
          </w:tcPr>
          <w:p w14:paraId="4C4DE8EC">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在日常监听中，对答复准确性、服务态度、规范用语、小结记录四方面进行整体打分。</w:t>
            </w:r>
          </w:p>
        </w:tc>
      </w:tr>
      <w:tr w14:paraId="3C8443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27" w:type="dxa"/>
            <w:tcBorders>
              <w:tl2br w:val="nil"/>
              <w:tr2bl w:val="nil"/>
            </w:tcBorders>
            <w:shd w:val="clear" w:color="auto" w:fill="auto"/>
            <w:noWrap/>
            <w:vAlign w:val="center"/>
          </w:tcPr>
          <w:p w14:paraId="62340DAA">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4</w:t>
            </w:r>
          </w:p>
        </w:tc>
        <w:tc>
          <w:tcPr>
            <w:tcW w:w="1169" w:type="dxa"/>
            <w:vMerge w:val="continue"/>
            <w:tcBorders>
              <w:tl2br w:val="nil"/>
              <w:tr2bl w:val="nil"/>
            </w:tcBorders>
            <w:shd w:val="clear" w:color="auto" w:fill="auto"/>
            <w:noWrap/>
            <w:vAlign w:val="center"/>
          </w:tcPr>
          <w:p w14:paraId="2C8C9DB6">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290813D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业务测试指标</w:t>
            </w:r>
          </w:p>
        </w:tc>
        <w:tc>
          <w:tcPr>
            <w:tcW w:w="708" w:type="dxa"/>
            <w:tcBorders>
              <w:tl2br w:val="nil"/>
              <w:tr2bl w:val="nil"/>
            </w:tcBorders>
            <w:shd w:val="clear" w:color="auto" w:fill="auto"/>
            <w:noWrap/>
            <w:vAlign w:val="center"/>
          </w:tcPr>
          <w:p w14:paraId="7BC112A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202B222A">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在业务能力测试中，通过率低于当月规定比例的，每低于1%扣0.5分。</w:t>
            </w:r>
          </w:p>
        </w:tc>
      </w:tr>
      <w:tr w14:paraId="5A292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23C979C8">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5</w:t>
            </w:r>
          </w:p>
        </w:tc>
        <w:tc>
          <w:tcPr>
            <w:tcW w:w="1169" w:type="dxa"/>
            <w:vMerge w:val="restart"/>
            <w:tcBorders>
              <w:tl2br w:val="nil"/>
              <w:tr2bl w:val="nil"/>
            </w:tcBorders>
            <w:shd w:val="clear" w:color="auto" w:fill="auto"/>
            <w:noWrap/>
            <w:vAlign w:val="center"/>
          </w:tcPr>
          <w:p w14:paraId="569D44EE">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运行成效</w:t>
            </w:r>
          </w:p>
        </w:tc>
        <w:tc>
          <w:tcPr>
            <w:tcW w:w="1584" w:type="dxa"/>
            <w:tcBorders>
              <w:tl2br w:val="nil"/>
              <w:tr2bl w:val="nil"/>
            </w:tcBorders>
            <w:shd w:val="clear" w:color="auto" w:fill="auto"/>
            <w:noWrap/>
            <w:vAlign w:val="center"/>
          </w:tcPr>
          <w:p w14:paraId="66E7E56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平均接通率</w:t>
            </w:r>
          </w:p>
        </w:tc>
        <w:tc>
          <w:tcPr>
            <w:tcW w:w="708" w:type="dxa"/>
            <w:tcBorders>
              <w:tl2br w:val="nil"/>
              <w:tr2bl w:val="nil"/>
            </w:tcBorders>
            <w:shd w:val="clear" w:color="auto" w:fill="auto"/>
            <w:noWrap/>
            <w:vAlign w:val="center"/>
          </w:tcPr>
          <w:p w14:paraId="1ED3A6D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6528258D">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每月平均接通率低于98%的，每低于1个百分点扣1分</w:t>
            </w:r>
            <w:r>
              <w:rPr>
                <w:rFonts w:hint="eastAsia" w:ascii="仿宋_GB2312" w:eastAsia="仿宋_GB2312"/>
                <w:color w:val="000000"/>
                <w:kern w:val="2"/>
                <w:sz w:val="21"/>
                <w:szCs w:val="21"/>
                <w:highlight w:val="none"/>
                <w:lang w:eastAsia="zh-CN"/>
              </w:rPr>
              <w:t>。</w:t>
            </w:r>
          </w:p>
        </w:tc>
      </w:tr>
      <w:tr w14:paraId="428579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362F4686">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6</w:t>
            </w:r>
          </w:p>
        </w:tc>
        <w:tc>
          <w:tcPr>
            <w:tcW w:w="1169" w:type="dxa"/>
            <w:vMerge w:val="continue"/>
            <w:tcBorders>
              <w:tl2br w:val="nil"/>
              <w:tr2bl w:val="nil"/>
            </w:tcBorders>
            <w:shd w:val="clear" w:color="auto" w:fill="auto"/>
            <w:noWrap/>
            <w:vAlign w:val="center"/>
          </w:tcPr>
          <w:p w14:paraId="4E4406E3">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3C4BB52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平均等待时长</w:t>
            </w:r>
          </w:p>
        </w:tc>
        <w:tc>
          <w:tcPr>
            <w:tcW w:w="708" w:type="dxa"/>
            <w:tcBorders>
              <w:tl2br w:val="nil"/>
              <w:tr2bl w:val="nil"/>
            </w:tcBorders>
            <w:shd w:val="clear" w:color="auto" w:fill="auto"/>
            <w:noWrap/>
            <w:vAlign w:val="center"/>
          </w:tcPr>
          <w:p w14:paraId="432D2A4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55F2A865">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每月平均等待时长高于30秒的，每超过1秒扣1分</w:t>
            </w:r>
            <w:r>
              <w:rPr>
                <w:rFonts w:hint="eastAsia" w:ascii="仿宋_GB2312" w:eastAsia="仿宋_GB2312"/>
                <w:color w:val="000000"/>
                <w:kern w:val="2"/>
                <w:sz w:val="21"/>
                <w:szCs w:val="21"/>
                <w:highlight w:val="none"/>
                <w:lang w:eastAsia="zh-CN"/>
              </w:rPr>
              <w:t>。</w:t>
            </w:r>
          </w:p>
        </w:tc>
      </w:tr>
      <w:tr w14:paraId="3B7E4C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66D17C27">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7</w:t>
            </w:r>
          </w:p>
        </w:tc>
        <w:tc>
          <w:tcPr>
            <w:tcW w:w="1169" w:type="dxa"/>
            <w:vMerge w:val="continue"/>
            <w:tcBorders>
              <w:tl2br w:val="nil"/>
              <w:tr2bl w:val="nil"/>
            </w:tcBorders>
            <w:shd w:val="clear" w:color="auto" w:fill="auto"/>
            <w:noWrap/>
            <w:vAlign w:val="center"/>
          </w:tcPr>
          <w:p w14:paraId="08FE7D73">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48ECD60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好差评主动发起率</w:t>
            </w:r>
          </w:p>
        </w:tc>
        <w:tc>
          <w:tcPr>
            <w:tcW w:w="708" w:type="dxa"/>
            <w:tcBorders>
              <w:tl2br w:val="nil"/>
              <w:tr2bl w:val="nil"/>
            </w:tcBorders>
            <w:shd w:val="clear" w:color="auto" w:fill="auto"/>
            <w:noWrap/>
            <w:vAlign w:val="center"/>
          </w:tcPr>
          <w:p w14:paraId="2B4210A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5A9A52E3">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每月好差评主动发起率低于75%的，每低于1个百分点扣1分。</w:t>
            </w:r>
          </w:p>
        </w:tc>
      </w:tr>
      <w:tr w14:paraId="101E78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7D4FACCA">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8</w:t>
            </w:r>
          </w:p>
        </w:tc>
        <w:tc>
          <w:tcPr>
            <w:tcW w:w="1169" w:type="dxa"/>
            <w:vMerge w:val="continue"/>
            <w:tcBorders>
              <w:tl2br w:val="nil"/>
              <w:tr2bl w:val="nil"/>
            </w:tcBorders>
            <w:shd w:val="clear" w:color="auto" w:fill="auto"/>
            <w:noWrap/>
            <w:vAlign w:val="center"/>
          </w:tcPr>
          <w:p w14:paraId="628DE238">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12BA6D09">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转接办结率</w:t>
            </w:r>
          </w:p>
        </w:tc>
        <w:tc>
          <w:tcPr>
            <w:tcW w:w="708" w:type="dxa"/>
            <w:tcBorders>
              <w:tl2br w:val="nil"/>
              <w:tr2bl w:val="nil"/>
            </w:tcBorders>
            <w:shd w:val="clear" w:color="auto" w:fill="auto"/>
            <w:noWrap/>
            <w:vAlign w:val="center"/>
          </w:tcPr>
          <w:p w14:paraId="31118899">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0CB885B3">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每月转接办结率高于10%的，每高于1个百分点扣1分。</w:t>
            </w:r>
          </w:p>
        </w:tc>
      </w:tr>
      <w:tr w14:paraId="22C3EE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2E9105B7">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9</w:t>
            </w:r>
          </w:p>
        </w:tc>
        <w:tc>
          <w:tcPr>
            <w:tcW w:w="1169" w:type="dxa"/>
            <w:vMerge w:val="continue"/>
            <w:tcBorders>
              <w:tl2br w:val="nil"/>
              <w:tr2bl w:val="nil"/>
            </w:tcBorders>
            <w:shd w:val="clear" w:color="auto" w:fill="auto"/>
            <w:noWrap/>
            <w:vAlign w:val="center"/>
          </w:tcPr>
          <w:p w14:paraId="79B90ACB">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42D3731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服务满意率</w:t>
            </w:r>
          </w:p>
        </w:tc>
        <w:tc>
          <w:tcPr>
            <w:tcW w:w="708" w:type="dxa"/>
            <w:tcBorders>
              <w:tl2br w:val="nil"/>
              <w:tr2bl w:val="nil"/>
            </w:tcBorders>
            <w:shd w:val="clear" w:color="auto" w:fill="auto"/>
            <w:noWrap/>
            <w:vAlign w:val="center"/>
          </w:tcPr>
          <w:p w14:paraId="00DE082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72D6B4C3">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每月服务满意率低于99%的，每低于1个百分点扣1分，其中服务满意率=（来电人“好评”的数量/热线推送“好差评”评价的数量）。</w:t>
            </w:r>
          </w:p>
        </w:tc>
      </w:tr>
      <w:tr w14:paraId="384880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37C5A196">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10</w:t>
            </w:r>
          </w:p>
        </w:tc>
        <w:tc>
          <w:tcPr>
            <w:tcW w:w="1169" w:type="dxa"/>
            <w:vMerge w:val="continue"/>
            <w:tcBorders>
              <w:tl2br w:val="nil"/>
              <w:tr2bl w:val="nil"/>
            </w:tcBorders>
            <w:shd w:val="clear" w:color="auto" w:fill="auto"/>
            <w:noWrap/>
            <w:vAlign w:val="center"/>
          </w:tcPr>
          <w:p w14:paraId="2B9A6B18">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5CC721C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w:t>
            </w:r>
          </w:p>
        </w:tc>
        <w:tc>
          <w:tcPr>
            <w:tcW w:w="708" w:type="dxa"/>
            <w:tcBorders>
              <w:tl2br w:val="nil"/>
              <w:tr2bl w:val="nil"/>
            </w:tcBorders>
            <w:shd w:val="clear" w:color="auto" w:fill="auto"/>
            <w:noWrap/>
            <w:vAlign w:val="center"/>
          </w:tcPr>
          <w:p w14:paraId="1766768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4727" w:type="dxa"/>
            <w:tcBorders>
              <w:tl2br w:val="nil"/>
              <w:tr2bl w:val="nil"/>
            </w:tcBorders>
            <w:shd w:val="clear" w:color="auto" w:fill="auto"/>
            <w:noWrap/>
            <w:vAlign w:val="center"/>
          </w:tcPr>
          <w:p w14:paraId="79ECC77C">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工单质量不符合要求的，按照工单相关指标扣分。</w:t>
            </w:r>
          </w:p>
        </w:tc>
      </w:tr>
    </w:tbl>
    <w:p w14:paraId="04BCE68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（2）年度考核</w:t>
      </w:r>
    </w:p>
    <w:p w14:paraId="0A83FCF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年度考核以季度考核为基础，有以下情况之一的，年度考核结果为不合格，其他情况视作年度考核合格：</w:t>
      </w:r>
    </w:p>
    <w:p w14:paraId="31A4D1A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1.年度内中标服务商2次季度考核为不合格的；</w:t>
      </w:r>
    </w:p>
    <w:p w14:paraId="37DBA82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2.年度内中标服务商违反合同规定，借税务机关名义向纳税人乱收费或搭售商品，经核实2次及2次以上的；</w:t>
      </w:r>
    </w:p>
    <w:p w14:paraId="3C40F3D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3.年度内中标服务商不能严格遵守保密制度规定，向无关人员泄露纳税人信息，经查实的。</w:t>
      </w:r>
    </w:p>
    <w:p w14:paraId="479EA814">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4.年度内中标服务商产生重大舆情，未能妥善处置，造成严重不良影响的。</w:t>
      </w:r>
    </w:p>
    <w:p w14:paraId="26D9426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注：中标供应商服务年度内发生上述四种情形的，无需等到服务期满，采购人随时有权终止合同并没收履约保证金。</w:t>
      </w:r>
    </w:p>
    <w:p w14:paraId="4619D273">
      <w:pPr>
        <w:spacing w:line="360" w:lineRule="auto"/>
        <w:ind w:firstLine="562" w:firstLineChars="200"/>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2.考核结果运用</w:t>
      </w:r>
    </w:p>
    <w:p w14:paraId="446F906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（1）中标供应商季度考核得分达到80分的，采购人全额支付该季度费用，即该季度费用支付当年合同金额的25%；</w:t>
      </w:r>
    </w:p>
    <w:p w14:paraId="23ED359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（2）中标供应商季度考核得分达到70分、不满80分的，采购人在支付该季度费用时，将扣除当年合同金额的0.5%作为处罚，即该季度费用只支付当年合同金额的24.5%；</w:t>
      </w:r>
    </w:p>
    <w:p w14:paraId="37294ADE">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（3）中标供应商季度考核得分达到60分、不满70分的，采购人在支付该季度费用时，将扣除当年合同金额的1%作为处罚，即该季度费用只支付当年合同金额的24%；</w:t>
      </w:r>
    </w:p>
    <w:p w14:paraId="14C96B77">
      <w:pPr>
        <w:pStyle w:val="19"/>
        <w:ind w:firstLine="560"/>
        <w:rPr>
          <w:highlight w:val="none"/>
          <w:lang w:eastAsia="zh-CN"/>
        </w:rPr>
      </w:pPr>
      <w:r>
        <w:rPr>
          <w:rFonts w:hint="eastAsia" w:ascii="仿宋_GB2312" w:hAnsi="仿宋_GB2312" w:eastAsia="仿宋_GB2312" w:cs="仿宋_GB2312"/>
          <w:szCs w:val="28"/>
          <w:highlight w:val="none"/>
          <w:lang w:eastAsia="zh-CN"/>
        </w:rPr>
        <w:t>（4）中标供应商季度考核结果为不合格（不满60分）的，采购人在支付该季度费用时，将扣除当年合同金额的5%作为处罚，即该季度费用只支付当年合同金额的20%；</w:t>
      </w:r>
    </w:p>
    <w:p w14:paraId="2B80D38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（5）若中标供应商在本项目服务期限内退出服务或年度考核结果为不合格的，采购人有权没收履约保证金。</w:t>
      </w:r>
    </w:p>
    <w:p w14:paraId="16D240CF">
      <w:pPr>
        <w:pStyle w:val="3"/>
        <w:keepNext w:val="0"/>
        <w:spacing w:before="0" w:after="0" w:line="360" w:lineRule="auto"/>
        <w:jc w:val="center"/>
        <w:rPr>
          <w:rFonts w:ascii="仿宋_GB2312" w:hAnsi="仿宋_GB2312" w:eastAsia="仿宋_GB2312" w:cs="仿宋_GB2312"/>
          <w:highlight w:val="none"/>
          <w:lang w:eastAsia="zh-CN"/>
        </w:rPr>
      </w:pPr>
      <w:bookmarkStart w:id="30" w:name="_Toc21151"/>
      <w:r>
        <w:rPr>
          <w:rFonts w:ascii="仿宋_GB2312" w:hAnsi="仿宋_GB2312" w:eastAsia="仿宋_GB2312" w:cs="仿宋_GB2312"/>
          <w:kern w:val="36"/>
          <w:highlight w:val="none"/>
          <w:lang w:eastAsia="zh-CN"/>
        </w:rPr>
        <w:t>8其他要求</w:t>
      </w:r>
      <w:bookmarkEnd w:id="30"/>
    </w:p>
    <w:p w14:paraId="076428E3">
      <w:pPr>
        <w:pStyle w:val="4"/>
        <w:keepNext w:val="0"/>
        <w:spacing w:before="0" w:after="0" w:line="360" w:lineRule="auto"/>
        <w:rPr>
          <w:rFonts w:ascii="仿宋_GB2312" w:hAnsi="仿宋_GB2312" w:eastAsia="仿宋_GB2312" w:cs="仿宋_GB2312"/>
          <w:i w:val="0"/>
          <w:iCs w:val="0"/>
          <w:highlight w:val="none"/>
          <w:lang w:eastAsia="zh-CN"/>
        </w:rPr>
      </w:pPr>
      <w:bookmarkStart w:id="31" w:name="_Toc15557"/>
      <w:r>
        <w:rPr>
          <w:rFonts w:ascii="仿宋_GB2312" w:hAnsi="仿宋_GB2312" w:eastAsia="仿宋_GB2312" w:cs="仿宋_GB2312"/>
          <w:i w:val="0"/>
          <w:iCs w:val="0"/>
          <w:highlight w:val="none"/>
          <w:lang w:eastAsia="zh-CN"/>
        </w:rPr>
        <w:t>8.1付款安排建议</w:t>
      </w:r>
      <w:bookmarkEnd w:id="31"/>
    </w:p>
    <w:tbl>
      <w:tblPr>
        <w:tblStyle w:val="15"/>
        <w:tblW w:w="5000" w:type="pct"/>
        <w:tblInd w:w="30" w:type="dxa"/>
        <w:tblLayout w:type="autofit"/>
        <w:tblCellMar>
          <w:top w:w="15" w:type="dxa"/>
          <w:left w:w="15" w:type="dxa"/>
          <w:bottom w:w="15" w:type="dxa"/>
          <w:right w:w="15" w:type="dxa"/>
        </w:tblCellMar>
      </w:tblPr>
      <w:tblGrid>
        <w:gridCol w:w="1514"/>
        <w:gridCol w:w="6089"/>
        <w:gridCol w:w="1467"/>
      </w:tblGrid>
      <w:tr w14:paraId="40B68500">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25E0A669">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付款名称</w:t>
            </w:r>
          </w:p>
        </w:tc>
        <w:tc>
          <w:tcPr>
            <w:tcW w:w="567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443E1EC1">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付款要求</w:t>
            </w:r>
          </w:p>
        </w:tc>
        <w:tc>
          <w:tcPr>
            <w:tcW w:w="1366"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0108A39B">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付款比例(%)</w:t>
            </w:r>
          </w:p>
        </w:tc>
      </w:tr>
      <w:tr w14:paraId="75B0E5CC">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4BB64D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9B1106C">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采购人对中标人一季度服务情况进行验收考核后，根据验收考核结果在收到发票后10个工作日内支付。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56392E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3D7ABFC7">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6555BA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D28C42C">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采购人对中标人二季度服务情况进行验收考核后，根据验收考核结果在收到发票后10个工作日内支付。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FA8EAE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1E60E09B">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44663A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388FFDE">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采购人对中标人三季度服务情况进行验收考核后，根据验收考核结果在收到发票后10个工作日内支付。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365CB7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17E0CD4E">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0D4AA4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4AECF6A">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采购人对中标人四季度服务情况进行验收考核后，根据验收考核结果在收到发票后10个工作日内支付。</w:t>
            </w:r>
          </w:p>
          <w:p w14:paraId="658EAC69">
            <w:pPr>
              <w:widowControl w:val="0"/>
              <w:rPr>
                <w:rFonts w:ascii="仿宋_GB2312" w:eastAsia="仿宋_GB2312"/>
                <w:color w:val="000000"/>
                <w:kern w:val="2"/>
                <w:sz w:val="21"/>
                <w:szCs w:val="21"/>
                <w:highlight w:val="none"/>
                <w:lang w:eastAsia="zh-CN"/>
              </w:rPr>
            </w:pPr>
            <w:r>
              <w:rPr>
                <w:rFonts w:hint="eastAsia" w:ascii="仿宋_GB2312" w:eastAsia="仿宋_GB2312"/>
                <w:b/>
                <w:bCs/>
                <w:color w:val="000000"/>
                <w:kern w:val="2"/>
                <w:sz w:val="21"/>
                <w:szCs w:val="21"/>
                <w:highlight w:val="none"/>
                <w:lang w:eastAsia="zh-CN"/>
              </w:rPr>
              <w:t>注：中标人完成全年服务并经采购人年度考核合格后，采购人退还中标人履约保证金。</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4E41E2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bl>
    <w:p w14:paraId="6D631774">
      <w:pPr>
        <w:rPr>
          <w:rFonts w:eastAsia="仿宋_GB2312"/>
          <w:highlight w:val="none"/>
          <w:lang w:eastAsia="zh-CN"/>
        </w:rPr>
      </w:pPr>
    </w:p>
    <w:p w14:paraId="552D5E75">
      <w:pPr>
        <w:pStyle w:val="4"/>
        <w:keepNext w:val="0"/>
        <w:spacing w:before="0" w:after="0" w:line="360" w:lineRule="auto"/>
        <w:rPr>
          <w:rFonts w:ascii="仿宋_GB2312" w:hAnsi="仿宋_GB2312" w:eastAsia="仿宋_GB2312" w:cs="仿宋_GB2312"/>
          <w:highlight w:val="none"/>
          <w:lang w:eastAsia="zh-CN"/>
        </w:rPr>
      </w:pPr>
      <w:bookmarkStart w:id="32" w:name="_Toc9072"/>
      <w:r>
        <w:rPr>
          <w:rFonts w:ascii="仿宋_GB2312" w:hAnsi="仿宋_GB2312" w:eastAsia="仿宋_GB2312" w:cs="仿宋_GB2312"/>
          <w:i w:val="0"/>
          <w:iCs w:val="0"/>
          <w:highlight w:val="none"/>
          <w:lang w:eastAsia="zh-CN"/>
        </w:rPr>
        <w:t>8.2</w:t>
      </w:r>
      <w:r>
        <w:rPr>
          <w:rFonts w:hint="eastAsia" w:ascii="仿宋_GB2312" w:hAnsi="仿宋_GB2312" w:eastAsia="仿宋_GB2312" w:cs="仿宋_GB2312"/>
          <w:i w:val="0"/>
          <w:iCs w:val="0"/>
          <w:highlight w:val="none"/>
          <w:lang w:eastAsia="zh-CN"/>
        </w:rPr>
        <w:t>其他</w:t>
      </w:r>
      <w:r>
        <w:rPr>
          <w:rFonts w:ascii="仿宋_GB2312" w:hAnsi="仿宋_GB2312" w:eastAsia="仿宋_GB2312" w:cs="仿宋_GB2312"/>
          <w:i w:val="0"/>
          <w:iCs w:val="0"/>
          <w:highlight w:val="none"/>
          <w:lang w:eastAsia="zh-CN"/>
        </w:rPr>
        <w:t>要求</w:t>
      </w:r>
      <w:bookmarkEnd w:id="32"/>
    </w:p>
    <w:p w14:paraId="14056065">
      <w:pPr>
        <w:pStyle w:val="4"/>
        <w:keepNext w:val="0"/>
        <w:spacing w:before="0" w:after="0" w:line="360" w:lineRule="auto"/>
        <w:rPr>
          <w:rFonts w:ascii="仿宋_GB2312" w:hAnsi="仿宋_GB2312" w:eastAsia="仿宋_GB2312" w:cs="仿宋_GB2312"/>
          <w:i w:val="0"/>
          <w:iCs w:val="0"/>
          <w:highlight w:val="none"/>
          <w:lang w:eastAsia="zh-CN"/>
        </w:rPr>
      </w:pPr>
      <w:bookmarkStart w:id="33" w:name="_Toc1989"/>
      <w:bookmarkStart w:id="34" w:name="_Toc200806178"/>
      <w:bookmarkStart w:id="35" w:name="_Toc11182"/>
      <w:bookmarkStart w:id="36" w:name="_Toc193468250"/>
      <w:bookmarkStart w:id="37" w:name="_Toc11331"/>
      <w:bookmarkStart w:id="38" w:name="_Toc3505"/>
      <w:bookmarkStart w:id="39" w:name="_Toc183787461"/>
      <w:bookmarkStart w:id="40" w:name="_Toc193096886"/>
      <w:r>
        <w:rPr>
          <w:rFonts w:ascii="仿宋_GB2312" w:hAnsi="仿宋_GB2312" w:eastAsia="仿宋_GB2312" w:cs="仿宋_GB2312"/>
          <w:i w:val="0"/>
          <w:iCs w:val="0"/>
          <w:highlight w:val="none"/>
          <w:lang w:eastAsia="zh-CN"/>
        </w:rPr>
        <w:t>8.</w:t>
      </w:r>
      <w:r>
        <w:rPr>
          <w:rFonts w:hint="eastAsia" w:ascii="仿宋_GB2312" w:hAnsi="仿宋_GB2312" w:eastAsia="仿宋_GB2312" w:cs="仿宋_GB2312"/>
          <w:i w:val="0"/>
          <w:iCs w:val="0"/>
          <w:highlight w:val="none"/>
          <w:lang w:eastAsia="zh-CN"/>
        </w:rPr>
        <w:t>2.1</w:t>
      </w:r>
      <w:r>
        <w:rPr>
          <w:rFonts w:ascii="仿宋_GB2312" w:hAnsi="仿宋_GB2312" w:eastAsia="仿宋_GB2312" w:cs="仿宋_GB2312"/>
          <w:i w:val="0"/>
          <w:iCs w:val="0"/>
          <w:highlight w:val="none"/>
          <w:lang w:eastAsia="zh-CN"/>
        </w:rPr>
        <w:t>保密要求</w:t>
      </w:r>
      <w:bookmarkEnd w:id="33"/>
    </w:p>
    <w:p w14:paraId="014A247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1.本项目服务人员必须遵守市局网络安全要求，配套电脑、设备等需满足网络安全规范要求；服务人员在日常工作过程中应遵守区局终端安全管理及其他各项安全管理制度要求。</w:t>
      </w:r>
    </w:p>
    <w:p w14:paraId="5F65686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2.供应商及服务人员从采购人收到的信息、数据及相关资料，以及基于提供服务所收到的信息均为保密信息（包括但不限于工作秘密和商业秘密等各类信息），未经采购人同意，不得泄露任何信息。</w:t>
      </w:r>
    </w:p>
    <w:p w14:paraId="632CE7F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3.服务人员严格遵守保密规定，不得私自摘抄、复制知识库系统的内容带离工作区域，在业务系统中查询到的征管信息，必须严加保密，不得泄露给其他人员。</w:t>
      </w:r>
    </w:p>
    <w:p w14:paraId="37DFA74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4.供应商与服务人员签订涉税数据安全保密协议，定期开展网络安全培训，养成良好的网络安全习惯。</w:t>
      </w:r>
    </w:p>
    <w:p w14:paraId="69A92E4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5.内外网络必须物理隔离，设备部署符合市局安全域管理规定。</w:t>
      </w:r>
    </w:p>
    <w:p w14:paraId="715EC1F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6.内网电脑要与互联网物理隔离，与区局内部网络通过安全设备进行连接，禁止违规外连行为，禁止在内网电脑上使用移动存储介质。</w:t>
      </w:r>
    </w:p>
    <w:p w14:paraId="1813093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7.服务人员电脑访问的内外网资源必须报安全管理部门申请开通。</w:t>
      </w:r>
    </w:p>
    <w:p w14:paraId="7B3A390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8.服务人员电脑应设置开机口令，且不得使用弱口令，密码长度不得少于8位。</w:t>
      </w:r>
    </w:p>
    <w:p w14:paraId="7ED99EA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9.如有违反保密协议，应承担相关的法律责任，包括但不限于对由此造成的经济损失进行赔偿；如情节严重，将移交司法机关处理。</w:t>
      </w:r>
    </w:p>
    <w:p w14:paraId="2A10BE7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10.保密义务在本项目的服务期终止后仍将继续生效。</w:t>
      </w:r>
      <w:bookmarkEnd w:id="34"/>
      <w:bookmarkEnd w:id="35"/>
      <w:bookmarkEnd w:id="36"/>
      <w:bookmarkEnd w:id="37"/>
      <w:bookmarkEnd w:id="38"/>
      <w:bookmarkEnd w:id="39"/>
      <w:bookmarkEnd w:id="40"/>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roman"/>
    <w:pitch w:val="default"/>
    <w:sig w:usb0="00000001" w:usb1="080E0000" w:usb2="00000000" w:usb3="00000000" w:csb0="00040000" w:csb1="00000000"/>
  </w:font>
  <w:font w:name="Cambria Math">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DD79BD">
    <w:pPr>
      <w:spacing w:line="360" w:lineRule="auto"/>
      <w:jc w:val="center"/>
    </w:pPr>
    <w:r>
      <w:fldChar w:fldCharType="begin"/>
    </w:r>
    <w:r>
      <w:instrText xml:space="preserve"> PAGE </w:instrText>
    </w:r>
    <w:r>
      <w:fldChar w:fldCharType="separate"/>
    </w:r>
    <w:r>
      <w:t>2</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noPunctuationKerning w:val="1"/>
  <w:characterSpacingControl w:val="doNotCompress"/>
  <w:compat>
    <w:doNotExpandShiftReturn/>
    <w:useFELayout/>
    <w:compatSetting w:name="compatibilityMode" w:uri="http://schemas.microsoft.com/office/word" w:val="12"/>
  </w:compat>
  <w:rsids>
    <w:rsidRoot w:val="00A77B3E"/>
    <w:rsid w:val="000169B8"/>
    <w:rsid w:val="000C7858"/>
    <w:rsid w:val="000E5975"/>
    <w:rsid w:val="0012205A"/>
    <w:rsid w:val="001706BA"/>
    <w:rsid w:val="00173E44"/>
    <w:rsid w:val="00190840"/>
    <w:rsid w:val="0019245A"/>
    <w:rsid w:val="001B5895"/>
    <w:rsid w:val="00227C72"/>
    <w:rsid w:val="00261C7E"/>
    <w:rsid w:val="002C3BB0"/>
    <w:rsid w:val="002D5FB6"/>
    <w:rsid w:val="002D7F25"/>
    <w:rsid w:val="00314489"/>
    <w:rsid w:val="003B46A9"/>
    <w:rsid w:val="00463087"/>
    <w:rsid w:val="004C3B36"/>
    <w:rsid w:val="004C5D62"/>
    <w:rsid w:val="005007FB"/>
    <w:rsid w:val="0057218E"/>
    <w:rsid w:val="005E5DDB"/>
    <w:rsid w:val="005F504F"/>
    <w:rsid w:val="0061781A"/>
    <w:rsid w:val="00641F61"/>
    <w:rsid w:val="00653984"/>
    <w:rsid w:val="006B22D4"/>
    <w:rsid w:val="006D1F59"/>
    <w:rsid w:val="007177AD"/>
    <w:rsid w:val="0075367A"/>
    <w:rsid w:val="007874DF"/>
    <w:rsid w:val="00880F61"/>
    <w:rsid w:val="00A3141F"/>
    <w:rsid w:val="00A56698"/>
    <w:rsid w:val="00A77B3E"/>
    <w:rsid w:val="00A979D1"/>
    <w:rsid w:val="00B10CB5"/>
    <w:rsid w:val="00B6262A"/>
    <w:rsid w:val="00B63E10"/>
    <w:rsid w:val="00BA749E"/>
    <w:rsid w:val="00C13972"/>
    <w:rsid w:val="00C57FA6"/>
    <w:rsid w:val="00CA2A55"/>
    <w:rsid w:val="00D924F4"/>
    <w:rsid w:val="00D97FD9"/>
    <w:rsid w:val="00DB2460"/>
    <w:rsid w:val="00E27E5F"/>
    <w:rsid w:val="00E70817"/>
    <w:rsid w:val="00F622B1"/>
    <w:rsid w:val="00FF7837"/>
    <w:rsid w:val="01521165"/>
    <w:rsid w:val="02E56CE5"/>
    <w:rsid w:val="03DB4EC9"/>
    <w:rsid w:val="04DF4B5B"/>
    <w:rsid w:val="072F509A"/>
    <w:rsid w:val="09192EBF"/>
    <w:rsid w:val="0B432577"/>
    <w:rsid w:val="0B62765E"/>
    <w:rsid w:val="0E391F8C"/>
    <w:rsid w:val="0EF8014D"/>
    <w:rsid w:val="10E20DCD"/>
    <w:rsid w:val="10EE4C25"/>
    <w:rsid w:val="119A05CE"/>
    <w:rsid w:val="11BF6EC2"/>
    <w:rsid w:val="12981EE8"/>
    <w:rsid w:val="12DA6D85"/>
    <w:rsid w:val="14230964"/>
    <w:rsid w:val="178A3DB1"/>
    <w:rsid w:val="18BF2176"/>
    <w:rsid w:val="1A4B6DDF"/>
    <w:rsid w:val="1B0C347B"/>
    <w:rsid w:val="1E196F09"/>
    <w:rsid w:val="1E40182E"/>
    <w:rsid w:val="20F2757A"/>
    <w:rsid w:val="221A1B93"/>
    <w:rsid w:val="243B2E09"/>
    <w:rsid w:val="25226160"/>
    <w:rsid w:val="27DC5AE3"/>
    <w:rsid w:val="29BC2D4A"/>
    <w:rsid w:val="2AF24E7B"/>
    <w:rsid w:val="2B377BBA"/>
    <w:rsid w:val="2BE91174"/>
    <w:rsid w:val="2D8178C8"/>
    <w:rsid w:val="2DCA4EF5"/>
    <w:rsid w:val="30886C71"/>
    <w:rsid w:val="3240343F"/>
    <w:rsid w:val="32547298"/>
    <w:rsid w:val="32FA5228"/>
    <w:rsid w:val="3491251A"/>
    <w:rsid w:val="35E46EA1"/>
    <w:rsid w:val="370C1DA2"/>
    <w:rsid w:val="38AE5DD2"/>
    <w:rsid w:val="3A682CB7"/>
    <w:rsid w:val="3B5E51F1"/>
    <w:rsid w:val="3BE8467D"/>
    <w:rsid w:val="3BF5CC96"/>
    <w:rsid w:val="3E2D114F"/>
    <w:rsid w:val="3F6800CC"/>
    <w:rsid w:val="3FD51381"/>
    <w:rsid w:val="410C20AA"/>
    <w:rsid w:val="45480DA9"/>
    <w:rsid w:val="45B5486F"/>
    <w:rsid w:val="45E2264D"/>
    <w:rsid w:val="47AD264D"/>
    <w:rsid w:val="47E9329E"/>
    <w:rsid w:val="4AF82C41"/>
    <w:rsid w:val="4B295253"/>
    <w:rsid w:val="4B8716BC"/>
    <w:rsid w:val="4F052DB4"/>
    <w:rsid w:val="50305051"/>
    <w:rsid w:val="513069B1"/>
    <w:rsid w:val="51901506"/>
    <w:rsid w:val="52363EF8"/>
    <w:rsid w:val="54E3750B"/>
    <w:rsid w:val="55911DB9"/>
    <w:rsid w:val="593A3F7C"/>
    <w:rsid w:val="5C1550A0"/>
    <w:rsid w:val="5DC725B9"/>
    <w:rsid w:val="5F367395"/>
    <w:rsid w:val="5FE4537D"/>
    <w:rsid w:val="5FFD9CE1"/>
    <w:rsid w:val="606E16F0"/>
    <w:rsid w:val="64E645E4"/>
    <w:rsid w:val="65147874"/>
    <w:rsid w:val="65B31E61"/>
    <w:rsid w:val="6653698D"/>
    <w:rsid w:val="669652D2"/>
    <w:rsid w:val="68BD041E"/>
    <w:rsid w:val="6A3A4966"/>
    <w:rsid w:val="6A424A5A"/>
    <w:rsid w:val="6BBD6A58"/>
    <w:rsid w:val="6F6D13EC"/>
    <w:rsid w:val="6F6D369C"/>
    <w:rsid w:val="70C76B7E"/>
    <w:rsid w:val="7110160D"/>
    <w:rsid w:val="725028BD"/>
    <w:rsid w:val="72965B63"/>
    <w:rsid w:val="7321663E"/>
    <w:rsid w:val="74C67731"/>
    <w:rsid w:val="74ED5119"/>
    <w:rsid w:val="756B0508"/>
    <w:rsid w:val="75FB4F73"/>
    <w:rsid w:val="7A415C14"/>
    <w:rsid w:val="7ABA097D"/>
    <w:rsid w:val="7B86536F"/>
    <w:rsid w:val="7BFF044C"/>
    <w:rsid w:val="7CA53A11"/>
    <w:rsid w:val="7F23433A"/>
    <w:rsid w:val="7F3638F2"/>
    <w:rsid w:val="AFEBAE8F"/>
    <w:rsid w:val="E39538B1"/>
    <w:rsid w:val="FFFFCF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imes New Roman" w:cs="Times New Roman"/>
      <w:sz w:val="24"/>
      <w:szCs w:val="24"/>
      <w:lang w:val="en-US" w:eastAsia="en-US" w:bidi="ar-SA"/>
    </w:rPr>
  </w:style>
  <w:style w:type="paragraph" w:styleId="3">
    <w:name w:val="heading 1"/>
    <w:basedOn w:val="1"/>
    <w:next w:val="1"/>
    <w:qFormat/>
    <w:uiPriority w:val="0"/>
    <w:pPr>
      <w:keepNext/>
      <w:spacing w:before="240" w:after="60"/>
      <w:outlineLvl w:val="0"/>
    </w:pPr>
    <w:rPr>
      <w:rFonts w:ascii="Arial" w:hAnsi="Arial" w:cs="Arial"/>
      <w:b/>
      <w:bCs/>
      <w:kern w:val="32"/>
      <w:sz w:val="32"/>
      <w:szCs w:val="32"/>
    </w:rPr>
  </w:style>
  <w:style w:type="paragraph" w:styleId="4">
    <w:name w:val="heading 2"/>
    <w:basedOn w:val="1"/>
    <w:next w:val="1"/>
    <w:qFormat/>
    <w:uiPriority w:val="0"/>
    <w:pPr>
      <w:keepNext/>
      <w:spacing w:before="240" w:after="60"/>
      <w:outlineLvl w:val="1"/>
    </w:pPr>
    <w:rPr>
      <w:rFonts w:ascii="Arial" w:hAnsi="Arial" w:cs="Arial"/>
      <w:b/>
      <w:bCs/>
      <w:i/>
      <w:iCs/>
      <w:sz w:val="28"/>
      <w:szCs w:val="28"/>
    </w:rPr>
  </w:style>
  <w:style w:type="paragraph" w:styleId="5">
    <w:name w:val="heading 3"/>
    <w:basedOn w:val="1"/>
    <w:next w:val="1"/>
    <w:qFormat/>
    <w:uiPriority w:val="0"/>
    <w:pPr>
      <w:keepNext/>
      <w:spacing w:before="240" w:after="60"/>
      <w:outlineLvl w:val="2"/>
    </w:pPr>
    <w:rPr>
      <w:rFonts w:ascii="Arial" w:hAnsi="Arial" w:cs="Arial"/>
      <w:b/>
      <w:bCs/>
      <w:sz w:val="26"/>
      <w:szCs w:val="26"/>
    </w:rPr>
  </w:style>
  <w:style w:type="paragraph" w:styleId="6">
    <w:name w:val="heading 4"/>
    <w:basedOn w:val="1"/>
    <w:next w:val="1"/>
    <w:qFormat/>
    <w:uiPriority w:val="0"/>
    <w:pPr>
      <w:keepNext/>
      <w:spacing w:before="240" w:after="60"/>
      <w:outlineLvl w:val="3"/>
    </w:pPr>
    <w:rPr>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style>
  <w:style w:type="paragraph" w:styleId="7">
    <w:name w:val="annotation text"/>
    <w:basedOn w:val="1"/>
    <w:qFormat/>
    <w:uiPriority w:val="0"/>
  </w:style>
  <w:style w:type="paragraph" w:styleId="8">
    <w:name w:val="toc 3"/>
    <w:basedOn w:val="1"/>
    <w:next w:val="1"/>
    <w:qFormat/>
    <w:uiPriority w:val="0"/>
    <w:pPr>
      <w:ind w:left="480"/>
    </w:pPr>
  </w:style>
  <w:style w:type="paragraph" w:styleId="9">
    <w:name w:val="Plain Text"/>
    <w:basedOn w:val="1"/>
    <w:unhideWhenUsed/>
    <w:qFormat/>
    <w:uiPriority w:val="99"/>
    <w:rPr>
      <w:rFonts w:ascii="宋体" w:hAnsi="Courier New"/>
      <w:szCs w:val="21"/>
    </w:rPr>
  </w:style>
  <w:style w:type="paragraph" w:styleId="10">
    <w:name w:val="Balloon Text"/>
    <w:basedOn w:val="1"/>
    <w:link w:val="22"/>
    <w:qFormat/>
    <w:uiPriority w:val="0"/>
    <w:rPr>
      <w:sz w:val="18"/>
      <w:szCs w:val="18"/>
    </w:rPr>
  </w:style>
  <w:style w:type="paragraph" w:styleId="11">
    <w:name w:val="footer"/>
    <w:basedOn w:val="1"/>
    <w:link w:val="21"/>
    <w:qFormat/>
    <w:uiPriority w:val="0"/>
    <w:pPr>
      <w:tabs>
        <w:tab w:val="center" w:pos="4153"/>
        <w:tab w:val="right" w:pos="8306"/>
      </w:tabs>
      <w:snapToGrid w:val="0"/>
    </w:pPr>
    <w:rPr>
      <w:sz w:val="18"/>
      <w:szCs w:val="18"/>
    </w:rPr>
  </w:style>
  <w:style w:type="paragraph" w:styleId="12">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3">
    <w:name w:val="toc 2"/>
    <w:basedOn w:val="1"/>
    <w:next w:val="1"/>
    <w:qFormat/>
    <w:uiPriority w:val="0"/>
    <w:pPr>
      <w:ind w:left="240"/>
    </w:pPr>
  </w:style>
  <w:style w:type="paragraph" w:styleId="14">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qFormat/>
    <w:uiPriority w:val="0"/>
    <w:rPr>
      <w:color w:val="0000FF"/>
      <w:u w:val="single"/>
    </w:rPr>
  </w:style>
  <w:style w:type="paragraph" w:customStyle="1" w:styleId="19">
    <w:name w:val="Normal Indent1"/>
    <w:basedOn w:val="1"/>
    <w:qFormat/>
    <w:uiPriority w:val="0"/>
    <w:pPr>
      <w:spacing w:line="360" w:lineRule="auto"/>
      <w:ind w:firstLine="720" w:firstLineChars="200"/>
    </w:pPr>
    <w:rPr>
      <w:rFonts w:eastAsia="仿宋"/>
      <w:sz w:val="28"/>
      <w:szCs w:val="36"/>
    </w:rPr>
  </w:style>
  <w:style w:type="character" w:customStyle="1" w:styleId="20">
    <w:name w:val="页眉 Char"/>
    <w:basedOn w:val="17"/>
    <w:link w:val="12"/>
    <w:qFormat/>
    <w:uiPriority w:val="0"/>
    <w:rPr>
      <w:rFonts w:eastAsia="Times New Roman"/>
      <w:sz w:val="18"/>
      <w:szCs w:val="18"/>
      <w:lang w:eastAsia="en-US"/>
    </w:rPr>
  </w:style>
  <w:style w:type="character" w:customStyle="1" w:styleId="21">
    <w:name w:val="页脚 Char"/>
    <w:basedOn w:val="17"/>
    <w:link w:val="11"/>
    <w:qFormat/>
    <w:uiPriority w:val="0"/>
    <w:rPr>
      <w:rFonts w:eastAsia="Times New Roman"/>
      <w:sz w:val="18"/>
      <w:szCs w:val="18"/>
      <w:lang w:eastAsia="en-US"/>
    </w:rPr>
  </w:style>
  <w:style w:type="character" w:customStyle="1" w:styleId="22">
    <w:name w:val="批注框文本 Char"/>
    <w:basedOn w:val="17"/>
    <w:link w:val="10"/>
    <w:qFormat/>
    <w:uiPriority w:val="0"/>
    <w:rPr>
      <w:rFonts w:eastAsia="Times New Roman"/>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14</Pages>
  <Words>1471</Words>
  <Characters>8386</Characters>
  <Lines>69</Lines>
  <Paragraphs>19</Paragraphs>
  <TotalTime>11</TotalTime>
  <ScaleCrop>false</ScaleCrop>
  <LinksUpToDate>false</LinksUpToDate>
  <CharactersWithSpaces>9838</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2025-11-09T06:20:00Z</dcterms:created>
  <dc:creator>Administrator</dc:creator>
  <cp:lastModifiedBy>user</cp:lastModifiedBy>
  <cp:lastPrinted>2025-11-29T16:15:00Z</cp:lastPrinted>
  <dcterms:modified xsi:type="dcterms:W3CDTF">2025-12-05T11:11:20Z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KSOTemplateDocerSaveRecord">
    <vt:lpwstr>eyJoZGlkIjoiMjY1YTQ2OTYwMWU1MmM2NzhjZjAxYzEzOTE4NTU0M2QiLCJ1c2VySWQiOiI4MDE5MzI5ODkifQ==</vt:lpwstr>
  </property>
  <property fmtid="{D5CDD505-2E9C-101B-9397-08002B2CF9AE}" pid="4" name="ICV">
    <vt:lpwstr>3EB959E322AD4BAD897CA0C07054809D_12</vt:lpwstr>
  </property>
</Properties>
</file>