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ED495">
      <w:pPr>
        <w:widowControl w:val="0"/>
        <w:topLinePunct/>
        <w:autoSpaceDE w:val="0"/>
        <w:autoSpaceDN w:val="0"/>
        <w:spacing w:line="360" w:lineRule="auto"/>
        <w:jc w:val="center"/>
        <w:rPr>
          <w:rFonts w:ascii="宋体" w:hAnsi="宋体" w:eastAsia="宋体" w:cs="宋体"/>
          <w:b/>
          <w:sz w:val="96"/>
          <w:szCs w:val="96"/>
          <w:lang w:eastAsia="zh-CN"/>
        </w:rPr>
      </w:pPr>
      <w:bookmarkStart w:id="38" w:name="_GoBack"/>
      <w:bookmarkEnd w:id="38"/>
    </w:p>
    <w:p w14:paraId="08686680">
      <w:pPr>
        <w:widowControl w:val="0"/>
        <w:topLinePunct/>
        <w:autoSpaceDE w:val="0"/>
        <w:autoSpaceDN w:val="0"/>
        <w:spacing w:line="360" w:lineRule="auto"/>
        <w:jc w:val="center"/>
        <w:rPr>
          <w:rFonts w:ascii="仿宋" w:hAnsi="仿宋" w:eastAsia="仿宋" w:cs="仿宋"/>
          <w:b/>
          <w:sz w:val="44"/>
          <w:szCs w:val="44"/>
          <w:lang w:eastAsia="zh-CN"/>
        </w:rPr>
      </w:pPr>
      <w:r>
        <w:rPr>
          <w:rFonts w:hint="eastAsia" w:ascii="仿宋" w:hAnsi="仿宋" w:eastAsia="仿宋" w:cs="仿宋"/>
          <w:b/>
          <w:sz w:val="44"/>
          <w:szCs w:val="44"/>
          <w:lang w:eastAsia="zh-CN"/>
        </w:rPr>
        <w:t>包件二：</w:t>
      </w:r>
    </w:p>
    <w:p w14:paraId="4E3C4EE4">
      <w:pPr>
        <w:widowControl w:val="0"/>
        <w:topLinePunct/>
        <w:autoSpaceDE w:val="0"/>
        <w:autoSpaceDN w:val="0"/>
        <w:spacing w:line="360" w:lineRule="auto"/>
        <w:jc w:val="center"/>
        <w:rPr>
          <w:rFonts w:ascii="仿宋" w:hAnsi="仿宋" w:eastAsia="仿宋" w:cs="仿宋"/>
          <w:b/>
          <w:sz w:val="44"/>
          <w:szCs w:val="44"/>
          <w:lang w:eastAsia="zh-CN"/>
        </w:rPr>
      </w:pPr>
      <w:r>
        <w:rPr>
          <w:rFonts w:ascii="仿宋" w:hAnsi="仿宋" w:eastAsia="仿宋" w:cs="仿宋"/>
          <w:b/>
          <w:sz w:val="44"/>
          <w:szCs w:val="44"/>
          <w:lang w:eastAsia="zh-CN"/>
        </w:rPr>
        <w:t>网上办税系统技术咨询服务</w:t>
      </w:r>
      <w:r>
        <w:rPr>
          <w:rFonts w:hint="eastAsia" w:ascii="仿宋" w:hAnsi="仿宋" w:eastAsia="仿宋" w:cs="仿宋"/>
          <w:b/>
          <w:sz w:val="44"/>
          <w:szCs w:val="44"/>
          <w:lang w:eastAsia="zh-CN"/>
        </w:rPr>
        <w:t>（第四税务分局工作时间和非工作时间）</w:t>
      </w:r>
    </w:p>
    <w:p w14:paraId="3D22EA60">
      <w:pPr>
        <w:widowControl w:val="0"/>
        <w:topLinePunct/>
        <w:autoSpaceDE w:val="0"/>
        <w:autoSpaceDN w:val="0"/>
        <w:spacing w:line="360" w:lineRule="auto"/>
        <w:jc w:val="center"/>
        <w:rPr>
          <w:rFonts w:ascii="宋体" w:hAnsi="宋体" w:eastAsia="宋体" w:cs="宋体"/>
          <w:b/>
          <w:sz w:val="80"/>
          <w:szCs w:val="80"/>
          <w:lang w:eastAsia="zh-CN"/>
        </w:rPr>
      </w:pPr>
      <w:r>
        <w:rPr>
          <w:rFonts w:hint="eastAsia" w:ascii="仿宋" w:hAnsi="仿宋" w:eastAsia="仿宋" w:cs="仿宋"/>
          <w:b/>
          <w:sz w:val="44"/>
          <w:szCs w:val="44"/>
          <w:lang w:eastAsia="zh-CN"/>
        </w:rPr>
        <w:t>需求说明书</w:t>
      </w:r>
    </w:p>
    <w:p w14:paraId="74F2AC2B">
      <w:pPr>
        <w:widowControl w:val="0"/>
        <w:topLinePunct/>
        <w:autoSpaceDE w:val="0"/>
        <w:autoSpaceDN w:val="0"/>
        <w:spacing w:line="360" w:lineRule="auto"/>
        <w:jc w:val="center"/>
        <w:rPr>
          <w:rFonts w:ascii="宋体" w:hAnsi="宋体" w:eastAsia="宋体" w:cs="宋体"/>
          <w:b/>
          <w:sz w:val="80"/>
          <w:szCs w:val="80"/>
          <w:lang w:eastAsia="zh-CN"/>
        </w:rPr>
      </w:pPr>
    </w:p>
    <w:p w14:paraId="1448C444">
      <w:pPr>
        <w:widowControl w:val="0"/>
        <w:topLinePunct/>
        <w:autoSpaceDE w:val="0"/>
        <w:autoSpaceDN w:val="0"/>
        <w:spacing w:line="360" w:lineRule="auto"/>
        <w:jc w:val="center"/>
        <w:rPr>
          <w:rFonts w:ascii="宋体" w:hAnsi="宋体" w:eastAsia="宋体" w:cs="宋体"/>
          <w:b/>
          <w:sz w:val="80"/>
          <w:szCs w:val="80"/>
          <w:lang w:eastAsia="zh-CN"/>
        </w:rPr>
      </w:pPr>
    </w:p>
    <w:p w14:paraId="655DB0FD">
      <w:pPr>
        <w:widowControl w:val="0"/>
        <w:spacing w:line="360" w:lineRule="auto"/>
        <w:jc w:val="both"/>
        <w:rPr>
          <w:rFonts w:ascii="宋体" w:hAnsi="宋体" w:eastAsia="宋体" w:cs="宋体"/>
          <w:kern w:val="2"/>
          <w:sz w:val="32"/>
          <w:szCs w:val="32"/>
          <w:lang w:eastAsia="zh-CN"/>
        </w:rPr>
      </w:pPr>
    </w:p>
    <w:p w14:paraId="7DA07AAE">
      <w:pPr>
        <w:widowControl w:val="0"/>
        <w:spacing w:line="360" w:lineRule="auto"/>
        <w:jc w:val="both"/>
        <w:rPr>
          <w:rFonts w:ascii="宋体" w:hAnsi="宋体" w:eastAsia="宋体" w:cs="宋体"/>
          <w:kern w:val="2"/>
          <w:sz w:val="32"/>
          <w:szCs w:val="32"/>
          <w:lang w:eastAsia="zh-CN"/>
        </w:rPr>
      </w:pPr>
    </w:p>
    <w:p w14:paraId="5FEF9A52">
      <w:pPr>
        <w:widowControl w:val="0"/>
        <w:spacing w:line="360" w:lineRule="auto"/>
        <w:jc w:val="both"/>
        <w:rPr>
          <w:rFonts w:ascii="宋体" w:hAnsi="宋体" w:eastAsia="宋体" w:cs="宋体"/>
          <w:kern w:val="2"/>
          <w:sz w:val="32"/>
          <w:szCs w:val="32"/>
          <w:lang w:eastAsia="zh-CN"/>
        </w:rPr>
      </w:pPr>
    </w:p>
    <w:p w14:paraId="500A9FCE">
      <w:pPr>
        <w:widowControl w:val="0"/>
        <w:topLinePunct/>
        <w:autoSpaceDE w:val="0"/>
        <w:autoSpaceDN w:val="0"/>
        <w:spacing w:line="360" w:lineRule="auto"/>
        <w:jc w:val="both"/>
        <w:rPr>
          <w:rFonts w:ascii="宋体" w:hAnsi="宋体" w:eastAsia="宋体" w:cs="宋体"/>
          <w:sz w:val="32"/>
          <w:szCs w:val="32"/>
          <w:lang w:eastAsia="zh-CN"/>
        </w:rPr>
      </w:pPr>
    </w:p>
    <w:p w14:paraId="164C1F57">
      <w:pPr>
        <w:spacing w:line="360" w:lineRule="auto"/>
        <w:jc w:val="center"/>
        <w:rPr>
          <w:rFonts w:ascii="宋体" w:hAnsi="宋体" w:eastAsia="宋体" w:cs="宋体"/>
          <w:sz w:val="32"/>
        </w:rPr>
      </w:pPr>
      <w:r>
        <w:br w:type="page"/>
      </w:r>
      <w:r>
        <w:rPr>
          <w:rFonts w:ascii="宋体" w:hAnsi="宋体" w:eastAsia="宋体" w:cs="宋体"/>
          <w:sz w:val="32"/>
        </w:rPr>
        <w:t>目 录</w:t>
      </w:r>
    </w:p>
    <w:p w14:paraId="4D64A5A3">
      <w:pPr>
        <w:pStyle w:val="12"/>
        <w:tabs>
          <w:tab w:val="right" w:leader="dot" w:pos="9026"/>
        </w:tabs>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"_Toc25417" </w:instrText>
      </w:r>
      <w:r>
        <w:fldChar w:fldCharType="separate"/>
      </w:r>
      <w:r>
        <w:rPr>
          <w:rFonts w:ascii="仿宋_GB2312" w:hAnsi="仿宋_GB2312" w:eastAsia="仿宋_GB2312" w:cs="仿宋_GB2312"/>
          <w:kern w:val="36"/>
          <w:lang w:eastAsia="zh-CN"/>
        </w:rPr>
        <w:t>1项目概述</w:t>
      </w:r>
      <w:r>
        <w:tab/>
      </w:r>
      <w:r>
        <w:fldChar w:fldCharType="begin"/>
      </w:r>
      <w:r>
        <w:instrText xml:space="preserve"> PAGEREF _Toc25417 \h </w:instrText>
      </w:r>
      <w:r>
        <w:fldChar w:fldCharType="separate"/>
      </w:r>
      <w:r>
        <w:t>3</w:t>
      </w:r>
      <w:r>
        <w:fldChar w:fldCharType="end"/>
      </w:r>
      <w:r>
        <w:fldChar w:fldCharType="end"/>
      </w:r>
    </w:p>
    <w:p w14:paraId="31EEA18B">
      <w:pPr>
        <w:pStyle w:val="13"/>
        <w:tabs>
          <w:tab w:val="right" w:leader="dot" w:pos="9026"/>
        </w:tabs>
      </w:pPr>
      <w:r>
        <w:fldChar w:fldCharType="begin"/>
      </w:r>
      <w:r>
        <w:instrText xml:space="preserve"> HYPERLINK \l "_Toc29139" </w:instrText>
      </w:r>
      <w:r>
        <w:fldChar w:fldCharType="separate"/>
      </w:r>
      <w:r>
        <w:rPr>
          <w:rFonts w:ascii="仿宋_GB2312" w:hAnsi="仿宋_GB2312" w:eastAsia="仿宋_GB2312" w:cs="仿宋_GB2312"/>
          <w:lang w:eastAsia="zh-CN"/>
        </w:rPr>
        <w:t>1.1项目背景</w:t>
      </w:r>
      <w:r>
        <w:tab/>
      </w:r>
      <w:r>
        <w:fldChar w:fldCharType="begin"/>
      </w:r>
      <w:r>
        <w:instrText xml:space="preserve"> PAGEREF _Toc29139 \h </w:instrText>
      </w:r>
      <w:r>
        <w:fldChar w:fldCharType="separate"/>
      </w:r>
      <w:r>
        <w:t>3</w:t>
      </w:r>
      <w:r>
        <w:fldChar w:fldCharType="end"/>
      </w:r>
      <w:r>
        <w:fldChar w:fldCharType="end"/>
      </w:r>
    </w:p>
    <w:p w14:paraId="2686FF31">
      <w:pPr>
        <w:pStyle w:val="8"/>
        <w:tabs>
          <w:tab w:val="right" w:leader="dot" w:pos="9026"/>
        </w:tabs>
      </w:pPr>
      <w:r>
        <w:fldChar w:fldCharType="begin"/>
      </w:r>
      <w:r>
        <w:instrText xml:space="preserve"> HYPERLINK \l "_Toc18514" </w:instrText>
      </w:r>
      <w:r>
        <w:fldChar w:fldCharType="separate"/>
      </w:r>
      <w:r>
        <w:rPr>
          <w:rFonts w:ascii="仿宋_GB2312" w:hAnsi="仿宋_GB2312" w:eastAsia="仿宋_GB2312" w:cs="仿宋_GB2312"/>
          <w:szCs w:val="28"/>
          <w:lang w:eastAsia="zh-CN"/>
        </w:rPr>
        <w:t>1.1.1项目背景</w:t>
      </w:r>
      <w:r>
        <w:tab/>
      </w:r>
      <w:r>
        <w:fldChar w:fldCharType="begin"/>
      </w:r>
      <w:r>
        <w:instrText xml:space="preserve"> PAGEREF _Toc18514 \h </w:instrText>
      </w:r>
      <w:r>
        <w:fldChar w:fldCharType="separate"/>
      </w:r>
      <w:r>
        <w:t>3</w:t>
      </w:r>
      <w:r>
        <w:fldChar w:fldCharType="end"/>
      </w:r>
      <w:r>
        <w:fldChar w:fldCharType="end"/>
      </w:r>
    </w:p>
    <w:p w14:paraId="6123117B">
      <w:pPr>
        <w:pStyle w:val="13"/>
        <w:tabs>
          <w:tab w:val="right" w:leader="dot" w:pos="9026"/>
        </w:tabs>
      </w:pPr>
      <w:r>
        <w:fldChar w:fldCharType="begin"/>
      </w:r>
      <w:r>
        <w:instrText xml:space="preserve"> HYPERLINK \l "_Toc8560" </w:instrText>
      </w:r>
      <w:r>
        <w:fldChar w:fldCharType="separate"/>
      </w:r>
      <w:r>
        <w:rPr>
          <w:rFonts w:ascii="仿宋_GB2312" w:hAnsi="仿宋_GB2312" w:eastAsia="仿宋_GB2312" w:cs="仿宋_GB2312"/>
          <w:lang w:eastAsia="zh-CN"/>
        </w:rPr>
        <w:t>1.2项目内容</w:t>
      </w:r>
      <w:r>
        <w:tab/>
      </w:r>
      <w:r>
        <w:fldChar w:fldCharType="begin"/>
      </w:r>
      <w:r>
        <w:instrText xml:space="preserve"> PAGEREF _Toc8560 \h </w:instrText>
      </w:r>
      <w:r>
        <w:fldChar w:fldCharType="separate"/>
      </w:r>
      <w:r>
        <w:t>3</w:t>
      </w:r>
      <w:r>
        <w:fldChar w:fldCharType="end"/>
      </w:r>
      <w:r>
        <w:fldChar w:fldCharType="end"/>
      </w:r>
    </w:p>
    <w:p w14:paraId="52A3363C">
      <w:pPr>
        <w:pStyle w:val="8"/>
        <w:tabs>
          <w:tab w:val="right" w:leader="dot" w:pos="9026"/>
        </w:tabs>
      </w:pPr>
      <w:r>
        <w:fldChar w:fldCharType="begin"/>
      </w:r>
      <w:r>
        <w:instrText xml:space="preserve"> HYPERLINK \l "_Toc6003" </w:instrText>
      </w:r>
      <w:r>
        <w:fldChar w:fldCharType="separate"/>
      </w:r>
      <w:r>
        <w:rPr>
          <w:rFonts w:ascii="仿宋_GB2312" w:hAnsi="仿宋_GB2312" w:eastAsia="仿宋_GB2312" w:cs="仿宋_GB2312"/>
          <w:szCs w:val="28"/>
          <w:lang w:eastAsia="zh-CN"/>
        </w:rPr>
        <w:t>1.2.1采购内容</w:t>
      </w:r>
      <w:r>
        <w:tab/>
      </w:r>
      <w:r>
        <w:fldChar w:fldCharType="begin"/>
      </w:r>
      <w:r>
        <w:instrText xml:space="preserve"> PAGEREF _Toc6003 \h </w:instrText>
      </w:r>
      <w:r>
        <w:fldChar w:fldCharType="separate"/>
      </w:r>
      <w:r>
        <w:t>3</w:t>
      </w:r>
      <w:r>
        <w:fldChar w:fldCharType="end"/>
      </w:r>
      <w:r>
        <w:fldChar w:fldCharType="end"/>
      </w:r>
    </w:p>
    <w:p w14:paraId="4708B103">
      <w:pPr>
        <w:pStyle w:val="8"/>
        <w:tabs>
          <w:tab w:val="right" w:leader="dot" w:pos="9026"/>
        </w:tabs>
      </w:pPr>
      <w:r>
        <w:fldChar w:fldCharType="begin"/>
      </w:r>
      <w:r>
        <w:instrText xml:space="preserve"> HYPERLINK \l "_Toc11206" </w:instrText>
      </w:r>
      <w:r>
        <w:fldChar w:fldCharType="separate"/>
      </w:r>
      <w:r>
        <w:rPr>
          <w:rFonts w:ascii="仿宋_GB2312" w:hAnsi="仿宋_GB2312" w:eastAsia="仿宋_GB2312" w:cs="仿宋_GB2312"/>
          <w:szCs w:val="28"/>
          <w:lang w:eastAsia="zh-CN"/>
        </w:rPr>
        <w:t>1.2.2项目实施要求</w:t>
      </w:r>
      <w:r>
        <w:tab/>
      </w:r>
      <w:r>
        <w:fldChar w:fldCharType="begin"/>
      </w:r>
      <w:r>
        <w:instrText xml:space="preserve"> PAGEREF _Toc11206 \h </w:instrText>
      </w:r>
      <w:r>
        <w:fldChar w:fldCharType="separate"/>
      </w:r>
      <w:r>
        <w:t>3</w:t>
      </w:r>
      <w:r>
        <w:fldChar w:fldCharType="end"/>
      </w:r>
      <w:r>
        <w:fldChar w:fldCharType="end"/>
      </w:r>
    </w:p>
    <w:p w14:paraId="24F60E83">
      <w:pPr>
        <w:pStyle w:val="13"/>
        <w:tabs>
          <w:tab w:val="right" w:leader="dot" w:pos="9026"/>
        </w:tabs>
      </w:pPr>
      <w:r>
        <w:fldChar w:fldCharType="begin"/>
      </w:r>
      <w:r>
        <w:instrText xml:space="preserve"> HYPERLINK \l "_Toc23656" </w:instrText>
      </w:r>
      <w:r>
        <w:fldChar w:fldCharType="separate"/>
      </w:r>
      <w:r>
        <w:rPr>
          <w:rFonts w:ascii="仿宋_GB2312" w:hAnsi="仿宋_GB2312" w:eastAsia="仿宋_GB2312" w:cs="仿宋_GB2312"/>
        </w:rPr>
        <w:t>1.3其他要求</w:t>
      </w:r>
      <w:r>
        <w:tab/>
      </w:r>
      <w:r>
        <w:fldChar w:fldCharType="begin"/>
      </w:r>
      <w:r>
        <w:instrText xml:space="preserve"> PAGEREF _Toc23656 \h </w:instrText>
      </w:r>
      <w:r>
        <w:fldChar w:fldCharType="separate"/>
      </w:r>
      <w:r>
        <w:t>4</w:t>
      </w:r>
      <w:r>
        <w:fldChar w:fldCharType="end"/>
      </w:r>
      <w:r>
        <w:fldChar w:fldCharType="end"/>
      </w:r>
    </w:p>
    <w:p w14:paraId="552ED5E4">
      <w:pPr>
        <w:pStyle w:val="8"/>
        <w:tabs>
          <w:tab w:val="right" w:leader="dot" w:pos="9026"/>
        </w:tabs>
      </w:pPr>
      <w:r>
        <w:fldChar w:fldCharType="begin"/>
      </w:r>
      <w:r>
        <w:instrText xml:space="preserve"> HYPERLINK \l "_Toc20385" </w:instrText>
      </w:r>
      <w:r>
        <w:fldChar w:fldCharType="separate"/>
      </w:r>
      <w:r>
        <w:rPr>
          <w:rFonts w:ascii="仿宋_GB2312" w:hAnsi="仿宋_GB2312" w:eastAsia="仿宋_GB2312" w:cs="仿宋_GB2312"/>
          <w:szCs w:val="28"/>
        </w:rPr>
        <w:t>1.3.1采购标的需执行的相关标准规范</w:t>
      </w:r>
      <w:r>
        <w:tab/>
      </w:r>
      <w:r>
        <w:fldChar w:fldCharType="begin"/>
      </w:r>
      <w:r>
        <w:instrText xml:space="preserve"> PAGEREF _Toc20385 \h </w:instrText>
      </w:r>
      <w:r>
        <w:fldChar w:fldCharType="separate"/>
      </w:r>
      <w:r>
        <w:t>4</w:t>
      </w:r>
      <w:r>
        <w:fldChar w:fldCharType="end"/>
      </w:r>
      <w:r>
        <w:fldChar w:fldCharType="end"/>
      </w:r>
    </w:p>
    <w:p w14:paraId="6F6E2B76">
      <w:pPr>
        <w:pStyle w:val="12"/>
        <w:tabs>
          <w:tab w:val="right" w:leader="dot" w:pos="9026"/>
        </w:tabs>
      </w:pPr>
      <w:r>
        <w:fldChar w:fldCharType="begin"/>
      </w:r>
      <w:r>
        <w:instrText xml:space="preserve"> HYPERLINK \l "_Toc15559" </w:instrText>
      </w:r>
      <w:r>
        <w:fldChar w:fldCharType="separate"/>
      </w:r>
      <w:r>
        <w:rPr>
          <w:rFonts w:ascii="仿宋_GB2312" w:hAnsi="仿宋_GB2312" w:eastAsia="仿宋_GB2312" w:cs="仿宋_GB2312"/>
          <w:kern w:val="36"/>
          <w:lang w:eastAsia="zh-CN"/>
        </w:rPr>
        <w:t>2投标/响应要求</w:t>
      </w:r>
      <w:r>
        <w:tab/>
      </w:r>
      <w:r>
        <w:fldChar w:fldCharType="begin"/>
      </w:r>
      <w:r>
        <w:instrText xml:space="preserve"> PAGEREF _Toc15559 \h </w:instrText>
      </w:r>
      <w:r>
        <w:fldChar w:fldCharType="separate"/>
      </w:r>
      <w:r>
        <w:t>4</w:t>
      </w:r>
      <w:r>
        <w:fldChar w:fldCharType="end"/>
      </w:r>
      <w:r>
        <w:fldChar w:fldCharType="end"/>
      </w:r>
    </w:p>
    <w:p w14:paraId="7DB10686">
      <w:pPr>
        <w:pStyle w:val="13"/>
        <w:tabs>
          <w:tab w:val="right" w:leader="dot" w:pos="9026"/>
        </w:tabs>
      </w:pPr>
      <w:r>
        <w:fldChar w:fldCharType="begin"/>
      </w:r>
      <w:r>
        <w:instrText xml:space="preserve"> HYPERLINK \l "_Toc24147" </w:instrText>
      </w:r>
      <w:r>
        <w:fldChar w:fldCharType="separate"/>
      </w:r>
      <w:r>
        <w:rPr>
          <w:rFonts w:ascii="仿宋_GB2312" w:hAnsi="仿宋_GB2312" w:eastAsia="仿宋_GB2312" w:cs="仿宋_GB2312"/>
          <w:lang w:eastAsia="zh-CN"/>
        </w:rPr>
        <w:t>2.1对供应商的要求</w:t>
      </w:r>
      <w:r>
        <w:tab/>
      </w:r>
      <w:r>
        <w:fldChar w:fldCharType="begin"/>
      </w:r>
      <w:r>
        <w:instrText xml:space="preserve"> PAGEREF _Toc24147 \h </w:instrText>
      </w:r>
      <w:r>
        <w:fldChar w:fldCharType="separate"/>
      </w:r>
      <w:r>
        <w:t>4</w:t>
      </w:r>
      <w:r>
        <w:fldChar w:fldCharType="end"/>
      </w:r>
      <w:r>
        <w:fldChar w:fldCharType="end"/>
      </w:r>
    </w:p>
    <w:p w14:paraId="4F51FB84">
      <w:pPr>
        <w:pStyle w:val="8"/>
        <w:tabs>
          <w:tab w:val="right" w:leader="dot" w:pos="9026"/>
        </w:tabs>
      </w:pPr>
      <w:r>
        <w:fldChar w:fldCharType="begin"/>
      </w:r>
      <w:r>
        <w:instrText xml:space="preserve"> HYPERLINK \l "_Toc18020" </w:instrText>
      </w:r>
      <w:r>
        <w:fldChar w:fldCharType="separate"/>
      </w:r>
      <w:r>
        <w:rPr>
          <w:rFonts w:ascii="仿宋_GB2312" w:hAnsi="仿宋_GB2312" w:eastAsia="仿宋_GB2312" w:cs="仿宋_GB2312"/>
          <w:szCs w:val="28"/>
          <w:lang w:eastAsia="zh-CN"/>
        </w:rPr>
        <w:t>2.1.1必备资质</w:t>
      </w:r>
      <w:r>
        <w:tab/>
      </w:r>
      <w:r>
        <w:fldChar w:fldCharType="begin"/>
      </w:r>
      <w:r>
        <w:instrText xml:space="preserve"> PAGEREF _Toc18020 \h </w:instrText>
      </w:r>
      <w:r>
        <w:fldChar w:fldCharType="separate"/>
      </w:r>
      <w:r>
        <w:t>4</w:t>
      </w:r>
      <w:r>
        <w:fldChar w:fldCharType="end"/>
      </w:r>
      <w:r>
        <w:fldChar w:fldCharType="end"/>
      </w:r>
    </w:p>
    <w:p w14:paraId="2AD59E74">
      <w:pPr>
        <w:pStyle w:val="8"/>
        <w:tabs>
          <w:tab w:val="right" w:leader="dot" w:pos="9026"/>
        </w:tabs>
      </w:pPr>
      <w:r>
        <w:fldChar w:fldCharType="begin"/>
      </w:r>
      <w:r>
        <w:instrText xml:space="preserve"> HYPERLINK \l "_Toc20738" </w:instrText>
      </w:r>
      <w:r>
        <w:fldChar w:fldCharType="separate"/>
      </w:r>
      <w:r>
        <w:rPr>
          <w:rFonts w:ascii="仿宋_GB2312" w:hAnsi="仿宋_GB2312" w:eastAsia="仿宋_GB2312" w:cs="仿宋_GB2312"/>
          <w:szCs w:val="28"/>
          <w:lang w:eastAsia="zh-CN"/>
        </w:rPr>
        <w:t>2.1.2优选资质/优选指标</w:t>
      </w:r>
      <w:r>
        <w:tab/>
      </w:r>
      <w:r>
        <w:fldChar w:fldCharType="begin"/>
      </w:r>
      <w:r>
        <w:instrText xml:space="preserve"> PAGEREF _Toc20738 \h </w:instrText>
      </w:r>
      <w:r>
        <w:fldChar w:fldCharType="separate"/>
      </w:r>
      <w:r>
        <w:t>4</w:t>
      </w:r>
      <w:r>
        <w:fldChar w:fldCharType="end"/>
      </w:r>
      <w:r>
        <w:fldChar w:fldCharType="end"/>
      </w:r>
    </w:p>
    <w:p w14:paraId="0D113EDC">
      <w:pPr>
        <w:pStyle w:val="8"/>
        <w:tabs>
          <w:tab w:val="right" w:leader="dot" w:pos="9026"/>
        </w:tabs>
      </w:pPr>
      <w:r>
        <w:fldChar w:fldCharType="begin"/>
      </w:r>
      <w:r>
        <w:instrText xml:space="preserve"> HYPERLINK \l "_Toc11753" </w:instrText>
      </w:r>
      <w:r>
        <w:fldChar w:fldCharType="separate"/>
      </w:r>
      <w:r>
        <w:rPr>
          <w:rFonts w:ascii="仿宋_GB2312" w:hAnsi="仿宋_GB2312" w:eastAsia="仿宋_GB2312" w:cs="仿宋_GB2312"/>
          <w:szCs w:val="28"/>
          <w:lang w:eastAsia="zh-CN"/>
        </w:rPr>
        <w:t>2.1.3是否允许联合体</w:t>
      </w:r>
      <w:r>
        <w:tab/>
      </w:r>
      <w:r>
        <w:fldChar w:fldCharType="begin"/>
      </w:r>
      <w:r>
        <w:instrText xml:space="preserve"> PAGEREF _Toc11753 \h </w:instrText>
      </w:r>
      <w:r>
        <w:fldChar w:fldCharType="separate"/>
      </w:r>
      <w:r>
        <w:t>5</w:t>
      </w:r>
      <w:r>
        <w:fldChar w:fldCharType="end"/>
      </w:r>
      <w:r>
        <w:fldChar w:fldCharType="end"/>
      </w:r>
    </w:p>
    <w:p w14:paraId="603C8A0B">
      <w:pPr>
        <w:pStyle w:val="8"/>
        <w:tabs>
          <w:tab w:val="right" w:leader="dot" w:pos="9026"/>
        </w:tabs>
      </w:pPr>
      <w:r>
        <w:fldChar w:fldCharType="begin"/>
      </w:r>
      <w:r>
        <w:instrText xml:space="preserve"> HYPERLINK \l "_Toc4448" </w:instrText>
      </w:r>
      <w:r>
        <w:fldChar w:fldCharType="separate"/>
      </w:r>
      <w:r>
        <w:rPr>
          <w:rFonts w:ascii="仿宋_GB2312" w:hAnsi="仿宋_GB2312" w:eastAsia="仿宋_GB2312" w:cs="仿宋_GB2312"/>
          <w:szCs w:val="28"/>
          <w:lang w:eastAsia="zh-CN"/>
        </w:rPr>
        <w:t>2.1.4是否专门面向中小企业</w:t>
      </w:r>
      <w:r>
        <w:tab/>
      </w:r>
      <w:r>
        <w:fldChar w:fldCharType="begin"/>
      </w:r>
      <w:r>
        <w:instrText xml:space="preserve"> PAGEREF _Toc4448 \h </w:instrText>
      </w:r>
      <w:r>
        <w:fldChar w:fldCharType="separate"/>
      </w:r>
      <w:r>
        <w:t>5</w:t>
      </w:r>
      <w:r>
        <w:fldChar w:fldCharType="end"/>
      </w:r>
      <w:r>
        <w:fldChar w:fldCharType="end"/>
      </w:r>
    </w:p>
    <w:p w14:paraId="771EDA6F">
      <w:pPr>
        <w:pStyle w:val="13"/>
        <w:tabs>
          <w:tab w:val="right" w:leader="dot" w:pos="9026"/>
        </w:tabs>
      </w:pPr>
      <w:r>
        <w:fldChar w:fldCharType="begin"/>
      </w:r>
      <w:r>
        <w:instrText xml:space="preserve"> HYPERLINK \l "_Toc26407" </w:instrText>
      </w:r>
      <w:r>
        <w:fldChar w:fldCharType="separate"/>
      </w:r>
      <w:r>
        <w:rPr>
          <w:rFonts w:ascii="仿宋_GB2312" w:hAnsi="仿宋_GB2312" w:eastAsia="仿宋_GB2312" w:cs="仿宋_GB2312"/>
          <w:lang w:eastAsia="zh-CN"/>
        </w:rPr>
        <w:t>2.2技术部分投标/响应内容</w:t>
      </w:r>
      <w:r>
        <w:tab/>
      </w:r>
      <w:r>
        <w:fldChar w:fldCharType="begin"/>
      </w:r>
      <w:r>
        <w:instrText xml:space="preserve"> PAGEREF _Toc26407 \h </w:instrText>
      </w:r>
      <w:r>
        <w:fldChar w:fldCharType="separate"/>
      </w:r>
      <w:r>
        <w:t>5</w:t>
      </w:r>
      <w:r>
        <w:fldChar w:fldCharType="end"/>
      </w:r>
      <w:r>
        <w:fldChar w:fldCharType="end"/>
      </w:r>
    </w:p>
    <w:p w14:paraId="1343554B">
      <w:pPr>
        <w:pStyle w:val="8"/>
        <w:tabs>
          <w:tab w:val="right" w:leader="dot" w:pos="9026"/>
        </w:tabs>
      </w:pPr>
      <w:r>
        <w:fldChar w:fldCharType="begin"/>
      </w:r>
      <w:r>
        <w:instrText xml:space="preserve"> HYPERLINK \l "_Toc22847" </w:instrText>
      </w:r>
      <w:r>
        <w:fldChar w:fldCharType="separate"/>
      </w:r>
      <w:r>
        <w:rPr>
          <w:rFonts w:ascii="仿宋_GB2312" w:hAnsi="仿宋_GB2312" w:eastAsia="仿宋_GB2312" w:cs="仿宋_GB2312"/>
          <w:szCs w:val="28"/>
          <w:lang w:eastAsia="zh-CN"/>
        </w:rPr>
        <w:t>2.2.1投标/响应方案要求</w:t>
      </w:r>
      <w:r>
        <w:tab/>
      </w:r>
      <w:r>
        <w:fldChar w:fldCharType="begin"/>
      </w:r>
      <w:r>
        <w:instrText xml:space="preserve"> PAGEREF _Toc22847 \h </w:instrText>
      </w:r>
      <w:r>
        <w:fldChar w:fldCharType="separate"/>
      </w:r>
      <w:r>
        <w:t>5</w:t>
      </w:r>
      <w:r>
        <w:fldChar w:fldCharType="end"/>
      </w:r>
      <w:r>
        <w:fldChar w:fldCharType="end"/>
      </w:r>
    </w:p>
    <w:p w14:paraId="566A35AE">
      <w:pPr>
        <w:pStyle w:val="12"/>
        <w:tabs>
          <w:tab w:val="right" w:leader="dot" w:pos="9026"/>
        </w:tabs>
      </w:pPr>
      <w:r>
        <w:fldChar w:fldCharType="begin"/>
      </w:r>
      <w:r>
        <w:instrText xml:space="preserve"> HYPERLINK \l "_Toc3301" </w:instrText>
      </w:r>
      <w:r>
        <w:fldChar w:fldCharType="separate"/>
      </w:r>
      <w:r>
        <w:rPr>
          <w:rFonts w:ascii="仿宋_GB2312" w:hAnsi="仿宋_GB2312" w:eastAsia="仿宋_GB2312" w:cs="仿宋_GB2312"/>
          <w:kern w:val="36"/>
          <w:lang w:eastAsia="zh-CN"/>
        </w:rPr>
        <w:t>3项目需求</w:t>
      </w:r>
      <w:r>
        <w:tab/>
      </w:r>
      <w:r>
        <w:fldChar w:fldCharType="begin"/>
      </w:r>
      <w:r>
        <w:instrText xml:space="preserve"> PAGEREF _Toc3301 \h </w:instrText>
      </w:r>
      <w:r>
        <w:fldChar w:fldCharType="separate"/>
      </w:r>
      <w:r>
        <w:t>5</w:t>
      </w:r>
      <w:r>
        <w:fldChar w:fldCharType="end"/>
      </w:r>
      <w:r>
        <w:fldChar w:fldCharType="end"/>
      </w:r>
    </w:p>
    <w:p w14:paraId="26A3E028">
      <w:pPr>
        <w:pStyle w:val="13"/>
        <w:tabs>
          <w:tab w:val="right" w:leader="dot" w:pos="9026"/>
        </w:tabs>
      </w:pPr>
      <w:r>
        <w:fldChar w:fldCharType="begin"/>
      </w:r>
      <w:r>
        <w:instrText xml:space="preserve"> HYPERLINK \l "_Toc26520" </w:instrText>
      </w:r>
      <w:r>
        <w:fldChar w:fldCharType="separate"/>
      </w:r>
      <w:r>
        <w:rPr>
          <w:rFonts w:ascii="仿宋_GB2312" w:hAnsi="仿宋_GB2312" w:eastAsia="仿宋_GB2312" w:cs="仿宋_GB2312"/>
          <w:lang w:eastAsia="zh-CN"/>
        </w:rPr>
        <w:t>3.1总体要求</w:t>
      </w:r>
      <w:r>
        <w:tab/>
      </w:r>
      <w:r>
        <w:fldChar w:fldCharType="begin"/>
      </w:r>
      <w:r>
        <w:instrText xml:space="preserve"> PAGEREF _Toc26520 \h </w:instrText>
      </w:r>
      <w:r>
        <w:fldChar w:fldCharType="separate"/>
      </w:r>
      <w:r>
        <w:t>5</w:t>
      </w:r>
      <w:r>
        <w:fldChar w:fldCharType="end"/>
      </w:r>
      <w:r>
        <w:fldChar w:fldCharType="end"/>
      </w:r>
    </w:p>
    <w:p w14:paraId="7C87B80D">
      <w:pPr>
        <w:pStyle w:val="13"/>
        <w:tabs>
          <w:tab w:val="right" w:leader="dot" w:pos="9026"/>
        </w:tabs>
      </w:pPr>
      <w:r>
        <w:fldChar w:fldCharType="begin"/>
      </w:r>
      <w:r>
        <w:instrText xml:space="preserve"> HYPERLINK \l "_Toc31804" </w:instrText>
      </w:r>
      <w:r>
        <w:fldChar w:fldCharType="separate"/>
      </w:r>
      <w:r>
        <w:rPr>
          <w:rFonts w:ascii="仿宋_GB2312" w:hAnsi="仿宋_GB2312" w:eastAsia="仿宋_GB2312" w:cs="仿宋_GB2312"/>
          <w:lang w:eastAsia="zh-CN"/>
        </w:rPr>
        <w:t>3.2</w:t>
      </w:r>
      <w:r>
        <w:rPr>
          <w:rFonts w:ascii="仿宋_GB2312" w:hAnsi="仿宋_GB2312" w:eastAsia="仿宋_GB2312" w:cs="仿宋_GB2312"/>
        </w:rPr>
        <w:t>服务内容和要求</w:t>
      </w:r>
      <w:r>
        <w:tab/>
      </w:r>
      <w:r>
        <w:fldChar w:fldCharType="begin"/>
      </w:r>
      <w:r>
        <w:instrText xml:space="preserve"> PAGEREF _Toc31804 \h </w:instrText>
      </w:r>
      <w:r>
        <w:fldChar w:fldCharType="separate"/>
      </w:r>
      <w:r>
        <w:t>6</w:t>
      </w:r>
      <w:r>
        <w:fldChar w:fldCharType="end"/>
      </w:r>
      <w:r>
        <w:fldChar w:fldCharType="end"/>
      </w:r>
    </w:p>
    <w:p w14:paraId="7A294C7A">
      <w:pPr>
        <w:pStyle w:val="8"/>
        <w:tabs>
          <w:tab w:val="right" w:leader="dot" w:pos="9026"/>
        </w:tabs>
      </w:pPr>
      <w:r>
        <w:fldChar w:fldCharType="begin"/>
      </w:r>
      <w:r>
        <w:instrText xml:space="preserve"> HYPERLINK \l "_Toc32516" </w:instrText>
      </w:r>
      <w:r>
        <w:fldChar w:fldCharType="separate"/>
      </w:r>
      <w:r>
        <w:rPr>
          <w:rFonts w:hint="eastAsia" w:ascii="仿宋_GB2312" w:hAnsi="仿宋_GB2312" w:eastAsia="仿宋_GB2312" w:cs="仿宋_GB2312"/>
          <w:szCs w:val="28"/>
          <w:lang w:eastAsia="zh-CN"/>
        </w:rPr>
        <w:t>3.2.1技术和服务客观指标</w:t>
      </w:r>
      <w:r>
        <w:tab/>
      </w:r>
      <w:r>
        <w:fldChar w:fldCharType="begin"/>
      </w:r>
      <w:r>
        <w:instrText xml:space="preserve"> PAGEREF _Toc32516 \h </w:instrText>
      </w:r>
      <w:r>
        <w:fldChar w:fldCharType="separate"/>
      </w:r>
      <w:r>
        <w:t>6</w:t>
      </w:r>
      <w:r>
        <w:fldChar w:fldCharType="end"/>
      </w:r>
      <w:r>
        <w:fldChar w:fldCharType="end"/>
      </w:r>
    </w:p>
    <w:p w14:paraId="134FA841">
      <w:pPr>
        <w:pStyle w:val="8"/>
        <w:tabs>
          <w:tab w:val="right" w:leader="dot" w:pos="9026"/>
        </w:tabs>
      </w:pPr>
      <w:r>
        <w:fldChar w:fldCharType="begin"/>
      </w:r>
      <w:r>
        <w:instrText xml:space="preserve"> HYPERLINK \l "_Toc26562" </w:instrText>
      </w:r>
      <w:r>
        <w:fldChar w:fldCharType="separate"/>
      </w:r>
      <w:r>
        <w:rPr>
          <w:rFonts w:hint="eastAsia" w:ascii="仿宋_GB2312" w:hAnsi="仿宋_GB2312" w:eastAsia="仿宋_GB2312" w:cs="仿宋_GB2312"/>
          <w:szCs w:val="28"/>
          <w:lang w:eastAsia="zh-CN"/>
        </w:rPr>
        <w:t>3.2.2</w:t>
      </w:r>
      <w:r>
        <w:rPr>
          <w:rFonts w:ascii="仿宋_GB2312" w:hAnsi="仿宋_GB2312" w:eastAsia="仿宋_GB2312" w:cs="仿宋_GB2312"/>
          <w:szCs w:val="28"/>
        </w:rPr>
        <w:t>技术和服务其他要求</w:t>
      </w:r>
      <w:r>
        <w:tab/>
      </w:r>
      <w:r>
        <w:fldChar w:fldCharType="begin"/>
      </w:r>
      <w:r>
        <w:instrText xml:space="preserve"> PAGEREF _Toc26562 \h </w:instrText>
      </w:r>
      <w:r>
        <w:fldChar w:fldCharType="separate"/>
      </w:r>
      <w:r>
        <w:t>6</w:t>
      </w:r>
      <w:r>
        <w:fldChar w:fldCharType="end"/>
      </w:r>
      <w:r>
        <w:fldChar w:fldCharType="end"/>
      </w:r>
    </w:p>
    <w:p w14:paraId="08D7F4E2">
      <w:pPr>
        <w:pStyle w:val="12"/>
        <w:tabs>
          <w:tab w:val="right" w:leader="dot" w:pos="9026"/>
        </w:tabs>
      </w:pPr>
      <w:r>
        <w:fldChar w:fldCharType="begin"/>
      </w:r>
      <w:r>
        <w:instrText xml:space="preserve"> HYPERLINK \l "_Toc179" </w:instrText>
      </w:r>
      <w:r>
        <w:fldChar w:fldCharType="separate"/>
      </w:r>
      <w:r>
        <w:rPr>
          <w:rFonts w:ascii="仿宋_GB2312" w:hAnsi="仿宋_GB2312" w:eastAsia="仿宋_GB2312" w:cs="仿宋_GB2312"/>
          <w:kern w:val="36"/>
          <w:lang w:eastAsia="zh-CN"/>
        </w:rPr>
        <w:t>4人员要求</w:t>
      </w:r>
      <w:r>
        <w:tab/>
      </w:r>
      <w:r>
        <w:fldChar w:fldCharType="begin"/>
      </w:r>
      <w:r>
        <w:instrText xml:space="preserve"> PAGEREF _Toc179 \h </w:instrText>
      </w:r>
      <w:r>
        <w:fldChar w:fldCharType="separate"/>
      </w:r>
      <w:r>
        <w:t>8</w:t>
      </w:r>
      <w:r>
        <w:fldChar w:fldCharType="end"/>
      </w:r>
      <w:r>
        <w:fldChar w:fldCharType="end"/>
      </w:r>
    </w:p>
    <w:p w14:paraId="21804FF2">
      <w:pPr>
        <w:pStyle w:val="13"/>
        <w:tabs>
          <w:tab w:val="right" w:leader="dot" w:pos="9026"/>
        </w:tabs>
      </w:pPr>
      <w:r>
        <w:fldChar w:fldCharType="begin"/>
      </w:r>
      <w:r>
        <w:instrText xml:space="preserve"> HYPERLINK \l "_Toc2318" </w:instrText>
      </w:r>
      <w:r>
        <w:fldChar w:fldCharType="separate"/>
      </w:r>
      <w:r>
        <w:rPr>
          <w:rFonts w:hint="eastAsia" w:ascii="仿宋_GB2312" w:hAnsi="仿宋_GB2312" w:eastAsia="仿宋_GB2312" w:cs="仿宋_GB2312"/>
          <w:lang w:eastAsia="zh-CN"/>
        </w:rPr>
        <w:t>4.1总体要求</w:t>
      </w:r>
      <w:r>
        <w:tab/>
      </w:r>
      <w:r>
        <w:fldChar w:fldCharType="begin"/>
      </w:r>
      <w:r>
        <w:instrText xml:space="preserve"> PAGEREF _Toc2318 \h </w:instrText>
      </w:r>
      <w:r>
        <w:fldChar w:fldCharType="separate"/>
      </w:r>
      <w:r>
        <w:t>8</w:t>
      </w:r>
      <w:r>
        <w:fldChar w:fldCharType="end"/>
      </w:r>
      <w:r>
        <w:fldChar w:fldCharType="end"/>
      </w:r>
    </w:p>
    <w:p w14:paraId="0C67C0AC">
      <w:pPr>
        <w:pStyle w:val="13"/>
        <w:tabs>
          <w:tab w:val="right" w:leader="dot" w:pos="9026"/>
        </w:tabs>
      </w:pPr>
      <w:r>
        <w:fldChar w:fldCharType="begin"/>
      </w:r>
      <w:r>
        <w:instrText xml:space="preserve"> HYPERLINK \l "_Toc20581" </w:instrText>
      </w:r>
      <w:r>
        <w:fldChar w:fldCharType="separate"/>
      </w:r>
      <w:r>
        <w:rPr>
          <w:rFonts w:ascii="仿宋_GB2312" w:hAnsi="仿宋_GB2312" w:eastAsia="仿宋_GB2312" w:cs="仿宋_GB2312"/>
          <w:lang w:eastAsia="zh-CN"/>
        </w:rPr>
        <w:t>4.</w:t>
      </w:r>
      <w:r>
        <w:rPr>
          <w:rFonts w:hint="eastAsia" w:ascii="仿宋_GB2312" w:hAnsi="仿宋_GB2312" w:eastAsia="仿宋_GB2312" w:cs="仿宋_GB2312"/>
          <w:lang w:eastAsia="zh-CN"/>
        </w:rPr>
        <w:t>2具体</w:t>
      </w:r>
      <w:r>
        <w:rPr>
          <w:rFonts w:ascii="仿宋_GB2312" w:hAnsi="仿宋_GB2312" w:eastAsia="仿宋_GB2312" w:cs="仿宋_GB2312"/>
          <w:lang w:eastAsia="zh-CN"/>
        </w:rPr>
        <w:t>要求</w:t>
      </w:r>
      <w:r>
        <w:tab/>
      </w:r>
      <w:r>
        <w:fldChar w:fldCharType="begin"/>
      </w:r>
      <w:r>
        <w:instrText xml:space="preserve"> PAGEREF _Toc20581 \h </w:instrText>
      </w:r>
      <w:r>
        <w:fldChar w:fldCharType="separate"/>
      </w:r>
      <w:r>
        <w:t>8</w:t>
      </w:r>
      <w:r>
        <w:fldChar w:fldCharType="end"/>
      </w:r>
      <w:r>
        <w:fldChar w:fldCharType="end"/>
      </w:r>
    </w:p>
    <w:p w14:paraId="7C7F6BE8">
      <w:pPr>
        <w:pStyle w:val="12"/>
        <w:tabs>
          <w:tab w:val="right" w:leader="dot" w:pos="9026"/>
        </w:tabs>
      </w:pPr>
      <w:r>
        <w:fldChar w:fldCharType="begin"/>
      </w:r>
      <w:r>
        <w:instrText xml:space="preserve"> HYPERLINK \l "_Toc2907" </w:instrText>
      </w:r>
      <w:r>
        <w:fldChar w:fldCharType="separate"/>
      </w:r>
      <w:r>
        <w:rPr>
          <w:rFonts w:ascii="仿宋_GB2312" w:hAnsi="仿宋_GB2312" w:eastAsia="仿宋_GB2312" w:cs="仿宋_GB2312"/>
          <w:kern w:val="36"/>
          <w:lang w:eastAsia="zh-CN"/>
        </w:rPr>
        <w:t>5管理实施要求</w:t>
      </w:r>
      <w:r>
        <w:tab/>
      </w:r>
      <w:r>
        <w:fldChar w:fldCharType="begin"/>
      </w:r>
      <w:r>
        <w:instrText xml:space="preserve"> PAGEREF _Toc2907 \h </w:instrText>
      </w:r>
      <w:r>
        <w:fldChar w:fldCharType="separate"/>
      </w:r>
      <w:r>
        <w:t>9</w:t>
      </w:r>
      <w:r>
        <w:fldChar w:fldCharType="end"/>
      </w:r>
      <w:r>
        <w:fldChar w:fldCharType="end"/>
      </w:r>
    </w:p>
    <w:p w14:paraId="575D0380">
      <w:pPr>
        <w:pStyle w:val="12"/>
        <w:tabs>
          <w:tab w:val="right" w:leader="dot" w:pos="9026"/>
        </w:tabs>
      </w:pPr>
      <w:r>
        <w:fldChar w:fldCharType="begin"/>
      </w:r>
      <w:r>
        <w:instrText xml:space="preserve"> HYPERLINK \l "_Toc20728" </w:instrText>
      </w:r>
      <w:r>
        <w:fldChar w:fldCharType="separate"/>
      </w:r>
      <w:r>
        <w:rPr>
          <w:rFonts w:ascii="仿宋_GB2312" w:hAnsi="仿宋_GB2312" w:eastAsia="仿宋_GB2312" w:cs="仿宋_GB2312"/>
          <w:kern w:val="36"/>
          <w:lang w:eastAsia="zh-CN"/>
        </w:rPr>
        <w:t>6风险管控要求</w:t>
      </w:r>
      <w:r>
        <w:tab/>
      </w:r>
      <w:r>
        <w:fldChar w:fldCharType="begin"/>
      </w:r>
      <w:r>
        <w:instrText xml:space="preserve"> PAGEREF _Toc20728 \h </w:instrText>
      </w:r>
      <w:r>
        <w:fldChar w:fldCharType="separate"/>
      </w:r>
      <w:r>
        <w:t>10</w:t>
      </w:r>
      <w:r>
        <w:fldChar w:fldCharType="end"/>
      </w:r>
      <w:r>
        <w:fldChar w:fldCharType="end"/>
      </w:r>
    </w:p>
    <w:p w14:paraId="00E3AE0A">
      <w:pPr>
        <w:pStyle w:val="12"/>
        <w:tabs>
          <w:tab w:val="right" w:leader="dot" w:pos="9026"/>
        </w:tabs>
      </w:pPr>
      <w:r>
        <w:fldChar w:fldCharType="begin"/>
      </w:r>
      <w:r>
        <w:instrText xml:space="preserve"> HYPERLINK \l "_Toc24664" </w:instrText>
      </w:r>
      <w:r>
        <w:fldChar w:fldCharType="separate"/>
      </w:r>
      <w:r>
        <w:rPr>
          <w:rFonts w:ascii="仿宋_GB2312" w:hAnsi="仿宋_GB2312" w:eastAsia="仿宋_GB2312" w:cs="仿宋_GB2312"/>
          <w:kern w:val="36"/>
          <w:lang w:eastAsia="zh-CN"/>
        </w:rPr>
        <w:t>7履约验收要求</w:t>
      </w:r>
      <w:r>
        <w:tab/>
      </w:r>
      <w:r>
        <w:fldChar w:fldCharType="begin"/>
      </w:r>
      <w:r>
        <w:instrText xml:space="preserve"> PAGEREF _Toc24664 \h </w:instrText>
      </w:r>
      <w:r>
        <w:fldChar w:fldCharType="separate"/>
      </w:r>
      <w:r>
        <w:t>10</w:t>
      </w:r>
      <w:r>
        <w:fldChar w:fldCharType="end"/>
      </w:r>
      <w:r>
        <w:fldChar w:fldCharType="end"/>
      </w:r>
    </w:p>
    <w:p w14:paraId="2F48255F">
      <w:pPr>
        <w:pStyle w:val="13"/>
        <w:tabs>
          <w:tab w:val="right" w:leader="dot" w:pos="9026"/>
        </w:tabs>
      </w:pPr>
      <w:r>
        <w:fldChar w:fldCharType="begin"/>
      </w:r>
      <w:r>
        <w:instrText xml:space="preserve"> HYPERLINK \l "_Toc1662" </w:instrText>
      </w:r>
      <w:r>
        <w:fldChar w:fldCharType="separate"/>
      </w:r>
      <w:r>
        <w:rPr>
          <w:rFonts w:ascii="仿宋_GB2312" w:hAnsi="仿宋_GB2312" w:eastAsia="仿宋_GB2312" w:cs="仿宋_GB2312"/>
        </w:rPr>
        <w:t>7.1总体要求</w:t>
      </w:r>
      <w:r>
        <w:tab/>
      </w:r>
      <w:r>
        <w:fldChar w:fldCharType="begin"/>
      </w:r>
      <w:r>
        <w:instrText xml:space="preserve"> PAGEREF _Toc1662 \h </w:instrText>
      </w:r>
      <w:r>
        <w:fldChar w:fldCharType="separate"/>
      </w:r>
      <w:r>
        <w:t>10</w:t>
      </w:r>
      <w:r>
        <w:fldChar w:fldCharType="end"/>
      </w:r>
      <w:r>
        <w:fldChar w:fldCharType="end"/>
      </w:r>
    </w:p>
    <w:p w14:paraId="4CF2FC08">
      <w:pPr>
        <w:pStyle w:val="13"/>
        <w:tabs>
          <w:tab w:val="right" w:leader="dot" w:pos="9026"/>
        </w:tabs>
      </w:pPr>
      <w:r>
        <w:fldChar w:fldCharType="begin"/>
      </w:r>
      <w:r>
        <w:instrText xml:space="preserve"> HYPERLINK \l "_Toc30826" </w:instrText>
      </w:r>
      <w:r>
        <w:fldChar w:fldCharType="separate"/>
      </w:r>
      <w:r>
        <w:rPr>
          <w:rFonts w:ascii="仿宋_GB2312" w:hAnsi="仿宋_GB2312" w:eastAsia="仿宋_GB2312" w:cs="仿宋_GB2312"/>
          <w:lang w:eastAsia="zh-CN"/>
        </w:rPr>
        <w:t>7.2</w:t>
      </w:r>
      <w:r>
        <w:rPr>
          <w:rFonts w:hint="eastAsia" w:ascii="仿宋_GB2312" w:hAnsi="仿宋_GB2312" w:eastAsia="仿宋_GB2312" w:cs="仿宋_GB2312"/>
          <w:lang w:eastAsia="zh-CN"/>
        </w:rPr>
        <w:t>验收考核标准与要求</w:t>
      </w:r>
      <w:r>
        <w:tab/>
      </w:r>
      <w:r>
        <w:fldChar w:fldCharType="begin"/>
      </w:r>
      <w:r>
        <w:instrText xml:space="preserve"> PAGEREF _Toc30826 \h </w:instrText>
      </w:r>
      <w:r>
        <w:fldChar w:fldCharType="separate"/>
      </w:r>
      <w:r>
        <w:t>10</w:t>
      </w:r>
      <w:r>
        <w:fldChar w:fldCharType="end"/>
      </w:r>
      <w:r>
        <w:fldChar w:fldCharType="end"/>
      </w:r>
    </w:p>
    <w:p w14:paraId="3BE53C45">
      <w:pPr>
        <w:pStyle w:val="12"/>
        <w:tabs>
          <w:tab w:val="right" w:leader="dot" w:pos="9026"/>
        </w:tabs>
      </w:pPr>
      <w:r>
        <w:fldChar w:fldCharType="begin"/>
      </w:r>
      <w:r>
        <w:instrText xml:space="preserve"> HYPERLINK \l "_Toc4608" </w:instrText>
      </w:r>
      <w:r>
        <w:fldChar w:fldCharType="separate"/>
      </w:r>
      <w:r>
        <w:rPr>
          <w:rFonts w:ascii="仿宋_GB2312" w:hAnsi="仿宋_GB2312" w:eastAsia="仿宋_GB2312" w:cs="仿宋_GB2312"/>
          <w:kern w:val="36"/>
          <w:lang w:eastAsia="zh-CN"/>
        </w:rPr>
        <w:t>8其他要求</w:t>
      </w:r>
      <w:r>
        <w:tab/>
      </w:r>
      <w:r>
        <w:fldChar w:fldCharType="begin"/>
      </w:r>
      <w:r>
        <w:instrText xml:space="preserve"> PAGEREF _Toc4608 \h </w:instrText>
      </w:r>
      <w:r>
        <w:fldChar w:fldCharType="separate"/>
      </w:r>
      <w:r>
        <w:t>12</w:t>
      </w:r>
      <w:r>
        <w:fldChar w:fldCharType="end"/>
      </w:r>
      <w:r>
        <w:fldChar w:fldCharType="end"/>
      </w:r>
    </w:p>
    <w:p w14:paraId="09FE659B">
      <w:pPr>
        <w:pStyle w:val="13"/>
        <w:tabs>
          <w:tab w:val="right" w:leader="dot" w:pos="9026"/>
        </w:tabs>
      </w:pPr>
      <w:r>
        <w:fldChar w:fldCharType="begin"/>
      </w:r>
      <w:r>
        <w:instrText xml:space="preserve"> HYPERLINK \l "_Toc25054" </w:instrText>
      </w:r>
      <w:r>
        <w:fldChar w:fldCharType="separate"/>
      </w:r>
      <w:r>
        <w:rPr>
          <w:rFonts w:ascii="仿宋_GB2312" w:hAnsi="仿宋_GB2312" w:eastAsia="仿宋_GB2312" w:cs="仿宋_GB2312"/>
          <w:lang w:eastAsia="zh-CN"/>
        </w:rPr>
        <w:t>8.1付款安排建议</w:t>
      </w:r>
      <w:r>
        <w:tab/>
      </w:r>
      <w:r>
        <w:fldChar w:fldCharType="begin"/>
      </w:r>
      <w:r>
        <w:instrText xml:space="preserve"> PAGEREF _Toc25054 \h </w:instrText>
      </w:r>
      <w:r>
        <w:fldChar w:fldCharType="separate"/>
      </w:r>
      <w:r>
        <w:t>12</w:t>
      </w:r>
      <w:r>
        <w:fldChar w:fldCharType="end"/>
      </w:r>
      <w:r>
        <w:fldChar w:fldCharType="end"/>
      </w:r>
    </w:p>
    <w:p w14:paraId="68BDC914">
      <w:pPr>
        <w:pStyle w:val="13"/>
        <w:tabs>
          <w:tab w:val="right" w:leader="dot" w:pos="9026"/>
        </w:tabs>
      </w:pPr>
      <w:r>
        <w:fldChar w:fldCharType="begin"/>
      </w:r>
      <w:r>
        <w:instrText xml:space="preserve"> HYPERLINK \l "_Toc7254" </w:instrText>
      </w:r>
      <w:r>
        <w:fldChar w:fldCharType="separate"/>
      </w:r>
      <w:r>
        <w:rPr>
          <w:rFonts w:ascii="仿宋_GB2312" w:hAnsi="仿宋_GB2312" w:eastAsia="仿宋_GB2312" w:cs="仿宋_GB2312"/>
          <w:lang w:eastAsia="zh-CN"/>
        </w:rPr>
        <w:t>8.2</w:t>
      </w:r>
      <w:r>
        <w:rPr>
          <w:rFonts w:hint="eastAsia" w:ascii="仿宋_GB2312" w:hAnsi="仿宋_GB2312" w:eastAsia="仿宋_GB2312" w:cs="仿宋_GB2312"/>
          <w:lang w:eastAsia="zh-CN"/>
        </w:rPr>
        <w:t>其他</w:t>
      </w:r>
      <w:r>
        <w:rPr>
          <w:rFonts w:ascii="仿宋_GB2312" w:hAnsi="仿宋_GB2312" w:eastAsia="仿宋_GB2312" w:cs="仿宋_GB2312"/>
          <w:lang w:eastAsia="zh-CN"/>
        </w:rPr>
        <w:t>要求</w:t>
      </w:r>
      <w:r>
        <w:tab/>
      </w:r>
      <w:r>
        <w:fldChar w:fldCharType="begin"/>
      </w:r>
      <w:r>
        <w:instrText xml:space="preserve"> PAGEREF _Toc7254 \h </w:instrText>
      </w:r>
      <w:r>
        <w:fldChar w:fldCharType="separate"/>
      </w:r>
      <w:r>
        <w:t>13</w:t>
      </w:r>
      <w:r>
        <w:fldChar w:fldCharType="end"/>
      </w:r>
      <w:r>
        <w:fldChar w:fldCharType="end"/>
      </w:r>
    </w:p>
    <w:p w14:paraId="13079AEF">
      <w:pPr>
        <w:pStyle w:val="13"/>
        <w:tabs>
          <w:tab w:val="right" w:leader="dot" w:pos="9026"/>
        </w:tabs>
      </w:pPr>
      <w:r>
        <w:fldChar w:fldCharType="begin"/>
      </w:r>
      <w:r>
        <w:instrText xml:space="preserve"> HYPERLINK \l "_Toc12006" </w:instrText>
      </w:r>
      <w:r>
        <w:fldChar w:fldCharType="separate"/>
      </w:r>
      <w:r>
        <w:rPr>
          <w:rFonts w:ascii="仿宋_GB2312" w:hAnsi="仿宋_GB2312" w:eastAsia="仿宋_GB2312" w:cs="仿宋_GB2312"/>
          <w:lang w:eastAsia="zh-CN"/>
        </w:rPr>
        <w:t>8.</w:t>
      </w:r>
      <w:r>
        <w:rPr>
          <w:rFonts w:hint="eastAsia" w:ascii="仿宋_GB2312" w:hAnsi="仿宋_GB2312" w:eastAsia="仿宋_GB2312" w:cs="仿宋_GB2312"/>
          <w:lang w:eastAsia="zh-CN"/>
        </w:rPr>
        <w:t>2.1</w:t>
      </w:r>
      <w:r>
        <w:rPr>
          <w:rFonts w:ascii="仿宋_GB2312" w:hAnsi="仿宋_GB2312" w:eastAsia="仿宋_GB2312" w:cs="仿宋_GB2312"/>
          <w:lang w:eastAsia="zh-CN"/>
        </w:rPr>
        <w:t>保密要求</w:t>
      </w:r>
      <w:r>
        <w:tab/>
      </w:r>
      <w:r>
        <w:fldChar w:fldCharType="begin"/>
      </w:r>
      <w:r>
        <w:instrText xml:space="preserve"> PAGEREF _Toc12006 \h </w:instrText>
      </w:r>
      <w:r>
        <w:fldChar w:fldCharType="separate"/>
      </w:r>
      <w:r>
        <w:t>13</w:t>
      </w:r>
      <w:r>
        <w:fldChar w:fldCharType="end"/>
      </w:r>
      <w:r>
        <w:fldChar w:fldCharType="end"/>
      </w:r>
    </w:p>
    <w:p w14:paraId="5C37EBF1">
      <w:pPr>
        <w:spacing w:line="360" w:lineRule="auto"/>
      </w:pPr>
      <w:r>
        <w:rPr>
          <w:rFonts w:ascii="宋体" w:hAnsi="宋体" w:eastAsia="宋体" w:cs="宋体"/>
        </w:rPr>
        <w:fldChar w:fldCharType="end"/>
      </w:r>
      <w:r>
        <w:br w:type="page"/>
      </w:r>
    </w:p>
    <w:p w14:paraId="5B4E8C80">
      <w:pPr>
        <w:pStyle w:val="3"/>
        <w:keepNext w:val="0"/>
        <w:spacing w:before="0" w:after="0" w:line="360" w:lineRule="auto"/>
        <w:jc w:val="center"/>
        <w:rPr>
          <w:rFonts w:ascii="仿宋_GB2312" w:hAnsi="仿宋_GB2312" w:eastAsia="仿宋_GB2312" w:cs="仿宋_GB2312"/>
          <w:lang w:eastAsia="zh-CN"/>
        </w:rPr>
      </w:pPr>
      <w:bookmarkStart w:id="0" w:name="_Toc25417"/>
      <w:r>
        <w:rPr>
          <w:rFonts w:ascii="仿宋_GB2312" w:hAnsi="仿宋_GB2312" w:eastAsia="仿宋_GB2312" w:cs="仿宋_GB2312"/>
          <w:kern w:val="36"/>
          <w:lang w:eastAsia="zh-CN"/>
        </w:rPr>
        <w:t>1项目概述</w:t>
      </w:r>
      <w:bookmarkEnd w:id="0"/>
    </w:p>
    <w:p w14:paraId="3C7B9F2F">
      <w:pPr>
        <w:pStyle w:val="4"/>
        <w:keepNext w:val="0"/>
        <w:spacing w:before="0" w:after="0" w:line="360" w:lineRule="auto"/>
        <w:rPr>
          <w:rFonts w:ascii="仿宋_GB2312" w:hAnsi="仿宋_GB2312" w:eastAsia="仿宋_GB2312" w:cs="仿宋_GB2312"/>
          <w:lang w:eastAsia="zh-CN"/>
        </w:rPr>
      </w:pPr>
      <w:bookmarkStart w:id="1" w:name="_Toc29139"/>
      <w:r>
        <w:rPr>
          <w:rFonts w:ascii="仿宋_GB2312" w:hAnsi="仿宋_GB2312" w:eastAsia="仿宋_GB2312" w:cs="仿宋_GB2312"/>
          <w:i w:val="0"/>
          <w:iCs w:val="0"/>
          <w:lang w:eastAsia="zh-CN"/>
        </w:rPr>
        <w:t>1.1项目背景</w:t>
      </w:r>
      <w:bookmarkEnd w:id="1"/>
    </w:p>
    <w:p w14:paraId="0D8803D9">
      <w:pPr>
        <w:pStyle w:val="5"/>
        <w:keepNext w:val="0"/>
        <w:spacing w:before="0" w:after="0" w:line="360" w:lineRule="auto"/>
        <w:rPr>
          <w:rFonts w:ascii="仿宋_GB2312" w:hAnsi="仿宋_GB2312" w:eastAsia="仿宋_GB2312" w:cs="仿宋_GB2312"/>
          <w:sz w:val="28"/>
          <w:szCs w:val="28"/>
          <w:lang w:eastAsia="zh-CN"/>
        </w:rPr>
      </w:pPr>
      <w:bookmarkStart w:id="2" w:name="_Toc18514"/>
      <w:r>
        <w:rPr>
          <w:rFonts w:ascii="仿宋_GB2312" w:hAnsi="仿宋_GB2312" w:eastAsia="仿宋_GB2312" w:cs="仿宋_GB2312"/>
          <w:sz w:val="28"/>
          <w:szCs w:val="28"/>
          <w:lang w:eastAsia="zh-CN"/>
        </w:rPr>
        <w:t>1.1.1项目背景</w:t>
      </w:r>
      <w:bookmarkEnd w:id="2"/>
    </w:p>
    <w:p w14:paraId="3E944C75">
      <w:pPr>
        <w:spacing w:line="360" w:lineRule="auto"/>
        <w:ind w:firstLine="560" w:firstLineChars="200"/>
        <w:jc w:val="both"/>
        <w:rPr>
          <w:rFonts w:ascii="FangSong_GB2312" w:hAnsi="FangSong_GB2312" w:eastAsia="FangSong_GB2312" w:cs="FangSong_GB2312"/>
          <w:lang w:eastAsia="zh-CN"/>
        </w:rPr>
      </w:pPr>
      <w:bookmarkStart w:id="3" w:name="项目名称1"/>
      <w:r>
        <w:rPr>
          <w:rFonts w:hint="eastAsia" w:ascii="仿宋_GB2312" w:hAnsi="仿宋_GB2312" w:eastAsia="仿宋_GB2312" w:cs="仿宋_GB2312"/>
          <w:sz w:val="28"/>
          <w:szCs w:val="28"/>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74474212">
      <w:pPr>
        <w:pStyle w:val="4"/>
        <w:keepNext w:val="0"/>
        <w:spacing w:before="0" w:after="0" w:line="360" w:lineRule="auto"/>
        <w:rPr>
          <w:rFonts w:ascii="仿宋_GB2312" w:hAnsi="仿宋_GB2312" w:eastAsia="仿宋_GB2312" w:cs="仿宋_GB2312"/>
          <w:lang w:eastAsia="zh-CN"/>
        </w:rPr>
      </w:pPr>
      <w:bookmarkStart w:id="4" w:name="_Toc8560"/>
      <w:r>
        <w:rPr>
          <w:rFonts w:ascii="仿宋_GB2312" w:hAnsi="仿宋_GB2312" w:eastAsia="仿宋_GB2312" w:cs="仿宋_GB2312"/>
          <w:i w:val="0"/>
          <w:iCs w:val="0"/>
          <w:lang w:eastAsia="zh-CN"/>
        </w:rPr>
        <w:t>1.2项目内容</w:t>
      </w:r>
      <w:bookmarkEnd w:id="4"/>
    </w:p>
    <w:p w14:paraId="20A85157">
      <w:pPr>
        <w:pStyle w:val="5"/>
        <w:keepNext w:val="0"/>
        <w:spacing w:before="0" w:after="0" w:line="360" w:lineRule="auto"/>
        <w:rPr>
          <w:rFonts w:ascii="仿宋_GB2312" w:hAnsi="仿宋_GB2312" w:eastAsia="仿宋_GB2312" w:cs="仿宋_GB2312"/>
          <w:sz w:val="28"/>
          <w:szCs w:val="28"/>
          <w:lang w:eastAsia="zh-CN"/>
        </w:rPr>
      </w:pPr>
      <w:bookmarkStart w:id="5" w:name="_Toc6003"/>
      <w:r>
        <w:rPr>
          <w:rFonts w:ascii="仿宋_GB2312" w:hAnsi="仿宋_GB2312" w:eastAsia="仿宋_GB2312" w:cs="仿宋_GB2312"/>
          <w:sz w:val="28"/>
          <w:szCs w:val="28"/>
          <w:lang w:eastAsia="zh-CN"/>
        </w:rPr>
        <w:t>1.2.1采购内容</w:t>
      </w:r>
      <w:bookmarkEnd w:id="5"/>
    </w:p>
    <w:p w14:paraId="04A95C61">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本包件为第四税务分局（工作时间和非工作时间）网上办税系统技术咨询服务，服务内容：为纳税人提供免费的咨询服务，包括税费政策咨询、操作辅导、软件技术咨询、涉税投诉举报等。</w:t>
      </w:r>
      <w:r>
        <w:rPr>
          <w:rFonts w:ascii="仿宋_GB2312" w:hAnsi="仿宋_GB2312" w:eastAsia="仿宋_GB2312" w:cs="仿宋_GB2312"/>
          <w:sz w:val="28"/>
          <w:szCs w:val="28"/>
          <w:lang w:eastAsia="zh-CN"/>
        </w:rPr>
        <w:t>工作时间</w:t>
      </w:r>
      <w:r>
        <w:rPr>
          <w:rFonts w:hint="eastAsia" w:ascii="仿宋_GB2312" w:hAnsi="仿宋_GB2312" w:eastAsia="仿宋_GB2312" w:cs="仿宋_GB2312"/>
          <w:sz w:val="28"/>
          <w:szCs w:val="28"/>
          <w:lang w:eastAsia="zh-CN"/>
        </w:rPr>
        <w:t>指</w:t>
      </w:r>
      <w:r>
        <w:rPr>
          <w:rFonts w:ascii="仿宋_GB2312" w:hAnsi="仿宋_GB2312" w:eastAsia="仿宋_GB2312" w:cs="仿宋_GB2312"/>
          <w:sz w:val="28"/>
          <w:szCs w:val="28"/>
          <w:lang w:eastAsia="zh-CN"/>
        </w:rPr>
        <w:t>法定工作日上午</w:t>
      </w:r>
      <w:r>
        <w:rPr>
          <w:rFonts w:hint="eastAsia" w:ascii="仿宋_GB2312" w:hAnsi="仿宋_GB2312" w:eastAsia="仿宋_GB2312" w:cs="仿宋_GB2312"/>
          <w:sz w:val="28"/>
          <w:szCs w:val="28"/>
          <w:lang w:val="en-US" w:eastAsia="zh-CN"/>
        </w:rPr>
        <w:t>9</w:t>
      </w:r>
      <w:r>
        <w:rPr>
          <w:rFonts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w:t>
      </w:r>
      <w:r>
        <w:rPr>
          <w:rFonts w:ascii="仿宋_GB2312" w:hAnsi="仿宋_GB2312" w:eastAsia="仿宋_GB2312" w:cs="仿宋_GB2312"/>
          <w:sz w:val="28"/>
          <w:szCs w:val="28"/>
          <w:lang w:eastAsia="zh-CN"/>
        </w:rPr>
        <w:t>0至下午17:00，</w:t>
      </w:r>
      <w:r>
        <w:rPr>
          <w:rFonts w:hint="eastAsia" w:ascii="仿宋_GB2312" w:hAnsi="仿宋_GB2312" w:eastAsia="仿宋_GB2312" w:cs="仿宋_GB2312"/>
          <w:sz w:val="28"/>
          <w:szCs w:val="28"/>
          <w:lang w:eastAsia="zh-CN"/>
        </w:rPr>
        <w:t>非工作时间指</w:t>
      </w:r>
      <w:r>
        <w:rPr>
          <w:rFonts w:ascii="仿宋_GB2312" w:hAnsi="仿宋_GB2312" w:eastAsia="仿宋_GB2312" w:cs="仿宋_GB2312"/>
          <w:sz w:val="28"/>
          <w:szCs w:val="28"/>
          <w:lang w:eastAsia="zh-CN"/>
        </w:rPr>
        <w:t>法定工作</w:t>
      </w:r>
      <w:r>
        <w:rPr>
          <w:rFonts w:hint="eastAsia" w:ascii="仿宋_GB2312" w:hAnsi="仿宋_GB2312" w:eastAsia="仿宋_GB2312" w:cs="仿宋_GB2312"/>
          <w:sz w:val="28"/>
          <w:szCs w:val="28"/>
          <w:lang w:eastAsia="zh-CN"/>
        </w:rPr>
        <w:t>日下午17:00至次日上午9:00及双休日和法定节假日全天。如需提供延时服务按照采购人具体工作布置落实。</w:t>
      </w:r>
    </w:p>
    <w:p w14:paraId="50A8056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本包件预算金额为10694626.08元。</w:t>
      </w:r>
    </w:p>
    <w:p w14:paraId="6C37B7A6">
      <w:pPr>
        <w:pStyle w:val="5"/>
        <w:keepNext w:val="0"/>
        <w:spacing w:before="0" w:after="0" w:line="360" w:lineRule="auto"/>
        <w:rPr>
          <w:rFonts w:ascii="仿宋_GB2312" w:hAnsi="仿宋_GB2312" w:eastAsia="仿宋_GB2312" w:cs="仿宋_GB2312"/>
          <w:sz w:val="28"/>
          <w:szCs w:val="28"/>
          <w:lang w:eastAsia="zh-CN"/>
        </w:rPr>
      </w:pPr>
      <w:bookmarkStart w:id="6" w:name="_Toc11206"/>
      <w:r>
        <w:rPr>
          <w:rFonts w:ascii="仿宋_GB2312" w:hAnsi="仿宋_GB2312" w:eastAsia="仿宋_GB2312" w:cs="仿宋_GB2312"/>
          <w:sz w:val="28"/>
          <w:szCs w:val="28"/>
          <w:lang w:eastAsia="zh-CN"/>
        </w:rPr>
        <w:t>1.2.2项目实施要求</w:t>
      </w:r>
      <w:bookmarkEnd w:id="6"/>
    </w:p>
    <w:p w14:paraId="0506E669">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1.2.2.1实施范围要求</w:t>
      </w:r>
    </w:p>
    <w:p w14:paraId="08339B99">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本包件为第四税务分局（工作时间和非工作时间）网上办税系统技术咨询服务，服务内容：为纳税人提供免费的咨询服务，包括税费政策咨询、操作辅导、软件技术咨询、涉税投诉举报等。</w:t>
      </w:r>
      <w:r>
        <w:rPr>
          <w:rFonts w:ascii="仿宋_GB2312" w:hAnsi="仿宋_GB2312" w:eastAsia="仿宋_GB2312" w:cs="仿宋_GB2312"/>
          <w:sz w:val="28"/>
          <w:szCs w:val="28"/>
          <w:lang w:eastAsia="zh-CN"/>
        </w:rPr>
        <w:t>工作时间</w:t>
      </w:r>
      <w:r>
        <w:rPr>
          <w:rFonts w:hint="eastAsia" w:ascii="仿宋_GB2312" w:hAnsi="仿宋_GB2312" w:eastAsia="仿宋_GB2312" w:cs="仿宋_GB2312"/>
          <w:sz w:val="28"/>
          <w:szCs w:val="28"/>
          <w:lang w:eastAsia="zh-CN"/>
        </w:rPr>
        <w:t>指</w:t>
      </w:r>
      <w:r>
        <w:rPr>
          <w:rFonts w:ascii="仿宋_GB2312" w:hAnsi="仿宋_GB2312" w:eastAsia="仿宋_GB2312" w:cs="仿宋_GB2312"/>
          <w:sz w:val="28"/>
          <w:szCs w:val="28"/>
          <w:lang w:eastAsia="zh-CN"/>
        </w:rPr>
        <w:t>法定工作日上午</w:t>
      </w:r>
      <w:r>
        <w:rPr>
          <w:rFonts w:hint="eastAsia" w:ascii="仿宋_GB2312" w:hAnsi="仿宋_GB2312" w:eastAsia="仿宋_GB2312" w:cs="仿宋_GB2312"/>
          <w:sz w:val="28"/>
          <w:szCs w:val="28"/>
          <w:lang w:val="en-US" w:eastAsia="zh-CN"/>
        </w:rPr>
        <w:t>9</w:t>
      </w:r>
      <w:r>
        <w:rPr>
          <w:rFonts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w:t>
      </w:r>
      <w:r>
        <w:rPr>
          <w:rFonts w:ascii="仿宋_GB2312" w:hAnsi="仿宋_GB2312" w:eastAsia="仿宋_GB2312" w:cs="仿宋_GB2312"/>
          <w:sz w:val="28"/>
          <w:szCs w:val="28"/>
          <w:lang w:eastAsia="zh-CN"/>
        </w:rPr>
        <w:t>0至下午17:00，</w:t>
      </w:r>
      <w:r>
        <w:rPr>
          <w:rFonts w:hint="eastAsia" w:ascii="仿宋_GB2312" w:hAnsi="仿宋_GB2312" w:eastAsia="仿宋_GB2312" w:cs="仿宋_GB2312"/>
          <w:sz w:val="28"/>
          <w:szCs w:val="28"/>
          <w:lang w:eastAsia="zh-CN"/>
        </w:rPr>
        <w:t>非工作时间指</w:t>
      </w:r>
      <w:r>
        <w:rPr>
          <w:rFonts w:ascii="仿宋_GB2312" w:hAnsi="仿宋_GB2312" w:eastAsia="仿宋_GB2312" w:cs="仿宋_GB2312"/>
          <w:sz w:val="28"/>
          <w:szCs w:val="28"/>
          <w:lang w:eastAsia="zh-CN"/>
        </w:rPr>
        <w:t>法定工作</w:t>
      </w:r>
      <w:r>
        <w:rPr>
          <w:rFonts w:hint="eastAsia" w:ascii="仿宋_GB2312" w:hAnsi="仿宋_GB2312" w:eastAsia="仿宋_GB2312" w:cs="仿宋_GB2312"/>
          <w:sz w:val="28"/>
          <w:szCs w:val="28"/>
          <w:lang w:eastAsia="zh-CN"/>
        </w:rPr>
        <w:t>日下午17:00至次日上午9:00及双休日和法定节假日全天。如需提供延时服务按照采购人具体工作布置落实。</w:t>
      </w:r>
    </w:p>
    <w:p w14:paraId="5FD3A08B">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1.2.2.2实施时间要求</w:t>
      </w:r>
    </w:p>
    <w:p w14:paraId="1597A11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highlight w:val="none"/>
          <w:lang w:eastAsia="zh-CN"/>
        </w:rPr>
        <w:t>本包件服务期限为</w:t>
      </w:r>
      <w:r>
        <w:rPr>
          <w:rFonts w:hint="eastAsia" w:ascii="仿宋_GB2312" w:hAnsi="仿宋_GB2312" w:eastAsia="仿宋_GB2312" w:cs="仿宋_GB2312"/>
          <w:sz w:val="28"/>
          <w:szCs w:val="28"/>
          <w:lang w:eastAsia="zh-CN"/>
        </w:rPr>
        <w:t>自合同签订生效之日起一年。</w:t>
      </w:r>
    </w:p>
    <w:p w14:paraId="0A948835">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1.2.2.3实施地点要求</w:t>
      </w:r>
    </w:p>
    <w:p w14:paraId="2DB35C23">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采购人指定地点。</w:t>
      </w:r>
    </w:p>
    <w:p w14:paraId="565C3B81">
      <w:pPr>
        <w:pStyle w:val="4"/>
        <w:keepNext w:val="0"/>
        <w:spacing w:before="0" w:after="0" w:line="360" w:lineRule="auto"/>
        <w:rPr>
          <w:rFonts w:ascii="仿宋_GB2312" w:hAnsi="仿宋_GB2312" w:eastAsia="仿宋_GB2312" w:cs="仿宋_GB2312"/>
          <w:lang w:eastAsia="zh-CN"/>
        </w:rPr>
      </w:pPr>
      <w:bookmarkStart w:id="7" w:name="_Toc23656"/>
      <w:bookmarkStart w:id="8" w:name="_Toc25504"/>
      <w:r>
        <w:rPr>
          <w:rFonts w:ascii="仿宋_GB2312" w:hAnsi="仿宋_GB2312" w:eastAsia="仿宋_GB2312" w:cs="仿宋_GB2312"/>
          <w:i w:val="0"/>
          <w:iCs w:val="0"/>
          <w:lang w:eastAsia="zh-CN"/>
        </w:rPr>
        <w:t>1.3其他要求</w:t>
      </w:r>
      <w:bookmarkEnd w:id="7"/>
      <w:bookmarkEnd w:id="8"/>
    </w:p>
    <w:p w14:paraId="00A11843">
      <w:pPr>
        <w:pStyle w:val="5"/>
        <w:keepNext w:val="0"/>
        <w:spacing w:before="0" w:after="0" w:line="360" w:lineRule="auto"/>
        <w:rPr>
          <w:rFonts w:ascii="仿宋_GB2312" w:hAnsi="仿宋_GB2312" w:eastAsia="仿宋_GB2312" w:cs="仿宋_GB2312"/>
          <w:sz w:val="28"/>
          <w:szCs w:val="28"/>
          <w:lang w:eastAsia="zh-CN"/>
        </w:rPr>
      </w:pPr>
      <w:bookmarkStart w:id="9" w:name="_Toc20385"/>
      <w:bookmarkStart w:id="10" w:name="_Toc27507"/>
      <w:r>
        <w:rPr>
          <w:rFonts w:ascii="仿宋_GB2312" w:hAnsi="仿宋_GB2312" w:eastAsia="仿宋_GB2312" w:cs="仿宋_GB2312"/>
          <w:sz w:val="28"/>
          <w:szCs w:val="28"/>
          <w:lang w:eastAsia="zh-CN"/>
        </w:rPr>
        <w:t>1.3.1采购标的需执行的相关标准规范</w:t>
      </w:r>
      <w:bookmarkEnd w:id="9"/>
      <w:bookmarkEnd w:id="10"/>
    </w:p>
    <w:p w14:paraId="2645ADF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需符合GB/T33358-2016政府热线服务规范、GB/T33357-2016政府热线服务评价等国家及行业相关标准。</w:t>
      </w:r>
    </w:p>
    <w:tbl>
      <w:tblPr>
        <w:tblStyle w:val="14"/>
        <w:tblW w:w="9051" w:type="dxa"/>
        <w:jc w:val="center"/>
        <w:tblCellSpacing w:w="0" w:type="dxa"/>
        <w:tblLayout w:type="autofit"/>
        <w:tblCellMar>
          <w:top w:w="15" w:type="dxa"/>
          <w:left w:w="15" w:type="dxa"/>
          <w:bottom w:w="15" w:type="dxa"/>
          <w:right w:w="15" w:type="dxa"/>
        </w:tblCellMar>
      </w:tblPr>
      <w:tblGrid>
        <w:gridCol w:w="1596"/>
        <w:gridCol w:w="7515"/>
      </w:tblGrid>
      <w:tr w14:paraId="05589989">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4BA31CAD">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1D8ED67B">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质量属性描述</w:t>
            </w:r>
          </w:p>
        </w:tc>
      </w:tr>
      <w:tr w14:paraId="2C4BB87A">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CBB9330">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9D78775">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很高，如实记录用户反馈及评价。</w:t>
            </w:r>
          </w:p>
        </w:tc>
      </w:tr>
      <w:tr w14:paraId="6C8D42F6">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73C0D037">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71150ED6">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很高，提供详细的通话及沟通痕迹，绩效报告应无差错，可信赖。根据知识库内容作答，或根据口径作答，内容无差错。</w:t>
            </w:r>
          </w:p>
        </w:tc>
      </w:tr>
      <w:tr w14:paraId="02EF7FD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D9CF456">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C99EE0F">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很高，具备专业的服务态度，如文明用语、规范用语，提供热情、耐心的解答。</w:t>
            </w:r>
          </w:p>
        </w:tc>
      </w:tr>
      <w:tr w14:paraId="6173F6C1">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19E858F4">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08321CF2">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很高，应在系统提示来电5</w:t>
            </w:r>
            <w:r>
              <w:rPr>
                <w:rFonts w:hint="eastAsia" w:ascii="仿宋_GB2312" w:hAnsi="宋体" w:eastAsia="仿宋_GB2312" w:cs="宋体"/>
                <w:color w:val="000000"/>
                <w:kern w:val="2"/>
                <w:sz w:val="21"/>
                <w:szCs w:val="21"/>
                <w:lang w:eastAsia="zh-CN"/>
              </w:rPr>
              <w:t>秒内或者响铃</w:t>
            </w:r>
            <w:r>
              <w:rPr>
                <w:rFonts w:hint="eastAsia" w:ascii="仿宋_GB2312" w:eastAsia="仿宋_GB2312"/>
                <w:color w:val="000000"/>
                <w:kern w:val="2"/>
                <w:sz w:val="21"/>
                <w:szCs w:val="21"/>
                <w:lang w:eastAsia="zh-CN"/>
              </w:rPr>
              <w:t>3</w:t>
            </w:r>
            <w:r>
              <w:rPr>
                <w:rFonts w:hint="eastAsia" w:ascii="仿宋_GB2312" w:hAnsi="宋体" w:eastAsia="仿宋_GB2312" w:cs="宋体"/>
                <w:color w:val="000000"/>
                <w:kern w:val="2"/>
                <w:sz w:val="21"/>
                <w:szCs w:val="21"/>
                <w:lang w:eastAsia="zh-CN"/>
              </w:rPr>
              <w:t>声内接听电话，无法当场办理的事项，当日接通率、流失率等指标应满足采购方实际需求，保障服务的有效性。</w:t>
            </w:r>
          </w:p>
        </w:tc>
      </w:tr>
    </w:tbl>
    <w:p w14:paraId="67B67009">
      <w:pPr>
        <w:rPr>
          <w:lang w:eastAsia="zh-CN"/>
        </w:rPr>
      </w:pPr>
    </w:p>
    <w:p w14:paraId="299ADFF3">
      <w:pPr>
        <w:rPr>
          <w:rFonts w:eastAsia="FangSong_GB2312"/>
          <w:lang w:eastAsia="zh-CN"/>
        </w:rPr>
      </w:pPr>
    </w:p>
    <w:p w14:paraId="031DCEAF">
      <w:pPr>
        <w:pStyle w:val="3"/>
        <w:keepNext w:val="0"/>
        <w:spacing w:before="0" w:after="0" w:line="360" w:lineRule="auto"/>
        <w:jc w:val="center"/>
        <w:rPr>
          <w:rFonts w:ascii="仿宋_GB2312" w:hAnsi="仿宋_GB2312" w:eastAsia="仿宋_GB2312" w:cs="仿宋_GB2312"/>
          <w:lang w:eastAsia="zh-CN"/>
        </w:rPr>
      </w:pPr>
      <w:bookmarkStart w:id="11" w:name="_Toc15559"/>
      <w:r>
        <w:rPr>
          <w:rFonts w:ascii="仿宋_GB2312" w:hAnsi="仿宋_GB2312" w:eastAsia="仿宋_GB2312" w:cs="仿宋_GB2312"/>
          <w:kern w:val="36"/>
          <w:lang w:eastAsia="zh-CN"/>
        </w:rPr>
        <w:t>2投标/响应要求</w:t>
      </w:r>
      <w:bookmarkEnd w:id="11"/>
    </w:p>
    <w:p w14:paraId="491D738C">
      <w:pPr>
        <w:pStyle w:val="4"/>
        <w:keepNext w:val="0"/>
        <w:spacing w:before="0" w:after="0" w:line="360" w:lineRule="auto"/>
        <w:rPr>
          <w:rFonts w:ascii="仿宋_GB2312" w:hAnsi="仿宋_GB2312" w:eastAsia="仿宋_GB2312" w:cs="仿宋_GB2312"/>
          <w:lang w:eastAsia="zh-CN"/>
        </w:rPr>
      </w:pPr>
      <w:bookmarkStart w:id="12" w:name="_Toc24147"/>
      <w:r>
        <w:rPr>
          <w:rFonts w:ascii="仿宋_GB2312" w:hAnsi="仿宋_GB2312" w:eastAsia="仿宋_GB2312" w:cs="仿宋_GB2312"/>
          <w:i w:val="0"/>
          <w:iCs w:val="0"/>
          <w:lang w:eastAsia="zh-CN"/>
        </w:rPr>
        <w:t>2.1对供应商的要求</w:t>
      </w:r>
      <w:bookmarkEnd w:id="12"/>
    </w:p>
    <w:p w14:paraId="564EEFEF">
      <w:pPr>
        <w:pStyle w:val="5"/>
        <w:keepNext w:val="0"/>
        <w:spacing w:before="0" w:after="0" w:line="360" w:lineRule="auto"/>
        <w:rPr>
          <w:rFonts w:ascii="仿宋_GB2312" w:hAnsi="仿宋_GB2312" w:eastAsia="仿宋_GB2312" w:cs="仿宋_GB2312"/>
          <w:sz w:val="28"/>
          <w:szCs w:val="28"/>
          <w:lang w:eastAsia="zh-CN"/>
        </w:rPr>
      </w:pPr>
      <w:bookmarkStart w:id="13" w:name="_Toc18020"/>
      <w:r>
        <w:rPr>
          <w:rFonts w:ascii="仿宋_GB2312" w:hAnsi="仿宋_GB2312" w:eastAsia="仿宋_GB2312" w:cs="仿宋_GB2312"/>
          <w:sz w:val="28"/>
          <w:szCs w:val="28"/>
          <w:lang w:eastAsia="zh-CN"/>
        </w:rPr>
        <w:t>2.1.1必备资质</w:t>
      </w:r>
      <w:bookmarkEnd w:id="13"/>
    </w:p>
    <w:p w14:paraId="5749DF12">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2.1.1.1供应商应遵守有关国家法律、法规和条例,具备《中华人民共和国政府采购法》第二十二条的规定和本文件中规定的条件。</w:t>
      </w:r>
    </w:p>
    <w:p w14:paraId="67485587">
      <w:pPr>
        <w:pStyle w:val="5"/>
        <w:keepNext w:val="0"/>
        <w:spacing w:before="0" w:after="0" w:line="360" w:lineRule="auto"/>
        <w:rPr>
          <w:rFonts w:ascii="仿宋_GB2312" w:hAnsi="仿宋_GB2312" w:eastAsia="仿宋_GB2312" w:cs="仿宋_GB2312"/>
          <w:sz w:val="28"/>
          <w:szCs w:val="28"/>
          <w:lang w:eastAsia="zh-CN"/>
        </w:rPr>
      </w:pPr>
      <w:bookmarkStart w:id="14" w:name="_Toc20738"/>
      <w:r>
        <w:rPr>
          <w:rFonts w:ascii="仿宋_GB2312" w:hAnsi="仿宋_GB2312" w:eastAsia="仿宋_GB2312" w:cs="仿宋_GB2312"/>
          <w:sz w:val="28"/>
          <w:szCs w:val="28"/>
          <w:lang w:eastAsia="zh-CN"/>
        </w:rPr>
        <w:t>2.1.2优选资质/优选指标</w:t>
      </w:r>
      <w:bookmarkEnd w:id="14"/>
    </w:p>
    <w:p w14:paraId="1B66EE75">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2.1.2.1相关证书</w:t>
      </w:r>
    </w:p>
    <w:p w14:paraId="787E7825">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供应商具有ISO9001质量管理体系认证证书、ISO45001职业健康安全管理体系认证证书、ISO27001信息安全管理体系认证证书，并在认证有效期的优先考虑。</w:t>
      </w:r>
    </w:p>
    <w:p w14:paraId="32FC948C">
      <w:pPr>
        <w:pStyle w:val="6"/>
        <w:keepNext w:val="0"/>
        <w:spacing w:before="0" w:after="0" w:line="360" w:lineRule="auto"/>
        <w:rPr>
          <w:rFonts w:ascii="仿宋_GB2312" w:hAnsi="仿宋_GB2312" w:eastAsia="仿宋_GB2312" w:cs="仿宋_GB2312"/>
          <w:lang w:eastAsia="zh-CN"/>
        </w:rPr>
      </w:pPr>
      <w:r>
        <w:rPr>
          <w:rFonts w:ascii="仿宋_GB2312" w:hAnsi="仿宋_GB2312" w:eastAsia="仿宋_GB2312" w:cs="仿宋_GB2312"/>
          <w:lang w:eastAsia="zh-CN"/>
        </w:rPr>
        <w:t>2.1.2.2成功案例</w:t>
      </w:r>
    </w:p>
    <w:p w14:paraId="4105CC0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供应商在2023年1月1日以来（以合同签订日期为准）有税费政策、技术咨询服务或其他政务热线咨询服务项目业绩的优先考虑。</w:t>
      </w:r>
    </w:p>
    <w:p w14:paraId="6E3C6AF9">
      <w:pPr>
        <w:pStyle w:val="5"/>
        <w:keepNext w:val="0"/>
        <w:spacing w:before="0" w:after="0" w:line="360" w:lineRule="auto"/>
        <w:rPr>
          <w:rFonts w:ascii="仿宋_GB2312" w:hAnsi="仿宋_GB2312" w:eastAsia="仿宋_GB2312" w:cs="仿宋_GB2312"/>
          <w:sz w:val="28"/>
          <w:szCs w:val="28"/>
          <w:lang w:eastAsia="zh-CN"/>
        </w:rPr>
      </w:pPr>
      <w:bookmarkStart w:id="15" w:name="_Toc11753"/>
      <w:r>
        <w:rPr>
          <w:rFonts w:ascii="仿宋_GB2312" w:hAnsi="仿宋_GB2312" w:eastAsia="仿宋_GB2312" w:cs="仿宋_GB2312"/>
          <w:sz w:val="28"/>
          <w:szCs w:val="28"/>
          <w:lang w:eastAsia="zh-CN"/>
        </w:rPr>
        <w:t>2.1.3是否允许联合体</w:t>
      </w:r>
      <w:bookmarkEnd w:id="15"/>
    </w:p>
    <w:p w14:paraId="36E078F2">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否。</w:t>
      </w:r>
    </w:p>
    <w:p w14:paraId="3B16550F">
      <w:pPr>
        <w:pStyle w:val="5"/>
        <w:keepNext w:val="0"/>
        <w:spacing w:before="0" w:after="0" w:line="360" w:lineRule="auto"/>
        <w:rPr>
          <w:rFonts w:ascii="仿宋_GB2312" w:hAnsi="仿宋_GB2312" w:eastAsia="仿宋_GB2312" w:cs="仿宋_GB2312"/>
          <w:sz w:val="28"/>
          <w:szCs w:val="28"/>
          <w:lang w:eastAsia="zh-CN"/>
        </w:rPr>
      </w:pPr>
      <w:bookmarkStart w:id="16" w:name="_Toc4448"/>
      <w:r>
        <w:rPr>
          <w:rFonts w:ascii="仿宋_GB2312" w:hAnsi="仿宋_GB2312" w:eastAsia="仿宋_GB2312" w:cs="仿宋_GB2312"/>
          <w:sz w:val="28"/>
          <w:szCs w:val="28"/>
          <w:lang w:eastAsia="zh-CN"/>
        </w:rPr>
        <w:t>2.1.4是否专门面向中小企业</w:t>
      </w:r>
      <w:bookmarkEnd w:id="16"/>
    </w:p>
    <w:p w14:paraId="13250A70">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本项目不专门面向中小企业采购项目。</w:t>
      </w:r>
    </w:p>
    <w:p w14:paraId="73A08AB3">
      <w:pPr>
        <w:pStyle w:val="4"/>
        <w:keepNext w:val="0"/>
        <w:spacing w:before="0" w:after="0" w:line="360" w:lineRule="auto"/>
        <w:rPr>
          <w:rFonts w:ascii="仿宋_GB2312" w:hAnsi="仿宋_GB2312" w:eastAsia="仿宋_GB2312" w:cs="仿宋_GB2312"/>
          <w:lang w:eastAsia="zh-CN"/>
        </w:rPr>
      </w:pPr>
      <w:bookmarkStart w:id="17" w:name="_Toc26407"/>
      <w:r>
        <w:rPr>
          <w:rFonts w:ascii="仿宋_GB2312" w:hAnsi="仿宋_GB2312" w:eastAsia="仿宋_GB2312" w:cs="仿宋_GB2312"/>
          <w:i w:val="0"/>
          <w:iCs w:val="0"/>
          <w:lang w:eastAsia="zh-CN"/>
        </w:rPr>
        <w:t>2.2技术部分投标/响应内容</w:t>
      </w:r>
      <w:bookmarkEnd w:id="17"/>
    </w:p>
    <w:p w14:paraId="651C4BE0">
      <w:pPr>
        <w:pStyle w:val="5"/>
        <w:keepNext w:val="0"/>
        <w:spacing w:before="0" w:after="0" w:line="360" w:lineRule="auto"/>
        <w:rPr>
          <w:rFonts w:ascii="仿宋_GB2312" w:hAnsi="仿宋_GB2312" w:eastAsia="仿宋_GB2312" w:cs="仿宋_GB2312"/>
          <w:sz w:val="28"/>
          <w:szCs w:val="28"/>
          <w:lang w:eastAsia="zh-CN"/>
        </w:rPr>
      </w:pPr>
      <w:bookmarkStart w:id="18" w:name="_Toc22847"/>
      <w:r>
        <w:rPr>
          <w:rFonts w:ascii="仿宋_GB2312" w:hAnsi="仿宋_GB2312" w:eastAsia="仿宋_GB2312" w:cs="仿宋_GB2312"/>
          <w:sz w:val="28"/>
          <w:szCs w:val="28"/>
          <w:lang w:eastAsia="zh-CN"/>
        </w:rPr>
        <w:t>2.2.1投标/响应方案要求</w:t>
      </w:r>
      <w:bookmarkEnd w:id="18"/>
    </w:p>
    <w:p w14:paraId="6EEE21F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投标人对本项目总体需求的理解。</w:t>
      </w:r>
    </w:p>
    <w:p w14:paraId="72FD72BE">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投标人针对本项目的服务方案，至少包含下列内容：电话咨询服务方案、在线咨询服务方案、服务人员培训方案、服务衔接方案、管理实施方案、风险管控方案。</w:t>
      </w:r>
    </w:p>
    <w:p w14:paraId="7D89BD73">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投标人针对本项目的服务承诺、管理和服务人员配置情况。</w:t>
      </w:r>
    </w:p>
    <w:p w14:paraId="4865C71F">
      <w:pPr>
        <w:pStyle w:val="3"/>
        <w:keepNext w:val="0"/>
        <w:spacing w:before="0" w:after="0" w:line="360" w:lineRule="auto"/>
        <w:jc w:val="center"/>
        <w:rPr>
          <w:rFonts w:ascii="仿宋_GB2312" w:hAnsi="仿宋_GB2312" w:eastAsia="仿宋_GB2312" w:cs="仿宋_GB2312"/>
          <w:lang w:eastAsia="zh-CN"/>
        </w:rPr>
      </w:pPr>
      <w:bookmarkStart w:id="19" w:name="_Toc3301"/>
      <w:r>
        <w:rPr>
          <w:rFonts w:ascii="仿宋_GB2312" w:hAnsi="仿宋_GB2312" w:eastAsia="仿宋_GB2312" w:cs="仿宋_GB2312"/>
          <w:kern w:val="36"/>
          <w:lang w:eastAsia="zh-CN"/>
        </w:rPr>
        <w:t>3项目需求</w:t>
      </w:r>
      <w:bookmarkEnd w:id="19"/>
    </w:p>
    <w:p w14:paraId="001FF604">
      <w:pPr>
        <w:pStyle w:val="4"/>
        <w:keepNext w:val="0"/>
        <w:spacing w:before="0" w:after="0" w:line="360" w:lineRule="auto"/>
        <w:rPr>
          <w:rFonts w:ascii="仿宋_GB2312" w:hAnsi="仿宋_GB2312" w:eastAsia="仿宋_GB2312" w:cs="仿宋_GB2312"/>
          <w:lang w:eastAsia="zh-CN"/>
        </w:rPr>
      </w:pPr>
      <w:bookmarkStart w:id="20" w:name="_Toc26520"/>
      <w:r>
        <w:rPr>
          <w:rFonts w:ascii="仿宋_GB2312" w:hAnsi="仿宋_GB2312" w:eastAsia="仿宋_GB2312" w:cs="仿宋_GB2312"/>
          <w:i w:val="0"/>
          <w:iCs w:val="0"/>
          <w:lang w:eastAsia="zh-CN"/>
        </w:rPr>
        <w:t>3.1总体要求</w:t>
      </w:r>
      <w:bookmarkEnd w:id="20"/>
    </w:p>
    <w:p w14:paraId="37F9B69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本包件为第四税务分局（工作时间和非工作时间）网上办税系统技术咨询服务，服务内容：为纳税人提供免费的咨询服务，包括税费政策咨询、操作辅导、软件技术咨询、涉税投诉举报等。</w:t>
      </w:r>
      <w:r>
        <w:rPr>
          <w:rFonts w:ascii="仿宋_GB2312" w:hAnsi="仿宋_GB2312" w:eastAsia="仿宋_GB2312" w:cs="仿宋_GB2312"/>
          <w:sz w:val="28"/>
          <w:szCs w:val="28"/>
          <w:lang w:eastAsia="zh-CN"/>
        </w:rPr>
        <w:t>工作时间</w:t>
      </w:r>
      <w:r>
        <w:rPr>
          <w:rFonts w:hint="eastAsia" w:ascii="仿宋_GB2312" w:hAnsi="仿宋_GB2312" w:eastAsia="仿宋_GB2312" w:cs="仿宋_GB2312"/>
          <w:sz w:val="28"/>
          <w:szCs w:val="28"/>
          <w:lang w:eastAsia="zh-CN"/>
        </w:rPr>
        <w:t>指</w:t>
      </w:r>
      <w:r>
        <w:rPr>
          <w:rFonts w:ascii="仿宋_GB2312" w:hAnsi="仿宋_GB2312" w:eastAsia="仿宋_GB2312" w:cs="仿宋_GB2312"/>
          <w:sz w:val="28"/>
          <w:szCs w:val="28"/>
          <w:lang w:eastAsia="zh-CN"/>
        </w:rPr>
        <w:t>法定工作日上午</w:t>
      </w:r>
      <w:r>
        <w:rPr>
          <w:rFonts w:hint="eastAsia" w:ascii="仿宋_GB2312" w:hAnsi="仿宋_GB2312" w:eastAsia="仿宋_GB2312" w:cs="仿宋_GB2312"/>
          <w:sz w:val="28"/>
          <w:szCs w:val="28"/>
          <w:lang w:eastAsia="zh-CN"/>
        </w:rPr>
        <w:t>9:00</w:t>
      </w:r>
      <w:r>
        <w:rPr>
          <w:rFonts w:ascii="仿宋_GB2312" w:hAnsi="仿宋_GB2312" w:eastAsia="仿宋_GB2312" w:cs="仿宋_GB2312"/>
          <w:sz w:val="28"/>
          <w:szCs w:val="28"/>
          <w:lang w:eastAsia="zh-CN"/>
        </w:rPr>
        <w:t>至下午17:00，</w:t>
      </w:r>
      <w:r>
        <w:rPr>
          <w:rFonts w:hint="eastAsia" w:ascii="仿宋_GB2312" w:hAnsi="仿宋_GB2312" w:eastAsia="仿宋_GB2312" w:cs="仿宋_GB2312"/>
          <w:sz w:val="28"/>
          <w:szCs w:val="28"/>
          <w:lang w:eastAsia="zh-CN"/>
        </w:rPr>
        <w:t>非工作时间指</w:t>
      </w:r>
      <w:r>
        <w:rPr>
          <w:rFonts w:ascii="仿宋_GB2312" w:hAnsi="仿宋_GB2312" w:eastAsia="仿宋_GB2312" w:cs="仿宋_GB2312"/>
          <w:sz w:val="28"/>
          <w:szCs w:val="28"/>
          <w:lang w:eastAsia="zh-CN"/>
        </w:rPr>
        <w:t>法定工作</w:t>
      </w:r>
      <w:r>
        <w:rPr>
          <w:rFonts w:hint="eastAsia" w:ascii="仿宋_GB2312" w:hAnsi="仿宋_GB2312" w:eastAsia="仿宋_GB2312" w:cs="仿宋_GB2312"/>
          <w:sz w:val="28"/>
          <w:szCs w:val="28"/>
          <w:lang w:eastAsia="zh-CN"/>
        </w:rPr>
        <w:t>日下午17:00至次日上午9:00及双休日和法定节假日全天。如需提供延时服务按照采购人具体工作布置落实。</w:t>
      </w:r>
    </w:p>
    <w:p w14:paraId="1A7C776A">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25B07E10">
      <w:pPr>
        <w:pStyle w:val="4"/>
        <w:keepNext w:val="0"/>
        <w:spacing w:before="0" w:after="0" w:line="360" w:lineRule="auto"/>
        <w:rPr>
          <w:rFonts w:ascii="仿宋_GB2312" w:hAnsi="仿宋_GB2312" w:eastAsia="仿宋_GB2312" w:cs="仿宋_GB2312"/>
          <w:lang w:eastAsia="zh-CN"/>
        </w:rPr>
      </w:pPr>
      <w:bookmarkStart w:id="21" w:name="_Toc31804"/>
      <w:r>
        <w:rPr>
          <w:rFonts w:ascii="仿宋_GB2312" w:hAnsi="仿宋_GB2312" w:eastAsia="仿宋_GB2312" w:cs="仿宋_GB2312"/>
          <w:i w:val="0"/>
          <w:iCs w:val="0"/>
          <w:lang w:eastAsia="zh-CN"/>
        </w:rPr>
        <w:t>3.2服务内容和要求</w:t>
      </w:r>
      <w:bookmarkEnd w:id="21"/>
    </w:p>
    <w:p w14:paraId="42AB5234">
      <w:pPr>
        <w:pStyle w:val="5"/>
        <w:keepNext w:val="0"/>
        <w:spacing w:before="0" w:after="0" w:line="360" w:lineRule="auto"/>
        <w:rPr>
          <w:rFonts w:ascii="仿宋_GB2312" w:hAnsi="仿宋_GB2312" w:eastAsia="仿宋_GB2312" w:cs="仿宋_GB2312"/>
          <w:sz w:val="28"/>
          <w:szCs w:val="28"/>
          <w:lang w:eastAsia="zh-CN"/>
        </w:rPr>
      </w:pPr>
      <w:bookmarkStart w:id="22" w:name="_Toc32516"/>
      <w:r>
        <w:rPr>
          <w:rFonts w:hint="eastAsia" w:ascii="仿宋_GB2312" w:hAnsi="仿宋_GB2312" w:eastAsia="仿宋_GB2312" w:cs="仿宋_GB2312"/>
          <w:sz w:val="28"/>
          <w:szCs w:val="28"/>
          <w:lang w:eastAsia="zh-CN"/>
        </w:rPr>
        <w:t>3.2.1技术和服务客观指标</w:t>
      </w:r>
      <w:bookmarkEnd w:id="22"/>
    </w:p>
    <w:p w14:paraId="6C9B01E0">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3.2.1.1服务场地</w:t>
      </w:r>
    </w:p>
    <w:p w14:paraId="4F5513D4">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本包件提供人工服务所需的办公场地及设施由供应商提供。供应商承诺中标后提供位于本市的呼叫中心，呼叫中心配置线路不少于58门。</w:t>
      </w:r>
    </w:p>
    <w:p w14:paraId="0E56F58D">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供应商承诺在本市设置支持服务机构，配备与开展本项目业务相适配的办公场地及专职服务团队，并按需设立咨询服务、业务培训、现场服务、投诉处理等业务部门的优先考虑。</w:t>
      </w:r>
    </w:p>
    <w:p w14:paraId="59D63730">
      <w:pPr>
        <w:pStyle w:val="6"/>
        <w:keepNext w:val="0"/>
        <w:spacing w:before="0" w:after="0" w:line="360" w:lineRule="auto"/>
        <w:rPr>
          <w:rFonts w:ascii="FangSong_GB2312" w:hAnsi="FangSong_GB2312" w:eastAsia="FangSong_GB2312" w:cs="FangSong_GB2312"/>
          <w:b w:val="0"/>
          <w:bCs w:val="0"/>
          <w:lang w:eastAsia="zh-CN"/>
        </w:rPr>
      </w:pPr>
      <w:r>
        <w:rPr>
          <w:rFonts w:hint="eastAsia" w:ascii="仿宋" w:hAnsi="仿宋" w:eastAsia="仿宋" w:cs="仿宋"/>
          <w:lang w:eastAsia="zh-CN"/>
        </w:rPr>
        <w:t>3.2.1.2软硬件设施</w:t>
      </w:r>
    </w:p>
    <w:p w14:paraId="1BFAB67B">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2B7A6012">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3.2.1.3项目配置时限</w:t>
      </w:r>
    </w:p>
    <w:p w14:paraId="202A92A0">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供应商承诺在中标后立即提供服务，并在服务期开始的1个月内确保投标响应的所有人员全部到岗的优先考虑。</w:t>
      </w:r>
    </w:p>
    <w:p w14:paraId="5DDC41D5">
      <w:pPr>
        <w:pStyle w:val="5"/>
        <w:keepNext w:val="0"/>
        <w:spacing w:before="0" w:after="0" w:line="360" w:lineRule="auto"/>
        <w:rPr>
          <w:rFonts w:ascii="仿宋_GB2312" w:hAnsi="仿宋_GB2312" w:eastAsia="仿宋_GB2312" w:cs="仿宋_GB2312"/>
          <w:sz w:val="28"/>
          <w:szCs w:val="28"/>
          <w:lang w:eastAsia="zh-CN"/>
        </w:rPr>
      </w:pPr>
      <w:bookmarkStart w:id="23" w:name="_Toc26562"/>
      <w:r>
        <w:rPr>
          <w:rFonts w:hint="eastAsia" w:ascii="仿宋_GB2312" w:hAnsi="仿宋_GB2312" w:eastAsia="仿宋_GB2312" w:cs="仿宋_GB2312"/>
          <w:sz w:val="28"/>
          <w:szCs w:val="28"/>
          <w:lang w:eastAsia="zh-CN"/>
        </w:rPr>
        <w:t>3.2.2</w:t>
      </w:r>
      <w:r>
        <w:rPr>
          <w:rFonts w:ascii="仿宋_GB2312" w:hAnsi="仿宋_GB2312" w:eastAsia="仿宋_GB2312" w:cs="仿宋_GB2312"/>
          <w:sz w:val="28"/>
          <w:szCs w:val="28"/>
          <w:lang w:eastAsia="zh-CN"/>
        </w:rPr>
        <w:t>技术和服务其他要求</w:t>
      </w:r>
      <w:bookmarkEnd w:id="23"/>
    </w:p>
    <w:p w14:paraId="582B05B6">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3.2.2.1电话咨询服务</w:t>
      </w:r>
    </w:p>
    <w:p w14:paraId="33637BDA">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供应商提供专业咨询人员，使用12366服务热线为纳税人提供电话咨询服务，服务内容包括税费政策咨询、税费相关软件技术咨询、业务办理、投诉举报受理、意见建议受理等。</w:t>
      </w:r>
    </w:p>
    <w:p w14:paraId="30C71843">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3.2.2.2在线咨询服务</w:t>
      </w:r>
    </w:p>
    <w:p w14:paraId="375616B6">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供应商提供专业咨询人员，使用征纳互动平台为纳税人提供在线咨询服务，服务内容包括税费政策咨询、税费相关软件技术咨询、业务办理、投诉举报受理、意见建议受理等。</w:t>
      </w:r>
    </w:p>
    <w:p w14:paraId="7594BE23">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3.2.2.3服务人员培训</w:t>
      </w:r>
    </w:p>
    <w:p w14:paraId="56B6434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供应商应配备专业培训师资团队（包含不限于税务师、注册会计师），对服务人员定期开展税费政策、系统操作、服务规范等培训，提供最新政策、税费热点问题、系统操作更新的及时解读。</w:t>
      </w:r>
    </w:p>
    <w:p w14:paraId="5ACA0BF3">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3.2.2.4服务衔接</w:t>
      </w:r>
    </w:p>
    <w:p w14:paraId="7C42AB3B">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供应商应制定服务衔接方案，方案应符合实际服务工作现状，与现有服务业务和流程无缝对接，从人员、业务、技术等方面详细阐述对接服务保障，确保服务的平稳过渡。</w:t>
      </w:r>
    </w:p>
    <w:p w14:paraId="1DB4C140">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目前以热线电话为主的税费咨询服务相关工作处于正常运行中，本次中标人须做好以下衔接工作：</w:t>
      </w:r>
    </w:p>
    <w:p w14:paraId="4215F0D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（1）运行衔接。本次中标人必须确保做好所有前期准备工作，确保咨询服务平稳运行，各类服务正常开展，不得出现服务中断，服务暂停以及服务质效下降等情况。</w:t>
      </w:r>
    </w:p>
    <w:p w14:paraId="7357CE3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（2）制度衔接。本次中标人应建立和完善各项管理制度规范，并与热线原制度规范做好衔接，确保热线团队内部管理的稳定性和延续性。</w:t>
      </w:r>
    </w:p>
    <w:p w14:paraId="70311793">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089CEDA5">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（4）业务衔接。本次中标人应确保承接原服务商未完成的各项业务工作，与原服务商做好沟通协调，妥善处理遗留问题，不得影响税务部门纳税服务质量和对外形象。</w:t>
      </w:r>
    </w:p>
    <w:p w14:paraId="121F2EEF">
      <w:pPr>
        <w:pStyle w:val="4"/>
        <w:keepNext w:val="0"/>
        <w:spacing w:before="0" w:after="0" w:line="360" w:lineRule="auto"/>
        <w:ind w:firstLine="560" w:firstLineChars="200"/>
        <w:rPr>
          <w:rFonts w:ascii="FangSong_GB2312" w:hAnsi="FangSong_GB2312" w:eastAsia="FangSong_GB2312" w:cs="FangSong_GB2312"/>
          <w:b w:val="0"/>
          <w:bCs w:val="0"/>
          <w:i w:val="0"/>
          <w:iCs w:val="0"/>
          <w:lang w:eastAsia="zh-CN"/>
        </w:rPr>
      </w:pPr>
    </w:p>
    <w:p w14:paraId="6C5E9B1D">
      <w:pPr>
        <w:pStyle w:val="3"/>
        <w:keepNext w:val="0"/>
        <w:spacing w:before="0" w:after="0" w:line="360" w:lineRule="auto"/>
        <w:jc w:val="center"/>
        <w:rPr>
          <w:rFonts w:ascii="仿宋_GB2312" w:hAnsi="仿宋_GB2312" w:eastAsia="仿宋_GB2312" w:cs="仿宋_GB2312"/>
          <w:lang w:eastAsia="zh-CN"/>
        </w:rPr>
      </w:pPr>
      <w:bookmarkStart w:id="24" w:name="_Toc179"/>
      <w:r>
        <w:rPr>
          <w:rFonts w:ascii="仿宋_GB2312" w:hAnsi="仿宋_GB2312" w:eastAsia="仿宋_GB2312" w:cs="仿宋_GB2312"/>
          <w:kern w:val="36"/>
          <w:lang w:eastAsia="zh-CN"/>
        </w:rPr>
        <w:t>4人员要求</w:t>
      </w:r>
      <w:bookmarkEnd w:id="24"/>
    </w:p>
    <w:p w14:paraId="109AEE75">
      <w:pPr>
        <w:pStyle w:val="4"/>
        <w:keepNext w:val="0"/>
        <w:spacing w:before="0" w:after="0" w:line="360" w:lineRule="auto"/>
        <w:rPr>
          <w:rFonts w:ascii="仿宋_GB2312" w:hAnsi="仿宋_GB2312" w:eastAsia="仿宋_GB2312" w:cs="仿宋_GB2312"/>
          <w:i w:val="0"/>
          <w:iCs w:val="0"/>
          <w:lang w:eastAsia="zh-CN"/>
        </w:rPr>
      </w:pPr>
      <w:bookmarkStart w:id="25" w:name="_Toc2318"/>
      <w:r>
        <w:rPr>
          <w:rFonts w:hint="eastAsia" w:ascii="仿宋_GB2312" w:hAnsi="仿宋_GB2312" w:eastAsia="仿宋_GB2312" w:cs="仿宋_GB2312"/>
          <w:i w:val="0"/>
          <w:iCs w:val="0"/>
          <w:lang w:eastAsia="zh-CN"/>
        </w:rPr>
        <w:t>4.1总体要求</w:t>
      </w:r>
      <w:bookmarkEnd w:id="25"/>
    </w:p>
    <w:p w14:paraId="1887A1C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★1.本包件服务人员总数不得少于61人。需提供加盖投标人公章的承诺函，否则视为无效投标。</w:t>
      </w:r>
    </w:p>
    <w:p w14:paraId="654AF7C1">
      <w:pPr>
        <w:spacing w:line="360" w:lineRule="auto"/>
        <w:ind w:firstLine="560" w:firstLineChars="200"/>
        <w:jc w:val="both"/>
        <w:rPr>
          <w:rFonts w:ascii="仿宋_GB2312" w:hAnsi="仿宋_GB2312" w:eastAsia="仿宋_GB2312" w:cs="仿宋_GB2312"/>
          <w:sz w:val="28"/>
          <w:szCs w:val="28"/>
          <w:lang w:val="zh-TW" w:eastAsia="zh-CN"/>
        </w:rPr>
      </w:pPr>
      <w:r>
        <w:rPr>
          <w:rFonts w:hint="eastAsia" w:ascii="仿宋_GB2312" w:hAnsi="仿宋_GB2312" w:eastAsia="仿宋_GB2312" w:cs="仿宋_GB2312"/>
          <w:sz w:val="28"/>
          <w:szCs w:val="28"/>
          <w:lang w:eastAsia="zh-CN"/>
        </w:rPr>
        <w:t>2.供应商</w:t>
      </w:r>
      <w:r>
        <w:rPr>
          <w:rFonts w:hint="eastAsia" w:ascii="仿宋_GB2312" w:hAnsi="仿宋_GB2312" w:eastAsia="仿宋_GB2312" w:cs="仿宋_GB2312"/>
          <w:sz w:val="28"/>
          <w:szCs w:val="28"/>
          <w:lang w:val="zh-TW" w:eastAsia="zh-TW"/>
        </w:rPr>
        <w:t>须选派责任心强、技术水平高、业务熟练、有丰富管理经验的项目</w:t>
      </w:r>
      <w:r>
        <w:rPr>
          <w:rFonts w:hint="eastAsia" w:ascii="仿宋_GB2312" w:hAnsi="仿宋_GB2312" w:eastAsia="仿宋_GB2312" w:cs="仿宋_GB2312"/>
          <w:sz w:val="28"/>
          <w:szCs w:val="28"/>
          <w:lang w:val="zh-TW" w:eastAsia="zh-CN"/>
        </w:rPr>
        <w:t>管理人员</w:t>
      </w:r>
      <w:r>
        <w:rPr>
          <w:rFonts w:hint="eastAsia" w:ascii="仿宋_GB2312" w:hAnsi="仿宋_GB2312" w:eastAsia="仿宋_GB2312" w:cs="仿宋_GB2312"/>
          <w:sz w:val="28"/>
          <w:szCs w:val="28"/>
          <w:lang w:val="zh-TW" w:eastAsia="zh-TW"/>
        </w:rPr>
        <w:t>和服务人员参与该项目服务</w:t>
      </w:r>
      <w:r>
        <w:rPr>
          <w:rFonts w:hint="eastAsia" w:ascii="仿宋_GB2312" w:hAnsi="仿宋_GB2312" w:eastAsia="仿宋_GB2312" w:cs="仿宋_GB2312"/>
          <w:sz w:val="28"/>
          <w:szCs w:val="28"/>
          <w:lang w:val="zh-TW" w:eastAsia="zh-CN"/>
        </w:rPr>
        <w:t>。</w:t>
      </w:r>
    </w:p>
    <w:p w14:paraId="3FC63743">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3.供应商必须成立合理的实施团队，建立健全保障项目顺利实施的各项管理制度和质量保证体系。</w:t>
      </w:r>
    </w:p>
    <w:p w14:paraId="5281D216">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4.供应商提供的服务人员不能复用于其他项目，人员变动须提前向采购人提出书面申请并得到认可。</w:t>
      </w:r>
    </w:p>
    <w:p w14:paraId="17A35311">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5.采购人有要求供应商更换项目成员直至满意的权力。项目实施人员一经双方确定，供应商应保证其在项目中的稳定性、长期性。</w:t>
      </w:r>
    </w:p>
    <w:p w14:paraId="413B5E29">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6.供应商承诺中标后项目管理人员、客服人员均能够提供无违法犯罪记录证明的优先考虑。</w:t>
      </w:r>
    </w:p>
    <w:p w14:paraId="2ED97B9E">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7.供应商承诺在项目实施过程中保证团队人员稳定的优先考虑。</w:t>
      </w:r>
    </w:p>
    <w:p w14:paraId="1A19CA6C">
      <w:pPr>
        <w:pStyle w:val="4"/>
        <w:keepNext w:val="0"/>
        <w:spacing w:before="0" w:after="0" w:line="360" w:lineRule="auto"/>
        <w:rPr>
          <w:rFonts w:ascii="仿宋_GB2312" w:hAnsi="仿宋_GB2312" w:eastAsia="仿宋_GB2312" w:cs="仿宋_GB2312"/>
          <w:lang w:eastAsia="zh-CN"/>
        </w:rPr>
      </w:pPr>
      <w:bookmarkStart w:id="26" w:name="_Toc20581"/>
      <w:r>
        <w:rPr>
          <w:rFonts w:ascii="仿宋_GB2312" w:hAnsi="仿宋_GB2312" w:eastAsia="仿宋_GB2312" w:cs="仿宋_GB2312"/>
          <w:i w:val="0"/>
          <w:iCs w:val="0"/>
          <w:lang w:eastAsia="zh-CN"/>
        </w:rPr>
        <w:t>4.</w:t>
      </w:r>
      <w:r>
        <w:rPr>
          <w:rFonts w:hint="eastAsia" w:ascii="仿宋_GB2312" w:hAnsi="仿宋_GB2312" w:eastAsia="仿宋_GB2312" w:cs="仿宋_GB2312"/>
          <w:i w:val="0"/>
          <w:iCs w:val="0"/>
          <w:lang w:eastAsia="zh-CN"/>
        </w:rPr>
        <w:t>2具体</w:t>
      </w:r>
      <w:r>
        <w:rPr>
          <w:rFonts w:ascii="仿宋_GB2312" w:hAnsi="仿宋_GB2312" w:eastAsia="仿宋_GB2312" w:cs="仿宋_GB2312"/>
          <w:i w:val="0"/>
          <w:iCs w:val="0"/>
          <w:lang w:eastAsia="zh-CN"/>
        </w:rPr>
        <w:t>要求</w:t>
      </w:r>
      <w:bookmarkEnd w:id="26"/>
    </w:p>
    <w:p w14:paraId="4C099068">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4.2.1项目管理人员</w:t>
      </w:r>
    </w:p>
    <w:p w14:paraId="408A973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供应商需提供至少3名项目管理人员，具备丰富的管理经验及应急处置能力，负责项目运营管理、业务数据分析处理，以确保达到服务标准和目标。</w:t>
      </w:r>
    </w:p>
    <w:p w14:paraId="7E097C40">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项目管理人员具有相关管理经验的优先考虑。</w:t>
      </w:r>
    </w:p>
    <w:p w14:paraId="709CEE04">
      <w:pPr>
        <w:pStyle w:val="6"/>
        <w:keepNext w:val="0"/>
        <w:spacing w:before="0" w:after="0" w:line="360" w:lineRule="auto"/>
        <w:rPr>
          <w:rFonts w:ascii="仿宋" w:hAnsi="仿宋" w:eastAsia="仿宋" w:cs="仿宋"/>
          <w:lang w:eastAsia="zh-CN"/>
        </w:rPr>
      </w:pPr>
      <w:r>
        <w:rPr>
          <w:rFonts w:hint="eastAsia" w:ascii="仿宋" w:hAnsi="仿宋" w:eastAsia="仿宋" w:cs="仿宋"/>
          <w:lang w:eastAsia="zh-CN"/>
        </w:rPr>
        <w:t>4.2.2客服人员</w:t>
      </w:r>
    </w:p>
    <w:p w14:paraId="5DAC10DA">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需提供至少58名客服人员，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35756DB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客服人员具有与岗位相匹配的财务税法类或财税信息技术类相关证书的、具有一年以上相关税费政策或税费技术咨询服务经验的优先考虑。</w:t>
      </w:r>
    </w:p>
    <w:p w14:paraId="38E7FC7D">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供应商承诺提供的客服人员中，有不少于2名外语专业坐席（具备大学英语六级、专业英语四级或更高级别证书），能够使用12366热线多语种系统提供外语涉税（费）咨询的优先考虑。</w:t>
      </w:r>
    </w:p>
    <w:p w14:paraId="77AF25B9">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供应商承诺提供至少4个后备坐席岗位的优先考虑。</w:t>
      </w:r>
    </w:p>
    <w:p w14:paraId="4D4DE6E8">
      <w:pPr>
        <w:pStyle w:val="3"/>
        <w:keepNext w:val="0"/>
        <w:spacing w:before="0" w:after="0" w:line="360" w:lineRule="auto"/>
        <w:jc w:val="center"/>
        <w:rPr>
          <w:rFonts w:ascii="仿宋_GB2312" w:hAnsi="仿宋_GB2312" w:eastAsia="仿宋_GB2312" w:cs="仿宋_GB2312"/>
          <w:lang w:eastAsia="zh-CN"/>
        </w:rPr>
      </w:pPr>
      <w:bookmarkStart w:id="27" w:name="_Toc2907"/>
      <w:r>
        <w:rPr>
          <w:rFonts w:ascii="仿宋_GB2312" w:hAnsi="仿宋_GB2312" w:eastAsia="仿宋_GB2312" w:cs="仿宋_GB2312"/>
          <w:kern w:val="36"/>
          <w:lang w:eastAsia="zh-CN"/>
        </w:rPr>
        <w:t>5管理实施要求</w:t>
      </w:r>
      <w:bookmarkEnd w:id="27"/>
    </w:p>
    <w:p w14:paraId="25BD6ADE">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1.供应商应具有完善的客服管理体系，包括客服中心现场管理机制、客服质量管理机制等。</w:t>
      </w:r>
    </w:p>
    <w:p w14:paraId="35B3A6F5">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2555D27D">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3.在服务期内如相关标准更新，以最新标准为准。</w:t>
      </w:r>
    </w:p>
    <w:p w14:paraId="4DACDE4C">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4.本项目服务期内，如果税费咨询服务职能进行拓展，供应商需及时按照采购人的要求调整工作内容及相关管理措施，适应业务变化，确保各项工作达到采购人规定标准。</w:t>
      </w:r>
    </w:p>
    <w:p w14:paraId="659E8118">
      <w:pPr>
        <w:rPr>
          <w:rFonts w:eastAsia="FangSong_GB2312"/>
          <w:lang w:eastAsia="zh-CN"/>
        </w:rPr>
      </w:pPr>
    </w:p>
    <w:p w14:paraId="04ED6DBD">
      <w:pPr>
        <w:pStyle w:val="3"/>
        <w:keepNext w:val="0"/>
        <w:spacing w:before="0" w:after="0" w:line="360" w:lineRule="auto"/>
        <w:jc w:val="center"/>
        <w:rPr>
          <w:rFonts w:ascii="仿宋_GB2312" w:hAnsi="仿宋_GB2312" w:eastAsia="仿宋_GB2312" w:cs="仿宋_GB2312"/>
          <w:lang w:eastAsia="zh-CN"/>
        </w:rPr>
      </w:pPr>
      <w:bookmarkStart w:id="28" w:name="_Toc20728"/>
      <w:r>
        <w:rPr>
          <w:rFonts w:ascii="仿宋_GB2312" w:hAnsi="仿宋_GB2312" w:eastAsia="仿宋_GB2312" w:cs="仿宋_GB2312"/>
          <w:kern w:val="36"/>
          <w:lang w:eastAsia="zh-CN"/>
        </w:rPr>
        <w:t>6风险管控要求</w:t>
      </w:r>
      <w:bookmarkEnd w:id="28"/>
    </w:p>
    <w:p w14:paraId="548BC58C">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45B25F53">
      <w:pPr>
        <w:pStyle w:val="4"/>
        <w:keepNext w:val="0"/>
        <w:spacing w:before="0" w:after="0" w:line="360" w:lineRule="auto"/>
        <w:ind w:firstLine="560" w:firstLineChars="200"/>
        <w:rPr>
          <w:rFonts w:ascii="FangSong_GB2312" w:hAnsi="FangSong_GB2312" w:eastAsia="FangSong_GB2312" w:cs="FangSong_GB2312"/>
          <w:b w:val="0"/>
          <w:bCs w:val="0"/>
          <w:i w:val="0"/>
          <w:iCs w:val="0"/>
          <w:lang w:eastAsia="zh-CN"/>
        </w:rPr>
      </w:pPr>
    </w:p>
    <w:p w14:paraId="3E40058B">
      <w:pPr>
        <w:pStyle w:val="3"/>
        <w:keepNext w:val="0"/>
        <w:spacing w:before="0" w:after="0" w:line="360" w:lineRule="auto"/>
        <w:jc w:val="center"/>
        <w:rPr>
          <w:rFonts w:ascii="仿宋_GB2312" w:hAnsi="仿宋_GB2312" w:eastAsia="仿宋_GB2312" w:cs="仿宋_GB2312"/>
          <w:lang w:eastAsia="zh-CN"/>
        </w:rPr>
      </w:pPr>
      <w:bookmarkStart w:id="29" w:name="_Toc24664"/>
      <w:r>
        <w:rPr>
          <w:rFonts w:ascii="仿宋_GB2312" w:hAnsi="仿宋_GB2312" w:eastAsia="仿宋_GB2312" w:cs="仿宋_GB2312"/>
          <w:kern w:val="36"/>
          <w:lang w:eastAsia="zh-CN"/>
        </w:rPr>
        <w:t>7履约验收要求</w:t>
      </w:r>
      <w:bookmarkEnd w:id="29"/>
    </w:p>
    <w:p w14:paraId="644A737B">
      <w:pPr>
        <w:pStyle w:val="4"/>
        <w:keepNext w:val="0"/>
        <w:spacing w:before="0" w:after="0" w:line="360" w:lineRule="auto"/>
        <w:rPr>
          <w:rFonts w:ascii="仿宋_GB2312" w:hAnsi="仿宋_GB2312" w:eastAsia="仿宋_GB2312" w:cs="仿宋_GB2312"/>
          <w:i w:val="0"/>
          <w:iCs w:val="0"/>
          <w:lang w:eastAsia="zh-CN"/>
        </w:rPr>
      </w:pPr>
      <w:bookmarkStart w:id="30" w:name="_Toc1662"/>
      <w:r>
        <w:rPr>
          <w:rFonts w:ascii="仿宋_GB2312" w:hAnsi="仿宋_GB2312" w:eastAsia="仿宋_GB2312" w:cs="仿宋_GB2312"/>
          <w:i w:val="0"/>
          <w:iCs w:val="0"/>
        </w:rPr>
        <w:t>7.1总体要求</w:t>
      </w:r>
      <w:bookmarkEnd w:id="30"/>
    </w:p>
    <w:tbl>
      <w:tblPr>
        <w:tblStyle w:val="14"/>
        <w:tblW w:w="5048" w:type="pct"/>
        <w:jc w:val="center"/>
        <w:tblLayout w:type="autofit"/>
        <w:tblCellMar>
          <w:top w:w="15" w:type="dxa"/>
          <w:left w:w="15" w:type="dxa"/>
          <w:bottom w:w="15" w:type="dxa"/>
          <w:right w:w="15" w:type="dxa"/>
        </w:tblCellMar>
      </w:tblPr>
      <w:tblGrid>
        <w:gridCol w:w="1667"/>
        <w:gridCol w:w="7490"/>
      </w:tblGrid>
      <w:tr w14:paraId="685DB79D">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5AFEF5F">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9A3FF81">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验收要求</w:t>
            </w:r>
          </w:p>
        </w:tc>
      </w:tr>
      <w:tr w14:paraId="056E2BC4">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4948B5A">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FAB3D1C">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对中标人一季度服务情况进行验收考核，结果作为支付对应合同款的依据。验收考核要求按采购需求“7.2验收考核标准与要求”执行。</w:t>
            </w:r>
          </w:p>
        </w:tc>
      </w:tr>
      <w:tr w14:paraId="4F941AB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172734E">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9BC7A3E">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对中标人二季度服务情况进行验收考核，结果作为支付对应合同款的依据。验收考核要求按采购需求“7.2验收考核标准与要求”执行。</w:t>
            </w:r>
          </w:p>
        </w:tc>
      </w:tr>
      <w:tr w14:paraId="55727F4E">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398F1D6">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AA074CE">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对中标人三季度服务情况进行验收考核，结果作为支付对应合同款的依据。验收考核要求按采购需求“7.2验收考核标准与要求”执行。</w:t>
            </w:r>
          </w:p>
        </w:tc>
      </w:tr>
      <w:tr w14:paraId="5F351A5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2979DDE">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01B2C4C">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对中标人四季度服务情况进行验收考核，结果作为支付对应合同款的依据。验收考核要求按采购需求“7.2验收考核标准与要求”执行。</w:t>
            </w:r>
          </w:p>
        </w:tc>
      </w:tr>
      <w:tr w14:paraId="0BFD0CDF">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E67AD4D">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64FDC06">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以季度考核为基础对中标人全年服务情况进行验收考核，结果作为退还履约保证金的依据。验收考核要求按采购需求“7.2验收考核标准与要求”执行。</w:t>
            </w:r>
          </w:p>
        </w:tc>
      </w:tr>
    </w:tbl>
    <w:p w14:paraId="60323E3E">
      <w:pPr>
        <w:rPr>
          <w:rFonts w:eastAsia="仿宋_GB2312"/>
          <w:lang w:eastAsia="zh-CN"/>
        </w:rPr>
      </w:pPr>
    </w:p>
    <w:p w14:paraId="17BF0B83">
      <w:pPr>
        <w:pStyle w:val="4"/>
        <w:keepNext w:val="0"/>
        <w:spacing w:before="0" w:after="0" w:line="360" w:lineRule="auto"/>
        <w:rPr>
          <w:rFonts w:ascii="仿宋_GB2312" w:hAnsi="仿宋_GB2312" w:eastAsia="仿宋_GB2312" w:cs="仿宋_GB2312"/>
          <w:lang w:eastAsia="zh-CN"/>
        </w:rPr>
      </w:pPr>
      <w:bookmarkStart w:id="31" w:name="_Toc30826"/>
      <w:r>
        <w:rPr>
          <w:rFonts w:ascii="仿宋_GB2312" w:hAnsi="仿宋_GB2312" w:eastAsia="仿宋_GB2312" w:cs="仿宋_GB2312"/>
          <w:i w:val="0"/>
          <w:iCs w:val="0"/>
          <w:lang w:eastAsia="zh-CN"/>
        </w:rPr>
        <w:t>7.2</w:t>
      </w:r>
      <w:r>
        <w:rPr>
          <w:rFonts w:hint="eastAsia" w:ascii="仿宋_GB2312" w:hAnsi="仿宋_GB2312" w:eastAsia="仿宋_GB2312" w:cs="仿宋_GB2312"/>
          <w:i w:val="0"/>
          <w:iCs w:val="0"/>
          <w:lang w:eastAsia="zh-CN"/>
        </w:rPr>
        <w:t>验收考核标准与要求</w:t>
      </w:r>
      <w:bookmarkEnd w:id="31"/>
    </w:p>
    <w:p w14:paraId="51FC5354">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采购人对中标供应商的考核分为季度考核和年度考核，季度考核作为支付季度合同款的依据，年度考核作为退还履约保证金的依据。</w:t>
      </w:r>
    </w:p>
    <w:p w14:paraId="7A2BB181">
      <w:pPr>
        <w:spacing w:line="360" w:lineRule="auto"/>
        <w:ind w:firstLine="562" w:firstLineChars="200"/>
        <w:jc w:val="both"/>
        <w:rPr>
          <w:rFonts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1.考核办法</w:t>
      </w:r>
    </w:p>
    <w:p w14:paraId="6CAAA2DA">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（1）季度考核</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60A061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CFBE753">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1C96631A">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580B9B94">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季度考核评分要求</w:t>
            </w:r>
          </w:p>
        </w:tc>
      </w:tr>
      <w:tr w14:paraId="4F059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1FF0946">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37968F96">
            <w:pPr>
              <w:widowControl w:val="0"/>
              <w:jc w:val="center"/>
              <w:rPr>
                <w:rFonts w:hint="eastAsia" w:ascii="Cambria Math" w:hAnsi="Cambria Math" w:eastAsia="仿宋_GB2312"/>
                <w:color w:val="000000"/>
                <w:kern w:val="2"/>
                <w:sz w:val="21"/>
                <w:szCs w:val="21"/>
                <w:lang w:eastAsia="zh-CN"/>
                <w:oMath/>
              </w:rPr>
            </w:pPr>
            <w:r>
              <w:rPr>
                <w:rFonts w:hint="eastAsia" w:ascii="FangSong_GB2312" w:hAnsi="FangSong_GB2312" w:eastAsia="FangSong_GB2312" w:cs="FangSong_GB2312"/>
                <w:sz w:val="21"/>
                <w:szCs w:val="21"/>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73403DC3">
            <w:pPr>
              <w:widowControl w:val="0"/>
              <w:rPr>
                <w:rFonts w:ascii="仿宋_GB2312" w:eastAsia="仿宋_GB2312"/>
                <w:color w:val="000000"/>
                <w:kern w:val="2"/>
                <w:sz w:val="21"/>
                <w:szCs w:val="21"/>
                <w:lang w:eastAsia="zh-CN"/>
              </w:rPr>
            </w:pPr>
            <w:r>
              <w:rPr>
                <w:rFonts w:ascii="仿宋_GB2312" w:eastAsia="仿宋_GB2312"/>
                <w:color w:val="000000"/>
                <w:kern w:val="2"/>
                <w:sz w:val="21"/>
                <w:szCs w:val="21"/>
                <w:lang w:eastAsia="zh-CN"/>
              </w:rPr>
              <w:t>通过全国</w:t>
            </w:r>
            <w:r>
              <w:rPr>
                <w:rFonts w:hint="eastAsia" w:ascii="仿宋_GB2312" w:eastAsia="仿宋_GB2312"/>
                <w:color w:val="000000"/>
                <w:kern w:val="2"/>
                <w:sz w:val="21"/>
                <w:szCs w:val="21"/>
                <w:lang w:eastAsia="zh-CN"/>
              </w:rPr>
              <w:t>拨测</w:t>
            </w:r>
            <w:r>
              <w:rPr>
                <w:rFonts w:ascii="仿宋_GB2312" w:eastAsia="仿宋_GB2312"/>
                <w:color w:val="000000"/>
                <w:kern w:val="2"/>
                <w:sz w:val="21"/>
                <w:szCs w:val="21"/>
                <w:lang w:eastAsia="zh-CN"/>
              </w:rPr>
              <w:t>、</w:t>
            </w:r>
            <w:r>
              <w:rPr>
                <w:rFonts w:hint="eastAsia" w:ascii="仿宋_GB2312" w:eastAsia="仿宋_GB2312"/>
                <w:color w:val="000000"/>
                <w:kern w:val="2"/>
                <w:sz w:val="21"/>
                <w:szCs w:val="21"/>
                <w:lang w:eastAsia="zh-CN"/>
              </w:rPr>
              <w:t>质量拨测、日常监听</w:t>
            </w:r>
            <w:r>
              <w:rPr>
                <w:rFonts w:ascii="仿宋_GB2312" w:eastAsia="仿宋_GB2312"/>
                <w:color w:val="000000"/>
                <w:kern w:val="2"/>
                <w:sz w:val="21"/>
                <w:szCs w:val="21"/>
                <w:lang w:eastAsia="zh-CN"/>
              </w:rPr>
              <w:t>、业务测试</w:t>
            </w:r>
            <w:r>
              <w:rPr>
                <w:rFonts w:hint="eastAsia" w:ascii="仿宋_GB2312" w:eastAsia="仿宋_GB2312"/>
                <w:color w:val="000000"/>
                <w:kern w:val="2"/>
                <w:sz w:val="21"/>
                <w:szCs w:val="21"/>
                <w:lang w:eastAsia="zh-CN"/>
              </w:rPr>
              <w:t>四</w:t>
            </w:r>
            <w:r>
              <w:rPr>
                <w:rFonts w:ascii="仿宋_GB2312" w:eastAsia="仿宋_GB2312"/>
                <w:color w:val="000000"/>
                <w:kern w:val="2"/>
                <w:sz w:val="21"/>
                <w:szCs w:val="21"/>
                <w:lang w:eastAsia="zh-CN"/>
              </w:rPr>
              <w:t>个方面对服务质量开展考核，</w:t>
            </w:r>
            <w:r>
              <w:rPr>
                <w:rFonts w:hint="eastAsia" w:ascii="仿宋_GB2312" w:eastAsia="仿宋_GB2312"/>
                <w:color w:val="000000"/>
                <w:kern w:val="2"/>
                <w:sz w:val="21"/>
                <w:szCs w:val="21"/>
                <w:lang w:eastAsia="zh-CN"/>
              </w:rPr>
              <w:t>按照提供服务区（分）局单独打分，汇总计算平均值</w:t>
            </w:r>
            <w:r>
              <w:rPr>
                <w:rFonts w:ascii="仿宋_GB2312" w:eastAsia="仿宋_GB2312"/>
                <w:color w:val="000000"/>
                <w:kern w:val="2"/>
                <w:sz w:val="21"/>
                <w:szCs w:val="21"/>
                <w:lang w:eastAsia="zh-CN"/>
              </w:rPr>
              <w:t>，计算公式如下：</w:t>
            </w:r>
          </w:p>
          <w:p w14:paraId="0F0B2BA8">
            <w:pPr>
              <w:widowControl w:val="0"/>
              <w:rPr>
                <w:rFonts w:ascii="仿宋_GB2312" w:eastAsia="仿宋_GB2312"/>
                <w:color w:val="000000"/>
                <w:kern w:val="2"/>
                <w:sz w:val="21"/>
                <w:szCs w:val="21"/>
                <w:lang w:eastAsia="zh-CN"/>
              </w:rPr>
            </w:pPr>
            <m:oMathPara>
              <m:oMath>
                <m:r>
                  <m:rPr>
                    <m:sty m:val="p"/>
                  </m:rPr>
                  <w:rPr>
                    <w:rFonts w:hint="eastAsia" w:ascii="Cambria Math" w:hAnsi="Cambria Math" w:eastAsia="仿宋_GB2312"/>
                    <w:color w:val="000000"/>
                    <w:kern w:val="2"/>
                    <w:sz w:val="21"/>
                    <w:szCs w:val="21"/>
                    <w:lang w:eastAsia="zh-CN"/>
                  </w:rPr>
                  <m:t>服务质量得分=</m:t>
                </m:r>
                <m:f>
                  <m:fPr>
                    <m:ctrlPr>
                      <w:rPr>
                        <w:rFonts w:ascii="Cambria Math" w:hAnsi="Cambria Math" w:eastAsia="仿宋_GB2312"/>
                        <w:color w:val="000000"/>
                        <w:kern w:val="2"/>
                        <w:sz w:val="21"/>
                        <w:szCs w:val="21"/>
                        <w:lang w:eastAsia="zh-CN"/>
                      </w:rPr>
                    </m:ctrlPr>
                  </m:fPr>
                  <m:num>
                    <m:r>
                      <m:rPr>
                        <m:sty m:val="p"/>
                      </m:rPr>
                      <w:rPr>
                        <w:rFonts w:hint="eastAsia" w:ascii="Cambria Math" w:hAnsi="Cambria Math" w:eastAsia="仿宋_GB2312"/>
                        <w:color w:val="000000"/>
                        <w:kern w:val="2"/>
                        <w:sz w:val="21"/>
                        <w:szCs w:val="21"/>
                        <w:lang w:eastAsia="zh-CN"/>
                      </w:rPr>
                      <m:t>提供服务</m:t>
                    </m:r>
                    <m:r>
                      <m:rPr>
                        <m:sty m:val="p"/>
                      </m:rPr>
                      <w:rPr>
                        <w:rFonts w:hint="eastAsia" w:ascii="仿宋_GB2312" w:eastAsia="仿宋_GB2312"/>
                        <w:color w:val="000000"/>
                        <w:kern w:val="2"/>
                        <w:sz w:val="21"/>
                        <w:szCs w:val="21"/>
                        <w:lang w:eastAsia="zh-CN"/>
                      </w:rPr>
                      <m:t>区（分）局</m:t>
                    </m:r>
                    <m:r>
                      <m:rPr>
                        <m:sty m:val="p"/>
                      </m:rPr>
                      <w:rPr>
                        <w:rFonts w:hint="eastAsia" w:ascii="Cambria Math" w:hAnsi="Cambria Math" w:eastAsia="仿宋_GB2312"/>
                        <w:color w:val="000000"/>
                        <w:kern w:val="2"/>
                        <w:sz w:val="21"/>
                        <w:szCs w:val="21"/>
                        <w:lang w:eastAsia="zh-CN"/>
                      </w:rPr>
                      <m:t>季度考核成绩之和</m:t>
                    </m:r>
                    <m:ctrlPr>
                      <w:rPr>
                        <w:rFonts w:ascii="Cambria Math" w:hAnsi="Cambria Math" w:eastAsia="仿宋_GB2312"/>
                        <w:color w:val="000000"/>
                        <w:kern w:val="2"/>
                        <w:sz w:val="21"/>
                        <w:szCs w:val="21"/>
                        <w:lang w:eastAsia="zh-CN"/>
                      </w:rPr>
                    </m:ctrlPr>
                  </m:num>
                  <m:den>
                    <m:r>
                      <m:rPr>
                        <m:sty m:val="p"/>
                      </m:rPr>
                      <w:rPr>
                        <w:rFonts w:hint="eastAsia" w:ascii="Cambria Math" w:hAnsi="Cambria Math" w:eastAsia="仿宋_GB2312"/>
                        <w:color w:val="000000"/>
                        <w:kern w:val="2"/>
                        <w:sz w:val="21"/>
                        <w:szCs w:val="21"/>
                        <w:lang w:eastAsia="zh-CN"/>
                      </w:rPr>
                      <m:t>提供服务</m:t>
                    </m:r>
                    <m:r>
                      <m:rPr>
                        <m:sty m:val="p"/>
                      </m:rPr>
                      <w:rPr>
                        <w:rFonts w:hint="eastAsia" w:ascii="仿宋_GB2312" w:eastAsia="仿宋_GB2312"/>
                        <w:color w:val="000000"/>
                        <w:kern w:val="2"/>
                        <w:sz w:val="21"/>
                        <w:szCs w:val="21"/>
                        <w:lang w:eastAsia="zh-CN"/>
                      </w:rPr>
                      <m:t>区（分）局</m:t>
                    </m:r>
                    <m:r>
                      <m:rPr>
                        <m:sty m:val="p"/>
                      </m:rPr>
                      <w:rPr>
                        <w:rFonts w:hint="eastAsia" w:ascii="Cambria Math" w:hAnsi="Cambria Math" w:eastAsia="仿宋_GB2312"/>
                        <w:color w:val="000000"/>
                        <w:kern w:val="2"/>
                        <w:sz w:val="21"/>
                        <w:szCs w:val="21"/>
                        <w:lang w:eastAsia="zh-CN"/>
                      </w:rPr>
                      <m:t>数量</m:t>
                    </m:r>
                    <m:ctrlPr>
                      <w:rPr>
                        <w:rFonts w:ascii="Cambria Math" w:hAnsi="Cambria Math" w:eastAsia="仿宋_GB2312"/>
                        <w:color w:val="000000"/>
                        <w:kern w:val="2"/>
                        <w:sz w:val="21"/>
                        <w:szCs w:val="21"/>
                        <w:lang w:eastAsia="zh-CN"/>
                      </w:rPr>
                    </m:ctrlPr>
                  </m:den>
                </m:f>
              </m:oMath>
            </m:oMathPara>
          </w:p>
        </w:tc>
      </w:tr>
      <w:tr w14:paraId="58F8B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BF61432">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3E0E1AA7">
            <w:pPr>
              <w:widowControl w:val="0"/>
              <w:jc w:val="center"/>
              <w:rPr>
                <w:rFonts w:hint="eastAsia" w:ascii="Cambria Math" w:hAnsi="Cambria Math" w:eastAsia="仿宋_GB2312"/>
                <w:color w:val="000000"/>
                <w:kern w:val="2"/>
                <w:sz w:val="21"/>
                <w:szCs w:val="21"/>
                <w:lang w:eastAsia="zh-CN"/>
                <w:oMath/>
              </w:rPr>
            </w:pPr>
            <w:r>
              <w:rPr>
                <w:rFonts w:hint="eastAsia" w:ascii="FangSong_GB2312" w:hAnsi="FangSong_GB2312" w:eastAsia="FangSong_GB2312" w:cs="FangSong_GB2312"/>
                <w:sz w:val="21"/>
                <w:szCs w:val="21"/>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4A06D512">
            <w:pPr>
              <w:widowControl w:val="0"/>
              <w:rPr>
                <w:rFonts w:ascii="仿宋_GB2312" w:eastAsia="仿宋_GB2312"/>
                <w:color w:val="000000"/>
                <w:kern w:val="2"/>
                <w:sz w:val="21"/>
                <w:szCs w:val="21"/>
                <w:lang w:eastAsia="zh-CN"/>
              </w:rPr>
            </w:pPr>
            <w:r>
              <w:rPr>
                <w:rFonts w:ascii="仿宋_GB2312" w:eastAsia="仿宋_GB2312"/>
                <w:color w:val="000000"/>
                <w:kern w:val="2"/>
                <w:sz w:val="21"/>
                <w:szCs w:val="21"/>
                <w:lang w:eastAsia="zh-CN"/>
              </w:rPr>
              <w:t>通过</w:t>
            </w:r>
            <w:r>
              <w:rPr>
                <w:rFonts w:hint="eastAsia" w:ascii="仿宋_GB2312" w:eastAsia="仿宋_GB2312"/>
                <w:color w:val="000000"/>
                <w:kern w:val="2"/>
                <w:sz w:val="21"/>
                <w:szCs w:val="21"/>
                <w:lang w:eastAsia="zh-CN"/>
              </w:rPr>
              <w:t>热线平均接通率、平均等待时长、好差评主动发起率、转接办结率、服务满意率、工单质量、投诉情况七</w:t>
            </w:r>
            <w:r>
              <w:rPr>
                <w:rFonts w:ascii="仿宋_GB2312" w:eastAsia="仿宋_GB2312"/>
                <w:color w:val="000000"/>
                <w:kern w:val="2"/>
                <w:sz w:val="21"/>
                <w:szCs w:val="21"/>
                <w:lang w:eastAsia="zh-CN"/>
              </w:rPr>
              <w:t>个方面对热线服务商</w:t>
            </w:r>
            <w:r>
              <w:rPr>
                <w:rFonts w:hint="eastAsia" w:ascii="仿宋_GB2312" w:eastAsia="仿宋_GB2312"/>
                <w:color w:val="000000"/>
                <w:kern w:val="2"/>
                <w:sz w:val="21"/>
                <w:szCs w:val="21"/>
                <w:lang w:eastAsia="zh-CN"/>
              </w:rPr>
              <w:t>运行成效</w:t>
            </w:r>
            <w:r>
              <w:rPr>
                <w:rFonts w:ascii="仿宋_GB2312" w:eastAsia="仿宋_GB2312"/>
                <w:color w:val="000000"/>
                <w:kern w:val="2"/>
                <w:sz w:val="21"/>
                <w:szCs w:val="21"/>
                <w:lang w:eastAsia="zh-CN"/>
              </w:rPr>
              <w:t>开展考核，</w:t>
            </w:r>
            <w:r>
              <w:rPr>
                <w:rFonts w:hint="eastAsia" w:ascii="仿宋_GB2312" w:eastAsia="仿宋_GB2312"/>
                <w:color w:val="000000"/>
                <w:kern w:val="2"/>
                <w:sz w:val="21"/>
                <w:szCs w:val="21"/>
                <w:lang w:eastAsia="zh-CN"/>
              </w:rPr>
              <w:t>按照提供服务区（分）局单独打分，汇总计算平均值</w:t>
            </w:r>
            <w:r>
              <w:rPr>
                <w:rFonts w:ascii="仿宋_GB2312" w:eastAsia="仿宋_GB2312"/>
                <w:color w:val="000000"/>
                <w:kern w:val="2"/>
                <w:sz w:val="21"/>
                <w:szCs w:val="21"/>
                <w:lang w:eastAsia="zh-CN"/>
              </w:rPr>
              <w:t>，计算公式如下：</w:t>
            </w:r>
          </w:p>
          <w:p w14:paraId="67CCA3D3">
            <w:pPr>
              <w:pStyle w:val="2"/>
              <w:ind w:firstLine="0" w:firstLineChars="0"/>
              <w:rPr>
                <w:rFonts w:ascii="仿宋_GB2312" w:eastAsia="仿宋_GB2312"/>
                <w:color w:val="000000"/>
                <w:kern w:val="2"/>
                <w:sz w:val="21"/>
                <w:szCs w:val="21"/>
                <w:lang w:eastAsia="zh-CN"/>
              </w:rPr>
            </w:pPr>
            <m:oMathPara>
              <m:oMath>
                <m:r>
                  <m:rPr>
                    <m:sty m:val="p"/>
                  </m:rPr>
                  <w:rPr>
                    <w:rFonts w:hint="eastAsia" w:ascii="Cambria Math" w:hAnsi="Cambria Math" w:eastAsia="仿宋_GB2312"/>
                    <w:color w:val="000000"/>
                    <w:kern w:val="2"/>
                    <w:sz w:val="21"/>
                    <w:szCs w:val="21"/>
                    <w:lang w:eastAsia="zh-CN"/>
                  </w:rPr>
                  <m:t>服务质量得分=</m:t>
                </m:r>
                <m:f>
                  <m:fPr>
                    <m:ctrlPr>
                      <w:rPr>
                        <w:rFonts w:ascii="Cambria Math" w:hAnsi="Cambria Math" w:eastAsia="仿宋_GB2312"/>
                        <w:color w:val="000000"/>
                        <w:kern w:val="2"/>
                        <w:sz w:val="21"/>
                        <w:szCs w:val="21"/>
                        <w:lang w:eastAsia="zh-CN"/>
                      </w:rPr>
                    </m:ctrlPr>
                  </m:fPr>
                  <m:num>
                    <m:r>
                      <m:rPr>
                        <m:sty m:val="p"/>
                      </m:rPr>
                      <w:rPr>
                        <w:rFonts w:hint="eastAsia" w:ascii="Cambria Math" w:hAnsi="Cambria Math" w:eastAsia="仿宋_GB2312"/>
                        <w:color w:val="000000"/>
                        <w:kern w:val="2"/>
                        <w:sz w:val="21"/>
                        <w:szCs w:val="21"/>
                        <w:lang w:eastAsia="zh-CN"/>
                      </w:rPr>
                      <m:t>提供服务</m:t>
                    </m:r>
                    <m:r>
                      <m:rPr>
                        <m:sty m:val="p"/>
                      </m:rPr>
                      <w:rPr>
                        <w:rFonts w:hint="eastAsia" w:ascii="仿宋_GB2312" w:eastAsia="仿宋_GB2312"/>
                        <w:color w:val="000000"/>
                        <w:kern w:val="2"/>
                        <w:sz w:val="21"/>
                        <w:szCs w:val="21"/>
                        <w:lang w:eastAsia="zh-CN"/>
                      </w:rPr>
                      <m:t>区（分）局</m:t>
                    </m:r>
                    <m:r>
                      <m:rPr>
                        <m:sty m:val="p"/>
                      </m:rPr>
                      <w:rPr>
                        <w:rFonts w:hint="eastAsia" w:ascii="Cambria Math" w:hAnsi="Cambria Math" w:eastAsia="仿宋_GB2312"/>
                        <w:color w:val="000000"/>
                        <w:kern w:val="2"/>
                        <w:sz w:val="21"/>
                        <w:szCs w:val="21"/>
                        <w:lang w:eastAsia="zh-CN"/>
                      </w:rPr>
                      <m:t>季度考核成绩之和</m:t>
                    </m:r>
                    <m:ctrlPr>
                      <w:rPr>
                        <w:rFonts w:ascii="Cambria Math" w:hAnsi="Cambria Math" w:eastAsia="仿宋_GB2312"/>
                        <w:color w:val="000000"/>
                        <w:kern w:val="2"/>
                        <w:sz w:val="21"/>
                        <w:szCs w:val="21"/>
                        <w:lang w:eastAsia="zh-CN"/>
                      </w:rPr>
                    </m:ctrlPr>
                  </m:num>
                  <m:den>
                    <m:r>
                      <m:rPr>
                        <m:sty m:val="p"/>
                      </m:rPr>
                      <w:rPr>
                        <w:rFonts w:hint="eastAsia" w:ascii="Cambria Math" w:hAnsi="Cambria Math" w:eastAsia="仿宋_GB2312"/>
                        <w:color w:val="000000"/>
                        <w:kern w:val="2"/>
                        <w:sz w:val="21"/>
                        <w:szCs w:val="21"/>
                        <w:lang w:eastAsia="zh-CN"/>
                      </w:rPr>
                      <m:t>提供服务</m:t>
                    </m:r>
                    <m:r>
                      <m:rPr>
                        <m:sty m:val="p"/>
                      </m:rPr>
                      <w:rPr>
                        <w:rFonts w:hint="eastAsia" w:ascii="仿宋_GB2312" w:eastAsia="仿宋_GB2312"/>
                        <w:color w:val="000000"/>
                        <w:kern w:val="2"/>
                        <w:sz w:val="21"/>
                        <w:szCs w:val="21"/>
                        <w:lang w:eastAsia="zh-CN"/>
                      </w:rPr>
                      <m:t>区（分）局</m:t>
                    </m:r>
                    <m:r>
                      <m:rPr>
                        <m:sty m:val="p"/>
                      </m:rPr>
                      <w:rPr>
                        <w:rFonts w:hint="eastAsia" w:ascii="Cambria Math" w:hAnsi="Cambria Math" w:eastAsia="仿宋_GB2312"/>
                        <w:color w:val="000000"/>
                        <w:kern w:val="2"/>
                        <w:sz w:val="21"/>
                        <w:szCs w:val="21"/>
                        <w:lang w:eastAsia="zh-CN"/>
                      </w:rPr>
                      <m:t>数量</m:t>
                    </m:r>
                    <m:ctrlPr>
                      <w:rPr>
                        <w:rFonts w:ascii="Cambria Math" w:hAnsi="Cambria Math" w:eastAsia="仿宋_GB2312"/>
                        <w:color w:val="000000"/>
                        <w:kern w:val="2"/>
                        <w:sz w:val="21"/>
                        <w:szCs w:val="21"/>
                        <w:lang w:eastAsia="zh-CN"/>
                      </w:rPr>
                    </m:ctrlPr>
                  </m:den>
                </m:f>
              </m:oMath>
            </m:oMathPara>
          </w:p>
        </w:tc>
      </w:tr>
      <w:tr w14:paraId="73009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420A2F33">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01160659">
            <w:pPr>
              <w:widowControl w:val="0"/>
              <w:jc w:val="center"/>
              <w:rPr>
                <w:rFonts w:ascii="仿宋_GB2312" w:eastAsia="仿宋_GB2312"/>
                <w:color w:val="000000"/>
                <w:kern w:val="2"/>
                <w:sz w:val="21"/>
                <w:szCs w:val="21"/>
                <w:lang w:eastAsia="zh-CN"/>
              </w:rPr>
            </w:pPr>
            <w:r>
              <w:rPr>
                <w:rFonts w:hint="eastAsia" w:ascii="FangSong_GB2312" w:hAnsi="FangSong_GB2312" w:eastAsia="FangSong_GB2312" w:cs="FangSong_GB2312"/>
                <w:sz w:val="21"/>
                <w:szCs w:val="21"/>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62D34CED">
            <w:pPr>
              <w:widowControl w:val="0"/>
              <w:rPr>
                <w:lang w:eastAsia="zh-CN"/>
              </w:rPr>
            </w:pPr>
            <w:r>
              <w:rPr>
                <w:rFonts w:hint="eastAsia" w:ascii="仿宋_GB2312" w:eastAsia="仿宋_GB2312"/>
                <w:color w:val="000000"/>
                <w:kern w:val="2"/>
                <w:sz w:val="21"/>
                <w:szCs w:val="21"/>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62492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2EBBB01">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47142081">
            <w:pPr>
              <w:widowControl w:val="0"/>
              <w:jc w:val="center"/>
              <w:rPr>
                <w:rFonts w:ascii="仿宋_GB2312" w:eastAsia="仿宋_GB2312"/>
                <w:color w:val="000000"/>
                <w:kern w:val="2"/>
                <w:sz w:val="21"/>
                <w:szCs w:val="21"/>
                <w:lang w:eastAsia="zh-CN"/>
              </w:rPr>
            </w:pPr>
            <w:r>
              <w:rPr>
                <w:rFonts w:hint="eastAsia" w:ascii="FangSong_GB2312" w:hAnsi="FangSong_GB2312" w:eastAsia="FangSong_GB2312" w:cs="FangSong_GB2312"/>
                <w:sz w:val="21"/>
                <w:szCs w:val="21"/>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7C3372E7">
            <w:pPr>
              <w:widowControl w:val="0"/>
              <w:rPr>
                <w:rFonts w:ascii="仿宋_GB2312" w:eastAsia="仿宋_GB2312"/>
                <w:color w:val="000000"/>
                <w:kern w:val="2"/>
                <w:sz w:val="21"/>
                <w:szCs w:val="21"/>
                <w:lang w:val="zh-CN" w:eastAsia="zh-CN"/>
              </w:rPr>
            </w:pPr>
            <w:r>
              <w:rPr>
                <w:rFonts w:ascii="仿宋_GB2312" w:eastAsia="仿宋_GB2312"/>
                <w:color w:val="000000"/>
                <w:kern w:val="2"/>
                <w:sz w:val="21"/>
                <w:szCs w:val="21"/>
                <w:lang w:eastAsia="zh-CN"/>
              </w:rPr>
              <w:t>统计每季度员工离职的人数，以每个季度离职人员的数量考核人员的稳定性。</w:t>
            </w:r>
            <w:r>
              <w:rPr>
                <w:rFonts w:hint="eastAsia" w:ascii="仿宋_GB2312" w:eastAsia="仿宋_GB2312"/>
                <w:color w:val="000000"/>
                <w:kern w:val="2"/>
                <w:sz w:val="21"/>
                <w:szCs w:val="21"/>
                <w:lang w:eastAsia="zh-CN"/>
              </w:rPr>
              <w:t>每季度员工离职人数不超过当季总人数10%（含）的，不扣分；离职人数超过当季总人数10%的，每增加1%，扣0.5分。</w:t>
            </w:r>
            <w:r>
              <w:rPr>
                <w:rFonts w:ascii="仿宋_GB2312" w:eastAsia="仿宋_GB2312"/>
                <w:color w:val="000000"/>
                <w:kern w:val="2"/>
                <w:sz w:val="21"/>
                <w:szCs w:val="21"/>
                <w:lang w:eastAsia="zh-CN"/>
              </w:rPr>
              <w:t>员工离职数不包括如下人员：内部岗位调动人员</w:t>
            </w:r>
            <w:r>
              <w:rPr>
                <w:rFonts w:hint="eastAsia" w:ascii="仿宋_GB2312" w:eastAsia="仿宋_GB2312"/>
                <w:color w:val="000000"/>
                <w:kern w:val="2"/>
                <w:sz w:val="21"/>
                <w:szCs w:val="21"/>
                <w:lang w:eastAsia="zh-CN"/>
              </w:rPr>
              <w:t>、各区（分）局因员工个人问题主动要求热线服务商撤换的人数</w:t>
            </w:r>
            <w:r>
              <w:rPr>
                <w:rFonts w:ascii="仿宋_GB2312" w:eastAsia="仿宋_GB2312"/>
                <w:color w:val="000000"/>
                <w:kern w:val="2"/>
                <w:sz w:val="21"/>
                <w:szCs w:val="21"/>
                <w:lang w:eastAsia="zh-CN"/>
              </w:rPr>
              <w:t>。</w:t>
            </w:r>
          </w:p>
        </w:tc>
      </w:tr>
      <w:tr w14:paraId="07C65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4D3EF67F">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2610CD5F">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43B23040">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1.</w:t>
            </w:r>
            <w:r>
              <w:rPr>
                <w:rFonts w:ascii="仿宋_GB2312" w:eastAsia="仿宋_GB2312"/>
                <w:color w:val="000000"/>
                <w:kern w:val="2"/>
                <w:sz w:val="21"/>
                <w:szCs w:val="21"/>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lang w:eastAsia="zh-CN"/>
              </w:rPr>
              <w:t>，每次扣5分。</w:t>
            </w:r>
          </w:p>
          <w:p w14:paraId="33A199DE">
            <w:pPr>
              <w:widowControl w:val="0"/>
              <w:rPr>
                <w:rFonts w:ascii="仿宋_GB2312" w:eastAsia="仿宋_GB2312"/>
                <w:color w:val="000000"/>
                <w:kern w:val="2"/>
                <w:sz w:val="21"/>
                <w:szCs w:val="21"/>
                <w:lang w:val="zh-CN" w:eastAsia="zh-CN"/>
              </w:rPr>
            </w:pPr>
            <w:r>
              <w:rPr>
                <w:rFonts w:hint="eastAsia" w:ascii="仿宋_GB2312" w:eastAsia="仿宋_GB2312"/>
                <w:color w:val="000000"/>
                <w:kern w:val="2"/>
                <w:sz w:val="21"/>
                <w:szCs w:val="21"/>
                <w:lang w:eastAsia="zh-CN"/>
              </w:rPr>
              <w:t>2.服务人员</w:t>
            </w:r>
            <w:r>
              <w:rPr>
                <w:rFonts w:hint="eastAsia" w:ascii="仿宋_GB2312" w:eastAsia="仿宋_GB2312"/>
                <w:color w:val="000000"/>
                <w:kern w:val="2"/>
                <w:sz w:val="21"/>
                <w:szCs w:val="21"/>
                <w:lang w:val="zh-CN" w:eastAsia="zh-CN"/>
              </w:rPr>
              <w:t>与来电人发生争吵，甚至辱骂、威胁来电人等，严重违反工作纪律的，每人次扣1分。</w:t>
            </w:r>
          </w:p>
          <w:p w14:paraId="6A75A5BE">
            <w:pPr>
              <w:widowControl w:val="0"/>
              <w:rPr>
                <w:rFonts w:ascii="仿宋_GB2312" w:eastAsia="仿宋_GB2312"/>
                <w:color w:val="000000"/>
                <w:kern w:val="2"/>
                <w:sz w:val="21"/>
                <w:szCs w:val="21"/>
                <w:lang w:val="zh-CN" w:eastAsia="zh-CN"/>
              </w:rPr>
            </w:pPr>
            <w:r>
              <w:rPr>
                <w:rFonts w:hint="eastAsia" w:ascii="仿宋_GB2312" w:eastAsia="仿宋_GB2312"/>
                <w:color w:val="000000"/>
                <w:kern w:val="2"/>
                <w:sz w:val="21"/>
                <w:szCs w:val="21"/>
                <w:lang w:eastAsia="zh-CN"/>
              </w:rPr>
              <w:t>3.服务人员</w:t>
            </w:r>
            <w:r>
              <w:rPr>
                <w:rFonts w:hint="eastAsia" w:ascii="仿宋_GB2312" w:eastAsia="仿宋_GB2312"/>
                <w:color w:val="000000"/>
                <w:kern w:val="2"/>
                <w:sz w:val="21"/>
                <w:szCs w:val="21"/>
                <w:lang w:val="zh-CN" w:eastAsia="zh-CN"/>
              </w:rPr>
              <w:t>泄露不予公开、内部掌握等相关口径，未遵循保密工作要求，导致引发舆情风险的，每人次扣5分。</w:t>
            </w:r>
          </w:p>
          <w:p w14:paraId="1BEDA3F2">
            <w:pPr>
              <w:widowControl w:val="0"/>
              <w:rPr>
                <w:rFonts w:ascii="仿宋_GB2312" w:eastAsia="仿宋_GB2312"/>
                <w:color w:val="000000"/>
                <w:kern w:val="2"/>
                <w:sz w:val="21"/>
                <w:szCs w:val="21"/>
                <w:lang w:val="zh-CN" w:eastAsia="zh-CN"/>
              </w:rPr>
            </w:pPr>
            <w:r>
              <w:rPr>
                <w:rFonts w:hint="eastAsia" w:ascii="仿宋_GB2312" w:eastAsia="仿宋_GB2312"/>
                <w:color w:val="000000"/>
                <w:kern w:val="2"/>
                <w:sz w:val="21"/>
                <w:szCs w:val="21"/>
                <w:lang w:eastAsia="zh-CN"/>
              </w:rPr>
              <w:t>4.中标供应商</w:t>
            </w:r>
            <w:r>
              <w:rPr>
                <w:rFonts w:hint="eastAsia" w:ascii="仿宋_GB2312" w:eastAsia="仿宋_GB2312"/>
                <w:color w:val="000000"/>
                <w:kern w:val="2"/>
                <w:sz w:val="21"/>
                <w:szCs w:val="21"/>
                <w:lang w:val="zh-CN" w:eastAsia="zh-CN"/>
              </w:rPr>
              <w:t>存在弄虚作假、虚报瞒报、篡改数据等，严重影响考核公平行为的，每次扣5分。</w:t>
            </w:r>
          </w:p>
          <w:p w14:paraId="278112C8">
            <w:pPr>
              <w:widowControl w:val="0"/>
              <w:rPr>
                <w:rFonts w:ascii="宋体" w:hAnsi="宋体" w:eastAsia="宋体" w:cs="宋体"/>
                <w:spacing w:val="-2"/>
                <w:lang w:eastAsia="zh-CN"/>
              </w:rPr>
            </w:pPr>
            <w:r>
              <w:rPr>
                <w:rFonts w:hint="eastAsia" w:ascii="仿宋_GB2312" w:eastAsia="仿宋_GB2312"/>
                <w:color w:val="000000"/>
                <w:kern w:val="2"/>
                <w:sz w:val="21"/>
                <w:szCs w:val="21"/>
                <w:lang w:eastAsia="zh-CN"/>
              </w:rPr>
              <w:t>5.纳税人无论通过何种渠道投诉反映坐席服务质量问题，经核实属实的，每存在一条扣2分。</w:t>
            </w:r>
          </w:p>
        </w:tc>
      </w:tr>
    </w:tbl>
    <w:p w14:paraId="7EE994E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采购人按上述方法计算得出中标服务商季度考核分值，分值60分（含）以上为合格，低于60分的为不合格。</w:t>
      </w:r>
    </w:p>
    <w:p w14:paraId="276EF25F">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服务质量和运行成效的具体考核标准如下：</w:t>
      </w:r>
    </w:p>
    <w:tbl>
      <w:tblPr>
        <w:tblStyle w:val="14"/>
        <w:tblW w:w="8615" w:type="dxa"/>
        <w:jc w:val="center"/>
        <w:tblLayout w:type="fixed"/>
        <w:tblCellMar>
          <w:top w:w="0" w:type="dxa"/>
          <w:left w:w="108" w:type="dxa"/>
          <w:bottom w:w="0" w:type="dxa"/>
          <w:right w:w="108" w:type="dxa"/>
        </w:tblCellMar>
      </w:tblPr>
      <w:tblGrid>
        <w:gridCol w:w="427"/>
        <w:gridCol w:w="1169"/>
        <w:gridCol w:w="1584"/>
        <w:gridCol w:w="708"/>
        <w:gridCol w:w="4727"/>
      </w:tblGrid>
      <w:tr w14:paraId="6A218E1F">
        <w:tblPrEx>
          <w:tblCellMar>
            <w:top w:w="0" w:type="dxa"/>
            <w:left w:w="108" w:type="dxa"/>
            <w:bottom w:w="0" w:type="dxa"/>
            <w:right w:w="108" w:type="dxa"/>
          </w:tblCellMar>
        </w:tblPrEx>
        <w:trPr>
          <w:trHeight w:val="270" w:hRule="atLeast"/>
          <w:jc w:val="center"/>
        </w:trPr>
        <w:tc>
          <w:tcPr>
            <w:tcW w:w="427"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vAlign w:val="center"/>
          </w:tcPr>
          <w:p w14:paraId="30B8AA79">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序号</w:t>
            </w:r>
          </w:p>
        </w:tc>
        <w:tc>
          <w:tcPr>
            <w:tcW w:w="1169" w:type="dxa"/>
            <w:tcBorders>
              <w:top w:val="single" w:color="000000" w:sz="4" w:space="0"/>
              <w:left w:val="nil"/>
              <w:bottom w:val="single" w:color="000000" w:sz="4" w:space="0"/>
              <w:right w:val="single" w:color="000000" w:sz="4" w:space="0"/>
            </w:tcBorders>
            <w:shd w:val="clear" w:color="auto" w:fill="D8D8D8" w:themeFill="background1" w:themeFillShade="D9"/>
            <w:noWrap/>
            <w:vAlign w:val="center"/>
          </w:tcPr>
          <w:p w14:paraId="0A917774">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指标大类</w:t>
            </w:r>
          </w:p>
        </w:tc>
        <w:tc>
          <w:tcPr>
            <w:tcW w:w="1584" w:type="dxa"/>
            <w:tcBorders>
              <w:top w:val="single" w:color="000000" w:sz="4" w:space="0"/>
              <w:left w:val="nil"/>
              <w:bottom w:val="single" w:color="000000" w:sz="4" w:space="0"/>
              <w:right w:val="single" w:color="000000" w:sz="4" w:space="0"/>
            </w:tcBorders>
            <w:shd w:val="clear" w:color="auto" w:fill="D8D8D8" w:themeFill="background1" w:themeFillShade="D9"/>
            <w:noWrap/>
            <w:vAlign w:val="center"/>
          </w:tcPr>
          <w:p w14:paraId="4FBF411F">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指标名称</w:t>
            </w:r>
          </w:p>
        </w:tc>
        <w:tc>
          <w:tcPr>
            <w:tcW w:w="708" w:type="dxa"/>
            <w:tcBorders>
              <w:top w:val="single" w:color="000000" w:sz="4" w:space="0"/>
              <w:left w:val="nil"/>
              <w:bottom w:val="single" w:color="000000" w:sz="4" w:space="0"/>
              <w:right w:val="single" w:color="000000" w:sz="4" w:space="0"/>
            </w:tcBorders>
            <w:shd w:val="clear" w:color="auto" w:fill="D8D8D8" w:themeFill="background1" w:themeFillShade="D9"/>
            <w:noWrap/>
            <w:vAlign w:val="center"/>
          </w:tcPr>
          <w:p w14:paraId="0277250E">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分值</w:t>
            </w:r>
          </w:p>
        </w:tc>
        <w:tc>
          <w:tcPr>
            <w:tcW w:w="4727" w:type="dxa"/>
            <w:tcBorders>
              <w:top w:val="single" w:color="000000" w:sz="4" w:space="0"/>
              <w:left w:val="nil"/>
              <w:bottom w:val="single" w:color="000000" w:sz="4" w:space="0"/>
              <w:right w:val="single" w:color="000000" w:sz="4" w:space="0"/>
            </w:tcBorders>
            <w:shd w:val="clear" w:color="auto" w:fill="D8D8D8" w:themeFill="background1" w:themeFillShade="D9"/>
            <w:noWrap/>
            <w:vAlign w:val="center"/>
          </w:tcPr>
          <w:p w14:paraId="7BA27185">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指标定义</w:t>
            </w:r>
          </w:p>
        </w:tc>
      </w:tr>
      <w:tr w14:paraId="2B5990DB">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1E95C6A8">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1</w:t>
            </w:r>
          </w:p>
        </w:tc>
        <w:tc>
          <w:tcPr>
            <w:tcW w:w="1169" w:type="dxa"/>
            <w:vMerge w:val="restart"/>
            <w:tcBorders>
              <w:top w:val="nil"/>
              <w:left w:val="nil"/>
              <w:right w:val="single" w:color="000000" w:sz="4" w:space="0"/>
            </w:tcBorders>
            <w:shd w:val="clear" w:color="auto" w:fill="auto"/>
            <w:noWrap/>
            <w:vAlign w:val="center"/>
          </w:tcPr>
          <w:p w14:paraId="134245E0">
            <w:pPr>
              <w:widowControl w:val="0"/>
              <w:jc w:val="center"/>
              <w:rPr>
                <w:rFonts w:ascii="仿宋_GB2312" w:hAnsi="宋体" w:eastAsia="仿宋_GB2312" w:cs="宋体"/>
                <w:color w:val="000000"/>
                <w:sz w:val="21"/>
                <w:szCs w:val="21"/>
                <w:lang w:eastAsia="zh-CN"/>
              </w:rPr>
            </w:pPr>
            <w:r>
              <w:rPr>
                <w:rFonts w:hint="eastAsia" w:ascii="仿宋_GB2312" w:eastAsia="仿宋_GB2312"/>
                <w:color w:val="000000"/>
                <w:kern w:val="2"/>
                <w:sz w:val="21"/>
                <w:szCs w:val="21"/>
                <w:lang w:eastAsia="zh-CN"/>
              </w:rPr>
              <w:t>服务质量</w:t>
            </w:r>
          </w:p>
        </w:tc>
        <w:tc>
          <w:tcPr>
            <w:tcW w:w="1584" w:type="dxa"/>
            <w:tcBorders>
              <w:top w:val="nil"/>
              <w:left w:val="nil"/>
              <w:bottom w:val="single" w:color="000000" w:sz="4" w:space="0"/>
              <w:right w:val="single" w:color="000000" w:sz="4" w:space="0"/>
            </w:tcBorders>
            <w:shd w:val="clear" w:color="auto" w:fill="auto"/>
            <w:noWrap/>
            <w:vAlign w:val="center"/>
          </w:tcPr>
          <w:p w14:paraId="6316951C">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全国拨测指标</w:t>
            </w:r>
          </w:p>
        </w:tc>
        <w:tc>
          <w:tcPr>
            <w:tcW w:w="708" w:type="dxa"/>
            <w:tcBorders>
              <w:top w:val="nil"/>
              <w:left w:val="nil"/>
              <w:bottom w:val="single" w:color="000000" w:sz="4" w:space="0"/>
              <w:right w:val="single" w:color="000000" w:sz="4" w:space="0"/>
            </w:tcBorders>
            <w:shd w:val="clear" w:color="auto" w:fill="auto"/>
            <w:noWrap/>
            <w:vAlign w:val="center"/>
          </w:tcPr>
          <w:p w14:paraId="6F26E61C">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10</w:t>
            </w:r>
          </w:p>
        </w:tc>
        <w:tc>
          <w:tcPr>
            <w:tcW w:w="4727" w:type="dxa"/>
            <w:tcBorders>
              <w:top w:val="nil"/>
              <w:left w:val="nil"/>
              <w:bottom w:val="single" w:color="000000" w:sz="4" w:space="0"/>
              <w:right w:val="single" w:color="000000" w:sz="4" w:space="0"/>
            </w:tcBorders>
            <w:shd w:val="clear" w:color="auto" w:fill="auto"/>
            <w:noWrap/>
            <w:vAlign w:val="center"/>
          </w:tcPr>
          <w:p w14:paraId="0CA62C44">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在全国拨测中，出现答复不准确、服务不规范的，每通电话扣3分。</w:t>
            </w:r>
          </w:p>
        </w:tc>
      </w:tr>
      <w:tr w14:paraId="5765475D">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306A0131">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2</w:t>
            </w:r>
          </w:p>
        </w:tc>
        <w:tc>
          <w:tcPr>
            <w:tcW w:w="1169" w:type="dxa"/>
            <w:vMerge w:val="continue"/>
            <w:tcBorders>
              <w:left w:val="nil"/>
              <w:right w:val="single" w:color="000000" w:sz="4" w:space="0"/>
            </w:tcBorders>
            <w:shd w:val="clear" w:color="auto" w:fill="auto"/>
            <w:noWrap/>
            <w:vAlign w:val="center"/>
          </w:tcPr>
          <w:p w14:paraId="6F4EFA15">
            <w:pPr>
              <w:jc w:val="center"/>
              <w:rPr>
                <w:rFonts w:ascii="仿宋_GB2312" w:hAnsi="宋体" w:eastAsia="仿宋_GB2312" w:cs="宋体"/>
                <w:color w:val="000000"/>
                <w:sz w:val="21"/>
                <w:szCs w:val="21"/>
                <w:lang w:eastAsia="zh-CN"/>
              </w:rPr>
            </w:pPr>
          </w:p>
        </w:tc>
        <w:tc>
          <w:tcPr>
            <w:tcW w:w="1584" w:type="dxa"/>
            <w:tcBorders>
              <w:top w:val="nil"/>
              <w:left w:val="nil"/>
              <w:bottom w:val="single" w:color="000000" w:sz="4" w:space="0"/>
              <w:right w:val="single" w:color="000000" w:sz="4" w:space="0"/>
            </w:tcBorders>
            <w:shd w:val="clear" w:color="auto" w:fill="auto"/>
            <w:noWrap/>
            <w:vAlign w:val="center"/>
          </w:tcPr>
          <w:p w14:paraId="568F3297">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质量拨测指标</w:t>
            </w:r>
          </w:p>
        </w:tc>
        <w:tc>
          <w:tcPr>
            <w:tcW w:w="708" w:type="dxa"/>
            <w:tcBorders>
              <w:top w:val="nil"/>
              <w:left w:val="nil"/>
              <w:bottom w:val="single" w:color="000000" w:sz="4" w:space="0"/>
              <w:right w:val="single" w:color="000000" w:sz="4" w:space="0"/>
            </w:tcBorders>
            <w:shd w:val="clear" w:color="auto" w:fill="auto"/>
            <w:noWrap/>
            <w:vAlign w:val="center"/>
          </w:tcPr>
          <w:p w14:paraId="70FADEB1">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10</w:t>
            </w:r>
          </w:p>
        </w:tc>
        <w:tc>
          <w:tcPr>
            <w:tcW w:w="4727" w:type="dxa"/>
            <w:tcBorders>
              <w:top w:val="nil"/>
              <w:left w:val="nil"/>
              <w:bottom w:val="single" w:color="000000" w:sz="4" w:space="0"/>
              <w:right w:val="single" w:color="000000" w:sz="4" w:space="0"/>
            </w:tcBorders>
            <w:shd w:val="clear" w:color="auto" w:fill="auto"/>
            <w:noWrap/>
            <w:vAlign w:val="center"/>
          </w:tcPr>
          <w:p w14:paraId="04B54295">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在质量拨测中，出现答复不准确、服务不规范的，每通电话扣0.5分。</w:t>
            </w:r>
          </w:p>
        </w:tc>
      </w:tr>
      <w:tr w14:paraId="36BD2EB2">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6104DA24">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3</w:t>
            </w:r>
          </w:p>
        </w:tc>
        <w:tc>
          <w:tcPr>
            <w:tcW w:w="1169" w:type="dxa"/>
            <w:vMerge w:val="continue"/>
            <w:tcBorders>
              <w:left w:val="nil"/>
              <w:right w:val="single" w:color="000000" w:sz="4" w:space="0"/>
            </w:tcBorders>
            <w:shd w:val="clear" w:color="auto" w:fill="auto"/>
            <w:noWrap/>
            <w:vAlign w:val="center"/>
          </w:tcPr>
          <w:p w14:paraId="39165729">
            <w:pPr>
              <w:jc w:val="center"/>
              <w:rPr>
                <w:rFonts w:ascii="仿宋_GB2312" w:hAnsi="宋体" w:eastAsia="仿宋_GB2312" w:cs="宋体"/>
                <w:color w:val="000000"/>
                <w:sz w:val="21"/>
                <w:szCs w:val="21"/>
                <w:lang w:eastAsia="zh-CN"/>
              </w:rPr>
            </w:pPr>
          </w:p>
        </w:tc>
        <w:tc>
          <w:tcPr>
            <w:tcW w:w="1584" w:type="dxa"/>
            <w:tcBorders>
              <w:top w:val="nil"/>
              <w:left w:val="nil"/>
              <w:bottom w:val="single" w:color="000000" w:sz="4" w:space="0"/>
              <w:right w:val="single" w:color="000000" w:sz="4" w:space="0"/>
            </w:tcBorders>
            <w:shd w:val="clear" w:color="auto" w:fill="auto"/>
            <w:noWrap/>
            <w:vAlign w:val="center"/>
          </w:tcPr>
          <w:p w14:paraId="11E2805E">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日常监听指标</w:t>
            </w:r>
          </w:p>
        </w:tc>
        <w:tc>
          <w:tcPr>
            <w:tcW w:w="708" w:type="dxa"/>
            <w:tcBorders>
              <w:top w:val="nil"/>
              <w:left w:val="nil"/>
              <w:bottom w:val="single" w:color="000000" w:sz="4" w:space="0"/>
              <w:right w:val="single" w:color="000000" w:sz="4" w:space="0"/>
            </w:tcBorders>
            <w:shd w:val="clear" w:color="auto" w:fill="auto"/>
            <w:noWrap/>
            <w:vAlign w:val="center"/>
          </w:tcPr>
          <w:p w14:paraId="0ECFD468">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15</w:t>
            </w:r>
          </w:p>
        </w:tc>
        <w:tc>
          <w:tcPr>
            <w:tcW w:w="4727" w:type="dxa"/>
            <w:tcBorders>
              <w:top w:val="nil"/>
              <w:left w:val="nil"/>
              <w:bottom w:val="single" w:color="000000" w:sz="4" w:space="0"/>
              <w:right w:val="single" w:color="000000" w:sz="4" w:space="0"/>
            </w:tcBorders>
            <w:shd w:val="clear" w:color="auto" w:fill="auto"/>
            <w:noWrap/>
            <w:vAlign w:val="center"/>
          </w:tcPr>
          <w:p w14:paraId="6EC8086F">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在日常监听中，对答复准确性、服务态度、规范用语、小结记录四方面进行整体打分。</w:t>
            </w:r>
          </w:p>
        </w:tc>
      </w:tr>
      <w:tr w14:paraId="7369D321">
        <w:tblPrEx>
          <w:tblCellMar>
            <w:top w:w="0" w:type="dxa"/>
            <w:left w:w="108" w:type="dxa"/>
            <w:bottom w:w="0" w:type="dxa"/>
            <w:right w:w="108" w:type="dxa"/>
          </w:tblCellMar>
        </w:tblPrEx>
        <w:trPr>
          <w:trHeight w:val="9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7CFA5DD3">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4</w:t>
            </w:r>
          </w:p>
        </w:tc>
        <w:tc>
          <w:tcPr>
            <w:tcW w:w="1169" w:type="dxa"/>
            <w:vMerge w:val="continue"/>
            <w:tcBorders>
              <w:left w:val="nil"/>
              <w:bottom w:val="single" w:color="000000" w:sz="4" w:space="0"/>
              <w:right w:val="single" w:color="000000" w:sz="4" w:space="0"/>
            </w:tcBorders>
            <w:shd w:val="clear" w:color="auto" w:fill="auto"/>
            <w:noWrap/>
            <w:vAlign w:val="center"/>
          </w:tcPr>
          <w:p w14:paraId="5DBE1CBF">
            <w:pPr>
              <w:jc w:val="center"/>
              <w:rPr>
                <w:rFonts w:ascii="仿宋_GB2312" w:hAnsi="宋体" w:eastAsia="仿宋_GB2312" w:cs="宋体"/>
                <w:color w:val="000000"/>
                <w:sz w:val="21"/>
                <w:szCs w:val="21"/>
                <w:lang w:eastAsia="zh-CN"/>
              </w:rPr>
            </w:pPr>
          </w:p>
        </w:tc>
        <w:tc>
          <w:tcPr>
            <w:tcW w:w="1584" w:type="dxa"/>
            <w:tcBorders>
              <w:top w:val="nil"/>
              <w:left w:val="nil"/>
              <w:bottom w:val="single" w:color="000000" w:sz="4" w:space="0"/>
              <w:right w:val="single" w:color="000000" w:sz="4" w:space="0"/>
            </w:tcBorders>
            <w:shd w:val="clear" w:color="auto" w:fill="auto"/>
            <w:noWrap/>
            <w:vAlign w:val="center"/>
          </w:tcPr>
          <w:p w14:paraId="55298199">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业务测试指标</w:t>
            </w:r>
          </w:p>
        </w:tc>
        <w:tc>
          <w:tcPr>
            <w:tcW w:w="708" w:type="dxa"/>
            <w:tcBorders>
              <w:top w:val="nil"/>
              <w:left w:val="nil"/>
              <w:bottom w:val="single" w:color="000000" w:sz="4" w:space="0"/>
              <w:right w:val="single" w:color="000000" w:sz="4" w:space="0"/>
            </w:tcBorders>
            <w:shd w:val="clear" w:color="auto" w:fill="auto"/>
            <w:noWrap/>
            <w:vAlign w:val="center"/>
          </w:tcPr>
          <w:p w14:paraId="48F796BD">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623D8B85">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在业务能力测试中，通过率低于当月规定比例的，每低于1%扣0.5分。</w:t>
            </w:r>
          </w:p>
        </w:tc>
      </w:tr>
      <w:tr w14:paraId="4BD0D2BA">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37B9D2E8">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5</w:t>
            </w: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826A">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运行成效</w:t>
            </w: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77A69">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平均接通率</w:t>
            </w:r>
          </w:p>
        </w:tc>
        <w:tc>
          <w:tcPr>
            <w:tcW w:w="708" w:type="dxa"/>
            <w:tcBorders>
              <w:top w:val="nil"/>
              <w:left w:val="nil"/>
              <w:bottom w:val="single" w:color="000000" w:sz="4" w:space="0"/>
              <w:right w:val="single" w:color="000000" w:sz="4" w:space="0"/>
            </w:tcBorders>
            <w:shd w:val="clear" w:color="auto" w:fill="auto"/>
            <w:noWrap/>
            <w:vAlign w:val="center"/>
          </w:tcPr>
          <w:p w14:paraId="6E85E3FC">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7D0A373B">
            <w:pPr>
              <w:widowControl w:val="0"/>
              <w:jc w:val="both"/>
              <w:rPr>
                <w:rFonts w:ascii="仿宋_GB2312" w:eastAsia="仿宋_GB2312"/>
                <w:color w:val="000000"/>
                <w:kern w:val="2"/>
                <w:sz w:val="21"/>
                <w:szCs w:val="21"/>
                <w:lang w:eastAsia="zh-CN"/>
              </w:rPr>
            </w:pPr>
            <w:r>
              <w:rPr>
                <w:rFonts w:ascii="仿宋_GB2312" w:eastAsia="仿宋_GB2312"/>
                <w:color w:val="000000"/>
                <w:kern w:val="2"/>
                <w:sz w:val="21"/>
                <w:szCs w:val="21"/>
                <w:lang w:eastAsia="zh-CN"/>
              </w:rPr>
              <w:t>每月平均接通率低于98%的，每低于1个百分点扣1分</w:t>
            </w:r>
            <w:r>
              <w:rPr>
                <w:rFonts w:hint="eastAsia" w:ascii="仿宋_GB2312" w:eastAsia="仿宋_GB2312"/>
                <w:color w:val="000000"/>
                <w:kern w:val="2"/>
                <w:sz w:val="21"/>
                <w:szCs w:val="21"/>
                <w:lang w:eastAsia="zh-CN"/>
              </w:rPr>
              <w:t>。</w:t>
            </w:r>
          </w:p>
        </w:tc>
      </w:tr>
      <w:tr w14:paraId="6E5C52A4">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746E8283">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6</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4908">
            <w:pPr>
              <w:jc w:val="center"/>
              <w:rPr>
                <w:rFonts w:ascii="仿宋_GB2312" w:hAnsi="宋体" w:eastAsia="仿宋_GB2312" w:cs="宋体"/>
                <w:color w:val="000000"/>
                <w:sz w:val="21"/>
                <w:szCs w:val="21"/>
                <w:lang w:eastAsia="zh-CN"/>
              </w:rPr>
            </w:pP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98935">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平均等待时长</w:t>
            </w:r>
          </w:p>
        </w:tc>
        <w:tc>
          <w:tcPr>
            <w:tcW w:w="708" w:type="dxa"/>
            <w:tcBorders>
              <w:top w:val="nil"/>
              <w:left w:val="nil"/>
              <w:bottom w:val="single" w:color="000000" w:sz="4" w:space="0"/>
              <w:right w:val="single" w:color="000000" w:sz="4" w:space="0"/>
            </w:tcBorders>
            <w:shd w:val="clear" w:color="auto" w:fill="auto"/>
            <w:noWrap/>
            <w:vAlign w:val="center"/>
          </w:tcPr>
          <w:p w14:paraId="403B512C">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171343F7">
            <w:pPr>
              <w:widowControl w:val="0"/>
              <w:jc w:val="both"/>
              <w:rPr>
                <w:rFonts w:ascii="仿宋_GB2312" w:eastAsia="仿宋_GB2312"/>
                <w:color w:val="000000"/>
                <w:kern w:val="2"/>
                <w:sz w:val="21"/>
                <w:szCs w:val="21"/>
                <w:lang w:eastAsia="zh-CN"/>
              </w:rPr>
            </w:pPr>
            <w:r>
              <w:rPr>
                <w:rFonts w:ascii="仿宋_GB2312" w:eastAsia="仿宋_GB2312"/>
                <w:color w:val="000000"/>
                <w:kern w:val="2"/>
                <w:sz w:val="21"/>
                <w:szCs w:val="21"/>
                <w:lang w:eastAsia="zh-CN"/>
              </w:rPr>
              <w:t>每月平均等待时长高于30秒的，每超过1秒扣1分</w:t>
            </w:r>
            <w:r>
              <w:rPr>
                <w:rFonts w:hint="eastAsia" w:ascii="仿宋_GB2312" w:eastAsia="仿宋_GB2312"/>
                <w:color w:val="000000"/>
                <w:kern w:val="2"/>
                <w:sz w:val="21"/>
                <w:szCs w:val="21"/>
                <w:lang w:eastAsia="zh-CN"/>
              </w:rPr>
              <w:t>。</w:t>
            </w:r>
          </w:p>
        </w:tc>
      </w:tr>
      <w:tr w14:paraId="2632A3F8">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099EDB88">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7</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4B963">
            <w:pPr>
              <w:jc w:val="center"/>
              <w:rPr>
                <w:rFonts w:ascii="仿宋_GB2312" w:hAnsi="宋体" w:eastAsia="仿宋_GB2312" w:cs="宋体"/>
                <w:color w:val="000000"/>
                <w:sz w:val="21"/>
                <w:szCs w:val="21"/>
                <w:lang w:eastAsia="zh-CN"/>
              </w:rPr>
            </w:pP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462C5">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好差评主动发起率</w:t>
            </w:r>
          </w:p>
        </w:tc>
        <w:tc>
          <w:tcPr>
            <w:tcW w:w="708" w:type="dxa"/>
            <w:tcBorders>
              <w:top w:val="nil"/>
              <w:left w:val="nil"/>
              <w:bottom w:val="single" w:color="000000" w:sz="4" w:space="0"/>
              <w:right w:val="single" w:color="000000" w:sz="4" w:space="0"/>
            </w:tcBorders>
            <w:shd w:val="clear" w:color="auto" w:fill="auto"/>
            <w:noWrap/>
            <w:vAlign w:val="center"/>
          </w:tcPr>
          <w:p w14:paraId="1CFC68D3">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2EA210F1">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每月好差评主动发起率低于75%的，每低于1个百分点扣1分。</w:t>
            </w:r>
          </w:p>
        </w:tc>
      </w:tr>
      <w:tr w14:paraId="655CC33E">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61D21A8D">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8</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73A19">
            <w:pPr>
              <w:jc w:val="center"/>
              <w:rPr>
                <w:rFonts w:ascii="仿宋_GB2312" w:hAnsi="宋体" w:eastAsia="仿宋_GB2312" w:cs="宋体"/>
                <w:color w:val="000000"/>
                <w:sz w:val="21"/>
                <w:szCs w:val="21"/>
                <w:lang w:eastAsia="zh-CN"/>
              </w:rPr>
            </w:pP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B227">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转接办结率</w:t>
            </w:r>
          </w:p>
        </w:tc>
        <w:tc>
          <w:tcPr>
            <w:tcW w:w="708" w:type="dxa"/>
            <w:tcBorders>
              <w:top w:val="nil"/>
              <w:left w:val="nil"/>
              <w:bottom w:val="single" w:color="000000" w:sz="4" w:space="0"/>
              <w:right w:val="single" w:color="000000" w:sz="4" w:space="0"/>
            </w:tcBorders>
            <w:shd w:val="clear" w:color="auto" w:fill="auto"/>
            <w:noWrap/>
            <w:vAlign w:val="center"/>
          </w:tcPr>
          <w:p w14:paraId="61C0334E">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6DAD4825">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每月转接办结率高于10%的，每高于1个百分点扣1分。</w:t>
            </w:r>
          </w:p>
        </w:tc>
      </w:tr>
      <w:tr w14:paraId="22086D16">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544CA67B">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9</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2FC93">
            <w:pPr>
              <w:jc w:val="center"/>
              <w:rPr>
                <w:rFonts w:ascii="仿宋_GB2312" w:hAnsi="宋体" w:eastAsia="仿宋_GB2312" w:cs="宋体"/>
                <w:color w:val="000000"/>
                <w:sz w:val="21"/>
                <w:szCs w:val="21"/>
                <w:lang w:eastAsia="zh-CN"/>
              </w:rPr>
            </w:pP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80E65">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服务满意率</w:t>
            </w:r>
          </w:p>
        </w:tc>
        <w:tc>
          <w:tcPr>
            <w:tcW w:w="708" w:type="dxa"/>
            <w:tcBorders>
              <w:top w:val="nil"/>
              <w:left w:val="nil"/>
              <w:bottom w:val="single" w:color="000000" w:sz="4" w:space="0"/>
              <w:right w:val="single" w:color="000000" w:sz="4" w:space="0"/>
            </w:tcBorders>
            <w:shd w:val="clear" w:color="auto" w:fill="auto"/>
            <w:noWrap/>
            <w:vAlign w:val="center"/>
          </w:tcPr>
          <w:p w14:paraId="786C68EA">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5</w:t>
            </w:r>
          </w:p>
        </w:tc>
        <w:tc>
          <w:tcPr>
            <w:tcW w:w="4727" w:type="dxa"/>
            <w:tcBorders>
              <w:top w:val="nil"/>
              <w:left w:val="nil"/>
              <w:bottom w:val="single" w:color="000000" w:sz="4" w:space="0"/>
              <w:right w:val="single" w:color="000000" w:sz="4" w:space="0"/>
            </w:tcBorders>
            <w:shd w:val="clear" w:color="auto" w:fill="auto"/>
            <w:noWrap/>
            <w:vAlign w:val="center"/>
          </w:tcPr>
          <w:p w14:paraId="584199A2">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每月服务满意率低于99%的，每低于1个百分点扣1分，其中服务满意率=（来电人“好评”的数量/热线推送“好差评”评价的数量）。</w:t>
            </w:r>
          </w:p>
        </w:tc>
      </w:tr>
      <w:tr w14:paraId="5D532F4E">
        <w:tblPrEx>
          <w:tblCellMar>
            <w:top w:w="0" w:type="dxa"/>
            <w:left w:w="108" w:type="dxa"/>
            <w:bottom w:w="0" w:type="dxa"/>
            <w:right w:w="108" w:type="dxa"/>
          </w:tblCellMar>
        </w:tblPrEx>
        <w:trPr>
          <w:trHeight w:val="270" w:hRule="atLeast"/>
          <w:jc w:val="center"/>
        </w:trPr>
        <w:tc>
          <w:tcPr>
            <w:tcW w:w="427" w:type="dxa"/>
            <w:tcBorders>
              <w:top w:val="nil"/>
              <w:left w:val="single" w:color="000000" w:sz="4" w:space="0"/>
              <w:bottom w:val="single" w:color="000000" w:sz="4" w:space="0"/>
              <w:right w:val="single" w:color="000000" w:sz="4" w:space="0"/>
            </w:tcBorders>
            <w:shd w:val="clear" w:color="auto" w:fill="auto"/>
            <w:noWrap/>
            <w:vAlign w:val="center"/>
          </w:tcPr>
          <w:p w14:paraId="55B952AB">
            <w:pPr>
              <w:jc w:val="center"/>
              <w:rPr>
                <w:rFonts w:ascii="仿宋_GB2312" w:hAnsi="宋体" w:eastAsia="仿宋_GB2312" w:cs="宋体"/>
                <w:color w:val="000000"/>
                <w:sz w:val="21"/>
                <w:szCs w:val="21"/>
                <w:lang w:eastAsia="zh-CN"/>
              </w:rPr>
            </w:pPr>
            <w:r>
              <w:rPr>
                <w:rFonts w:hint="eastAsia" w:ascii="仿宋_GB2312" w:hAnsi="宋体" w:eastAsia="仿宋_GB2312" w:cs="宋体"/>
                <w:color w:val="000000"/>
                <w:sz w:val="21"/>
                <w:szCs w:val="21"/>
                <w:lang w:eastAsia="zh-CN"/>
              </w:rPr>
              <w:t>10</w:t>
            </w: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EEE7D">
            <w:pPr>
              <w:jc w:val="center"/>
              <w:rPr>
                <w:rFonts w:ascii="仿宋_GB2312" w:hAnsi="宋体" w:eastAsia="仿宋_GB2312" w:cs="宋体"/>
                <w:color w:val="000000"/>
                <w:sz w:val="21"/>
                <w:szCs w:val="21"/>
                <w:lang w:eastAsia="zh-CN"/>
              </w:rPr>
            </w:pPr>
          </w:p>
        </w:tc>
        <w:tc>
          <w:tcPr>
            <w:tcW w:w="15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2EB3">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工单质量</w:t>
            </w:r>
          </w:p>
        </w:tc>
        <w:tc>
          <w:tcPr>
            <w:tcW w:w="708" w:type="dxa"/>
            <w:tcBorders>
              <w:top w:val="nil"/>
              <w:left w:val="nil"/>
              <w:bottom w:val="single" w:color="000000" w:sz="4" w:space="0"/>
              <w:right w:val="single" w:color="000000" w:sz="4" w:space="0"/>
            </w:tcBorders>
            <w:shd w:val="clear" w:color="auto" w:fill="auto"/>
            <w:noWrap/>
            <w:vAlign w:val="center"/>
          </w:tcPr>
          <w:p w14:paraId="569119B9">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15</w:t>
            </w:r>
          </w:p>
        </w:tc>
        <w:tc>
          <w:tcPr>
            <w:tcW w:w="4727" w:type="dxa"/>
            <w:tcBorders>
              <w:top w:val="nil"/>
              <w:left w:val="nil"/>
              <w:bottom w:val="single" w:color="000000" w:sz="4" w:space="0"/>
              <w:right w:val="single" w:color="000000" w:sz="4" w:space="0"/>
            </w:tcBorders>
            <w:shd w:val="clear" w:color="auto" w:fill="auto"/>
            <w:noWrap/>
            <w:vAlign w:val="center"/>
          </w:tcPr>
          <w:p w14:paraId="403C38F5">
            <w:pPr>
              <w:widowControl w:val="0"/>
              <w:jc w:val="both"/>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工单质量不符合要求的，按照工单相关指标扣分。</w:t>
            </w:r>
          </w:p>
        </w:tc>
      </w:tr>
    </w:tbl>
    <w:p w14:paraId="795F2F7D">
      <w:pPr>
        <w:rPr>
          <w:lang w:eastAsia="zh-CN"/>
        </w:rPr>
      </w:pPr>
    </w:p>
    <w:p w14:paraId="571F213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（2）年度考核</w:t>
      </w:r>
    </w:p>
    <w:p w14:paraId="5013AE7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年度考核以季度考核为基础，有以下情况之一的，年度考核结果为不合格，其他情况视作年度考核合格：</w:t>
      </w:r>
    </w:p>
    <w:p w14:paraId="193F334A">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1.年度内中标服务商2次季度考核为不合格的；</w:t>
      </w:r>
    </w:p>
    <w:p w14:paraId="479ECDE2">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2.年度内中标服务商违反合同规定，借税务机关名义向纳税人乱收费或搭售商品，经核实2次及2次以上的；</w:t>
      </w:r>
    </w:p>
    <w:p w14:paraId="713DDEDB">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3.年度内中标服务商不能严格遵守保密制度规定，向无关人员泄露纳税人信息，经查实的。</w:t>
      </w:r>
    </w:p>
    <w:p w14:paraId="2510CDFA">
      <w:pPr>
        <w:pStyle w:val="2"/>
        <w:ind w:firstLine="560"/>
        <w:rPr>
          <w:lang w:eastAsia="zh-CN"/>
        </w:rPr>
      </w:pPr>
      <w:r>
        <w:rPr>
          <w:rFonts w:hint="eastAsia" w:ascii="仿宋_GB2312" w:hAnsi="仿宋_GB2312" w:eastAsia="仿宋_GB2312" w:cs="仿宋_GB2312"/>
          <w:szCs w:val="28"/>
          <w:lang w:eastAsia="zh-CN"/>
        </w:rPr>
        <w:t>4.年度内中标服务商产生重大舆情，未能妥善处置，造成严重不良影响的。</w:t>
      </w:r>
    </w:p>
    <w:p w14:paraId="53F3910C">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注：中标供应商服务年度内发生上述四种情形的，无需等到服务期满，采购人随时有权终止合同并没收履约保证金。</w:t>
      </w:r>
    </w:p>
    <w:p w14:paraId="311D717A">
      <w:pPr>
        <w:spacing w:line="360" w:lineRule="auto"/>
        <w:ind w:firstLine="562" w:firstLineChars="200"/>
        <w:jc w:val="both"/>
        <w:rPr>
          <w:rFonts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2.考核结果运用</w:t>
      </w:r>
    </w:p>
    <w:p w14:paraId="7B52A243">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（1）中标供应商季度考核得分达到80分的，采购人全额支付该季度费用，即该季度费用支付当年合同金额的25%；</w:t>
      </w:r>
    </w:p>
    <w:p w14:paraId="69052966">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（2）中标供应商季度考核得分达到70分、不满80分的，采购人在支付该季度费用时，将扣除当年合同金额的0.5%作为处罚，即该季度费用只支付当年合同金额的24.5%；</w:t>
      </w:r>
    </w:p>
    <w:p w14:paraId="354F6E42">
      <w:pPr>
        <w:pStyle w:val="2"/>
        <w:ind w:firstLine="560"/>
        <w:rPr>
          <w:rFonts w:ascii="仿宋_GB2312" w:hAnsi="仿宋_GB2312" w:eastAsia="仿宋_GB2312" w:cs="仿宋_GB2312"/>
          <w:szCs w:val="28"/>
          <w:lang w:eastAsia="zh-CN"/>
        </w:rPr>
      </w:pPr>
      <w:r>
        <w:rPr>
          <w:rFonts w:hint="eastAsia" w:ascii="仿宋_GB2312" w:hAnsi="仿宋_GB2312" w:eastAsia="仿宋_GB2312" w:cs="仿宋_GB2312"/>
          <w:szCs w:val="28"/>
          <w:lang w:eastAsia="zh-CN"/>
        </w:rPr>
        <w:t>（3）中标供应商季度考核得分达到60分、不满70分的，采购人在支付该季度费用时，将扣除当年合同金额的1%作为处罚，即该季度费用只支付当年合同金额的24%；</w:t>
      </w:r>
    </w:p>
    <w:p w14:paraId="0573EC39">
      <w:pPr>
        <w:pStyle w:val="2"/>
        <w:ind w:firstLine="560"/>
        <w:rPr>
          <w:lang w:eastAsia="zh-CN"/>
        </w:rPr>
      </w:pPr>
      <w:r>
        <w:rPr>
          <w:rFonts w:hint="eastAsia" w:ascii="仿宋_GB2312" w:hAnsi="仿宋_GB2312" w:eastAsia="仿宋_GB2312" w:cs="仿宋_GB2312"/>
          <w:szCs w:val="28"/>
          <w:lang w:eastAsia="zh-CN"/>
        </w:rPr>
        <w:t>（4）中标供应商季度考核结果为不合格（不满60分）的，采购人在支付该季度费用时，将扣除当年合同金额的5%作为处罚，即该季度费用只支付当年合同金额的20%；</w:t>
      </w:r>
    </w:p>
    <w:p w14:paraId="4554FFAB">
      <w:pPr>
        <w:spacing w:line="360" w:lineRule="auto"/>
        <w:ind w:firstLine="560" w:firstLineChars="200"/>
        <w:jc w:val="both"/>
        <w:rPr>
          <w:lang w:eastAsia="zh-CN"/>
        </w:rPr>
      </w:pPr>
      <w:r>
        <w:rPr>
          <w:rFonts w:hint="eastAsia" w:ascii="仿宋_GB2312" w:hAnsi="仿宋_GB2312" w:eastAsia="仿宋_GB2312" w:cs="仿宋_GB2312"/>
          <w:sz w:val="28"/>
          <w:szCs w:val="28"/>
          <w:lang w:eastAsia="zh-CN"/>
        </w:rPr>
        <w:t>（5）若中标供应商在本项目服务期限内退出服务或年度考核结果为不合格的，采购人有权没收履约保证金。</w:t>
      </w:r>
    </w:p>
    <w:p w14:paraId="0CF2AD14">
      <w:pPr>
        <w:pStyle w:val="3"/>
        <w:keepNext w:val="0"/>
        <w:spacing w:before="0" w:after="0" w:line="360" w:lineRule="auto"/>
        <w:jc w:val="center"/>
        <w:rPr>
          <w:rFonts w:ascii="仿宋_GB2312" w:hAnsi="仿宋_GB2312" w:eastAsia="仿宋_GB2312" w:cs="仿宋_GB2312"/>
          <w:lang w:eastAsia="zh-CN"/>
        </w:rPr>
      </w:pPr>
      <w:bookmarkStart w:id="32" w:name="_Toc4608"/>
      <w:r>
        <w:rPr>
          <w:rFonts w:ascii="仿宋_GB2312" w:hAnsi="仿宋_GB2312" w:eastAsia="仿宋_GB2312" w:cs="仿宋_GB2312"/>
          <w:kern w:val="36"/>
          <w:lang w:eastAsia="zh-CN"/>
        </w:rPr>
        <w:t>8其他要求</w:t>
      </w:r>
      <w:bookmarkEnd w:id="32"/>
    </w:p>
    <w:p w14:paraId="5F9C30C9">
      <w:pPr>
        <w:pStyle w:val="4"/>
        <w:keepNext w:val="0"/>
        <w:spacing w:before="0" w:after="0" w:line="360" w:lineRule="auto"/>
        <w:rPr>
          <w:rFonts w:ascii="仿宋_GB2312" w:hAnsi="仿宋_GB2312" w:eastAsia="仿宋_GB2312" w:cs="仿宋_GB2312"/>
          <w:i w:val="0"/>
          <w:iCs w:val="0"/>
          <w:lang w:eastAsia="zh-CN"/>
        </w:rPr>
      </w:pPr>
      <w:bookmarkStart w:id="33" w:name="_Toc25054"/>
      <w:r>
        <w:rPr>
          <w:rFonts w:ascii="仿宋_GB2312" w:hAnsi="仿宋_GB2312" w:eastAsia="仿宋_GB2312" w:cs="仿宋_GB2312"/>
          <w:i w:val="0"/>
          <w:iCs w:val="0"/>
          <w:lang w:eastAsia="zh-CN"/>
        </w:rPr>
        <w:t>8.1付款安排建议</w:t>
      </w:r>
      <w:bookmarkEnd w:id="33"/>
    </w:p>
    <w:tbl>
      <w:tblPr>
        <w:tblStyle w:val="14"/>
        <w:tblW w:w="5000" w:type="pct"/>
        <w:tblInd w:w="30" w:type="dxa"/>
        <w:tblLayout w:type="autofit"/>
        <w:tblCellMar>
          <w:top w:w="15" w:type="dxa"/>
          <w:left w:w="15" w:type="dxa"/>
          <w:bottom w:w="15" w:type="dxa"/>
          <w:right w:w="15" w:type="dxa"/>
        </w:tblCellMar>
      </w:tblPr>
      <w:tblGrid>
        <w:gridCol w:w="1514"/>
        <w:gridCol w:w="6089"/>
        <w:gridCol w:w="1467"/>
      </w:tblGrid>
      <w:tr w14:paraId="0C5673E7">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050208B">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79135015">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AFD2627">
            <w:pPr>
              <w:widowControl w:val="0"/>
              <w:jc w:val="center"/>
              <w:rPr>
                <w:rFonts w:ascii="仿宋_GB2312" w:hAnsi="仿宋_GB2312" w:eastAsia="仿宋_GB2312" w:cs="仿宋_GB2312"/>
                <w:b/>
                <w:bCs/>
                <w:color w:val="000000"/>
                <w:kern w:val="2"/>
                <w:sz w:val="21"/>
                <w:szCs w:val="21"/>
                <w:lang w:eastAsia="zh-CN"/>
              </w:rPr>
            </w:pPr>
            <w:r>
              <w:rPr>
                <w:rFonts w:hint="eastAsia" w:ascii="仿宋_GB2312" w:hAnsi="仿宋_GB2312" w:eastAsia="仿宋_GB2312" w:cs="仿宋_GB2312"/>
                <w:b/>
                <w:bCs/>
                <w:color w:val="000000"/>
                <w:kern w:val="2"/>
                <w:sz w:val="21"/>
                <w:szCs w:val="21"/>
                <w:lang w:eastAsia="zh-CN"/>
              </w:rPr>
              <w:t>付款比例(%)</w:t>
            </w:r>
          </w:p>
        </w:tc>
      </w:tr>
      <w:tr w14:paraId="2F290E0B">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C9B1FE2">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C62D53A">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F2A6E44">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25.0</w:t>
            </w:r>
          </w:p>
        </w:tc>
      </w:tr>
      <w:tr w14:paraId="617EB134">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917FCE8">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D0AADFE">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F9F883C">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25.0</w:t>
            </w:r>
          </w:p>
        </w:tc>
      </w:tr>
      <w:tr w14:paraId="56BCFA4C">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86130B0">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AED600D">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128F57D">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25.0</w:t>
            </w:r>
          </w:p>
        </w:tc>
      </w:tr>
      <w:tr w14:paraId="40CC735A">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E6C08DF">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E407DB0">
            <w:pPr>
              <w:widowControl w:val="0"/>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采购人对中标人四季度服务情况进行验收考核后，根据验收考核结果在收到发票后10个工作日内支付。</w:t>
            </w:r>
          </w:p>
          <w:p w14:paraId="3F3085C6">
            <w:pPr>
              <w:widowControl w:val="0"/>
              <w:rPr>
                <w:rFonts w:ascii="仿宋_GB2312" w:eastAsia="仿宋_GB2312"/>
                <w:color w:val="000000"/>
                <w:kern w:val="2"/>
                <w:sz w:val="21"/>
                <w:szCs w:val="21"/>
                <w:lang w:eastAsia="zh-CN"/>
              </w:rPr>
            </w:pPr>
            <w:r>
              <w:rPr>
                <w:rFonts w:hint="eastAsia" w:ascii="仿宋_GB2312" w:eastAsia="仿宋_GB2312"/>
                <w:b/>
                <w:bCs/>
                <w:color w:val="000000"/>
                <w:kern w:val="2"/>
                <w:sz w:val="21"/>
                <w:szCs w:val="21"/>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E631569">
            <w:pPr>
              <w:widowControl w:val="0"/>
              <w:jc w:val="center"/>
              <w:rPr>
                <w:rFonts w:ascii="仿宋_GB2312" w:eastAsia="仿宋_GB2312"/>
                <w:color w:val="000000"/>
                <w:kern w:val="2"/>
                <w:sz w:val="21"/>
                <w:szCs w:val="21"/>
                <w:lang w:eastAsia="zh-CN"/>
              </w:rPr>
            </w:pPr>
            <w:r>
              <w:rPr>
                <w:rFonts w:hint="eastAsia" w:ascii="仿宋_GB2312" w:eastAsia="仿宋_GB2312"/>
                <w:color w:val="000000"/>
                <w:kern w:val="2"/>
                <w:sz w:val="21"/>
                <w:szCs w:val="21"/>
                <w:lang w:eastAsia="zh-CN"/>
              </w:rPr>
              <w:t>25.0</w:t>
            </w:r>
          </w:p>
        </w:tc>
      </w:tr>
    </w:tbl>
    <w:p w14:paraId="792B481C">
      <w:pPr>
        <w:rPr>
          <w:rFonts w:eastAsia="仿宋_GB2312"/>
          <w:lang w:eastAsia="zh-CN"/>
        </w:rPr>
      </w:pPr>
    </w:p>
    <w:p w14:paraId="3E3C40EA">
      <w:pPr>
        <w:pStyle w:val="4"/>
        <w:keepNext w:val="0"/>
        <w:spacing w:before="0" w:after="0" w:line="360" w:lineRule="auto"/>
        <w:rPr>
          <w:rFonts w:ascii="仿宋_GB2312" w:hAnsi="仿宋_GB2312" w:eastAsia="仿宋_GB2312" w:cs="仿宋_GB2312"/>
          <w:lang w:eastAsia="zh-CN"/>
        </w:rPr>
      </w:pPr>
      <w:bookmarkStart w:id="34" w:name="_Toc23321"/>
      <w:bookmarkStart w:id="35" w:name="_Toc7254"/>
      <w:r>
        <w:rPr>
          <w:rFonts w:ascii="仿宋_GB2312" w:hAnsi="仿宋_GB2312" w:eastAsia="仿宋_GB2312" w:cs="仿宋_GB2312"/>
          <w:i w:val="0"/>
          <w:iCs w:val="0"/>
          <w:lang w:eastAsia="zh-CN"/>
        </w:rPr>
        <w:t>8.2</w:t>
      </w:r>
      <w:r>
        <w:rPr>
          <w:rFonts w:hint="eastAsia" w:ascii="仿宋_GB2312" w:hAnsi="仿宋_GB2312" w:eastAsia="仿宋_GB2312" w:cs="仿宋_GB2312"/>
          <w:i w:val="0"/>
          <w:iCs w:val="0"/>
          <w:lang w:eastAsia="zh-CN"/>
        </w:rPr>
        <w:t>其他</w:t>
      </w:r>
      <w:r>
        <w:rPr>
          <w:rFonts w:ascii="仿宋_GB2312" w:hAnsi="仿宋_GB2312" w:eastAsia="仿宋_GB2312" w:cs="仿宋_GB2312"/>
          <w:i w:val="0"/>
          <w:iCs w:val="0"/>
          <w:lang w:eastAsia="zh-CN"/>
        </w:rPr>
        <w:t>要求</w:t>
      </w:r>
      <w:bookmarkEnd w:id="34"/>
      <w:bookmarkEnd w:id="35"/>
    </w:p>
    <w:p w14:paraId="7CB31CC1">
      <w:pPr>
        <w:pStyle w:val="4"/>
        <w:keepNext w:val="0"/>
        <w:spacing w:before="0" w:after="0" w:line="360" w:lineRule="auto"/>
        <w:rPr>
          <w:rFonts w:ascii="仿宋_GB2312" w:hAnsi="仿宋_GB2312" w:eastAsia="仿宋_GB2312" w:cs="仿宋_GB2312"/>
          <w:i w:val="0"/>
          <w:iCs w:val="0"/>
          <w:lang w:eastAsia="zh-CN"/>
        </w:rPr>
      </w:pPr>
      <w:bookmarkStart w:id="36" w:name="_Toc25283"/>
      <w:bookmarkStart w:id="37" w:name="_Toc12006"/>
      <w:r>
        <w:rPr>
          <w:rFonts w:ascii="仿宋_GB2312" w:hAnsi="仿宋_GB2312" w:eastAsia="仿宋_GB2312" w:cs="仿宋_GB2312"/>
          <w:i w:val="0"/>
          <w:iCs w:val="0"/>
          <w:lang w:eastAsia="zh-CN"/>
        </w:rPr>
        <w:t>8.</w:t>
      </w:r>
      <w:r>
        <w:rPr>
          <w:rFonts w:hint="eastAsia" w:ascii="仿宋_GB2312" w:hAnsi="仿宋_GB2312" w:eastAsia="仿宋_GB2312" w:cs="仿宋_GB2312"/>
          <w:i w:val="0"/>
          <w:iCs w:val="0"/>
          <w:lang w:eastAsia="zh-CN"/>
        </w:rPr>
        <w:t>2.1</w:t>
      </w:r>
      <w:r>
        <w:rPr>
          <w:rFonts w:ascii="仿宋_GB2312" w:hAnsi="仿宋_GB2312" w:eastAsia="仿宋_GB2312" w:cs="仿宋_GB2312"/>
          <w:i w:val="0"/>
          <w:iCs w:val="0"/>
          <w:lang w:eastAsia="zh-CN"/>
        </w:rPr>
        <w:t>保密要求</w:t>
      </w:r>
      <w:bookmarkEnd w:id="36"/>
      <w:bookmarkEnd w:id="37"/>
    </w:p>
    <w:p w14:paraId="3A8C99B7">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1.本项目服务人员必须遵守市局网络安全要求，配套电脑、设备等需满足网络安全规范要求；服务人员在日常工作过程中应遵守区局终端安全管理及其他各项安全管理制度要求。</w:t>
      </w:r>
    </w:p>
    <w:p w14:paraId="3B3BA94B">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2285EAA9">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3.服务人员严格遵守保密规定，不得私自摘抄、复制知识库系统的内容带离工作区域，在业务系统中查询到的征管信息，必须严加保密，不得泄露给其他人员。</w:t>
      </w:r>
    </w:p>
    <w:p w14:paraId="708B09F8">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4.供应商与服务人员签订涉税数据安全保密协议，定期开展网络安全培训，养成良好的网络安全习惯。</w:t>
      </w:r>
    </w:p>
    <w:p w14:paraId="4EA77DB6">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5.内外网络必须物理隔离，设备部署符合市局安全域管理规定。</w:t>
      </w:r>
    </w:p>
    <w:p w14:paraId="3DEA08B2">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6.内网电脑要与互联网物理隔离，与区局内部网络通过安全设备进行连接，禁止违规外连行为，禁止在内网电脑上使用移动存储介质。</w:t>
      </w:r>
    </w:p>
    <w:p w14:paraId="0CA9F934">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7.服务人员电脑访问的内外网资源必须报安全管理部门申请开通。</w:t>
      </w:r>
    </w:p>
    <w:p w14:paraId="07B6B83B">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8.服务人员电脑应设置开机口令，且不得使用弱口令，密码长度不得少于8位。</w:t>
      </w:r>
    </w:p>
    <w:p w14:paraId="58930DCD">
      <w:pPr>
        <w:spacing w:line="360" w:lineRule="auto"/>
        <w:ind w:firstLine="560" w:firstLineChars="200"/>
        <w:jc w:val="both"/>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9.如有违反保密协议，应承担相关的法律责任，包括但不限于对由此造成的经济损失进行赔偿；如情节严重，将移交司法机关处理。</w:t>
      </w:r>
    </w:p>
    <w:p w14:paraId="162AA9D5">
      <w:pPr>
        <w:spacing w:line="360" w:lineRule="auto"/>
        <w:ind w:firstLine="560" w:firstLineChars="200"/>
        <w:jc w:val="both"/>
        <w:rPr>
          <w:rFonts w:ascii="FangSong_GB2312" w:hAnsi="FangSong_GB2312" w:eastAsia="FangSong_GB2312" w:cs="FangSong_GB2312"/>
          <w:lang w:eastAsia="zh-CN"/>
        </w:rPr>
      </w:pPr>
      <w:r>
        <w:rPr>
          <w:rFonts w:hint="eastAsia" w:ascii="仿宋_GB2312" w:hAnsi="仿宋_GB2312" w:eastAsia="仿宋_GB2312" w:cs="仿宋_GB2312"/>
          <w:sz w:val="28"/>
          <w:szCs w:val="28"/>
          <w:lang w:eastAsia="zh-CN"/>
        </w:rPr>
        <w:t>10.保密义务在本项目的服务期终止后仍将继续生效。</w:t>
      </w: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4EA09">
    <w:pPr>
      <w:spacing w:line="360" w:lineRule="auto"/>
      <w:jc w:val="center"/>
    </w:pPr>
    <w:r>
      <w:fldChar w:fldCharType="begin"/>
    </w:r>
    <w:r>
      <w:instrText xml:space="preserve"> PAGE </w:instrText>
    </w:r>
    <w:r>
      <w:fldChar w:fldCharType="separate"/>
    </w:r>
    <w:r>
      <w:t>14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80FAC"/>
    <w:rsid w:val="000C7858"/>
    <w:rsid w:val="000E5975"/>
    <w:rsid w:val="0012205A"/>
    <w:rsid w:val="001706BA"/>
    <w:rsid w:val="00190840"/>
    <w:rsid w:val="0019245A"/>
    <w:rsid w:val="001B5895"/>
    <w:rsid w:val="00261C7E"/>
    <w:rsid w:val="002C3BB0"/>
    <w:rsid w:val="002D5FB6"/>
    <w:rsid w:val="002D7F25"/>
    <w:rsid w:val="00314489"/>
    <w:rsid w:val="0034139D"/>
    <w:rsid w:val="003B46A9"/>
    <w:rsid w:val="00463087"/>
    <w:rsid w:val="004C3B36"/>
    <w:rsid w:val="004C5D62"/>
    <w:rsid w:val="005007FB"/>
    <w:rsid w:val="0057218E"/>
    <w:rsid w:val="005F504F"/>
    <w:rsid w:val="0061781A"/>
    <w:rsid w:val="0062400C"/>
    <w:rsid w:val="00641F61"/>
    <w:rsid w:val="00653984"/>
    <w:rsid w:val="006B22D4"/>
    <w:rsid w:val="006D1F59"/>
    <w:rsid w:val="007177AD"/>
    <w:rsid w:val="0075367A"/>
    <w:rsid w:val="007874DF"/>
    <w:rsid w:val="007C794C"/>
    <w:rsid w:val="00801B10"/>
    <w:rsid w:val="00880F61"/>
    <w:rsid w:val="008A2ECA"/>
    <w:rsid w:val="0093062D"/>
    <w:rsid w:val="00A3141F"/>
    <w:rsid w:val="00A56698"/>
    <w:rsid w:val="00A77B3E"/>
    <w:rsid w:val="00A979D1"/>
    <w:rsid w:val="00B10CB5"/>
    <w:rsid w:val="00B6262A"/>
    <w:rsid w:val="00B63E10"/>
    <w:rsid w:val="00BA749E"/>
    <w:rsid w:val="00BC171C"/>
    <w:rsid w:val="00C13972"/>
    <w:rsid w:val="00C57FA6"/>
    <w:rsid w:val="00CA2A55"/>
    <w:rsid w:val="00D924F4"/>
    <w:rsid w:val="00DB2460"/>
    <w:rsid w:val="00E27E5F"/>
    <w:rsid w:val="00E70817"/>
    <w:rsid w:val="00F622B1"/>
    <w:rsid w:val="00FF7837"/>
    <w:rsid w:val="01EF6B17"/>
    <w:rsid w:val="06862C19"/>
    <w:rsid w:val="069C73F6"/>
    <w:rsid w:val="08306395"/>
    <w:rsid w:val="0AAF2EDA"/>
    <w:rsid w:val="0B432577"/>
    <w:rsid w:val="100A2276"/>
    <w:rsid w:val="102313C5"/>
    <w:rsid w:val="10EA75D2"/>
    <w:rsid w:val="11514941"/>
    <w:rsid w:val="12981EE8"/>
    <w:rsid w:val="15EC097A"/>
    <w:rsid w:val="178A3DB1"/>
    <w:rsid w:val="19BD085C"/>
    <w:rsid w:val="1A373E9A"/>
    <w:rsid w:val="1AF1719D"/>
    <w:rsid w:val="240375F9"/>
    <w:rsid w:val="243B2E09"/>
    <w:rsid w:val="275F61B5"/>
    <w:rsid w:val="290E7165"/>
    <w:rsid w:val="2CDA6AAF"/>
    <w:rsid w:val="2D8B379D"/>
    <w:rsid w:val="2ED2671E"/>
    <w:rsid w:val="30893FAB"/>
    <w:rsid w:val="3293140F"/>
    <w:rsid w:val="33F35825"/>
    <w:rsid w:val="3491251A"/>
    <w:rsid w:val="3498518B"/>
    <w:rsid w:val="38786E78"/>
    <w:rsid w:val="3AB72CAC"/>
    <w:rsid w:val="3CFD69B5"/>
    <w:rsid w:val="3F03776D"/>
    <w:rsid w:val="41116A6B"/>
    <w:rsid w:val="42F85705"/>
    <w:rsid w:val="45B5486F"/>
    <w:rsid w:val="45E2264D"/>
    <w:rsid w:val="465B062F"/>
    <w:rsid w:val="4BFF9EEF"/>
    <w:rsid w:val="4E277E95"/>
    <w:rsid w:val="50543A42"/>
    <w:rsid w:val="52363EF8"/>
    <w:rsid w:val="52404375"/>
    <w:rsid w:val="53884B5E"/>
    <w:rsid w:val="54D86925"/>
    <w:rsid w:val="589C416B"/>
    <w:rsid w:val="5AC95FC6"/>
    <w:rsid w:val="5DA039ED"/>
    <w:rsid w:val="5F367395"/>
    <w:rsid w:val="62E57105"/>
    <w:rsid w:val="65147874"/>
    <w:rsid w:val="65CC322E"/>
    <w:rsid w:val="667E1B40"/>
    <w:rsid w:val="669652D2"/>
    <w:rsid w:val="67B6030D"/>
    <w:rsid w:val="6ABA0B77"/>
    <w:rsid w:val="6B580DD9"/>
    <w:rsid w:val="6D5E069F"/>
    <w:rsid w:val="6E342983"/>
    <w:rsid w:val="6F6D13EC"/>
    <w:rsid w:val="7110160D"/>
    <w:rsid w:val="74530A85"/>
    <w:rsid w:val="74C67731"/>
    <w:rsid w:val="74ED5119"/>
    <w:rsid w:val="76344CBB"/>
    <w:rsid w:val="772407D4"/>
    <w:rsid w:val="77D1092B"/>
    <w:rsid w:val="77F42B07"/>
    <w:rsid w:val="79EF68A6"/>
    <w:rsid w:val="7B86536F"/>
    <w:rsid w:val="7B8B0D2D"/>
    <w:rsid w:val="7CA53A11"/>
    <w:rsid w:val="7DF71B4A"/>
    <w:rsid w:val="7E166A17"/>
    <w:rsid w:val="7E222EB4"/>
    <w:rsid w:val="7EA83C05"/>
    <w:rsid w:val="7EE059E0"/>
    <w:rsid w:val="7F3638F2"/>
    <w:rsid w:val="AFEBAE8F"/>
    <w:rsid w:val="F7FE6859"/>
    <w:rsid w:val="FDCEE31B"/>
    <w:rsid w:val="FFFF1C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qFormat/>
    <w:uiPriority w:val="0"/>
    <w:pPr>
      <w:spacing w:line="360" w:lineRule="auto"/>
      <w:ind w:firstLine="720" w:firstLineChars="200"/>
    </w:pPr>
    <w:rPr>
      <w:rFonts w:eastAsia="仿宋"/>
      <w:sz w:val="28"/>
      <w:szCs w:val="36"/>
    </w:rPr>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Balloon Text"/>
    <w:basedOn w:val="1"/>
    <w:link w:val="20"/>
    <w:qFormat/>
    <w:uiPriority w:val="0"/>
    <w:rPr>
      <w:sz w:val="18"/>
      <w:szCs w:val="18"/>
    </w:rPr>
  </w:style>
  <w:style w:type="paragraph" w:styleId="10">
    <w:name w:val="footer"/>
    <w:basedOn w:val="1"/>
    <w:link w:val="19"/>
    <w:qFormat/>
    <w:uiPriority w:val="0"/>
    <w:pPr>
      <w:tabs>
        <w:tab w:val="center" w:pos="4153"/>
        <w:tab w:val="right" w:pos="8306"/>
      </w:tabs>
      <w:snapToGrid w:val="0"/>
    </w:pPr>
    <w:rPr>
      <w:sz w:val="18"/>
      <w:szCs w:val="18"/>
    </w:rPr>
  </w:style>
  <w:style w:type="paragraph" w:styleId="11">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ind w:left="24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qFormat/>
    <w:uiPriority w:val="0"/>
    <w:rPr>
      <w:color w:val="0000FF"/>
      <w:u w:val="single"/>
    </w:rPr>
  </w:style>
  <w:style w:type="character" w:customStyle="1" w:styleId="18">
    <w:name w:val="页眉 Char"/>
    <w:basedOn w:val="16"/>
    <w:link w:val="11"/>
    <w:qFormat/>
    <w:uiPriority w:val="0"/>
    <w:rPr>
      <w:rFonts w:eastAsia="Times New Roman"/>
      <w:sz w:val="18"/>
      <w:szCs w:val="18"/>
      <w:lang w:eastAsia="en-US"/>
    </w:rPr>
  </w:style>
  <w:style w:type="character" w:customStyle="1" w:styleId="19">
    <w:name w:val="页脚 Char"/>
    <w:basedOn w:val="16"/>
    <w:link w:val="10"/>
    <w:qFormat/>
    <w:uiPriority w:val="0"/>
    <w:rPr>
      <w:rFonts w:eastAsia="Times New Roman"/>
      <w:sz w:val="18"/>
      <w:szCs w:val="18"/>
      <w:lang w:eastAsia="en-US"/>
    </w:rPr>
  </w:style>
  <w:style w:type="character" w:customStyle="1" w:styleId="20">
    <w:name w:val="批注框文本 Char"/>
    <w:basedOn w:val="16"/>
    <w:link w:val="9"/>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1453</Words>
  <Characters>8283</Characters>
  <Lines>69</Lines>
  <Paragraphs>19</Paragraphs>
  <TotalTime>0</TotalTime>
  <ScaleCrop>false</ScaleCrop>
  <LinksUpToDate>false</LinksUpToDate>
  <CharactersWithSpaces>9717</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2025-11-09T14:20:00Z</dcterms:created>
  <dc:creator>Administrator</dc:creator>
  <cp:lastModifiedBy>user</cp:lastModifiedBy>
  <cp:lastPrinted>2025-11-13T16:07:00Z</cp:lastPrinted>
  <dcterms:modified xsi:type="dcterms:W3CDTF">2025-12-05T11:12:18Z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