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795A0">
      <w:pPr>
        <w:widowControl w:val="0"/>
        <w:topLinePunct/>
        <w:autoSpaceDE w:val="0"/>
        <w:autoSpaceDN w:val="0"/>
        <w:spacing w:line="360" w:lineRule="auto"/>
        <w:jc w:val="center"/>
        <w:rPr>
          <w:rFonts w:ascii="宋体" w:hAnsi="宋体" w:eastAsia="宋体" w:cs="宋体"/>
          <w:b/>
          <w:sz w:val="96"/>
          <w:szCs w:val="96"/>
          <w:highlight w:val="none"/>
          <w:lang w:eastAsia="zh-CN"/>
        </w:rPr>
      </w:pPr>
    </w:p>
    <w:p w14:paraId="7A72554A">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包件六：</w:t>
      </w:r>
    </w:p>
    <w:p w14:paraId="28EB7473">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（金山区、杨浦区税务局）</w:t>
      </w:r>
    </w:p>
    <w:p w14:paraId="36A3B4E7">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423235C0">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C319F0F">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1A590A82">
      <w:pPr>
        <w:widowControl w:val="0"/>
        <w:spacing w:line="360" w:lineRule="auto"/>
        <w:jc w:val="both"/>
        <w:rPr>
          <w:rFonts w:ascii="宋体" w:hAnsi="宋体" w:eastAsia="宋体" w:cs="宋体"/>
          <w:kern w:val="2"/>
          <w:sz w:val="32"/>
          <w:szCs w:val="32"/>
          <w:highlight w:val="none"/>
          <w:lang w:eastAsia="zh-CN"/>
        </w:rPr>
      </w:pPr>
    </w:p>
    <w:p w14:paraId="5A25E8E3">
      <w:pPr>
        <w:widowControl w:val="0"/>
        <w:spacing w:line="360" w:lineRule="auto"/>
        <w:jc w:val="both"/>
        <w:rPr>
          <w:rFonts w:ascii="宋体" w:hAnsi="宋体" w:eastAsia="宋体" w:cs="宋体"/>
          <w:kern w:val="2"/>
          <w:sz w:val="32"/>
          <w:szCs w:val="32"/>
          <w:highlight w:val="none"/>
          <w:lang w:eastAsia="zh-CN"/>
        </w:rPr>
      </w:pPr>
    </w:p>
    <w:p w14:paraId="1DC4E038">
      <w:pPr>
        <w:widowControl w:val="0"/>
        <w:spacing w:line="360" w:lineRule="auto"/>
        <w:jc w:val="both"/>
        <w:rPr>
          <w:rFonts w:ascii="宋体" w:hAnsi="宋体" w:eastAsia="宋体" w:cs="宋体"/>
          <w:kern w:val="2"/>
          <w:sz w:val="32"/>
          <w:szCs w:val="32"/>
          <w:highlight w:val="none"/>
          <w:lang w:eastAsia="zh-CN"/>
        </w:rPr>
      </w:pPr>
    </w:p>
    <w:p w14:paraId="7C379FA1">
      <w:pPr>
        <w:widowControl w:val="0"/>
        <w:topLinePunct/>
        <w:autoSpaceDE w:val="0"/>
        <w:autoSpaceDN w:val="0"/>
        <w:spacing w:line="360" w:lineRule="auto"/>
        <w:jc w:val="both"/>
        <w:rPr>
          <w:rFonts w:ascii="宋体" w:hAnsi="宋体" w:eastAsia="宋体" w:cs="宋体"/>
          <w:sz w:val="32"/>
          <w:szCs w:val="32"/>
          <w:highlight w:val="none"/>
          <w:lang w:eastAsia="zh-CN"/>
        </w:rPr>
      </w:pPr>
    </w:p>
    <w:p w14:paraId="558BC9C5">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194A6F1F">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2674AE8E">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623DCA73">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049B0931">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67449F86">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1BCE7B68">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3EA91503">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46739E57">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48470F56">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52D6C61B">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47EB25F6">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6B1CC43B">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471B605A">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66768084">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24BA639B">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1BB72BB2">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4D3F00DE">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37740B30">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60D63BB5">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396769A5">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21BA630E">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56E8B623">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51324EA8">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671D762D">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2B6FAEE6">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719B281E">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4202698D">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350DF77B">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7DA9ED04">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5C8AFA88">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46552318">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284C0203">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4F2C5E9A">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79D1680E">
      <w:pPr>
        <w:spacing w:line="360" w:lineRule="auto"/>
        <w:rPr>
          <w:highlight w:val="none"/>
        </w:rPr>
      </w:pPr>
      <w:r>
        <w:rPr>
          <w:rFonts w:ascii="宋体" w:hAnsi="宋体" w:eastAsia="宋体" w:cs="宋体"/>
          <w:highlight w:val="none"/>
        </w:rPr>
        <w:fldChar w:fldCharType="end"/>
      </w:r>
      <w:r>
        <w:rPr>
          <w:highlight w:val="none"/>
        </w:rPr>
        <w:br w:type="page"/>
      </w:r>
    </w:p>
    <w:p w14:paraId="364014EB">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253C60AB">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026AE2CF">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397976C3">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48EB4D81">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0235D8B7">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28EAEDD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金山区、杨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3A1E1D3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本包件预算金额为8187507.04元。</w:t>
      </w:r>
    </w:p>
    <w:p w14:paraId="42DC2D1E">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18B23126">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6DA39F8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金山区、杨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5DBE0090">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7B60B7AD">
      <w:pPr>
        <w:spacing w:line="360" w:lineRule="auto"/>
        <w:ind w:firstLine="560" w:firstLineChars="200"/>
        <w:jc w:val="both"/>
        <w:rPr>
          <w:rFonts w:ascii="仿宋_GB2312" w:hAnsi="仿宋_GB2312" w:eastAsia="仿宋_GB2312" w:cs="仿宋_GB2312"/>
          <w:sz w:val="28"/>
          <w:szCs w:val="28"/>
          <w:highlight w:val="none"/>
          <w:lang w:eastAsia="zh-CN"/>
        </w:rPr>
      </w:pPr>
      <w:bookmarkStart w:id="41" w:name="_GoBack"/>
      <w:r>
        <w:rPr>
          <w:rFonts w:hint="eastAsia" w:ascii="仿宋_GB2312" w:hAnsi="仿宋_GB2312" w:eastAsia="仿宋_GB2312" w:cs="仿宋_GB2312"/>
          <w:sz w:val="28"/>
          <w:szCs w:val="28"/>
          <w:highlight w:val="none"/>
          <w:lang w:eastAsia="zh-CN"/>
        </w:rPr>
        <w:t>（1）金山区税务局服务期限为自合同签订生效之日起一年；</w:t>
      </w:r>
    </w:p>
    <w:p w14:paraId="29D362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（2）杨浦区税务局服务期限为自2026年3月1日起10个月。</w:t>
      </w:r>
    </w:p>
    <w:bookmarkEnd w:id="41"/>
    <w:p w14:paraId="30DB3B25">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5E17797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2774BF0B">
      <w:pPr>
        <w:pStyle w:val="4"/>
        <w:keepNext w:val="0"/>
        <w:spacing w:before="0" w:after="0" w:line="360" w:lineRule="auto"/>
        <w:rPr>
          <w:rFonts w:ascii="仿宋_GB2312" w:hAnsi="仿宋_GB2312" w:eastAsia="仿宋_GB2312" w:cs="仿宋_GB2312"/>
          <w:highlight w:val="none"/>
          <w:lang w:eastAsia="zh-CN"/>
        </w:rPr>
      </w:pPr>
      <w:bookmarkStart w:id="7" w:name="_Toc5964"/>
      <w:r>
        <w:rPr>
          <w:rFonts w:ascii="仿宋_GB2312" w:hAnsi="仿宋_GB2312" w:eastAsia="仿宋_GB2312" w:cs="仿宋_GB2312"/>
          <w:i w:val="0"/>
          <w:iCs w:val="0"/>
          <w:highlight w:val="none"/>
          <w:lang w:eastAsia="zh-CN"/>
        </w:rPr>
        <w:t>1.3其他要求</w:t>
      </w:r>
      <w:bookmarkEnd w:id="7"/>
    </w:p>
    <w:p w14:paraId="74866B9D">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31707"/>
      <w:r>
        <w:rPr>
          <w:rFonts w:ascii="仿宋_GB2312" w:hAnsi="仿宋_GB2312" w:eastAsia="仿宋_GB2312" w:cs="仿宋_GB2312"/>
          <w:sz w:val="28"/>
          <w:szCs w:val="28"/>
          <w:highlight w:val="none"/>
          <w:lang w:eastAsia="zh-CN"/>
        </w:rPr>
        <w:t>1.3.1采购标的需执行的相关标准规范</w:t>
      </w:r>
      <w:bookmarkEnd w:id="8"/>
    </w:p>
    <w:p w14:paraId="6C279A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64C12A57">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10DC11E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41918F4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0BA603A1">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336CADA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20DA2DAB">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177E8300">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115210D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5D81BEA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32358CEB">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752B924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C78DA4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377F8673">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40A622F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70323D78">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28AAA01C">
      <w:pPr>
        <w:rPr>
          <w:highlight w:val="none"/>
          <w:lang w:eastAsia="zh-CN"/>
        </w:rPr>
      </w:pPr>
    </w:p>
    <w:p w14:paraId="39E173E0">
      <w:pPr>
        <w:rPr>
          <w:rFonts w:eastAsia="FangSong_GB2312"/>
          <w:highlight w:val="none"/>
          <w:lang w:eastAsia="zh-CN"/>
        </w:rPr>
      </w:pPr>
    </w:p>
    <w:p w14:paraId="577E09F4">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0739E96B">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6BF07D6B">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75956A68">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1F681BD5">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5F4E64E9">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087E951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6EAC0C1D">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4A24436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0284CA8F">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7DB01D9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2633464E">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0C0D2FE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10DE2860">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6C2CB319">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40E21AC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01EDE4D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3051C4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4EC7A2B7">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36B96229">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187ED3A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金山区、杨浦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07CD16E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5E030424">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3.2服务内容和要求</w:t>
      </w:r>
      <w:bookmarkEnd w:id="19"/>
    </w:p>
    <w:p w14:paraId="3C1AD5DF">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0AB0817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6934FE4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14C44B5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3ABE0E46">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4CBBDC0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5C8C00B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3844F29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0D77D7D9">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21"/>
    </w:p>
    <w:p w14:paraId="27F230BB">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66D35D0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32E174E7">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0BACEE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19E23B6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016EBC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43BB21B6">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5EF476F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38C9488A">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221DB07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134AC72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3EFB01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09EE4A6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3B20ED6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546272A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1C420F4D">
      <w:pPr>
        <w:rPr>
          <w:highlight w:val="none"/>
          <w:lang w:eastAsia="zh-CN"/>
        </w:rPr>
      </w:pPr>
    </w:p>
    <w:p w14:paraId="3E0BB92F">
      <w:pPr>
        <w:rPr>
          <w:rFonts w:eastAsia="FangSong_GB2312"/>
          <w:highlight w:val="none"/>
          <w:lang w:eastAsia="zh-CN"/>
        </w:rPr>
      </w:pPr>
    </w:p>
    <w:p w14:paraId="2204BB45">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7EC5861C">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28EC8BD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★1.本包件服务人员总数不得少于66人，其中金山区税务局服务人员总数不少于43人，杨浦区税务局服务人员总数不少于23人。需提供加盖投标人公章的承诺函，否则视为无效投标。</w:t>
      </w:r>
    </w:p>
    <w:p w14:paraId="324D3CD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2C99168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53A5B4A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249B742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320DFA1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382B79B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0786CDA8">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1DA9A6B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34A8412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614D875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44AF0F65">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5340AE7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58名客服人员，其中金山区税务局客服人员至少38人，杨浦区税务局客服人员至少20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3992232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470F254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2D8DFECB">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02720A0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供应商需提供至少6名技术和服务等素质全面的专业人员到对应的征管区（分）局办税服务厅实地开展技术和服务的支持，金山区税务局需配置4名大厅驻点人员，杨浦区税务局需配置2名大厅驻点人员。</w:t>
      </w:r>
    </w:p>
    <w:p w14:paraId="3F8E66C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38B85742">
      <w:pPr>
        <w:rPr>
          <w:highlight w:val="none"/>
          <w:lang w:eastAsia="zh-CN"/>
        </w:rPr>
      </w:pPr>
    </w:p>
    <w:p w14:paraId="29996D9D">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10ADAB2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56775C1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7AD7936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69C8DA9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0171B8C2">
      <w:pPr>
        <w:rPr>
          <w:rFonts w:eastAsia="FangSong_GB2312"/>
          <w:highlight w:val="none"/>
          <w:lang w:eastAsia="zh-CN"/>
        </w:rPr>
      </w:pPr>
    </w:p>
    <w:p w14:paraId="70F44271">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18A6596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1229F240">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5F5EF8BF">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50FBE776">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23A13441">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231274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A4CE865">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7DF7DA90">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D0490D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EA1118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25EEDA1B">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BC4E6A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9F7F15E">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3B7A6C4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3D5584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9683C8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55E16A03">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84FCB1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BDE11B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57AA69B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DBBEFE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88DD86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06FABDF5">
      <w:pPr>
        <w:rPr>
          <w:rFonts w:eastAsia="仿宋_GB2312"/>
          <w:highlight w:val="none"/>
          <w:lang w:eastAsia="zh-CN"/>
        </w:rPr>
      </w:pPr>
    </w:p>
    <w:p w14:paraId="25C39ABA">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75ED39C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0DC14689">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0234E0E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64F56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453D4B0">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6454803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44EA81F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45994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4F601E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7BDE3F3F">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752AFEA5">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07A86BB4">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6D363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173C48A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24884992">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7494B9C8">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6CFA6B94">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414A6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3730C3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281D6C4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7C1B087E">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6D2CA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35310C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501F20E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05917003">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6D843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44453F3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0D671AD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6B68B535">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0EBCFC53">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0BA180E2">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124236EB">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67EC2643">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08B523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1AABCB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06B89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5ECB356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329731D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027C1CB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198614D2">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0E1C9D80">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64B78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2F5869F">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59E655DF">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3A4BD08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35294D3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047E5B5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01674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49C8FA4">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21D5D404">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89A0FF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02889CF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245043C4">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65D47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07D5981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72646FA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3BDF6E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546C682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7BDDEF7A">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20512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33D90CE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6F75A327">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060116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32870C67">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BA721CD">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12AF9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D6B400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4FEFA7FF">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315256F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5ED4584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170C1752">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1E3E8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2B839A6">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70D1033D">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E4B84B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2A1C545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9402DB2">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1A473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07304753">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20A60E1D">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470B2A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2349324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E98ECF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4D2B3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58175D1">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0C9D5408">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CA7DE1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05910BA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0FFD04A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630EB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A3BDE1B">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5E457FD6">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F1CB10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3C7E368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A56039D">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48E3F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32E63A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4770197E">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EFE4F2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50F2532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140F27B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2299080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77D0386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2A3DD45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4085282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0C88071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45CC1803">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6713F06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7B974DF1">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73BDBE2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69842A2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715846D3">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39D6280F">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6B9C5C9E">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37C2CD92">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31BDEDD6">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654CF53F">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0D0F5942">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E58963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72BB792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0A30986D">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CA03A6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FCD3A75">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5A77C0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46492099">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21B460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05CE12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77BD73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0E598165">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ABBA32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BB54AB9">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6BD930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0C7A3EF5">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7107A1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637C21F">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7A5829E0">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B61BB9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495C4934">
      <w:pPr>
        <w:rPr>
          <w:rFonts w:eastAsia="仿宋_GB2312"/>
          <w:highlight w:val="none"/>
          <w:lang w:eastAsia="zh-CN"/>
        </w:rPr>
      </w:pPr>
    </w:p>
    <w:p w14:paraId="5624A3B7">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4BC89D4F">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200806178"/>
      <w:bookmarkStart w:id="35" w:name="_Toc11182"/>
      <w:bookmarkStart w:id="36" w:name="_Toc193468250"/>
      <w:bookmarkStart w:id="37" w:name="_Toc3505"/>
      <w:bookmarkStart w:id="38" w:name="_Toc183787461"/>
      <w:bookmarkStart w:id="39" w:name="_Toc11331"/>
      <w:bookmarkStart w:id="40" w:name="_Toc193096886"/>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162C9D1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0FC15BE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00AD55A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21701B0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55AB437C">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441765E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14F7EC5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1369B74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16EC062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5F029D1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E1459">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B28FF"/>
    <w:rsid w:val="000C7858"/>
    <w:rsid w:val="000E5975"/>
    <w:rsid w:val="0012205A"/>
    <w:rsid w:val="001706BA"/>
    <w:rsid w:val="00173E44"/>
    <w:rsid w:val="00190840"/>
    <w:rsid w:val="0019245A"/>
    <w:rsid w:val="001B5895"/>
    <w:rsid w:val="00261C7E"/>
    <w:rsid w:val="002C3BB0"/>
    <w:rsid w:val="002D5FB6"/>
    <w:rsid w:val="002D7F25"/>
    <w:rsid w:val="00314489"/>
    <w:rsid w:val="003B46A9"/>
    <w:rsid w:val="00463087"/>
    <w:rsid w:val="004C3B36"/>
    <w:rsid w:val="004C5D62"/>
    <w:rsid w:val="004F4E05"/>
    <w:rsid w:val="005007FB"/>
    <w:rsid w:val="0057218E"/>
    <w:rsid w:val="005E5DDB"/>
    <w:rsid w:val="005F504F"/>
    <w:rsid w:val="0061781A"/>
    <w:rsid w:val="00641F61"/>
    <w:rsid w:val="00653984"/>
    <w:rsid w:val="006B22D4"/>
    <w:rsid w:val="006D1F59"/>
    <w:rsid w:val="007177AD"/>
    <w:rsid w:val="0075367A"/>
    <w:rsid w:val="007874DF"/>
    <w:rsid w:val="00880F61"/>
    <w:rsid w:val="008D4085"/>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E56CE5"/>
    <w:rsid w:val="03DB4EC9"/>
    <w:rsid w:val="04DF4B5B"/>
    <w:rsid w:val="072F509A"/>
    <w:rsid w:val="09192EBF"/>
    <w:rsid w:val="0B432577"/>
    <w:rsid w:val="0B62765E"/>
    <w:rsid w:val="0E391F8C"/>
    <w:rsid w:val="0EF8014D"/>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2B37B8C"/>
    <w:rsid w:val="243B2E09"/>
    <w:rsid w:val="27DC5AE3"/>
    <w:rsid w:val="29BC2D4A"/>
    <w:rsid w:val="2AF24E7B"/>
    <w:rsid w:val="2BE91174"/>
    <w:rsid w:val="2D8178C8"/>
    <w:rsid w:val="2DCA4EF5"/>
    <w:rsid w:val="30886C71"/>
    <w:rsid w:val="32547298"/>
    <w:rsid w:val="32FA5228"/>
    <w:rsid w:val="3491251A"/>
    <w:rsid w:val="35E46EA1"/>
    <w:rsid w:val="370C1DA2"/>
    <w:rsid w:val="38AE5DD2"/>
    <w:rsid w:val="3A682CB7"/>
    <w:rsid w:val="3AEC4A64"/>
    <w:rsid w:val="3B5E51F1"/>
    <w:rsid w:val="3BE8467D"/>
    <w:rsid w:val="3E2D114F"/>
    <w:rsid w:val="3F6800CC"/>
    <w:rsid w:val="3FD51381"/>
    <w:rsid w:val="411F3AE2"/>
    <w:rsid w:val="45480DA9"/>
    <w:rsid w:val="45B5486F"/>
    <w:rsid w:val="45E2264D"/>
    <w:rsid w:val="47AD264D"/>
    <w:rsid w:val="47E9329E"/>
    <w:rsid w:val="4AF82C41"/>
    <w:rsid w:val="4B295253"/>
    <w:rsid w:val="4B8716BC"/>
    <w:rsid w:val="4F052DB4"/>
    <w:rsid w:val="50305051"/>
    <w:rsid w:val="51901506"/>
    <w:rsid w:val="52363EF8"/>
    <w:rsid w:val="53412E8E"/>
    <w:rsid w:val="54E3750B"/>
    <w:rsid w:val="55911DB9"/>
    <w:rsid w:val="593A3F7C"/>
    <w:rsid w:val="5C1550A0"/>
    <w:rsid w:val="5DC725B9"/>
    <w:rsid w:val="5F367395"/>
    <w:rsid w:val="5FE4537D"/>
    <w:rsid w:val="5FFD9CE1"/>
    <w:rsid w:val="606E16F0"/>
    <w:rsid w:val="64E645E4"/>
    <w:rsid w:val="65147874"/>
    <w:rsid w:val="65B31E61"/>
    <w:rsid w:val="6653698D"/>
    <w:rsid w:val="669652D2"/>
    <w:rsid w:val="68BD041E"/>
    <w:rsid w:val="6A3A4966"/>
    <w:rsid w:val="6A424A5A"/>
    <w:rsid w:val="6BBD6A58"/>
    <w:rsid w:val="6F6D13EC"/>
    <w:rsid w:val="70C76B7E"/>
    <w:rsid w:val="7110160D"/>
    <w:rsid w:val="725028BD"/>
    <w:rsid w:val="72965B63"/>
    <w:rsid w:val="7321663E"/>
    <w:rsid w:val="74C67731"/>
    <w:rsid w:val="74ED5119"/>
    <w:rsid w:val="756B0508"/>
    <w:rsid w:val="75FB4F73"/>
    <w:rsid w:val="7A415C14"/>
    <w:rsid w:val="7B86536F"/>
    <w:rsid w:val="7BFF044C"/>
    <w:rsid w:val="7CA53A11"/>
    <w:rsid w:val="7F23433A"/>
    <w:rsid w:val="7F3638F2"/>
    <w:rsid w:val="AFEBAE8F"/>
    <w:rsid w:val="BEB783D5"/>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1476</Words>
  <Characters>8414</Characters>
  <Lines>70</Lines>
  <Paragraphs>19</Paragraphs>
  <TotalTime>4</TotalTime>
  <ScaleCrop>false</ScaleCrop>
  <LinksUpToDate>false</LinksUpToDate>
  <CharactersWithSpaces>9871</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2025-12-05T11:07:27Z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