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2B7E65">
      <w:pPr>
        <w:spacing w:line="360" w:lineRule="auto"/>
        <w:ind w:firstLine="720" w:firstLineChars="200"/>
        <w:jc w:val="center"/>
        <w:rPr>
          <w:rFonts w:ascii="仿宋" w:hAnsi="仿宋" w:eastAsia="仿宋" w:cs="仿宋"/>
          <w:color w:val="000000" w:themeColor="text1"/>
          <w:sz w:val="36"/>
          <w:szCs w:val="40"/>
          <w14:textFill>
            <w14:solidFill>
              <w14:schemeClr w14:val="tx1"/>
            </w14:solidFill>
          </w14:textFill>
        </w:rPr>
      </w:pPr>
      <w:r>
        <w:rPr>
          <w:rFonts w:hint="eastAsia" w:ascii="仿宋" w:hAnsi="仿宋" w:eastAsia="仿宋" w:cs="仿宋"/>
          <w:color w:val="000000" w:themeColor="text1"/>
          <w:sz w:val="36"/>
          <w:szCs w:val="40"/>
          <w14:textFill>
            <w14:solidFill>
              <w14:schemeClr w14:val="tx1"/>
            </w14:solidFill>
          </w14:textFill>
        </w:rPr>
        <w:t>2026上海大学跃升计划集成服务</w:t>
      </w:r>
    </w:p>
    <w:p w14:paraId="252747F6">
      <w:pPr>
        <w:spacing w:line="360" w:lineRule="auto"/>
        <w:ind w:firstLine="720" w:firstLineChars="200"/>
        <w:jc w:val="center"/>
        <w:rPr>
          <w:rFonts w:ascii="仿宋" w:hAnsi="仿宋" w:eastAsia="仿宋" w:cs="仿宋"/>
          <w:color w:val="000000" w:themeColor="text1"/>
          <w:sz w:val="36"/>
          <w:szCs w:val="40"/>
          <w14:textFill>
            <w14:solidFill>
              <w14:schemeClr w14:val="tx1"/>
            </w14:solidFill>
          </w14:textFill>
        </w:rPr>
      </w:pPr>
      <w:r>
        <w:rPr>
          <w:rFonts w:hint="eastAsia" w:ascii="仿宋" w:hAnsi="仿宋" w:eastAsia="仿宋" w:cs="仿宋"/>
          <w:color w:val="000000" w:themeColor="text1"/>
          <w:sz w:val="36"/>
          <w:szCs w:val="40"/>
          <w14:textFill>
            <w14:solidFill>
              <w14:schemeClr w14:val="tx1"/>
            </w14:solidFill>
          </w14:textFill>
        </w:rPr>
        <w:t>技术需求</w:t>
      </w:r>
    </w:p>
    <w:p w14:paraId="3DD356AE">
      <w:pPr>
        <w:pStyle w:val="3"/>
        <w:numPr>
          <w:ilvl w:val="0"/>
          <w:numId w:val="2"/>
        </w:numPr>
        <w:spacing w:line="360" w:lineRule="auto"/>
        <w:ind w:left="12" w:hanging="12"/>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项目简介</w:t>
      </w:r>
    </w:p>
    <w:p w14:paraId="177E365B">
      <w:pPr>
        <w:spacing w:line="360" w:lineRule="auto"/>
        <w:ind w:firstLine="480" w:firstLineChars="200"/>
        <w:rPr>
          <w:rFonts w:ascii="仿宋" w:hAnsi="仿宋" w:eastAsia="仿宋" w:cs="仿宋"/>
          <w:color w:val="000000" w:themeColor="text1"/>
          <w:sz w:val="24"/>
          <w:szCs w:val="28"/>
          <w14:textFill>
            <w14:solidFill>
              <w14:schemeClr w14:val="tx1"/>
            </w14:solidFill>
          </w14:textFill>
        </w:rPr>
      </w:pPr>
      <w:r>
        <w:rPr>
          <w:rFonts w:hint="eastAsia" w:ascii="仿宋" w:hAnsi="仿宋" w:eastAsia="仿宋" w:cs="仿宋"/>
          <w:color w:val="000000" w:themeColor="text1"/>
          <w:sz w:val="24"/>
          <w:szCs w:val="28"/>
          <w14:textFill>
            <w14:solidFill>
              <w14:schemeClr w14:val="tx1"/>
            </w14:solidFill>
          </w14:textFill>
        </w:rPr>
        <w:t>本项目为2026年上海大学跃升计划集成服务，面向本轮跃升计划建设的</w:t>
      </w:r>
      <w:r>
        <w:rPr>
          <w:rFonts w:hint="eastAsia" w:ascii="仿宋" w:hAnsi="仿宋" w:eastAsia="仿宋" w:cs="仿宋"/>
          <w:color w:val="000000" w:themeColor="text1"/>
          <w:sz w:val="24"/>
          <w:szCs w:val="28"/>
          <w:lang w:eastAsia="zh-CN"/>
          <w14:textFill>
            <w14:solidFill>
              <w14:schemeClr w14:val="tx1"/>
            </w14:solidFill>
          </w14:textFill>
        </w:rPr>
        <w:t>XC</w:t>
      </w:r>
      <w:r>
        <w:rPr>
          <w:rFonts w:hint="eastAsia" w:ascii="仿宋" w:hAnsi="仿宋" w:eastAsia="仿宋" w:cs="仿宋"/>
          <w:color w:val="000000" w:themeColor="text1"/>
          <w:sz w:val="24"/>
          <w:szCs w:val="28"/>
          <w14:textFill>
            <w14:solidFill>
              <w14:schemeClr w14:val="tx1"/>
            </w14:solidFill>
          </w14:textFill>
        </w:rPr>
        <w:t>门户、财务、资产管理（跨校共建）、千学百科人工智能支撑共享（跨校共建）、科学计算资源共享及专网建设、综合管理子系统（需求—招生—培养—就业—监测）共6个子系统，统一招标系统集成服务商，由其统筹各子系统的数据交互、身份认证、网络适配和AI应用调用，避免多服务商各自为战导致的标准不一和沟通壁垒，缩短整体建设周期，减少交叉作业冲突。</w:t>
      </w:r>
    </w:p>
    <w:p w14:paraId="7081B848">
      <w:pPr>
        <w:spacing w:line="360" w:lineRule="auto"/>
        <w:ind w:firstLine="480" w:firstLineChars="200"/>
        <w:rPr>
          <w:rFonts w:ascii="仿宋" w:hAnsi="仿宋" w:eastAsia="仿宋" w:cs="仿宋"/>
          <w:color w:val="000000" w:themeColor="text1"/>
          <w:sz w:val="24"/>
          <w:szCs w:val="28"/>
          <w14:textFill>
            <w14:solidFill>
              <w14:schemeClr w14:val="tx1"/>
            </w14:solidFill>
          </w14:textFill>
        </w:rPr>
      </w:pPr>
      <w:r>
        <w:rPr>
          <w:rFonts w:hint="eastAsia" w:ascii="仿宋" w:hAnsi="仿宋" w:eastAsia="仿宋" w:cs="仿宋"/>
          <w:color w:val="000000" w:themeColor="text1"/>
          <w:sz w:val="24"/>
          <w:szCs w:val="28"/>
          <w14:textFill>
            <w14:solidFill>
              <w14:schemeClr w14:val="tx1"/>
            </w14:solidFill>
          </w14:textFill>
        </w:rPr>
        <w:t>上海大学已建成公共数据平台、统一身份认证</w:t>
      </w:r>
      <w:bookmarkStart w:id="12" w:name="_GoBack"/>
      <w:bookmarkEnd w:id="12"/>
      <w:r>
        <w:rPr>
          <w:rFonts w:hint="eastAsia" w:ascii="仿宋" w:hAnsi="仿宋" w:eastAsia="仿宋" w:cs="仿宋"/>
          <w:color w:val="000000" w:themeColor="text1"/>
          <w:sz w:val="24"/>
          <w:szCs w:val="28"/>
          <w14:textFill>
            <w14:solidFill>
              <w14:schemeClr w14:val="tx1"/>
            </w14:solidFill>
          </w14:textFill>
        </w:rPr>
        <w:t>、SDN软件定义网络及千学百科大模型本地应用等核心基础信息化架构。统一服务商须从整体架构出发，确保新增各子系统在数据交互、身份验证、网络适配、AI应用调用等方面与现有系统深度兼容，降低多厂商技术差异引发的系统冲突和数据孤岛风险，保障校园信息化系统的整体稳定性；校园信息化系统涉及大量教学、管理、科研数据，服务商须严格遵循学校数据安全规范，在数据采集、传输、存储等环节实现全流程管控。</w:t>
      </w:r>
    </w:p>
    <w:p w14:paraId="0666ABAD">
      <w:pPr>
        <w:spacing w:line="360" w:lineRule="auto"/>
        <w:ind w:firstLine="480" w:firstLineChars="200"/>
        <w:rPr>
          <w:rFonts w:ascii="仿宋" w:hAnsi="仿宋" w:eastAsia="仿宋" w:cs="仿宋"/>
          <w:color w:val="000000" w:themeColor="text1"/>
          <w:sz w:val="24"/>
          <w:szCs w:val="28"/>
          <w14:textFill>
            <w14:solidFill>
              <w14:schemeClr w14:val="tx1"/>
            </w14:solidFill>
          </w14:textFill>
        </w:rPr>
      </w:pPr>
      <w:r>
        <w:rPr>
          <w:rFonts w:hint="eastAsia" w:ascii="仿宋" w:hAnsi="仿宋" w:eastAsia="仿宋" w:cs="仿宋"/>
          <w:color w:val="000000" w:themeColor="text1"/>
          <w:sz w:val="24"/>
          <w:szCs w:val="28"/>
          <w14:textFill>
            <w14:solidFill>
              <w14:schemeClr w14:val="tx1"/>
            </w14:solidFill>
          </w14:textFill>
        </w:rPr>
        <w:t>通过本项目建设，完成6个子系统与学校数据中台、门户等的无缝对接；完成综合管理子系统需求、招生、培养、就业功能模块的集成（仅含集成服务，不含开发）；完成千学百科不少于3个大模型的部署、不少于20万条语料的标注及模型微调、AI和</w:t>
      </w:r>
      <w:r>
        <w:rPr>
          <w:rFonts w:hint="eastAsia" w:ascii="仿宋" w:hAnsi="仿宋" w:eastAsia="仿宋" w:cs="仿宋"/>
          <w:color w:val="000000" w:themeColor="text1"/>
          <w:sz w:val="24"/>
          <w:szCs w:val="28"/>
          <w:lang w:eastAsia="zh-CN"/>
          <w14:textFill>
            <w14:solidFill>
              <w14:schemeClr w14:val="tx1"/>
            </w14:solidFill>
          </w14:textFill>
        </w:rPr>
        <w:t>XC</w:t>
      </w:r>
      <w:r>
        <w:rPr>
          <w:rFonts w:hint="eastAsia" w:ascii="仿宋" w:hAnsi="仿宋" w:eastAsia="仿宋" w:cs="仿宋"/>
          <w:color w:val="000000" w:themeColor="text1"/>
          <w:sz w:val="24"/>
          <w:szCs w:val="28"/>
          <w14:textFill>
            <w14:solidFill>
              <w14:schemeClr w14:val="tx1"/>
            </w14:solidFill>
          </w14:textFill>
        </w:rPr>
        <w:t>课程资源的向量化；完成采购人选定的3个项目的教育部X</w:t>
      </w:r>
      <w:r>
        <w:rPr>
          <w:rFonts w:ascii="仿宋" w:hAnsi="仿宋" w:eastAsia="仿宋" w:cs="仿宋"/>
          <w:color w:val="000000" w:themeColor="text1"/>
          <w:sz w:val="24"/>
          <w:szCs w:val="28"/>
          <w14:textFill>
            <w14:solidFill>
              <w14:schemeClr w14:val="tx1"/>
            </w14:solidFill>
          </w14:textFill>
        </w:rPr>
        <w:t>C</w:t>
      </w:r>
      <w:r>
        <w:rPr>
          <w:rFonts w:hint="eastAsia" w:ascii="仿宋" w:hAnsi="仿宋" w:eastAsia="仿宋" w:cs="仿宋"/>
          <w:color w:val="000000" w:themeColor="text1"/>
          <w:sz w:val="24"/>
          <w:szCs w:val="28"/>
          <w14:textFill>
            <w14:solidFill>
              <w14:schemeClr w14:val="tx1"/>
            </w14:solidFill>
          </w14:textFill>
        </w:rPr>
        <w:t>适配；完成异构超算平台集成，实现跨校算力调度共享并完成教育算力专区测试集成。</w:t>
      </w:r>
    </w:p>
    <w:p w14:paraId="1DA8BC73">
      <w:pPr>
        <w:spacing w:line="360" w:lineRule="auto"/>
        <w:ind w:firstLine="480" w:firstLineChars="200"/>
        <w:rPr>
          <w:rFonts w:ascii="仿宋" w:hAnsi="仿宋" w:eastAsia="仿宋" w:cs="仿宋"/>
          <w:color w:val="000000" w:themeColor="text1"/>
          <w:sz w:val="24"/>
          <w:szCs w:val="28"/>
          <w14:textFill>
            <w14:solidFill>
              <w14:schemeClr w14:val="tx1"/>
            </w14:solidFill>
          </w14:textFill>
        </w:rPr>
      </w:pPr>
      <w:r>
        <w:rPr>
          <w:rFonts w:hint="eastAsia" w:ascii="仿宋" w:hAnsi="仿宋" w:eastAsia="仿宋" w:cs="仿宋"/>
          <w:color w:val="000000" w:themeColor="text1"/>
          <w:sz w:val="24"/>
          <w:szCs w:val="28"/>
          <w14:textFill>
            <w14:solidFill>
              <w14:schemeClr w14:val="tx1"/>
            </w14:solidFill>
          </w14:textFill>
        </w:rPr>
        <w:t>本项目采购预算（最高限价）为人民币242.6358万元，其中教育部X</w:t>
      </w:r>
      <w:r>
        <w:rPr>
          <w:rFonts w:ascii="仿宋" w:hAnsi="仿宋" w:eastAsia="仿宋" w:cs="仿宋"/>
          <w:color w:val="000000" w:themeColor="text1"/>
          <w:sz w:val="24"/>
          <w:szCs w:val="28"/>
          <w14:textFill>
            <w14:solidFill>
              <w14:schemeClr w14:val="tx1"/>
            </w14:solidFill>
          </w14:textFill>
        </w:rPr>
        <w:t>C</w:t>
      </w:r>
      <w:r>
        <w:rPr>
          <w:rFonts w:hint="eastAsia" w:ascii="仿宋" w:hAnsi="仿宋" w:eastAsia="仿宋" w:cs="仿宋"/>
          <w:color w:val="000000" w:themeColor="text1"/>
          <w:sz w:val="24"/>
          <w:szCs w:val="28"/>
          <w14:textFill>
            <w14:solidFill>
              <w14:schemeClr w14:val="tx1"/>
            </w14:solidFill>
          </w14:textFill>
        </w:rPr>
        <w:t>适配等全部费用含在本项目投标总价中。</w:t>
      </w:r>
    </w:p>
    <w:p w14:paraId="7F1B6646">
      <w:pPr>
        <w:pStyle w:val="3"/>
        <w:numPr>
          <w:ilvl w:val="0"/>
          <w:numId w:val="2"/>
        </w:numPr>
        <w:spacing w:line="360" w:lineRule="auto"/>
        <w:ind w:left="432" w:hanging="720"/>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建设主要内容目标</w:t>
      </w:r>
    </w:p>
    <w:tbl>
      <w:tblPr>
        <w:tblStyle w:val="14"/>
        <w:tblW w:w="8427" w:type="dxa"/>
        <w:tblInd w:w="93" w:type="dxa"/>
        <w:tblLayout w:type="autofit"/>
        <w:tblCellMar>
          <w:top w:w="0" w:type="dxa"/>
          <w:left w:w="108" w:type="dxa"/>
          <w:bottom w:w="0" w:type="dxa"/>
          <w:right w:w="108" w:type="dxa"/>
        </w:tblCellMar>
      </w:tblPr>
      <w:tblGrid>
        <w:gridCol w:w="855"/>
        <w:gridCol w:w="2370"/>
        <w:gridCol w:w="5202"/>
      </w:tblGrid>
      <w:tr w14:paraId="09235CB9">
        <w:tblPrEx>
          <w:tblCellMar>
            <w:top w:w="0" w:type="dxa"/>
            <w:left w:w="108" w:type="dxa"/>
            <w:bottom w:w="0" w:type="dxa"/>
            <w:right w:w="108" w:type="dxa"/>
          </w:tblCellMar>
        </w:tblPrEx>
        <w:trPr>
          <w:trHeight w:val="270" w:hRule="atLeast"/>
        </w:trPr>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D1950A">
            <w:pPr>
              <w:widowControl/>
              <w:spacing w:line="360" w:lineRule="auto"/>
              <w:jc w:val="center"/>
              <w:textAlignment w:val="center"/>
              <w:rPr>
                <w:rFonts w:ascii="仿宋" w:hAnsi="仿宋" w:eastAsia="仿宋" w:cs="仿宋"/>
                <w:color w:val="000000"/>
                <w:szCs w:val="21"/>
              </w:rPr>
            </w:pPr>
            <w:r>
              <w:rPr>
                <w:rFonts w:hint="eastAsia" w:ascii="仿宋" w:hAnsi="仿宋" w:eastAsia="仿宋" w:cs="仿宋"/>
                <w:color w:val="000000"/>
                <w:kern w:val="0"/>
                <w:szCs w:val="21"/>
                <w:lang w:bidi="ar"/>
              </w:rPr>
              <w:t>序号</w:t>
            </w:r>
          </w:p>
        </w:tc>
        <w:tc>
          <w:tcPr>
            <w:tcW w:w="23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342B97">
            <w:pPr>
              <w:widowControl/>
              <w:spacing w:line="360" w:lineRule="auto"/>
              <w:jc w:val="center"/>
              <w:textAlignment w:val="center"/>
              <w:rPr>
                <w:rFonts w:ascii="仿宋" w:hAnsi="仿宋" w:eastAsia="仿宋" w:cs="仿宋"/>
                <w:color w:val="000000"/>
                <w:szCs w:val="21"/>
              </w:rPr>
            </w:pPr>
            <w:r>
              <w:rPr>
                <w:rFonts w:hint="eastAsia" w:ascii="仿宋" w:hAnsi="仿宋" w:eastAsia="仿宋" w:cs="仿宋"/>
                <w:color w:val="000000"/>
                <w:kern w:val="0"/>
                <w:szCs w:val="21"/>
                <w:lang w:bidi="ar"/>
              </w:rPr>
              <w:t>建设内容</w:t>
            </w:r>
          </w:p>
        </w:tc>
        <w:tc>
          <w:tcPr>
            <w:tcW w:w="52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D16EAC">
            <w:pPr>
              <w:widowControl/>
              <w:spacing w:line="360" w:lineRule="auto"/>
              <w:jc w:val="center"/>
              <w:textAlignment w:val="center"/>
              <w:rPr>
                <w:rFonts w:ascii="仿宋" w:hAnsi="仿宋" w:eastAsia="仿宋" w:cs="仿宋"/>
                <w:color w:val="000000"/>
                <w:szCs w:val="21"/>
              </w:rPr>
            </w:pPr>
            <w:r>
              <w:rPr>
                <w:rFonts w:hint="eastAsia" w:ascii="仿宋" w:hAnsi="仿宋" w:eastAsia="仿宋" w:cs="仿宋"/>
                <w:color w:val="000000"/>
                <w:kern w:val="0"/>
                <w:szCs w:val="21"/>
                <w:lang w:bidi="ar"/>
              </w:rPr>
              <w:t>建设要求</w:t>
            </w:r>
          </w:p>
        </w:tc>
      </w:tr>
      <w:tr w14:paraId="3A62DEF1">
        <w:tblPrEx>
          <w:tblCellMar>
            <w:top w:w="0" w:type="dxa"/>
            <w:left w:w="108" w:type="dxa"/>
            <w:bottom w:w="0" w:type="dxa"/>
            <w:right w:w="108" w:type="dxa"/>
          </w:tblCellMar>
        </w:tblPrEx>
        <w:trPr>
          <w:trHeight w:val="765" w:hRule="atLeast"/>
        </w:trPr>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C7E714">
            <w:pPr>
              <w:widowControl/>
              <w:spacing w:line="360" w:lineRule="auto"/>
              <w:jc w:val="center"/>
              <w:textAlignment w:val="center"/>
              <w:rPr>
                <w:rFonts w:ascii="仿宋" w:hAnsi="仿宋" w:eastAsia="仿宋" w:cs="仿宋"/>
                <w:color w:val="000000"/>
                <w:szCs w:val="21"/>
              </w:rPr>
            </w:pPr>
            <w:r>
              <w:rPr>
                <w:rFonts w:hint="eastAsia" w:ascii="仿宋" w:hAnsi="仿宋" w:eastAsia="仿宋" w:cs="仿宋"/>
                <w:color w:val="000000"/>
                <w:kern w:val="0"/>
                <w:szCs w:val="21"/>
                <w:lang w:bidi="ar"/>
              </w:rPr>
              <w:t>1</w:t>
            </w:r>
          </w:p>
        </w:tc>
        <w:tc>
          <w:tcPr>
            <w:tcW w:w="23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1F71B">
            <w:pPr>
              <w:widowControl/>
              <w:spacing w:line="360" w:lineRule="auto"/>
              <w:jc w:val="center"/>
              <w:textAlignment w:val="center"/>
              <w:rPr>
                <w:rFonts w:ascii="仿宋" w:hAnsi="仿宋" w:eastAsia="仿宋" w:cs="仿宋"/>
                <w:color w:val="000000"/>
                <w:szCs w:val="21"/>
              </w:rPr>
            </w:pPr>
            <w:r>
              <w:rPr>
                <w:rFonts w:hint="eastAsia" w:ascii="仿宋" w:hAnsi="仿宋" w:eastAsia="仿宋" w:cs="仿宋"/>
                <w:color w:val="000000"/>
                <w:kern w:val="0"/>
                <w:szCs w:val="21"/>
                <w:lang w:bidi="ar"/>
              </w:rPr>
              <w:t>子系统整体集成服务</w:t>
            </w:r>
          </w:p>
        </w:tc>
        <w:tc>
          <w:tcPr>
            <w:tcW w:w="52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52CC30">
            <w:pPr>
              <w:widowControl/>
              <w:spacing w:line="360" w:lineRule="auto"/>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完成</w:t>
            </w:r>
            <w:r>
              <w:rPr>
                <w:rFonts w:hint="eastAsia" w:ascii="仿宋" w:hAnsi="仿宋" w:eastAsia="仿宋" w:cs="仿宋"/>
                <w:color w:val="000000"/>
                <w:kern w:val="0"/>
                <w:szCs w:val="21"/>
                <w:lang w:eastAsia="zh-CN" w:bidi="ar"/>
              </w:rPr>
              <w:t>XC</w:t>
            </w:r>
            <w:r>
              <w:rPr>
                <w:rFonts w:hint="eastAsia" w:ascii="仿宋" w:hAnsi="仿宋" w:eastAsia="仿宋" w:cs="仿宋"/>
                <w:color w:val="000000"/>
                <w:kern w:val="0"/>
                <w:szCs w:val="21"/>
                <w:lang w:bidi="ar"/>
              </w:rPr>
              <w:t>门户、财务、资产管理（跨校共建）、千学百科人工智能支撑共享（跨校共建）、科学计算资源共享及专网建设、综合管理子系统共6个子系统的整体集成，并与学校数据中台、门户等无缝对接。</w:t>
            </w:r>
          </w:p>
        </w:tc>
      </w:tr>
      <w:tr w14:paraId="757043B9">
        <w:tblPrEx>
          <w:tblCellMar>
            <w:top w:w="0" w:type="dxa"/>
            <w:left w:w="108" w:type="dxa"/>
            <w:bottom w:w="0" w:type="dxa"/>
            <w:right w:w="108" w:type="dxa"/>
          </w:tblCellMar>
        </w:tblPrEx>
        <w:trPr>
          <w:trHeight w:val="765" w:hRule="atLeast"/>
        </w:trPr>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8270B0">
            <w:pPr>
              <w:widowControl/>
              <w:spacing w:line="360" w:lineRule="auto"/>
              <w:jc w:val="center"/>
              <w:textAlignment w:val="center"/>
              <w:rPr>
                <w:rFonts w:ascii="仿宋" w:hAnsi="仿宋" w:eastAsia="仿宋" w:cs="仿宋"/>
                <w:color w:val="000000"/>
                <w:szCs w:val="21"/>
              </w:rPr>
            </w:pPr>
            <w:r>
              <w:rPr>
                <w:rFonts w:hint="eastAsia" w:ascii="仿宋" w:hAnsi="仿宋" w:eastAsia="仿宋" w:cs="仿宋"/>
                <w:color w:val="000000"/>
                <w:kern w:val="0"/>
                <w:szCs w:val="21"/>
                <w:lang w:bidi="ar"/>
              </w:rPr>
              <w:t>2</w:t>
            </w:r>
          </w:p>
        </w:tc>
        <w:tc>
          <w:tcPr>
            <w:tcW w:w="23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325091">
            <w:pPr>
              <w:widowControl/>
              <w:spacing w:line="360" w:lineRule="auto"/>
              <w:jc w:val="center"/>
              <w:textAlignment w:val="center"/>
              <w:rPr>
                <w:rFonts w:ascii="仿宋" w:hAnsi="仿宋" w:eastAsia="仿宋" w:cs="仿宋"/>
                <w:color w:val="000000"/>
                <w:szCs w:val="21"/>
              </w:rPr>
            </w:pPr>
            <w:r>
              <w:rPr>
                <w:rFonts w:hint="eastAsia" w:ascii="仿宋" w:hAnsi="仿宋" w:eastAsia="仿宋" w:cs="仿宋"/>
                <w:color w:val="000000"/>
                <w:kern w:val="0"/>
                <w:szCs w:val="21"/>
                <w:lang w:bidi="ar"/>
              </w:rPr>
              <w:t>需求—招生—培养—就业功能模块集成</w:t>
            </w:r>
          </w:p>
        </w:tc>
        <w:tc>
          <w:tcPr>
            <w:tcW w:w="52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28560C">
            <w:pPr>
              <w:widowControl/>
              <w:spacing w:line="360" w:lineRule="auto"/>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完成综合管理子系统中需求、招生、培养、就业功能模块的集成（仅含集成服务，不含开发）。</w:t>
            </w:r>
          </w:p>
        </w:tc>
      </w:tr>
      <w:tr w14:paraId="466865DB">
        <w:tblPrEx>
          <w:tblCellMar>
            <w:top w:w="0" w:type="dxa"/>
            <w:left w:w="108" w:type="dxa"/>
            <w:bottom w:w="0" w:type="dxa"/>
            <w:right w:w="108" w:type="dxa"/>
          </w:tblCellMar>
        </w:tblPrEx>
        <w:trPr>
          <w:trHeight w:val="765" w:hRule="atLeast"/>
        </w:trPr>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FD9D76">
            <w:pPr>
              <w:widowControl/>
              <w:spacing w:line="360" w:lineRule="auto"/>
              <w:jc w:val="center"/>
              <w:textAlignment w:val="center"/>
              <w:rPr>
                <w:rFonts w:ascii="仿宋" w:hAnsi="仿宋" w:eastAsia="仿宋" w:cs="仿宋"/>
                <w:color w:val="000000"/>
                <w:szCs w:val="21"/>
              </w:rPr>
            </w:pPr>
            <w:r>
              <w:rPr>
                <w:rFonts w:hint="eastAsia" w:ascii="仿宋" w:hAnsi="仿宋" w:eastAsia="仿宋" w:cs="仿宋"/>
                <w:color w:val="000000"/>
                <w:kern w:val="0"/>
                <w:szCs w:val="21"/>
                <w:lang w:bidi="ar"/>
              </w:rPr>
              <w:t>3</w:t>
            </w:r>
          </w:p>
        </w:tc>
        <w:tc>
          <w:tcPr>
            <w:tcW w:w="23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D6563E">
            <w:pPr>
              <w:widowControl/>
              <w:spacing w:line="360" w:lineRule="auto"/>
              <w:jc w:val="center"/>
              <w:textAlignment w:val="center"/>
              <w:rPr>
                <w:rFonts w:ascii="仿宋" w:hAnsi="仿宋" w:eastAsia="仿宋" w:cs="仿宋"/>
                <w:color w:val="000000"/>
                <w:szCs w:val="21"/>
              </w:rPr>
            </w:pPr>
            <w:r>
              <w:rPr>
                <w:rFonts w:hint="eastAsia" w:ascii="仿宋" w:hAnsi="仿宋" w:eastAsia="仿宋" w:cs="仿宋"/>
                <w:color w:val="000000"/>
                <w:kern w:val="0"/>
                <w:szCs w:val="21"/>
                <w:lang w:bidi="ar"/>
              </w:rPr>
              <w:t>千学百科AI集成</w:t>
            </w:r>
          </w:p>
        </w:tc>
        <w:tc>
          <w:tcPr>
            <w:tcW w:w="52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270B47">
            <w:pPr>
              <w:widowControl/>
              <w:spacing w:line="360" w:lineRule="auto"/>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完成不少于3个大模型的部署，不少于20万条语料的标注及模型微调，AI和</w:t>
            </w:r>
            <w:r>
              <w:rPr>
                <w:rFonts w:hint="eastAsia" w:ascii="仿宋" w:hAnsi="仿宋" w:eastAsia="仿宋" w:cs="仿宋"/>
                <w:color w:val="000000"/>
                <w:kern w:val="0"/>
                <w:szCs w:val="21"/>
                <w:lang w:eastAsia="zh-CN" w:bidi="ar"/>
              </w:rPr>
              <w:t>XC</w:t>
            </w:r>
            <w:r>
              <w:rPr>
                <w:rFonts w:hint="eastAsia" w:ascii="仿宋" w:hAnsi="仿宋" w:eastAsia="仿宋" w:cs="仿宋"/>
                <w:color w:val="000000"/>
                <w:kern w:val="0"/>
                <w:szCs w:val="21"/>
                <w:lang w:bidi="ar"/>
              </w:rPr>
              <w:t>课程资源的向量化。</w:t>
            </w:r>
          </w:p>
        </w:tc>
      </w:tr>
      <w:tr w14:paraId="7ABA6605">
        <w:tblPrEx>
          <w:tblCellMar>
            <w:top w:w="0" w:type="dxa"/>
            <w:left w:w="108" w:type="dxa"/>
            <w:bottom w:w="0" w:type="dxa"/>
            <w:right w:w="108" w:type="dxa"/>
          </w:tblCellMar>
        </w:tblPrEx>
        <w:trPr>
          <w:trHeight w:val="765" w:hRule="atLeast"/>
        </w:trPr>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28132F">
            <w:pPr>
              <w:widowControl/>
              <w:spacing w:line="360" w:lineRule="auto"/>
              <w:jc w:val="center"/>
              <w:textAlignment w:val="center"/>
              <w:rPr>
                <w:rFonts w:ascii="仿宋" w:hAnsi="仿宋" w:eastAsia="仿宋" w:cs="仿宋"/>
                <w:color w:val="000000"/>
                <w:szCs w:val="21"/>
              </w:rPr>
            </w:pPr>
            <w:r>
              <w:rPr>
                <w:rFonts w:hint="eastAsia" w:ascii="仿宋" w:hAnsi="仿宋" w:eastAsia="仿宋" w:cs="仿宋"/>
                <w:color w:val="000000"/>
                <w:kern w:val="0"/>
                <w:szCs w:val="21"/>
                <w:lang w:bidi="ar"/>
              </w:rPr>
              <w:t>4</w:t>
            </w:r>
          </w:p>
        </w:tc>
        <w:tc>
          <w:tcPr>
            <w:tcW w:w="23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F11172">
            <w:pPr>
              <w:widowControl/>
              <w:spacing w:line="360" w:lineRule="auto"/>
              <w:jc w:val="center"/>
              <w:textAlignment w:val="center"/>
              <w:rPr>
                <w:rFonts w:ascii="仿宋" w:hAnsi="仿宋" w:eastAsia="仿宋" w:cs="仿宋"/>
                <w:color w:val="000000"/>
                <w:szCs w:val="21"/>
              </w:rPr>
            </w:pPr>
            <w:r>
              <w:rPr>
                <w:rFonts w:hint="eastAsia" w:ascii="仿宋" w:hAnsi="仿宋" w:eastAsia="仿宋" w:cs="仿宋"/>
                <w:color w:val="000000"/>
                <w:kern w:val="0"/>
                <w:szCs w:val="21"/>
                <w:lang w:eastAsia="zh-CN" w:bidi="ar"/>
              </w:rPr>
              <w:t>XC</w:t>
            </w:r>
            <w:r>
              <w:rPr>
                <w:rFonts w:hint="eastAsia" w:ascii="仿宋" w:hAnsi="仿宋" w:eastAsia="仿宋" w:cs="仿宋"/>
                <w:color w:val="000000"/>
                <w:kern w:val="0"/>
                <w:szCs w:val="21"/>
                <w:lang w:bidi="ar"/>
              </w:rPr>
              <w:t>资源集成与教育部X</w:t>
            </w:r>
            <w:r>
              <w:rPr>
                <w:rFonts w:ascii="仿宋" w:hAnsi="仿宋" w:eastAsia="仿宋" w:cs="仿宋"/>
                <w:color w:val="000000"/>
                <w:kern w:val="0"/>
                <w:szCs w:val="21"/>
                <w:lang w:bidi="ar"/>
              </w:rPr>
              <w:t>C</w:t>
            </w:r>
            <w:r>
              <w:rPr>
                <w:rFonts w:hint="eastAsia" w:ascii="仿宋" w:hAnsi="仿宋" w:eastAsia="仿宋" w:cs="仿宋"/>
                <w:color w:val="000000"/>
                <w:kern w:val="0"/>
                <w:szCs w:val="21"/>
                <w:lang w:bidi="ar"/>
              </w:rPr>
              <w:t>适配</w:t>
            </w:r>
          </w:p>
        </w:tc>
        <w:tc>
          <w:tcPr>
            <w:tcW w:w="52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A51E3E">
            <w:pPr>
              <w:widowControl/>
              <w:spacing w:line="360" w:lineRule="auto"/>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完成采购人选定的3个项目的教育部X</w:t>
            </w:r>
            <w:r>
              <w:rPr>
                <w:rFonts w:ascii="仿宋" w:hAnsi="仿宋" w:eastAsia="仿宋" w:cs="仿宋"/>
                <w:color w:val="000000"/>
                <w:kern w:val="0"/>
                <w:szCs w:val="21"/>
                <w:lang w:bidi="ar"/>
              </w:rPr>
              <w:t>C</w:t>
            </w:r>
            <w:r>
              <w:rPr>
                <w:rFonts w:hint="eastAsia" w:ascii="仿宋" w:hAnsi="仿宋" w:eastAsia="仿宋" w:cs="仿宋"/>
                <w:color w:val="000000"/>
                <w:kern w:val="0"/>
                <w:szCs w:val="21"/>
                <w:lang w:bidi="ar"/>
              </w:rPr>
              <w:t>适配。</w:t>
            </w:r>
          </w:p>
        </w:tc>
      </w:tr>
      <w:tr w14:paraId="05042CD4">
        <w:tblPrEx>
          <w:tblCellMar>
            <w:top w:w="0" w:type="dxa"/>
            <w:left w:w="108" w:type="dxa"/>
            <w:bottom w:w="0" w:type="dxa"/>
            <w:right w:w="108" w:type="dxa"/>
          </w:tblCellMar>
        </w:tblPrEx>
        <w:trPr>
          <w:trHeight w:val="765" w:hRule="atLeast"/>
        </w:trPr>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107763">
            <w:pPr>
              <w:widowControl/>
              <w:spacing w:line="360" w:lineRule="auto"/>
              <w:jc w:val="center"/>
              <w:textAlignment w:val="center"/>
              <w:rPr>
                <w:rFonts w:ascii="仿宋" w:hAnsi="仿宋" w:eastAsia="仿宋" w:cs="仿宋"/>
                <w:color w:val="000000"/>
                <w:szCs w:val="21"/>
              </w:rPr>
            </w:pPr>
            <w:r>
              <w:rPr>
                <w:rFonts w:hint="eastAsia" w:ascii="仿宋" w:hAnsi="仿宋" w:eastAsia="仿宋" w:cs="仿宋"/>
                <w:color w:val="000000"/>
                <w:kern w:val="0"/>
                <w:szCs w:val="21"/>
                <w:lang w:bidi="ar"/>
              </w:rPr>
              <w:t>5</w:t>
            </w:r>
          </w:p>
        </w:tc>
        <w:tc>
          <w:tcPr>
            <w:tcW w:w="23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811103">
            <w:pPr>
              <w:widowControl/>
              <w:spacing w:line="360" w:lineRule="auto"/>
              <w:jc w:val="center"/>
              <w:textAlignment w:val="center"/>
              <w:rPr>
                <w:rFonts w:ascii="仿宋" w:hAnsi="仿宋" w:eastAsia="仿宋" w:cs="仿宋"/>
                <w:color w:val="000000"/>
                <w:szCs w:val="21"/>
              </w:rPr>
            </w:pPr>
            <w:r>
              <w:rPr>
                <w:rFonts w:hint="eastAsia" w:ascii="仿宋" w:hAnsi="仿宋" w:eastAsia="仿宋" w:cs="仿宋"/>
                <w:color w:val="000000"/>
                <w:kern w:val="0"/>
                <w:szCs w:val="21"/>
                <w:lang w:bidi="ar"/>
              </w:rPr>
              <w:t>异构超算平台与核心业务集成</w:t>
            </w:r>
          </w:p>
        </w:tc>
        <w:tc>
          <w:tcPr>
            <w:tcW w:w="52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24E239">
            <w:pPr>
              <w:widowControl/>
              <w:spacing w:line="360" w:lineRule="auto"/>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完成异构超算平台集成，实现跨校算力调度共享，并完成教育算力专区的测试集成，同时与学校财务、请购、科研、教务、研究生系统对接。</w:t>
            </w:r>
          </w:p>
        </w:tc>
      </w:tr>
      <w:tr w14:paraId="010ACC72">
        <w:tblPrEx>
          <w:tblCellMar>
            <w:top w:w="0" w:type="dxa"/>
            <w:left w:w="108" w:type="dxa"/>
            <w:bottom w:w="0" w:type="dxa"/>
            <w:right w:w="108" w:type="dxa"/>
          </w:tblCellMar>
        </w:tblPrEx>
        <w:trPr>
          <w:trHeight w:val="765" w:hRule="atLeast"/>
        </w:trPr>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F8D204">
            <w:pPr>
              <w:widowControl/>
              <w:spacing w:line="360" w:lineRule="auto"/>
              <w:jc w:val="center"/>
              <w:textAlignment w:val="center"/>
              <w:rPr>
                <w:rFonts w:ascii="仿宋" w:hAnsi="仿宋" w:eastAsia="仿宋" w:cs="仿宋"/>
                <w:color w:val="000000"/>
                <w:szCs w:val="21"/>
              </w:rPr>
            </w:pPr>
            <w:r>
              <w:rPr>
                <w:rFonts w:hint="eastAsia" w:ascii="仿宋" w:hAnsi="仿宋" w:eastAsia="仿宋" w:cs="仿宋"/>
                <w:color w:val="000000"/>
                <w:kern w:val="0"/>
                <w:szCs w:val="21"/>
                <w:lang w:bidi="ar"/>
              </w:rPr>
              <w:t>6</w:t>
            </w:r>
          </w:p>
        </w:tc>
        <w:tc>
          <w:tcPr>
            <w:tcW w:w="23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636FDA">
            <w:pPr>
              <w:widowControl/>
              <w:spacing w:line="360" w:lineRule="auto"/>
              <w:jc w:val="center"/>
              <w:textAlignment w:val="center"/>
              <w:rPr>
                <w:rFonts w:ascii="仿宋" w:hAnsi="仿宋" w:eastAsia="仿宋" w:cs="仿宋"/>
                <w:color w:val="000000"/>
                <w:szCs w:val="21"/>
              </w:rPr>
            </w:pPr>
            <w:r>
              <w:rPr>
                <w:rFonts w:hint="eastAsia" w:ascii="仿宋" w:hAnsi="仿宋" w:eastAsia="仿宋" w:cs="仿宋"/>
                <w:color w:val="000000"/>
                <w:kern w:val="0"/>
                <w:szCs w:val="21"/>
                <w:lang w:bidi="ar"/>
              </w:rPr>
              <w:t>驻场实施及技术支持服务</w:t>
            </w:r>
          </w:p>
        </w:tc>
        <w:tc>
          <w:tcPr>
            <w:tcW w:w="52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53B649">
            <w:pPr>
              <w:widowControl/>
              <w:spacing w:line="360" w:lineRule="auto"/>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不少于2名软件开发工程师驻场；涉及算力设备和网络设备的部署、实施、上线和调试，由采购人组织设备供应商原厂工程师实施，中标人负责配合及集成对接；36个月免费质保维护，维护人员常驻上海大学延长校区智能信息中心现场。</w:t>
            </w:r>
          </w:p>
        </w:tc>
      </w:tr>
    </w:tbl>
    <w:p w14:paraId="2C6C817B">
      <w:pPr>
        <w:pStyle w:val="3"/>
        <w:numPr>
          <w:ilvl w:val="0"/>
          <w:numId w:val="2"/>
        </w:numPr>
        <w:spacing w:line="360" w:lineRule="auto"/>
        <w:ind w:left="12" w:hanging="12"/>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建设内容</w:t>
      </w:r>
    </w:p>
    <w:p w14:paraId="2795AE0D">
      <w:pPr>
        <w:pStyle w:val="4"/>
        <w:numPr>
          <w:ilvl w:val="1"/>
          <w:numId w:val="2"/>
        </w:numPr>
        <w:spacing w:line="360" w:lineRule="auto"/>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子系统整体集成服务（6个子系统）</w:t>
      </w:r>
    </w:p>
    <w:tbl>
      <w:tblPr>
        <w:tblStyle w:val="14"/>
        <w:tblW w:w="5000" w:type="pct"/>
        <w:tblInd w:w="0" w:type="dxa"/>
        <w:tblLayout w:type="autofit"/>
        <w:tblCellMar>
          <w:top w:w="0" w:type="dxa"/>
          <w:left w:w="108" w:type="dxa"/>
          <w:bottom w:w="0" w:type="dxa"/>
          <w:right w:w="108" w:type="dxa"/>
        </w:tblCellMar>
      </w:tblPr>
      <w:tblGrid>
        <w:gridCol w:w="1013"/>
        <w:gridCol w:w="1623"/>
        <w:gridCol w:w="5886"/>
      </w:tblGrid>
      <w:tr w14:paraId="10826C1D">
        <w:tblPrEx>
          <w:tblCellMar>
            <w:top w:w="0" w:type="dxa"/>
            <w:left w:w="108" w:type="dxa"/>
            <w:bottom w:w="0" w:type="dxa"/>
            <w:right w:w="108" w:type="dxa"/>
          </w:tblCellMar>
        </w:tblPrEx>
        <w:trPr>
          <w:trHeight w:val="497" w:hRule="atLeast"/>
        </w:trPr>
        <w:tc>
          <w:tcPr>
            <w:tcW w:w="594" w:type="pct"/>
            <w:tcBorders>
              <w:top w:val="single" w:color="000000" w:sz="4" w:space="0"/>
              <w:left w:val="single" w:color="000000" w:sz="4" w:space="0"/>
              <w:bottom w:val="single" w:color="000000" w:sz="4" w:space="0"/>
              <w:right w:val="single" w:color="000000" w:sz="4" w:space="0"/>
            </w:tcBorders>
            <w:vAlign w:val="center"/>
          </w:tcPr>
          <w:p w14:paraId="5F1366FB">
            <w:pPr>
              <w:widowControl/>
              <w:snapToGrid w:val="0"/>
              <w:spacing w:line="360" w:lineRule="auto"/>
              <w:jc w:val="center"/>
              <w:textAlignment w:val="center"/>
              <w:rPr>
                <w:rFonts w:ascii="仿宋" w:hAnsi="仿宋" w:eastAsia="仿宋" w:cs="仿宋"/>
                <w:b/>
                <w:color w:val="000000" w:themeColor="text1"/>
                <w:kern w:val="0"/>
                <w:szCs w:val="21"/>
                <w:lang w:bidi="ar"/>
                <w14:textFill>
                  <w14:solidFill>
                    <w14:schemeClr w14:val="tx1"/>
                  </w14:solidFill>
                </w14:textFill>
              </w:rPr>
            </w:pPr>
            <w:r>
              <w:rPr>
                <w:rFonts w:hint="eastAsia" w:ascii="仿宋" w:hAnsi="仿宋" w:eastAsia="仿宋" w:cs="仿宋"/>
                <w:b/>
                <w:color w:val="000000" w:themeColor="text1"/>
                <w:kern w:val="0"/>
                <w:szCs w:val="21"/>
                <w:lang w:bidi="ar"/>
                <w14:textFill>
                  <w14:solidFill>
                    <w14:schemeClr w14:val="tx1"/>
                  </w14:solidFill>
                </w14:textFill>
              </w:rPr>
              <w:t>序号</w:t>
            </w:r>
          </w:p>
        </w:tc>
        <w:tc>
          <w:tcPr>
            <w:tcW w:w="952" w:type="pc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B1DAA92">
            <w:pPr>
              <w:widowControl/>
              <w:snapToGrid w:val="0"/>
              <w:spacing w:line="360" w:lineRule="auto"/>
              <w:jc w:val="center"/>
              <w:textAlignment w:val="center"/>
              <w:rPr>
                <w:rFonts w:ascii="仿宋" w:hAnsi="仿宋" w:eastAsia="仿宋" w:cs="仿宋"/>
                <w:b/>
                <w:color w:val="000000" w:themeColor="text1"/>
                <w:kern w:val="0"/>
                <w:szCs w:val="21"/>
                <w:lang w:bidi="ar"/>
                <w14:textFill>
                  <w14:solidFill>
                    <w14:schemeClr w14:val="tx1"/>
                  </w14:solidFill>
                </w14:textFill>
              </w:rPr>
            </w:pPr>
            <w:r>
              <w:rPr>
                <w:rFonts w:hint="eastAsia" w:ascii="仿宋" w:hAnsi="仿宋" w:eastAsia="仿宋" w:cs="仿宋"/>
                <w:b/>
                <w:color w:val="000000" w:themeColor="text1"/>
                <w:kern w:val="0"/>
                <w:szCs w:val="21"/>
                <w:lang w:bidi="ar"/>
                <w14:textFill>
                  <w14:solidFill>
                    <w14:schemeClr w14:val="tx1"/>
                  </w14:solidFill>
                </w14:textFill>
              </w:rPr>
              <w:t>功能</w:t>
            </w:r>
          </w:p>
        </w:tc>
        <w:tc>
          <w:tcPr>
            <w:tcW w:w="3452" w:type="pct"/>
            <w:tcBorders>
              <w:top w:val="single" w:color="000000" w:sz="4" w:space="0"/>
              <w:left w:val="single" w:color="000000" w:sz="4" w:space="0"/>
              <w:bottom w:val="single" w:color="000000" w:sz="4" w:space="0"/>
              <w:right w:val="single" w:color="000000" w:sz="4" w:space="0"/>
            </w:tcBorders>
            <w:vAlign w:val="center"/>
          </w:tcPr>
          <w:p w14:paraId="15760006">
            <w:pPr>
              <w:widowControl/>
              <w:snapToGrid w:val="0"/>
              <w:spacing w:line="360" w:lineRule="auto"/>
              <w:jc w:val="center"/>
              <w:textAlignment w:val="center"/>
              <w:rPr>
                <w:rFonts w:ascii="仿宋" w:hAnsi="仿宋" w:eastAsia="仿宋" w:cs="仿宋"/>
                <w:b/>
                <w:color w:val="000000" w:themeColor="text1"/>
                <w:kern w:val="0"/>
                <w:szCs w:val="21"/>
                <w:lang w:bidi="ar"/>
                <w14:textFill>
                  <w14:solidFill>
                    <w14:schemeClr w14:val="tx1"/>
                  </w14:solidFill>
                </w14:textFill>
              </w:rPr>
            </w:pPr>
            <w:r>
              <w:rPr>
                <w:rFonts w:hint="eastAsia" w:ascii="仿宋" w:hAnsi="仿宋" w:eastAsia="仿宋" w:cs="仿宋"/>
                <w:b/>
                <w:bCs/>
                <w:color w:val="000000" w:themeColor="text1"/>
                <w:kern w:val="0"/>
                <w:szCs w:val="21"/>
                <w:lang w:bidi="ar"/>
                <w14:textFill>
                  <w14:solidFill>
                    <w14:schemeClr w14:val="tx1"/>
                  </w14:solidFill>
                </w14:textFill>
              </w:rPr>
              <w:t>说明</w:t>
            </w:r>
          </w:p>
        </w:tc>
      </w:tr>
      <w:tr w14:paraId="278416F5">
        <w:tblPrEx>
          <w:tblCellMar>
            <w:top w:w="0" w:type="dxa"/>
            <w:left w:w="108" w:type="dxa"/>
            <w:bottom w:w="0" w:type="dxa"/>
            <w:right w:w="108" w:type="dxa"/>
          </w:tblCellMar>
        </w:tblPrEx>
        <w:trPr>
          <w:trHeight w:val="136" w:hRule="atLeast"/>
        </w:trPr>
        <w:tc>
          <w:tcPr>
            <w:tcW w:w="594" w:type="pct"/>
            <w:tcBorders>
              <w:top w:val="single" w:color="000000" w:sz="4" w:space="0"/>
              <w:left w:val="single" w:color="000000" w:sz="4" w:space="0"/>
              <w:bottom w:val="single" w:color="000000" w:sz="4" w:space="0"/>
              <w:right w:val="single" w:color="000000" w:sz="4" w:space="0"/>
            </w:tcBorders>
            <w:vAlign w:val="center"/>
          </w:tcPr>
          <w:p w14:paraId="503C4A90">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color w:val="000000" w:themeColor="text1"/>
                <w:kern w:val="0"/>
                <w:szCs w:val="21"/>
                <w:lang w:bidi="ar"/>
                <w14:textFill>
                  <w14:solidFill>
                    <w14:schemeClr w14:val="tx1"/>
                  </w14:solidFill>
                </w14:textFill>
              </w:rPr>
              <w:t>1</w:t>
            </w:r>
          </w:p>
        </w:tc>
        <w:tc>
          <w:tcPr>
            <w:tcW w:w="952" w:type="pc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7A91ECDF">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集成范围</w:t>
            </w:r>
          </w:p>
        </w:tc>
        <w:tc>
          <w:tcPr>
            <w:tcW w:w="3452" w:type="pct"/>
            <w:tcBorders>
              <w:top w:val="single" w:color="000000" w:sz="4" w:space="0"/>
              <w:left w:val="single" w:color="000000" w:sz="4" w:space="0"/>
              <w:bottom w:val="single" w:color="000000" w:sz="4" w:space="0"/>
              <w:right w:val="single" w:color="000000" w:sz="4" w:space="0"/>
            </w:tcBorders>
            <w:vAlign w:val="center"/>
          </w:tcPr>
          <w:p w14:paraId="5C5C215D">
            <w:pPr>
              <w:widowControl/>
              <w:snapToGrid w:val="0"/>
              <w:spacing w:line="360" w:lineRule="auto"/>
              <w:jc w:val="left"/>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完成6个子系统的整体集成与联调，提交各子系统对接清单、接口方案、联调测试报告；各子系统由采购人另行建设的，中标人负责协调联调，不承担其开发。</w:t>
            </w:r>
          </w:p>
        </w:tc>
      </w:tr>
      <w:tr w14:paraId="245BD0E9">
        <w:tblPrEx>
          <w:tblCellMar>
            <w:top w:w="0" w:type="dxa"/>
            <w:left w:w="108" w:type="dxa"/>
            <w:bottom w:w="0" w:type="dxa"/>
            <w:right w:w="108" w:type="dxa"/>
          </w:tblCellMar>
        </w:tblPrEx>
        <w:trPr>
          <w:trHeight w:val="136" w:hRule="atLeast"/>
        </w:trPr>
        <w:tc>
          <w:tcPr>
            <w:tcW w:w="594" w:type="pct"/>
            <w:tcBorders>
              <w:top w:val="single" w:color="000000" w:sz="4" w:space="0"/>
              <w:left w:val="single" w:color="000000" w:sz="4" w:space="0"/>
              <w:bottom w:val="single" w:color="000000" w:sz="4" w:space="0"/>
              <w:right w:val="single" w:color="000000" w:sz="4" w:space="0"/>
            </w:tcBorders>
            <w:vAlign w:val="center"/>
          </w:tcPr>
          <w:p w14:paraId="59CFC3B1">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color w:val="000000" w:themeColor="text1"/>
                <w:kern w:val="0"/>
                <w:szCs w:val="21"/>
                <w:lang w:bidi="ar"/>
                <w14:textFill>
                  <w14:solidFill>
                    <w14:schemeClr w14:val="tx1"/>
                  </w14:solidFill>
                </w14:textFill>
              </w:rPr>
              <w:t>2</w:t>
            </w:r>
          </w:p>
        </w:tc>
        <w:tc>
          <w:tcPr>
            <w:tcW w:w="952" w:type="pc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256C9F2B">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数据层集成</w:t>
            </w:r>
          </w:p>
        </w:tc>
        <w:tc>
          <w:tcPr>
            <w:tcW w:w="3452" w:type="pct"/>
            <w:tcBorders>
              <w:top w:val="single" w:color="000000" w:sz="4" w:space="0"/>
              <w:left w:val="single" w:color="000000" w:sz="4" w:space="0"/>
              <w:bottom w:val="single" w:color="000000" w:sz="4" w:space="0"/>
              <w:right w:val="single" w:color="000000" w:sz="4" w:space="0"/>
            </w:tcBorders>
            <w:vAlign w:val="center"/>
          </w:tcPr>
          <w:p w14:paraId="512483BC">
            <w:pPr>
              <w:widowControl/>
              <w:snapToGrid w:val="0"/>
              <w:spacing w:line="360" w:lineRule="auto"/>
              <w:jc w:val="left"/>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全部子系统须与学校公共数据平台对接，遵循统一数据标准和接口规范；子系统产生的业务数据须实时同步至公共数据平台，并可按需调用平台共享数据，实现跨系统数据联动。</w:t>
            </w:r>
          </w:p>
        </w:tc>
      </w:tr>
      <w:tr w14:paraId="67DA6324">
        <w:tblPrEx>
          <w:tblCellMar>
            <w:top w:w="0" w:type="dxa"/>
            <w:left w:w="108" w:type="dxa"/>
            <w:bottom w:w="0" w:type="dxa"/>
            <w:right w:w="108" w:type="dxa"/>
          </w:tblCellMar>
        </w:tblPrEx>
        <w:trPr>
          <w:trHeight w:val="136" w:hRule="atLeast"/>
        </w:trPr>
        <w:tc>
          <w:tcPr>
            <w:tcW w:w="594" w:type="pct"/>
            <w:tcBorders>
              <w:top w:val="single" w:color="000000" w:sz="4" w:space="0"/>
              <w:left w:val="single" w:color="000000" w:sz="4" w:space="0"/>
              <w:bottom w:val="single" w:color="000000" w:sz="4" w:space="0"/>
              <w:right w:val="single" w:color="000000" w:sz="4" w:space="0"/>
            </w:tcBorders>
            <w:vAlign w:val="center"/>
          </w:tcPr>
          <w:p w14:paraId="4D79AEEE">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color w:val="000000" w:themeColor="text1"/>
                <w:kern w:val="0"/>
                <w:szCs w:val="21"/>
                <w:lang w:bidi="ar"/>
                <w14:textFill>
                  <w14:solidFill>
                    <w14:schemeClr w14:val="tx1"/>
                  </w14:solidFill>
                </w14:textFill>
              </w:rPr>
              <w:t>3</w:t>
            </w:r>
          </w:p>
        </w:tc>
        <w:tc>
          <w:tcPr>
            <w:tcW w:w="952" w:type="pc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76BF0BDD">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统一身份认证</w:t>
            </w:r>
          </w:p>
        </w:tc>
        <w:tc>
          <w:tcPr>
            <w:tcW w:w="3452" w:type="pct"/>
            <w:tcBorders>
              <w:top w:val="single" w:color="000000" w:sz="4" w:space="0"/>
              <w:left w:val="single" w:color="000000" w:sz="4" w:space="0"/>
              <w:bottom w:val="single" w:color="000000" w:sz="4" w:space="0"/>
              <w:right w:val="single" w:color="000000" w:sz="4" w:space="0"/>
            </w:tcBorders>
            <w:vAlign w:val="center"/>
          </w:tcPr>
          <w:p w14:paraId="3D89D9D6">
            <w:pPr>
              <w:widowControl/>
              <w:snapToGrid w:val="0"/>
              <w:spacing w:line="360" w:lineRule="auto"/>
              <w:jc w:val="left"/>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全部子系统须接入学校统一身份认证系统，采用统一的用户身份标识体系，支持单点登录（SSO），用户角色权限与统一身份认证中的角色对应。</w:t>
            </w:r>
          </w:p>
        </w:tc>
      </w:tr>
      <w:tr w14:paraId="1FA2E49F">
        <w:tblPrEx>
          <w:tblCellMar>
            <w:top w:w="0" w:type="dxa"/>
            <w:left w:w="108" w:type="dxa"/>
            <w:bottom w:w="0" w:type="dxa"/>
            <w:right w:w="108" w:type="dxa"/>
          </w:tblCellMar>
        </w:tblPrEx>
        <w:trPr>
          <w:trHeight w:val="136" w:hRule="atLeast"/>
        </w:trPr>
        <w:tc>
          <w:tcPr>
            <w:tcW w:w="594" w:type="pct"/>
            <w:tcBorders>
              <w:top w:val="single" w:color="000000" w:sz="4" w:space="0"/>
              <w:left w:val="single" w:color="000000" w:sz="4" w:space="0"/>
              <w:bottom w:val="single" w:color="000000" w:sz="4" w:space="0"/>
              <w:right w:val="single" w:color="000000" w:sz="4" w:space="0"/>
            </w:tcBorders>
            <w:vAlign w:val="center"/>
          </w:tcPr>
          <w:p w14:paraId="4A48DC59">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color w:val="000000" w:themeColor="text1"/>
                <w:kern w:val="0"/>
                <w:szCs w:val="21"/>
                <w:lang w:bidi="ar"/>
                <w14:textFill>
                  <w14:solidFill>
                    <w14:schemeClr w14:val="tx1"/>
                  </w14:solidFill>
                </w14:textFill>
              </w:rPr>
              <w:t>4</w:t>
            </w:r>
          </w:p>
        </w:tc>
        <w:tc>
          <w:tcPr>
            <w:tcW w:w="952" w:type="pc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2A76636">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门户与企业微信对接</w:t>
            </w:r>
          </w:p>
        </w:tc>
        <w:tc>
          <w:tcPr>
            <w:tcW w:w="3452" w:type="pct"/>
            <w:tcBorders>
              <w:top w:val="single" w:color="000000" w:sz="4" w:space="0"/>
              <w:left w:val="single" w:color="000000" w:sz="4" w:space="0"/>
              <w:bottom w:val="single" w:color="000000" w:sz="4" w:space="0"/>
              <w:right w:val="single" w:color="000000" w:sz="4" w:space="0"/>
            </w:tcBorders>
            <w:vAlign w:val="center"/>
          </w:tcPr>
          <w:p w14:paraId="1141E9AF">
            <w:pPr>
              <w:widowControl/>
              <w:snapToGrid w:val="0"/>
              <w:spacing w:line="360" w:lineRule="auto"/>
              <w:jc w:val="left"/>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各子系统须与学校统一门户及企业微信对接，实现统一入口、消息与待办的集中呈现。</w:t>
            </w:r>
          </w:p>
        </w:tc>
      </w:tr>
      <w:tr w14:paraId="78360472">
        <w:tblPrEx>
          <w:tblCellMar>
            <w:top w:w="0" w:type="dxa"/>
            <w:left w:w="108" w:type="dxa"/>
            <w:bottom w:w="0" w:type="dxa"/>
            <w:right w:w="108" w:type="dxa"/>
          </w:tblCellMar>
        </w:tblPrEx>
        <w:trPr>
          <w:trHeight w:val="136" w:hRule="atLeast"/>
        </w:trPr>
        <w:tc>
          <w:tcPr>
            <w:tcW w:w="594" w:type="pct"/>
            <w:tcBorders>
              <w:top w:val="single" w:color="000000" w:sz="4" w:space="0"/>
              <w:left w:val="single" w:color="000000" w:sz="4" w:space="0"/>
              <w:bottom w:val="single" w:color="000000" w:sz="4" w:space="0"/>
              <w:right w:val="single" w:color="000000" w:sz="4" w:space="0"/>
            </w:tcBorders>
            <w:vAlign w:val="center"/>
          </w:tcPr>
          <w:p w14:paraId="77BA67B1">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color w:val="000000" w:themeColor="text1"/>
                <w:kern w:val="0"/>
                <w:szCs w:val="21"/>
                <w:lang w:bidi="ar"/>
                <w14:textFill>
                  <w14:solidFill>
                    <w14:schemeClr w14:val="tx1"/>
                  </w14:solidFill>
                </w14:textFill>
              </w:rPr>
              <w:t>5</w:t>
            </w:r>
          </w:p>
        </w:tc>
        <w:tc>
          <w:tcPr>
            <w:tcW w:w="952" w:type="pc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10E37582">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AI应用调用</w:t>
            </w:r>
          </w:p>
        </w:tc>
        <w:tc>
          <w:tcPr>
            <w:tcW w:w="3452" w:type="pct"/>
            <w:tcBorders>
              <w:top w:val="single" w:color="000000" w:sz="4" w:space="0"/>
              <w:left w:val="single" w:color="000000" w:sz="4" w:space="0"/>
              <w:bottom w:val="single" w:color="000000" w:sz="4" w:space="0"/>
              <w:right w:val="single" w:color="000000" w:sz="4" w:space="0"/>
            </w:tcBorders>
            <w:vAlign w:val="center"/>
          </w:tcPr>
          <w:p w14:paraId="27588012">
            <w:pPr>
              <w:widowControl/>
              <w:snapToGrid w:val="0"/>
              <w:spacing w:line="360" w:lineRule="auto"/>
              <w:jc w:val="left"/>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涉及智能分析、服务推荐等功能的子系统，须优先调用千学百科大模型校内本地应用能力，由中标人开发适配接口，符合学校对AI应用的合规性要求。</w:t>
            </w:r>
          </w:p>
        </w:tc>
      </w:tr>
      <w:tr w14:paraId="05DF83F7">
        <w:tblPrEx>
          <w:tblCellMar>
            <w:top w:w="0" w:type="dxa"/>
            <w:left w:w="108" w:type="dxa"/>
            <w:bottom w:w="0" w:type="dxa"/>
            <w:right w:w="108" w:type="dxa"/>
          </w:tblCellMar>
        </w:tblPrEx>
        <w:trPr>
          <w:trHeight w:val="136" w:hRule="atLeast"/>
        </w:trPr>
        <w:tc>
          <w:tcPr>
            <w:tcW w:w="594" w:type="pct"/>
            <w:tcBorders>
              <w:top w:val="single" w:color="000000" w:sz="4" w:space="0"/>
              <w:left w:val="single" w:color="000000" w:sz="4" w:space="0"/>
              <w:bottom w:val="single" w:color="000000" w:sz="4" w:space="0"/>
              <w:right w:val="single" w:color="000000" w:sz="4" w:space="0"/>
            </w:tcBorders>
            <w:vAlign w:val="center"/>
          </w:tcPr>
          <w:p w14:paraId="121CBCCC">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color w:val="000000" w:themeColor="text1"/>
                <w:kern w:val="0"/>
                <w:szCs w:val="21"/>
                <w:lang w:bidi="ar"/>
                <w14:textFill>
                  <w14:solidFill>
                    <w14:schemeClr w14:val="tx1"/>
                  </w14:solidFill>
                </w14:textFill>
              </w:rPr>
              <w:t>6</w:t>
            </w:r>
          </w:p>
        </w:tc>
        <w:tc>
          <w:tcPr>
            <w:tcW w:w="952" w:type="pc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716AE678">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网络与硬件融合</w:t>
            </w:r>
          </w:p>
        </w:tc>
        <w:tc>
          <w:tcPr>
            <w:tcW w:w="3452" w:type="pct"/>
            <w:tcBorders>
              <w:top w:val="single" w:color="000000" w:sz="4" w:space="0"/>
              <w:left w:val="single" w:color="000000" w:sz="4" w:space="0"/>
              <w:bottom w:val="single" w:color="000000" w:sz="4" w:space="0"/>
              <w:right w:val="single" w:color="000000" w:sz="4" w:space="0"/>
            </w:tcBorders>
            <w:vAlign w:val="center"/>
          </w:tcPr>
          <w:p w14:paraId="5A299A0C">
            <w:pPr>
              <w:widowControl/>
              <w:snapToGrid w:val="0"/>
              <w:spacing w:line="360" w:lineRule="auto"/>
              <w:jc w:val="left"/>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涉及硬件的子系统须与学校SDN软件定义网络架构兼容，遵循IP地址分配、VLAN划分等规则；与现有网络设备及服务器集群兼容，避免因接口或协议差异导致连接问题。</w:t>
            </w:r>
          </w:p>
        </w:tc>
      </w:tr>
      <w:tr w14:paraId="7026607A">
        <w:tblPrEx>
          <w:tblCellMar>
            <w:top w:w="0" w:type="dxa"/>
            <w:left w:w="108" w:type="dxa"/>
            <w:bottom w:w="0" w:type="dxa"/>
            <w:right w:w="108" w:type="dxa"/>
          </w:tblCellMar>
        </w:tblPrEx>
        <w:trPr>
          <w:trHeight w:val="136" w:hRule="atLeast"/>
        </w:trPr>
        <w:tc>
          <w:tcPr>
            <w:tcW w:w="594" w:type="pct"/>
            <w:tcBorders>
              <w:top w:val="single" w:color="000000" w:sz="4" w:space="0"/>
              <w:left w:val="single" w:color="000000" w:sz="4" w:space="0"/>
              <w:bottom w:val="single" w:color="000000" w:sz="4" w:space="0"/>
              <w:right w:val="single" w:color="000000" w:sz="4" w:space="0"/>
            </w:tcBorders>
            <w:vAlign w:val="center"/>
          </w:tcPr>
          <w:p w14:paraId="1360FA78">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color w:val="000000" w:themeColor="text1"/>
                <w:kern w:val="0"/>
                <w:szCs w:val="21"/>
                <w:lang w:bidi="ar"/>
                <w14:textFill>
                  <w14:solidFill>
                    <w14:schemeClr w14:val="tx1"/>
                  </w14:solidFill>
                </w14:textFill>
              </w:rPr>
              <w:t>7</w:t>
            </w:r>
          </w:p>
        </w:tc>
        <w:tc>
          <w:tcPr>
            <w:tcW w:w="952" w:type="pc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A361689">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国密与安全要求</w:t>
            </w:r>
          </w:p>
        </w:tc>
        <w:tc>
          <w:tcPr>
            <w:tcW w:w="3452" w:type="pct"/>
            <w:tcBorders>
              <w:top w:val="single" w:color="000000" w:sz="4" w:space="0"/>
              <w:left w:val="single" w:color="000000" w:sz="4" w:space="0"/>
              <w:bottom w:val="single" w:color="000000" w:sz="4" w:space="0"/>
              <w:right w:val="single" w:color="000000" w:sz="4" w:space="0"/>
            </w:tcBorders>
            <w:vAlign w:val="center"/>
          </w:tcPr>
          <w:p w14:paraId="452D27B4">
            <w:pPr>
              <w:widowControl/>
              <w:snapToGrid w:val="0"/>
              <w:spacing w:line="360" w:lineRule="auto"/>
              <w:jc w:val="left"/>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须支持国密环境；在数据采集、传输、存储等环节实现全流程管控，符合隐私保护要求；验收前提供具备CMA/CNAS资质或网络安全等级保护测评资质的第三方机构出具的信息安全监测（测评）报告，监测费用含在投标总价中。</w:t>
            </w:r>
          </w:p>
        </w:tc>
      </w:tr>
      <w:tr w14:paraId="4BC0DC61">
        <w:tblPrEx>
          <w:tblCellMar>
            <w:top w:w="0" w:type="dxa"/>
            <w:left w:w="108" w:type="dxa"/>
            <w:bottom w:w="0" w:type="dxa"/>
            <w:right w:w="108" w:type="dxa"/>
          </w:tblCellMar>
        </w:tblPrEx>
        <w:trPr>
          <w:trHeight w:val="136" w:hRule="atLeast"/>
        </w:trPr>
        <w:tc>
          <w:tcPr>
            <w:tcW w:w="594" w:type="pct"/>
            <w:tcBorders>
              <w:top w:val="single" w:color="000000" w:sz="4" w:space="0"/>
              <w:left w:val="single" w:color="000000" w:sz="4" w:space="0"/>
              <w:bottom w:val="single" w:color="000000" w:sz="4" w:space="0"/>
              <w:right w:val="single" w:color="000000" w:sz="4" w:space="0"/>
            </w:tcBorders>
            <w:vAlign w:val="center"/>
          </w:tcPr>
          <w:p w14:paraId="0B173B47">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color w:val="000000" w:themeColor="text1"/>
                <w:kern w:val="0"/>
                <w:szCs w:val="21"/>
                <w:lang w:bidi="ar"/>
                <w14:textFill>
                  <w14:solidFill>
                    <w14:schemeClr w14:val="tx1"/>
                  </w14:solidFill>
                </w14:textFill>
              </w:rPr>
              <w:t>8</w:t>
            </w:r>
          </w:p>
        </w:tc>
        <w:tc>
          <w:tcPr>
            <w:tcW w:w="952" w:type="pc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22A93471">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开放接口</w:t>
            </w:r>
          </w:p>
        </w:tc>
        <w:tc>
          <w:tcPr>
            <w:tcW w:w="3452" w:type="pct"/>
            <w:tcBorders>
              <w:top w:val="single" w:color="000000" w:sz="4" w:space="0"/>
              <w:left w:val="single" w:color="000000" w:sz="4" w:space="0"/>
              <w:bottom w:val="single" w:color="000000" w:sz="4" w:space="0"/>
              <w:right w:val="single" w:color="000000" w:sz="4" w:space="0"/>
            </w:tcBorders>
            <w:vAlign w:val="center"/>
          </w:tcPr>
          <w:p w14:paraId="753DCF3F">
            <w:pPr>
              <w:widowControl/>
              <w:snapToGrid w:val="0"/>
              <w:spacing w:line="360" w:lineRule="auto"/>
              <w:jc w:val="left"/>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提供开放接口，允许新业务系统将来与其他系统对接；将来校内其他应用系统接入时，向第三方系统供应商提供对接技术支持。</w:t>
            </w:r>
          </w:p>
        </w:tc>
      </w:tr>
      <w:tr w14:paraId="1CE62654">
        <w:tblPrEx>
          <w:tblCellMar>
            <w:top w:w="0" w:type="dxa"/>
            <w:left w:w="108" w:type="dxa"/>
            <w:bottom w:w="0" w:type="dxa"/>
            <w:right w:w="108" w:type="dxa"/>
          </w:tblCellMar>
        </w:tblPrEx>
        <w:trPr>
          <w:trHeight w:val="136" w:hRule="atLeast"/>
        </w:trPr>
        <w:tc>
          <w:tcPr>
            <w:tcW w:w="594" w:type="pct"/>
            <w:tcBorders>
              <w:top w:val="single" w:color="000000" w:sz="4" w:space="0"/>
              <w:left w:val="single" w:color="000000" w:sz="4" w:space="0"/>
              <w:bottom w:val="single" w:color="000000" w:sz="4" w:space="0"/>
              <w:right w:val="single" w:color="000000" w:sz="4" w:space="0"/>
            </w:tcBorders>
            <w:vAlign w:val="center"/>
          </w:tcPr>
          <w:p w14:paraId="0514196B">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color w:val="000000" w:themeColor="text1"/>
                <w:kern w:val="0"/>
                <w:szCs w:val="21"/>
                <w:lang w:bidi="ar"/>
                <w14:textFill>
                  <w14:solidFill>
                    <w14:schemeClr w14:val="tx1"/>
                  </w14:solidFill>
                </w14:textFill>
              </w:rPr>
              <w:t>9</w:t>
            </w:r>
          </w:p>
        </w:tc>
        <w:tc>
          <w:tcPr>
            <w:tcW w:w="952" w:type="pc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71919981">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集成文档</w:t>
            </w:r>
          </w:p>
        </w:tc>
        <w:tc>
          <w:tcPr>
            <w:tcW w:w="3452" w:type="pct"/>
            <w:tcBorders>
              <w:top w:val="single" w:color="000000" w:sz="4" w:space="0"/>
              <w:left w:val="single" w:color="000000" w:sz="4" w:space="0"/>
              <w:bottom w:val="single" w:color="000000" w:sz="4" w:space="0"/>
              <w:right w:val="single" w:color="000000" w:sz="4" w:space="0"/>
            </w:tcBorders>
            <w:vAlign w:val="center"/>
          </w:tcPr>
          <w:p w14:paraId="0BF4348B">
            <w:pPr>
              <w:widowControl/>
              <w:snapToGrid w:val="0"/>
              <w:spacing w:line="360" w:lineRule="auto"/>
              <w:jc w:val="left"/>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提交《项目实施方案》《项目实施计划》《项目跟踪记录》、接口文档、联调测试报告及运维手册。</w:t>
            </w:r>
          </w:p>
        </w:tc>
      </w:tr>
    </w:tbl>
    <w:p w14:paraId="3AC59116">
      <w:pPr>
        <w:pStyle w:val="4"/>
        <w:numPr>
          <w:ilvl w:val="1"/>
          <w:numId w:val="2"/>
        </w:numPr>
        <w:spacing w:line="360" w:lineRule="auto"/>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需求—招生—培养—就业功能模块集成</w:t>
      </w:r>
    </w:p>
    <w:tbl>
      <w:tblPr>
        <w:tblStyle w:val="14"/>
        <w:tblW w:w="5000" w:type="pct"/>
        <w:tblInd w:w="0" w:type="dxa"/>
        <w:tblLayout w:type="autofit"/>
        <w:tblCellMar>
          <w:top w:w="0" w:type="dxa"/>
          <w:left w:w="108" w:type="dxa"/>
          <w:bottom w:w="0" w:type="dxa"/>
          <w:right w:w="108" w:type="dxa"/>
        </w:tblCellMar>
      </w:tblPr>
      <w:tblGrid>
        <w:gridCol w:w="1013"/>
        <w:gridCol w:w="1623"/>
        <w:gridCol w:w="5886"/>
      </w:tblGrid>
      <w:tr w14:paraId="06538AD0">
        <w:tblPrEx>
          <w:tblCellMar>
            <w:top w:w="0" w:type="dxa"/>
            <w:left w:w="108" w:type="dxa"/>
            <w:bottom w:w="0" w:type="dxa"/>
            <w:right w:w="108" w:type="dxa"/>
          </w:tblCellMar>
        </w:tblPrEx>
        <w:trPr>
          <w:trHeight w:val="497" w:hRule="atLeast"/>
        </w:trPr>
        <w:tc>
          <w:tcPr>
            <w:tcW w:w="594" w:type="pct"/>
            <w:tcBorders>
              <w:top w:val="single" w:color="000000" w:sz="4" w:space="0"/>
              <w:left w:val="single" w:color="000000" w:sz="4" w:space="0"/>
              <w:bottom w:val="single" w:color="000000" w:sz="4" w:space="0"/>
              <w:right w:val="single" w:color="000000" w:sz="4" w:space="0"/>
            </w:tcBorders>
            <w:vAlign w:val="center"/>
          </w:tcPr>
          <w:p w14:paraId="774D746E">
            <w:pPr>
              <w:widowControl/>
              <w:snapToGrid w:val="0"/>
              <w:spacing w:line="360" w:lineRule="auto"/>
              <w:jc w:val="center"/>
              <w:textAlignment w:val="center"/>
              <w:rPr>
                <w:rFonts w:ascii="仿宋" w:hAnsi="仿宋" w:eastAsia="仿宋" w:cs="仿宋"/>
                <w:b/>
                <w:color w:val="000000" w:themeColor="text1"/>
                <w:kern w:val="0"/>
                <w:szCs w:val="21"/>
                <w:lang w:bidi="ar"/>
                <w14:textFill>
                  <w14:solidFill>
                    <w14:schemeClr w14:val="tx1"/>
                  </w14:solidFill>
                </w14:textFill>
              </w:rPr>
            </w:pPr>
            <w:r>
              <w:rPr>
                <w:rFonts w:hint="eastAsia" w:ascii="仿宋" w:hAnsi="仿宋" w:eastAsia="仿宋" w:cs="仿宋"/>
                <w:b/>
                <w:color w:val="000000" w:themeColor="text1"/>
                <w:kern w:val="0"/>
                <w:szCs w:val="21"/>
                <w:lang w:bidi="ar"/>
                <w14:textFill>
                  <w14:solidFill>
                    <w14:schemeClr w14:val="tx1"/>
                  </w14:solidFill>
                </w14:textFill>
              </w:rPr>
              <w:t>序号</w:t>
            </w:r>
          </w:p>
        </w:tc>
        <w:tc>
          <w:tcPr>
            <w:tcW w:w="952" w:type="pc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36C7C2B9">
            <w:pPr>
              <w:widowControl/>
              <w:snapToGrid w:val="0"/>
              <w:spacing w:line="360" w:lineRule="auto"/>
              <w:jc w:val="center"/>
              <w:textAlignment w:val="center"/>
              <w:rPr>
                <w:rFonts w:ascii="仿宋" w:hAnsi="仿宋" w:eastAsia="仿宋" w:cs="仿宋"/>
                <w:b/>
                <w:color w:val="000000" w:themeColor="text1"/>
                <w:kern w:val="0"/>
                <w:szCs w:val="21"/>
                <w:lang w:bidi="ar"/>
                <w14:textFill>
                  <w14:solidFill>
                    <w14:schemeClr w14:val="tx1"/>
                  </w14:solidFill>
                </w14:textFill>
              </w:rPr>
            </w:pPr>
            <w:r>
              <w:rPr>
                <w:rFonts w:hint="eastAsia" w:ascii="仿宋" w:hAnsi="仿宋" w:eastAsia="仿宋" w:cs="仿宋"/>
                <w:b/>
                <w:color w:val="000000" w:themeColor="text1"/>
                <w:kern w:val="0"/>
                <w:szCs w:val="21"/>
                <w:lang w:bidi="ar"/>
                <w14:textFill>
                  <w14:solidFill>
                    <w14:schemeClr w14:val="tx1"/>
                  </w14:solidFill>
                </w14:textFill>
              </w:rPr>
              <w:t>功能</w:t>
            </w:r>
          </w:p>
        </w:tc>
        <w:tc>
          <w:tcPr>
            <w:tcW w:w="3452" w:type="pct"/>
            <w:tcBorders>
              <w:top w:val="single" w:color="000000" w:sz="4" w:space="0"/>
              <w:left w:val="single" w:color="000000" w:sz="4" w:space="0"/>
              <w:bottom w:val="single" w:color="000000" w:sz="4" w:space="0"/>
              <w:right w:val="single" w:color="000000" w:sz="4" w:space="0"/>
            </w:tcBorders>
            <w:vAlign w:val="center"/>
          </w:tcPr>
          <w:p w14:paraId="59F6B55A">
            <w:pPr>
              <w:widowControl/>
              <w:snapToGrid w:val="0"/>
              <w:spacing w:line="360" w:lineRule="auto"/>
              <w:jc w:val="center"/>
              <w:textAlignment w:val="center"/>
              <w:rPr>
                <w:rFonts w:ascii="仿宋" w:hAnsi="仿宋" w:eastAsia="仿宋" w:cs="仿宋"/>
                <w:b/>
                <w:color w:val="000000" w:themeColor="text1"/>
                <w:kern w:val="0"/>
                <w:szCs w:val="21"/>
                <w:lang w:bidi="ar"/>
                <w14:textFill>
                  <w14:solidFill>
                    <w14:schemeClr w14:val="tx1"/>
                  </w14:solidFill>
                </w14:textFill>
              </w:rPr>
            </w:pPr>
            <w:r>
              <w:rPr>
                <w:rFonts w:hint="eastAsia" w:ascii="仿宋" w:hAnsi="仿宋" w:eastAsia="仿宋" w:cs="仿宋"/>
                <w:b/>
                <w:bCs/>
                <w:color w:val="000000" w:themeColor="text1"/>
                <w:kern w:val="0"/>
                <w:szCs w:val="21"/>
                <w:lang w:bidi="ar"/>
                <w14:textFill>
                  <w14:solidFill>
                    <w14:schemeClr w14:val="tx1"/>
                  </w14:solidFill>
                </w14:textFill>
              </w:rPr>
              <w:t>说明</w:t>
            </w:r>
          </w:p>
        </w:tc>
      </w:tr>
      <w:tr w14:paraId="488EF009">
        <w:tblPrEx>
          <w:tblCellMar>
            <w:top w:w="0" w:type="dxa"/>
            <w:left w:w="108" w:type="dxa"/>
            <w:bottom w:w="0" w:type="dxa"/>
            <w:right w:w="108" w:type="dxa"/>
          </w:tblCellMar>
        </w:tblPrEx>
        <w:trPr>
          <w:trHeight w:val="136" w:hRule="atLeast"/>
        </w:trPr>
        <w:tc>
          <w:tcPr>
            <w:tcW w:w="594" w:type="pct"/>
            <w:tcBorders>
              <w:top w:val="single" w:color="000000" w:sz="4" w:space="0"/>
              <w:left w:val="single" w:color="000000" w:sz="4" w:space="0"/>
              <w:bottom w:val="single" w:color="000000" w:sz="4" w:space="0"/>
              <w:right w:val="single" w:color="000000" w:sz="4" w:space="0"/>
            </w:tcBorders>
            <w:vAlign w:val="center"/>
          </w:tcPr>
          <w:p w14:paraId="59F60059">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color w:val="000000" w:themeColor="text1"/>
                <w:kern w:val="0"/>
                <w:szCs w:val="21"/>
                <w:lang w:bidi="ar"/>
                <w14:textFill>
                  <w14:solidFill>
                    <w14:schemeClr w14:val="tx1"/>
                  </w14:solidFill>
                </w14:textFill>
              </w:rPr>
              <w:t>1</w:t>
            </w:r>
          </w:p>
        </w:tc>
        <w:tc>
          <w:tcPr>
            <w:tcW w:w="952" w:type="pc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0958AAAF">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集成范围</w:t>
            </w:r>
          </w:p>
        </w:tc>
        <w:tc>
          <w:tcPr>
            <w:tcW w:w="3452" w:type="pct"/>
            <w:tcBorders>
              <w:top w:val="single" w:color="000000" w:sz="4" w:space="0"/>
              <w:left w:val="single" w:color="000000" w:sz="4" w:space="0"/>
              <w:bottom w:val="single" w:color="000000" w:sz="4" w:space="0"/>
              <w:right w:val="single" w:color="000000" w:sz="4" w:space="0"/>
            </w:tcBorders>
            <w:vAlign w:val="center"/>
          </w:tcPr>
          <w:p w14:paraId="78D88A6B">
            <w:pPr>
              <w:widowControl/>
              <w:snapToGrid w:val="0"/>
              <w:spacing w:line="360" w:lineRule="auto"/>
              <w:jc w:val="left"/>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完成需求、招生、培养、就业四个功能模块的集成与联调，提交模块集成方案、接口文档及联调测试报告。</w:t>
            </w:r>
          </w:p>
        </w:tc>
      </w:tr>
      <w:tr w14:paraId="6F0068BB">
        <w:tblPrEx>
          <w:tblCellMar>
            <w:top w:w="0" w:type="dxa"/>
            <w:left w:w="108" w:type="dxa"/>
            <w:bottom w:w="0" w:type="dxa"/>
            <w:right w:w="108" w:type="dxa"/>
          </w:tblCellMar>
        </w:tblPrEx>
        <w:trPr>
          <w:trHeight w:val="136" w:hRule="atLeast"/>
        </w:trPr>
        <w:tc>
          <w:tcPr>
            <w:tcW w:w="594" w:type="pct"/>
            <w:tcBorders>
              <w:top w:val="single" w:color="000000" w:sz="4" w:space="0"/>
              <w:left w:val="single" w:color="000000" w:sz="4" w:space="0"/>
              <w:bottom w:val="single" w:color="000000" w:sz="4" w:space="0"/>
              <w:right w:val="single" w:color="000000" w:sz="4" w:space="0"/>
            </w:tcBorders>
            <w:vAlign w:val="center"/>
          </w:tcPr>
          <w:p w14:paraId="26C41401">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color w:val="000000" w:themeColor="text1"/>
                <w:kern w:val="0"/>
                <w:szCs w:val="21"/>
                <w:lang w:bidi="ar"/>
                <w14:textFill>
                  <w14:solidFill>
                    <w14:schemeClr w14:val="tx1"/>
                  </w14:solidFill>
                </w14:textFill>
              </w:rPr>
              <w:t>2</w:t>
            </w:r>
          </w:p>
        </w:tc>
        <w:tc>
          <w:tcPr>
            <w:tcW w:w="952" w:type="pc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0CC28101">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业务流程贯通</w:t>
            </w:r>
          </w:p>
        </w:tc>
        <w:tc>
          <w:tcPr>
            <w:tcW w:w="3452" w:type="pct"/>
            <w:tcBorders>
              <w:top w:val="single" w:color="000000" w:sz="4" w:space="0"/>
              <w:left w:val="single" w:color="000000" w:sz="4" w:space="0"/>
              <w:bottom w:val="single" w:color="000000" w:sz="4" w:space="0"/>
              <w:right w:val="single" w:color="000000" w:sz="4" w:space="0"/>
            </w:tcBorders>
            <w:vAlign w:val="center"/>
          </w:tcPr>
          <w:p w14:paraId="5AD6222D">
            <w:pPr>
              <w:widowControl/>
              <w:snapToGrid w:val="0"/>
              <w:spacing w:line="360" w:lineRule="auto"/>
              <w:jc w:val="left"/>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须实现“需求—招生—培养—就业”全链路业务流程贯通，相关数据在各模块间按统一主数据标识流转，形成数据闭环。</w:t>
            </w:r>
          </w:p>
        </w:tc>
      </w:tr>
      <w:tr w14:paraId="6987992D">
        <w:tblPrEx>
          <w:tblCellMar>
            <w:top w:w="0" w:type="dxa"/>
            <w:left w:w="108" w:type="dxa"/>
            <w:bottom w:w="0" w:type="dxa"/>
            <w:right w:w="108" w:type="dxa"/>
          </w:tblCellMar>
        </w:tblPrEx>
        <w:trPr>
          <w:trHeight w:val="136" w:hRule="atLeast"/>
        </w:trPr>
        <w:tc>
          <w:tcPr>
            <w:tcW w:w="594" w:type="pct"/>
            <w:tcBorders>
              <w:top w:val="single" w:color="000000" w:sz="4" w:space="0"/>
              <w:left w:val="single" w:color="000000" w:sz="4" w:space="0"/>
              <w:bottom w:val="single" w:color="000000" w:sz="4" w:space="0"/>
              <w:right w:val="single" w:color="000000" w:sz="4" w:space="0"/>
            </w:tcBorders>
            <w:vAlign w:val="center"/>
          </w:tcPr>
          <w:p w14:paraId="0B8256FE">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color w:val="000000" w:themeColor="text1"/>
                <w:kern w:val="0"/>
                <w:szCs w:val="21"/>
                <w:lang w:bidi="ar"/>
                <w14:textFill>
                  <w14:solidFill>
                    <w14:schemeClr w14:val="tx1"/>
                  </w14:solidFill>
                </w14:textFill>
              </w:rPr>
              <w:t>3</w:t>
            </w:r>
          </w:p>
        </w:tc>
        <w:tc>
          <w:tcPr>
            <w:tcW w:w="952" w:type="pc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90846B3">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主数据与身份</w:t>
            </w:r>
          </w:p>
        </w:tc>
        <w:tc>
          <w:tcPr>
            <w:tcW w:w="3452" w:type="pct"/>
            <w:tcBorders>
              <w:top w:val="single" w:color="000000" w:sz="4" w:space="0"/>
              <w:left w:val="single" w:color="000000" w:sz="4" w:space="0"/>
              <w:bottom w:val="single" w:color="000000" w:sz="4" w:space="0"/>
              <w:right w:val="single" w:color="000000" w:sz="4" w:space="0"/>
            </w:tcBorders>
            <w:vAlign w:val="center"/>
          </w:tcPr>
          <w:p w14:paraId="2BBF1AD1">
            <w:pPr>
              <w:widowControl/>
              <w:snapToGrid w:val="0"/>
              <w:spacing w:line="360" w:lineRule="auto"/>
              <w:jc w:val="left"/>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须符合学校主数据管理要求，以统一身份认证作为用户及学生、教师等主体的唯一身份标识。</w:t>
            </w:r>
          </w:p>
        </w:tc>
      </w:tr>
      <w:tr w14:paraId="2C0BA6E4">
        <w:tblPrEx>
          <w:tblCellMar>
            <w:top w:w="0" w:type="dxa"/>
            <w:left w:w="108" w:type="dxa"/>
            <w:bottom w:w="0" w:type="dxa"/>
            <w:right w:w="108" w:type="dxa"/>
          </w:tblCellMar>
        </w:tblPrEx>
        <w:trPr>
          <w:trHeight w:val="136" w:hRule="atLeast"/>
        </w:trPr>
        <w:tc>
          <w:tcPr>
            <w:tcW w:w="594" w:type="pct"/>
            <w:tcBorders>
              <w:top w:val="single" w:color="000000" w:sz="4" w:space="0"/>
              <w:left w:val="single" w:color="000000" w:sz="4" w:space="0"/>
              <w:bottom w:val="single" w:color="000000" w:sz="4" w:space="0"/>
              <w:right w:val="single" w:color="000000" w:sz="4" w:space="0"/>
            </w:tcBorders>
            <w:vAlign w:val="center"/>
          </w:tcPr>
          <w:p w14:paraId="6F847351">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color w:val="000000" w:themeColor="text1"/>
                <w:kern w:val="0"/>
                <w:szCs w:val="21"/>
                <w:lang w:bidi="ar"/>
                <w14:textFill>
                  <w14:solidFill>
                    <w14:schemeClr w14:val="tx1"/>
                  </w14:solidFill>
                </w14:textFill>
              </w:rPr>
              <w:t>4</w:t>
            </w:r>
          </w:p>
        </w:tc>
        <w:tc>
          <w:tcPr>
            <w:tcW w:w="952" w:type="pc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3BB70E5D">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数据中心与区块链对接</w:t>
            </w:r>
          </w:p>
        </w:tc>
        <w:tc>
          <w:tcPr>
            <w:tcW w:w="3452" w:type="pct"/>
            <w:tcBorders>
              <w:top w:val="single" w:color="000000" w:sz="4" w:space="0"/>
              <w:left w:val="single" w:color="000000" w:sz="4" w:space="0"/>
              <w:bottom w:val="single" w:color="000000" w:sz="4" w:space="0"/>
              <w:right w:val="single" w:color="000000" w:sz="4" w:space="0"/>
            </w:tcBorders>
            <w:vAlign w:val="center"/>
          </w:tcPr>
          <w:p w14:paraId="04C7BFFA">
            <w:pPr>
              <w:widowControl/>
              <w:snapToGrid w:val="0"/>
              <w:spacing w:line="360" w:lineRule="auto"/>
              <w:jc w:val="left"/>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须与学校数据中心及区块链存证服务对接，完成关键业务数据存证等接口的调用与联调，保证数据可追溯。</w:t>
            </w:r>
          </w:p>
        </w:tc>
      </w:tr>
      <w:tr w14:paraId="50ADC831">
        <w:tblPrEx>
          <w:tblCellMar>
            <w:top w:w="0" w:type="dxa"/>
            <w:left w:w="108" w:type="dxa"/>
            <w:bottom w:w="0" w:type="dxa"/>
            <w:right w:w="108" w:type="dxa"/>
          </w:tblCellMar>
        </w:tblPrEx>
        <w:trPr>
          <w:trHeight w:val="136" w:hRule="atLeast"/>
        </w:trPr>
        <w:tc>
          <w:tcPr>
            <w:tcW w:w="594" w:type="pct"/>
            <w:tcBorders>
              <w:top w:val="single" w:color="000000" w:sz="4" w:space="0"/>
              <w:left w:val="single" w:color="000000" w:sz="4" w:space="0"/>
              <w:bottom w:val="single" w:color="000000" w:sz="4" w:space="0"/>
              <w:right w:val="single" w:color="000000" w:sz="4" w:space="0"/>
            </w:tcBorders>
            <w:vAlign w:val="center"/>
          </w:tcPr>
          <w:p w14:paraId="3D4420EB">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color w:val="000000" w:themeColor="text1"/>
                <w:kern w:val="0"/>
                <w:szCs w:val="21"/>
                <w:lang w:bidi="ar"/>
                <w14:textFill>
                  <w14:solidFill>
                    <w14:schemeClr w14:val="tx1"/>
                  </w14:solidFill>
                </w14:textFill>
              </w:rPr>
              <w:t>5</w:t>
            </w:r>
          </w:p>
        </w:tc>
        <w:tc>
          <w:tcPr>
            <w:tcW w:w="952" w:type="pc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12C6892F">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联调与测试</w:t>
            </w:r>
          </w:p>
        </w:tc>
        <w:tc>
          <w:tcPr>
            <w:tcW w:w="3452" w:type="pct"/>
            <w:tcBorders>
              <w:top w:val="single" w:color="000000" w:sz="4" w:space="0"/>
              <w:left w:val="single" w:color="000000" w:sz="4" w:space="0"/>
              <w:bottom w:val="single" w:color="000000" w:sz="4" w:space="0"/>
              <w:right w:val="single" w:color="000000" w:sz="4" w:space="0"/>
            </w:tcBorders>
            <w:vAlign w:val="center"/>
          </w:tcPr>
          <w:p w14:paraId="0259CBFD">
            <w:pPr>
              <w:widowControl/>
              <w:snapToGrid w:val="0"/>
              <w:spacing w:line="360" w:lineRule="auto"/>
              <w:jc w:val="left"/>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须完成各模块接口、数据一致性及业务流程的联调测试，提交测试用例及测试报告，问题闭环后方可提交验收。</w:t>
            </w:r>
          </w:p>
        </w:tc>
      </w:tr>
    </w:tbl>
    <w:p w14:paraId="01416608">
      <w:pPr>
        <w:pStyle w:val="4"/>
        <w:numPr>
          <w:ilvl w:val="1"/>
          <w:numId w:val="2"/>
        </w:numPr>
        <w:spacing w:line="360" w:lineRule="auto"/>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千学百科AI集成</w:t>
      </w:r>
    </w:p>
    <w:tbl>
      <w:tblPr>
        <w:tblStyle w:val="14"/>
        <w:tblW w:w="5000" w:type="pct"/>
        <w:tblInd w:w="0" w:type="dxa"/>
        <w:tblLayout w:type="autofit"/>
        <w:tblCellMar>
          <w:top w:w="0" w:type="dxa"/>
          <w:left w:w="108" w:type="dxa"/>
          <w:bottom w:w="0" w:type="dxa"/>
          <w:right w:w="108" w:type="dxa"/>
        </w:tblCellMar>
      </w:tblPr>
      <w:tblGrid>
        <w:gridCol w:w="1013"/>
        <w:gridCol w:w="1623"/>
        <w:gridCol w:w="5886"/>
      </w:tblGrid>
      <w:tr w14:paraId="0DDEA3AD">
        <w:tblPrEx>
          <w:tblCellMar>
            <w:top w:w="0" w:type="dxa"/>
            <w:left w:w="108" w:type="dxa"/>
            <w:bottom w:w="0" w:type="dxa"/>
            <w:right w:w="108" w:type="dxa"/>
          </w:tblCellMar>
        </w:tblPrEx>
        <w:trPr>
          <w:trHeight w:val="497" w:hRule="atLeast"/>
        </w:trPr>
        <w:tc>
          <w:tcPr>
            <w:tcW w:w="594" w:type="pct"/>
            <w:tcBorders>
              <w:top w:val="single" w:color="000000" w:sz="4" w:space="0"/>
              <w:left w:val="single" w:color="000000" w:sz="4" w:space="0"/>
              <w:bottom w:val="single" w:color="000000" w:sz="4" w:space="0"/>
              <w:right w:val="single" w:color="000000" w:sz="4" w:space="0"/>
            </w:tcBorders>
            <w:vAlign w:val="center"/>
          </w:tcPr>
          <w:p w14:paraId="0651F265">
            <w:pPr>
              <w:widowControl/>
              <w:snapToGrid w:val="0"/>
              <w:spacing w:line="360" w:lineRule="auto"/>
              <w:jc w:val="center"/>
              <w:textAlignment w:val="center"/>
              <w:rPr>
                <w:rFonts w:ascii="仿宋" w:hAnsi="仿宋" w:eastAsia="仿宋" w:cs="仿宋"/>
                <w:b/>
                <w:color w:val="000000" w:themeColor="text1"/>
                <w:kern w:val="0"/>
                <w:szCs w:val="21"/>
                <w:lang w:bidi="ar"/>
                <w14:textFill>
                  <w14:solidFill>
                    <w14:schemeClr w14:val="tx1"/>
                  </w14:solidFill>
                </w14:textFill>
              </w:rPr>
            </w:pPr>
            <w:r>
              <w:rPr>
                <w:rFonts w:hint="eastAsia" w:ascii="仿宋" w:hAnsi="仿宋" w:eastAsia="仿宋" w:cs="仿宋"/>
                <w:b/>
                <w:color w:val="000000" w:themeColor="text1"/>
                <w:kern w:val="0"/>
                <w:szCs w:val="21"/>
                <w:lang w:bidi="ar"/>
                <w14:textFill>
                  <w14:solidFill>
                    <w14:schemeClr w14:val="tx1"/>
                  </w14:solidFill>
                </w14:textFill>
              </w:rPr>
              <w:t>序号</w:t>
            </w:r>
          </w:p>
        </w:tc>
        <w:tc>
          <w:tcPr>
            <w:tcW w:w="952" w:type="pc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828313F">
            <w:pPr>
              <w:widowControl/>
              <w:snapToGrid w:val="0"/>
              <w:spacing w:line="360" w:lineRule="auto"/>
              <w:jc w:val="center"/>
              <w:textAlignment w:val="center"/>
              <w:rPr>
                <w:rFonts w:ascii="仿宋" w:hAnsi="仿宋" w:eastAsia="仿宋" w:cs="仿宋"/>
                <w:b/>
                <w:color w:val="000000" w:themeColor="text1"/>
                <w:kern w:val="0"/>
                <w:szCs w:val="21"/>
                <w:lang w:bidi="ar"/>
                <w14:textFill>
                  <w14:solidFill>
                    <w14:schemeClr w14:val="tx1"/>
                  </w14:solidFill>
                </w14:textFill>
              </w:rPr>
            </w:pPr>
            <w:r>
              <w:rPr>
                <w:rFonts w:hint="eastAsia" w:ascii="仿宋" w:hAnsi="仿宋" w:eastAsia="仿宋" w:cs="仿宋"/>
                <w:b/>
                <w:color w:val="000000" w:themeColor="text1"/>
                <w:kern w:val="0"/>
                <w:szCs w:val="21"/>
                <w:lang w:bidi="ar"/>
                <w14:textFill>
                  <w14:solidFill>
                    <w14:schemeClr w14:val="tx1"/>
                  </w14:solidFill>
                </w14:textFill>
              </w:rPr>
              <w:t>功能</w:t>
            </w:r>
          </w:p>
        </w:tc>
        <w:tc>
          <w:tcPr>
            <w:tcW w:w="3452" w:type="pct"/>
            <w:tcBorders>
              <w:top w:val="single" w:color="000000" w:sz="4" w:space="0"/>
              <w:left w:val="single" w:color="000000" w:sz="4" w:space="0"/>
              <w:bottom w:val="single" w:color="000000" w:sz="4" w:space="0"/>
              <w:right w:val="single" w:color="000000" w:sz="4" w:space="0"/>
            </w:tcBorders>
            <w:vAlign w:val="center"/>
          </w:tcPr>
          <w:p w14:paraId="48753FA7">
            <w:pPr>
              <w:widowControl/>
              <w:snapToGrid w:val="0"/>
              <w:spacing w:line="360" w:lineRule="auto"/>
              <w:jc w:val="center"/>
              <w:textAlignment w:val="center"/>
              <w:rPr>
                <w:rFonts w:ascii="仿宋" w:hAnsi="仿宋" w:eastAsia="仿宋" w:cs="仿宋"/>
                <w:b/>
                <w:color w:val="000000" w:themeColor="text1"/>
                <w:kern w:val="0"/>
                <w:szCs w:val="21"/>
                <w:lang w:bidi="ar"/>
                <w14:textFill>
                  <w14:solidFill>
                    <w14:schemeClr w14:val="tx1"/>
                  </w14:solidFill>
                </w14:textFill>
              </w:rPr>
            </w:pPr>
            <w:r>
              <w:rPr>
                <w:rFonts w:hint="eastAsia" w:ascii="仿宋" w:hAnsi="仿宋" w:eastAsia="仿宋" w:cs="仿宋"/>
                <w:b/>
                <w:bCs/>
                <w:color w:val="000000" w:themeColor="text1"/>
                <w:kern w:val="0"/>
                <w:szCs w:val="21"/>
                <w:lang w:bidi="ar"/>
                <w14:textFill>
                  <w14:solidFill>
                    <w14:schemeClr w14:val="tx1"/>
                  </w14:solidFill>
                </w14:textFill>
              </w:rPr>
              <w:t>说明</w:t>
            </w:r>
          </w:p>
        </w:tc>
      </w:tr>
      <w:tr w14:paraId="6D2B6C55">
        <w:tblPrEx>
          <w:tblCellMar>
            <w:top w:w="0" w:type="dxa"/>
            <w:left w:w="108" w:type="dxa"/>
            <w:bottom w:w="0" w:type="dxa"/>
            <w:right w:w="108" w:type="dxa"/>
          </w:tblCellMar>
        </w:tblPrEx>
        <w:trPr>
          <w:trHeight w:val="136" w:hRule="atLeast"/>
        </w:trPr>
        <w:tc>
          <w:tcPr>
            <w:tcW w:w="594" w:type="pct"/>
            <w:tcBorders>
              <w:top w:val="single" w:color="000000" w:sz="4" w:space="0"/>
              <w:left w:val="single" w:color="000000" w:sz="4" w:space="0"/>
              <w:bottom w:val="single" w:color="000000" w:sz="4" w:space="0"/>
              <w:right w:val="single" w:color="000000" w:sz="4" w:space="0"/>
            </w:tcBorders>
            <w:vAlign w:val="center"/>
          </w:tcPr>
          <w:p w14:paraId="713B464F">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color w:val="000000" w:themeColor="text1"/>
                <w:kern w:val="0"/>
                <w:szCs w:val="21"/>
                <w:lang w:bidi="ar"/>
                <w14:textFill>
                  <w14:solidFill>
                    <w14:schemeClr w14:val="tx1"/>
                  </w14:solidFill>
                </w14:textFill>
              </w:rPr>
              <w:t>1</w:t>
            </w:r>
          </w:p>
        </w:tc>
        <w:tc>
          <w:tcPr>
            <w:tcW w:w="952" w:type="pc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0BB33E81">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大模型部署</w:t>
            </w:r>
          </w:p>
        </w:tc>
        <w:tc>
          <w:tcPr>
            <w:tcW w:w="3452" w:type="pct"/>
            <w:tcBorders>
              <w:top w:val="single" w:color="000000" w:sz="4" w:space="0"/>
              <w:left w:val="single" w:color="000000" w:sz="4" w:space="0"/>
              <w:bottom w:val="single" w:color="000000" w:sz="4" w:space="0"/>
              <w:right w:val="single" w:color="000000" w:sz="4" w:space="0"/>
            </w:tcBorders>
            <w:vAlign w:val="center"/>
          </w:tcPr>
          <w:p w14:paraId="39DAEDEA">
            <w:pPr>
              <w:widowControl/>
              <w:snapToGrid w:val="0"/>
              <w:spacing w:line="360" w:lineRule="auto"/>
              <w:jc w:val="left"/>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完成不少于3个大模型的本地部署与集成，模型选型须经采购人确认并满足国产化及合规要求；部署于采购人提供的算力环境（采购人提供不少于8卡算力资源，单卡FP16/BF16稠密算力不低于900 TFLOPS，总GPU显存不少于1128GB，配套存储不少于15TB，并配套一体化算力终端16台，网络经高带宽GPU算力专用交换机接入；具体型号、网络及存储配置以千学百科人工智能支撑共享（跨校共建）子系统建设内容为准，采购人于合同签订后10个工作日内提供部署环境清单，投标人按此资源规模设计部署方案，算力资源费用不含在本项目投标总价中），提供推理服务接口及模型管理功能。</w:t>
            </w:r>
          </w:p>
        </w:tc>
      </w:tr>
      <w:tr w14:paraId="25FF21A3">
        <w:tblPrEx>
          <w:tblCellMar>
            <w:top w:w="0" w:type="dxa"/>
            <w:left w:w="108" w:type="dxa"/>
            <w:bottom w:w="0" w:type="dxa"/>
            <w:right w:w="108" w:type="dxa"/>
          </w:tblCellMar>
        </w:tblPrEx>
        <w:trPr>
          <w:trHeight w:val="136" w:hRule="atLeast"/>
        </w:trPr>
        <w:tc>
          <w:tcPr>
            <w:tcW w:w="594" w:type="pct"/>
            <w:tcBorders>
              <w:top w:val="single" w:color="000000" w:sz="4" w:space="0"/>
              <w:left w:val="single" w:color="000000" w:sz="4" w:space="0"/>
              <w:bottom w:val="single" w:color="000000" w:sz="4" w:space="0"/>
              <w:right w:val="single" w:color="000000" w:sz="4" w:space="0"/>
            </w:tcBorders>
            <w:vAlign w:val="center"/>
          </w:tcPr>
          <w:p w14:paraId="547297D6">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color w:val="000000" w:themeColor="text1"/>
                <w:kern w:val="0"/>
                <w:szCs w:val="21"/>
                <w:lang w:bidi="ar"/>
                <w14:textFill>
                  <w14:solidFill>
                    <w14:schemeClr w14:val="tx1"/>
                  </w14:solidFill>
                </w14:textFill>
              </w:rPr>
              <w:t>2</w:t>
            </w:r>
          </w:p>
        </w:tc>
        <w:tc>
          <w:tcPr>
            <w:tcW w:w="952" w:type="pc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A327289">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语料标注</w:t>
            </w:r>
          </w:p>
        </w:tc>
        <w:tc>
          <w:tcPr>
            <w:tcW w:w="3452" w:type="pct"/>
            <w:tcBorders>
              <w:top w:val="single" w:color="000000" w:sz="4" w:space="0"/>
              <w:left w:val="single" w:color="000000" w:sz="4" w:space="0"/>
              <w:bottom w:val="single" w:color="000000" w:sz="4" w:space="0"/>
              <w:right w:val="single" w:color="000000" w:sz="4" w:space="0"/>
            </w:tcBorders>
            <w:vAlign w:val="center"/>
          </w:tcPr>
          <w:p w14:paraId="7DA127A6">
            <w:pPr>
              <w:widowControl/>
              <w:snapToGrid w:val="0"/>
              <w:spacing w:line="360" w:lineRule="auto"/>
              <w:jc w:val="left"/>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完成不少于20万条语料的标注，含清洗、去重、脱敏及质检；标注规范须经采购人确认，抽检准确率不低于95%。</w:t>
            </w:r>
          </w:p>
        </w:tc>
      </w:tr>
      <w:tr w14:paraId="79B10AF5">
        <w:tblPrEx>
          <w:tblCellMar>
            <w:top w:w="0" w:type="dxa"/>
            <w:left w:w="108" w:type="dxa"/>
            <w:bottom w:w="0" w:type="dxa"/>
            <w:right w:w="108" w:type="dxa"/>
          </w:tblCellMar>
        </w:tblPrEx>
        <w:trPr>
          <w:trHeight w:val="136" w:hRule="atLeast"/>
        </w:trPr>
        <w:tc>
          <w:tcPr>
            <w:tcW w:w="594" w:type="pct"/>
            <w:tcBorders>
              <w:top w:val="single" w:color="000000" w:sz="4" w:space="0"/>
              <w:left w:val="single" w:color="000000" w:sz="4" w:space="0"/>
              <w:bottom w:val="single" w:color="000000" w:sz="4" w:space="0"/>
              <w:right w:val="single" w:color="000000" w:sz="4" w:space="0"/>
            </w:tcBorders>
            <w:vAlign w:val="center"/>
          </w:tcPr>
          <w:p w14:paraId="74CDFC84">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color w:val="000000" w:themeColor="text1"/>
                <w:kern w:val="0"/>
                <w:szCs w:val="21"/>
                <w:lang w:bidi="ar"/>
                <w14:textFill>
                  <w14:solidFill>
                    <w14:schemeClr w14:val="tx1"/>
                  </w14:solidFill>
                </w14:textFill>
              </w:rPr>
              <w:t>3</w:t>
            </w:r>
          </w:p>
        </w:tc>
        <w:tc>
          <w:tcPr>
            <w:tcW w:w="952" w:type="pc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719C7B0">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模型微调</w:t>
            </w:r>
          </w:p>
        </w:tc>
        <w:tc>
          <w:tcPr>
            <w:tcW w:w="3452" w:type="pct"/>
            <w:tcBorders>
              <w:top w:val="single" w:color="000000" w:sz="4" w:space="0"/>
              <w:left w:val="single" w:color="000000" w:sz="4" w:space="0"/>
              <w:bottom w:val="single" w:color="000000" w:sz="4" w:space="0"/>
              <w:right w:val="single" w:color="000000" w:sz="4" w:space="0"/>
            </w:tcBorders>
            <w:vAlign w:val="center"/>
          </w:tcPr>
          <w:p w14:paraId="31B22EDE">
            <w:pPr>
              <w:widowControl/>
              <w:snapToGrid w:val="0"/>
              <w:spacing w:line="360" w:lineRule="auto"/>
              <w:jc w:val="left"/>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使用上述语料对已部署模型进行微调，提交微调方案、训练日志及评测报告；微调后的模型在采购人确认的评测集上应优于微调前。</w:t>
            </w:r>
          </w:p>
        </w:tc>
      </w:tr>
      <w:tr w14:paraId="68002CBD">
        <w:tblPrEx>
          <w:tblCellMar>
            <w:top w:w="0" w:type="dxa"/>
            <w:left w:w="108" w:type="dxa"/>
            <w:bottom w:w="0" w:type="dxa"/>
            <w:right w:w="108" w:type="dxa"/>
          </w:tblCellMar>
        </w:tblPrEx>
        <w:trPr>
          <w:trHeight w:val="136" w:hRule="atLeast"/>
        </w:trPr>
        <w:tc>
          <w:tcPr>
            <w:tcW w:w="594" w:type="pct"/>
            <w:tcBorders>
              <w:top w:val="single" w:color="000000" w:sz="4" w:space="0"/>
              <w:left w:val="single" w:color="000000" w:sz="4" w:space="0"/>
              <w:bottom w:val="single" w:color="000000" w:sz="4" w:space="0"/>
              <w:right w:val="single" w:color="000000" w:sz="4" w:space="0"/>
            </w:tcBorders>
            <w:vAlign w:val="center"/>
          </w:tcPr>
          <w:p w14:paraId="23E6AB4C">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color w:val="000000" w:themeColor="text1"/>
                <w:kern w:val="0"/>
                <w:szCs w:val="21"/>
                <w:lang w:bidi="ar"/>
                <w14:textFill>
                  <w14:solidFill>
                    <w14:schemeClr w14:val="tx1"/>
                  </w14:solidFill>
                </w14:textFill>
              </w:rPr>
              <w:t>4</w:t>
            </w:r>
          </w:p>
        </w:tc>
        <w:tc>
          <w:tcPr>
            <w:tcW w:w="952" w:type="pc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789117A0">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课程资源向量化</w:t>
            </w:r>
          </w:p>
        </w:tc>
        <w:tc>
          <w:tcPr>
            <w:tcW w:w="3452" w:type="pct"/>
            <w:tcBorders>
              <w:top w:val="single" w:color="000000" w:sz="4" w:space="0"/>
              <w:left w:val="single" w:color="000000" w:sz="4" w:space="0"/>
              <w:bottom w:val="single" w:color="000000" w:sz="4" w:space="0"/>
              <w:right w:val="single" w:color="000000" w:sz="4" w:space="0"/>
            </w:tcBorders>
            <w:vAlign w:val="center"/>
          </w:tcPr>
          <w:p w14:paraId="1E33C76D">
            <w:pPr>
              <w:widowControl/>
              <w:snapToGrid w:val="0"/>
              <w:spacing w:line="360" w:lineRule="auto"/>
              <w:jc w:val="left"/>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完成AI课程资源和</w:t>
            </w:r>
            <w:r>
              <w:rPr>
                <w:rFonts w:hint="eastAsia" w:ascii="仿宋" w:hAnsi="仿宋" w:eastAsia="仿宋" w:cs="仿宋"/>
                <w:bCs/>
                <w:color w:val="000000" w:themeColor="text1"/>
                <w:szCs w:val="21"/>
                <w:lang w:eastAsia="zh-CN"/>
                <w14:textFill>
                  <w14:solidFill>
                    <w14:schemeClr w14:val="tx1"/>
                  </w14:solidFill>
                </w14:textFill>
              </w:rPr>
              <w:t>XC</w:t>
            </w:r>
            <w:r>
              <w:rPr>
                <w:rFonts w:hint="eastAsia" w:ascii="仿宋" w:hAnsi="仿宋" w:eastAsia="仿宋" w:cs="仿宋"/>
                <w:bCs/>
                <w:color w:val="000000" w:themeColor="text1"/>
                <w:szCs w:val="21"/>
                <w14:textFill>
                  <w14:solidFill>
                    <w14:schemeClr w14:val="tx1"/>
                  </w14:solidFill>
                </w14:textFill>
              </w:rPr>
              <w:t>课程资源的向量化并建立向量检索服务，可被千学百科问答与检索调用，并提供资源更新机制。</w:t>
            </w:r>
          </w:p>
        </w:tc>
      </w:tr>
      <w:tr w14:paraId="3C27288D">
        <w:tblPrEx>
          <w:tblCellMar>
            <w:top w:w="0" w:type="dxa"/>
            <w:left w:w="108" w:type="dxa"/>
            <w:bottom w:w="0" w:type="dxa"/>
            <w:right w:w="108" w:type="dxa"/>
          </w:tblCellMar>
        </w:tblPrEx>
        <w:trPr>
          <w:trHeight w:val="136" w:hRule="atLeast"/>
        </w:trPr>
        <w:tc>
          <w:tcPr>
            <w:tcW w:w="594" w:type="pct"/>
            <w:tcBorders>
              <w:top w:val="single" w:color="000000" w:sz="4" w:space="0"/>
              <w:left w:val="single" w:color="000000" w:sz="4" w:space="0"/>
              <w:bottom w:val="single" w:color="000000" w:sz="4" w:space="0"/>
              <w:right w:val="single" w:color="000000" w:sz="4" w:space="0"/>
            </w:tcBorders>
            <w:vAlign w:val="center"/>
          </w:tcPr>
          <w:p w14:paraId="035262CC">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color w:val="000000" w:themeColor="text1"/>
                <w:kern w:val="0"/>
                <w:szCs w:val="21"/>
                <w:lang w:bidi="ar"/>
                <w14:textFill>
                  <w14:solidFill>
                    <w14:schemeClr w14:val="tx1"/>
                  </w14:solidFill>
                </w14:textFill>
              </w:rPr>
              <w:t>5</w:t>
            </w:r>
          </w:p>
        </w:tc>
        <w:tc>
          <w:tcPr>
            <w:tcW w:w="952" w:type="pc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3FA20EDE">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数据安全与合规</w:t>
            </w:r>
          </w:p>
        </w:tc>
        <w:tc>
          <w:tcPr>
            <w:tcW w:w="3452" w:type="pct"/>
            <w:tcBorders>
              <w:top w:val="single" w:color="000000" w:sz="4" w:space="0"/>
              <w:left w:val="single" w:color="000000" w:sz="4" w:space="0"/>
              <w:bottom w:val="single" w:color="000000" w:sz="4" w:space="0"/>
              <w:right w:val="single" w:color="000000" w:sz="4" w:space="0"/>
            </w:tcBorders>
            <w:vAlign w:val="center"/>
          </w:tcPr>
          <w:p w14:paraId="4951E6AA">
            <w:pPr>
              <w:widowControl/>
              <w:snapToGrid w:val="0"/>
              <w:spacing w:line="360" w:lineRule="auto"/>
              <w:jc w:val="left"/>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语料及课程资源的采集、标注、存储等环节须在采购人指定的校内环境完成，不得外传，须符合数据安全、个人信息保护及知识产权要求。</w:t>
            </w:r>
          </w:p>
        </w:tc>
      </w:tr>
      <w:tr w14:paraId="00D68CF7">
        <w:tblPrEx>
          <w:tblCellMar>
            <w:top w:w="0" w:type="dxa"/>
            <w:left w:w="108" w:type="dxa"/>
            <w:bottom w:w="0" w:type="dxa"/>
            <w:right w:w="108" w:type="dxa"/>
          </w:tblCellMar>
        </w:tblPrEx>
        <w:trPr>
          <w:trHeight w:val="136" w:hRule="atLeast"/>
        </w:trPr>
        <w:tc>
          <w:tcPr>
            <w:tcW w:w="594" w:type="pct"/>
            <w:tcBorders>
              <w:top w:val="single" w:color="000000" w:sz="4" w:space="0"/>
              <w:left w:val="single" w:color="000000" w:sz="4" w:space="0"/>
              <w:bottom w:val="single" w:color="000000" w:sz="4" w:space="0"/>
              <w:right w:val="single" w:color="000000" w:sz="4" w:space="0"/>
            </w:tcBorders>
            <w:vAlign w:val="center"/>
          </w:tcPr>
          <w:p w14:paraId="39FA7878">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color w:val="000000" w:themeColor="text1"/>
                <w:kern w:val="0"/>
                <w:szCs w:val="21"/>
                <w:lang w:bidi="ar"/>
                <w14:textFill>
                  <w14:solidFill>
                    <w14:schemeClr w14:val="tx1"/>
                  </w14:solidFill>
                </w14:textFill>
              </w:rPr>
              <w:t>6</w:t>
            </w:r>
          </w:p>
        </w:tc>
        <w:tc>
          <w:tcPr>
            <w:tcW w:w="952" w:type="pc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90FCF3B">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接口与调用</w:t>
            </w:r>
          </w:p>
        </w:tc>
        <w:tc>
          <w:tcPr>
            <w:tcW w:w="3452" w:type="pct"/>
            <w:tcBorders>
              <w:top w:val="single" w:color="000000" w:sz="4" w:space="0"/>
              <w:left w:val="single" w:color="000000" w:sz="4" w:space="0"/>
              <w:bottom w:val="single" w:color="000000" w:sz="4" w:space="0"/>
              <w:right w:val="single" w:color="000000" w:sz="4" w:space="0"/>
            </w:tcBorders>
            <w:vAlign w:val="center"/>
          </w:tcPr>
          <w:p w14:paraId="7734853E">
            <w:pPr>
              <w:widowControl/>
              <w:snapToGrid w:val="0"/>
              <w:spacing w:line="360" w:lineRule="auto"/>
              <w:jc w:val="left"/>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提供标准化API接口，接入统一身份认证，支持各子系统及跨校用户调用，并具备调用日志及审计功能。</w:t>
            </w:r>
          </w:p>
        </w:tc>
      </w:tr>
      <w:tr w14:paraId="2D311BD1">
        <w:tblPrEx>
          <w:tblCellMar>
            <w:top w:w="0" w:type="dxa"/>
            <w:left w:w="108" w:type="dxa"/>
            <w:bottom w:w="0" w:type="dxa"/>
            <w:right w:w="108" w:type="dxa"/>
          </w:tblCellMar>
        </w:tblPrEx>
        <w:trPr>
          <w:trHeight w:val="136" w:hRule="atLeast"/>
        </w:trPr>
        <w:tc>
          <w:tcPr>
            <w:tcW w:w="594" w:type="pct"/>
            <w:tcBorders>
              <w:top w:val="single" w:color="000000" w:sz="4" w:space="0"/>
              <w:left w:val="single" w:color="000000" w:sz="4" w:space="0"/>
              <w:bottom w:val="single" w:color="000000" w:sz="4" w:space="0"/>
              <w:right w:val="single" w:color="000000" w:sz="4" w:space="0"/>
            </w:tcBorders>
            <w:vAlign w:val="center"/>
          </w:tcPr>
          <w:p w14:paraId="68FC4752">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color w:val="000000" w:themeColor="text1"/>
                <w:kern w:val="0"/>
                <w:szCs w:val="21"/>
                <w:lang w:bidi="ar"/>
                <w14:textFill>
                  <w14:solidFill>
                    <w14:schemeClr w14:val="tx1"/>
                  </w14:solidFill>
                </w14:textFill>
              </w:rPr>
              <w:t>7</w:t>
            </w:r>
          </w:p>
        </w:tc>
        <w:tc>
          <w:tcPr>
            <w:tcW w:w="952" w:type="pc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48CA77E">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交付物</w:t>
            </w:r>
          </w:p>
        </w:tc>
        <w:tc>
          <w:tcPr>
            <w:tcW w:w="3452" w:type="pct"/>
            <w:tcBorders>
              <w:top w:val="single" w:color="000000" w:sz="4" w:space="0"/>
              <w:left w:val="single" w:color="000000" w:sz="4" w:space="0"/>
              <w:bottom w:val="single" w:color="000000" w:sz="4" w:space="0"/>
              <w:right w:val="single" w:color="000000" w:sz="4" w:space="0"/>
            </w:tcBorders>
            <w:vAlign w:val="center"/>
          </w:tcPr>
          <w:p w14:paraId="20CF44B0">
            <w:pPr>
              <w:widowControl/>
              <w:snapToGrid w:val="0"/>
              <w:spacing w:line="360" w:lineRule="auto"/>
              <w:jc w:val="left"/>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模型、微调权重、语料及标注结果、向量库、部署手册及评测报告的所有权归采购人所有。</w:t>
            </w:r>
          </w:p>
        </w:tc>
      </w:tr>
    </w:tbl>
    <w:p w14:paraId="0B38E938">
      <w:pPr>
        <w:pStyle w:val="4"/>
        <w:numPr>
          <w:ilvl w:val="1"/>
          <w:numId w:val="2"/>
        </w:numPr>
        <w:spacing w:line="360" w:lineRule="auto"/>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XC</w:t>
      </w:r>
      <w:r>
        <w:rPr>
          <w:rFonts w:hint="eastAsia" w:ascii="仿宋" w:hAnsi="仿宋" w:eastAsia="仿宋" w:cs="仿宋"/>
          <w:color w:val="000000" w:themeColor="text1"/>
          <w14:textFill>
            <w14:solidFill>
              <w14:schemeClr w14:val="tx1"/>
            </w14:solidFill>
          </w14:textFill>
        </w:rPr>
        <w:t>资源集成与教育部X</w:t>
      </w:r>
      <w:r>
        <w:rPr>
          <w:rFonts w:ascii="仿宋" w:hAnsi="仿宋" w:eastAsia="仿宋" w:cs="仿宋"/>
          <w:color w:val="000000" w:themeColor="text1"/>
          <w14:textFill>
            <w14:solidFill>
              <w14:schemeClr w14:val="tx1"/>
            </w14:solidFill>
          </w14:textFill>
        </w:rPr>
        <w:t>C</w:t>
      </w:r>
      <w:r>
        <w:rPr>
          <w:rFonts w:hint="eastAsia" w:ascii="仿宋" w:hAnsi="仿宋" w:eastAsia="仿宋" w:cs="仿宋"/>
          <w:color w:val="000000" w:themeColor="text1"/>
          <w14:textFill>
            <w14:solidFill>
              <w14:schemeClr w14:val="tx1"/>
            </w14:solidFill>
          </w14:textFill>
        </w:rPr>
        <w:t>适配</w:t>
      </w:r>
    </w:p>
    <w:tbl>
      <w:tblPr>
        <w:tblStyle w:val="14"/>
        <w:tblW w:w="5000" w:type="pct"/>
        <w:tblInd w:w="0" w:type="dxa"/>
        <w:tblLayout w:type="autofit"/>
        <w:tblCellMar>
          <w:top w:w="0" w:type="dxa"/>
          <w:left w:w="108" w:type="dxa"/>
          <w:bottom w:w="0" w:type="dxa"/>
          <w:right w:w="108" w:type="dxa"/>
        </w:tblCellMar>
      </w:tblPr>
      <w:tblGrid>
        <w:gridCol w:w="1013"/>
        <w:gridCol w:w="1623"/>
        <w:gridCol w:w="5886"/>
      </w:tblGrid>
      <w:tr w14:paraId="46F79EE9">
        <w:tblPrEx>
          <w:tblCellMar>
            <w:top w:w="0" w:type="dxa"/>
            <w:left w:w="108" w:type="dxa"/>
            <w:bottom w:w="0" w:type="dxa"/>
            <w:right w:w="108" w:type="dxa"/>
          </w:tblCellMar>
        </w:tblPrEx>
        <w:trPr>
          <w:trHeight w:val="497" w:hRule="atLeast"/>
        </w:trPr>
        <w:tc>
          <w:tcPr>
            <w:tcW w:w="594" w:type="pct"/>
            <w:tcBorders>
              <w:top w:val="single" w:color="000000" w:sz="4" w:space="0"/>
              <w:left w:val="single" w:color="000000" w:sz="4" w:space="0"/>
              <w:bottom w:val="single" w:color="000000" w:sz="4" w:space="0"/>
              <w:right w:val="single" w:color="000000" w:sz="4" w:space="0"/>
            </w:tcBorders>
            <w:vAlign w:val="center"/>
          </w:tcPr>
          <w:p w14:paraId="1E8CEE54">
            <w:pPr>
              <w:widowControl/>
              <w:snapToGrid w:val="0"/>
              <w:spacing w:line="360" w:lineRule="auto"/>
              <w:jc w:val="center"/>
              <w:textAlignment w:val="center"/>
              <w:rPr>
                <w:rFonts w:ascii="仿宋" w:hAnsi="仿宋" w:eastAsia="仿宋" w:cs="仿宋"/>
                <w:b/>
                <w:color w:val="000000" w:themeColor="text1"/>
                <w:kern w:val="0"/>
                <w:szCs w:val="21"/>
                <w:lang w:bidi="ar"/>
                <w14:textFill>
                  <w14:solidFill>
                    <w14:schemeClr w14:val="tx1"/>
                  </w14:solidFill>
                </w14:textFill>
              </w:rPr>
            </w:pPr>
            <w:r>
              <w:rPr>
                <w:rFonts w:hint="eastAsia" w:ascii="仿宋" w:hAnsi="仿宋" w:eastAsia="仿宋" w:cs="仿宋"/>
                <w:b/>
                <w:color w:val="000000" w:themeColor="text1"/>
                <w:kern w:val="0"/>
                <w:szCs w:val="21"/>
                <w:lang w:bidi="ar"/>
                <w14:textFill>
                  <w14:solidFill>
                    <w14:schemeClr w14:val="tx1"/>
                  </w14:solidFill>
                </w14:textFill>
              </w:rPr>
              <w:t>序号</w:t>
            </w:r>
          </w:p>
        </w:tc>
        <w:tc>
          <w:tcPr>
            <w:tcW w:w="952" w:type="pc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FF62DF5">
            <w:pPr>
              <w:widowControl/>
              <w:snapToGrid w:val="0"/>
              <w:spacing w:line="360" w:lineRule="auto"/>
              <w:jc w:val="center"/>
              <w:textAlignment w:val="center"/>
              <w:rPr>
                <w:rFonts w:ascii="仿宋" w:hAnsi="仿宋" w:eastAsia="仿宋" w:cs="仿宋"/>
                <w:b/>
                <w:color w:val="000000" w:themeColor="text1"/>
                <w:kern w:val="0"/>
                <w:szCs w:val="21"/>
                <w:lang w:bidi="ar"/>
                <w14:textFill>
                  <w14:solidFill>
                    <w14:schemeClr w14:val="tx1"/>
                  </w14:solidFill>
                </w14:textFill>
              </w:rPr>
            </w:pPr>
            <w:r>
              <w:rPr>
                <w:rFonts w:hint="eastAsia" w:ascii="仿宋" w:hAnsi="仿宋" w:eastAsia="仿宋" w:cs="仿宋"/>
                <w:b/>
                <w:color w:val="000000" w:themeColor="text1"/>
                <w:kern w:val="0"/>
                <w:szCs w:val="21"/>
                <w:lang w:bidi="ar"/>
                <w14:textFill>
                  <w14:solidFill>
                    <w14:schemeClr w14:val="tx1"/>
                  </w14:solidFill>
                </w14:textFill>
              </w:rPr>
              <w:t>功能</w:t>
            </w:r>
          </w:p>
        </w:tc>
        <w:tc>
          <w:tcPr>
            <w:tcW w:w="3452" w:type="pct"/>
            <w:tcBorders>
              <w:top w:val="single" w:color="000000" w:sz="4" w:space="0"/>
              <w:left w:val="single" w:color="000000" w:sz="4" w:space="0"/>
              <w:bottom w:val="single" w:color="000000" w:sz="4" w:space="0"/>
              <w:right w:val="single" w:color="000000" w:sz="4" w:space="0"/>
            </w:tcBorders>
            <w:vAlign w:val="center"/>
          </w:tcPr>
          <w:p w14:paraId="48DFCC88">
            <w:pPr>
              <w:widowControl/>
              <w:snapToGrid w:val="0"/>
              <w:spacing w:line="360" w:lineRule="auto"/>
              <w:jc w:val="center"/>
              <w:textAlignment w:val="center"/>
              <w:rPr>
                <w:rFonts w:ascii="仿宋" w:hAnsi="仿宋" w:eastAsia="仿宋" w:cs="仿宋"/>
                <w:b/>
                <w:color w:val="000000" w:themeColor="text1"/>
                <w:kern w:val="0"/>
                <w:szCs w:val="21"/>
                <w:lang w:bidi="ar"/>
                <w14:textFill>
                  <w14:solidFill>
                    <w14:schemeClr w14:val="tx1"/>
                  </w14:solidFill>
                </w14:textFill>
              </w:rPr>
            </w:pPr>
            <w:r>
              <w:rPr>
                <w:rFonts w:hint="eastAsia" w:ascii="仿宋" w:hAnsi="仿宋" w:eastAsia="仿宋" w:cs="仿宋"/>
                <w:b/>
                <w:bCs/>
                <w:color w:val="000000" w:themeColor="text1"/>
                <w:kern w:val="0"/>
                <w:szCs w:val="21"/>
                <w:lang w:bidi="ar"/>
                <w14:textFill>
                  <w14:solidFill>
                    <w14:schemeClr w14:val="tx1"/>
                  </w14:solidFill>
                </w14:textFill>
              </w:rPr>
              <w:t>说明</w:t>
            </w:r>
          </w:p>
        </w:tc>
      </w:tr>
      <w:tr w14:paraId="733EB930">
        <w:tblPrEx>
          <w:tblCellMar>
            <w:top w:w="0" w:type="dxa"/>
            <w:left w:w="108" w:type="dxa"/>
            <w:bottom w:w="0" w:type="dxa"/>
            <w:right w:w="108" w:type="dxa"/>
          </w:tblCellMar>
        </w:tblPrEx>
        <w:trPr>
          <w:trHeight w:val="136" w:hRule="atLeast"/>
        </w:trPr>
        <w:tc>
          <w:tcPr>
            <w:tcW w:w="594" w:type="pct"/>
            <w:tcBorders>
              <w:top w:val="single" w:color="000000" w:sz="4" w:space="0"/>
              <w:left w:val="single" w:color="000000" w:sz="4" w:space="0"/>
              <w:bottom w:val="single" w:color="000000" w:sz="4" w:space="0"/>
              <w:right w:val="single" w:color="000000" w:sz="4" w:space="0"/>
            </w:tcBorders>
            <w:vAlign w:val="center"/>
          </w:tcPr>
          <w:p w14:paraId="198B29C3">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color w:val="000000" w:themeColor="text1"/>
                <w:kern w:val="0"/>
                <w:szCs w:val="21"/>
                <w:lang w:bidi="ar"/>
                <w14:textFill>
                  <w14:solidFill>
                    <w14:schemeClr w14:val="tx1"/>
                  </w14:solidFill>
                </w14:textFill>
              </w:rPr>
              <w:t>1</w:t>
            </w:r>
          </w:p>
        </w:tc>
        <w:tc>
          <w:tcPr>
            <w:tcW w:w="952" w:type="pc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0A067741">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适配范围</w:t>
            </w:r>
          </w:p>
        </w:tc>
        <w:tc>
          <w:tcPr>
            <w:tcW w:w="3452" w:type="pct"/>
            <w:tcBorders>
              <w:top w:val="single" w:color="000000" w:sz="4" w:space="0"/>
              <w:left w:val="single" w:color="000000" w:sz="4" w:space="0"/>
              <w:bottom w:val="single" w:color="000000" w:sz="4" w:space="0"/>
              <w:right w:val="single" w:color="000000" w:sz="4" w:space="0"/>
            </w:tcBorders>
            <w:vAlign w:val="center"/>
          </w:tcPr>
          <w:p w14:paraId="54F54644">
            <w:pPr>
              <w:widowControl/>
              <w:snapToGrid w:val="0"/>
              <w:spacing w:line="360" w:lineRule="auto"/>
              <w:jc w:val="left"/>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szCs w:val="21"/>
              </w:rPr>
              <w:t>适配范围为采购人选定的3个项目（限于本轮跃升计划所建6个子系统范围内的业务应用软件，由采购人于合同签订后10个工作日内书面确定），中标单位根据采购人选定的适配系统开展适配工作。</w:t>
            </w:r>
          </w:p>
        </w:tc>
      </w:tr>
      <w:tr w14:paraId="44D68FD2">
        <w:tblPrEx>
          <w:tblCellMar>
            <w:top w:w="0" w:type="dxa"/>
            <w:left w:w="108" w:type="dxa"/>
            <w:bottom w:w="0" w:type="dxa"/>
            <w:right w:w="108" w:type="dxa"/>
          </w:tblCellMar>
        </w:tblPrEx>
        <w:trPr>
          <w:trHeight w:val="136" w:hRule="atLeast"/>
        </w:trPr>
        <w:tc>
          <w:tcPr>
            <w:tcW w:w="594" w:type="pct"/>
            <w:tcBorders>
              <w:top w:val="single" w:color="000000" w:sz="4" w:space="0"/>
              <w:left w:val="single" w:color="000000" w:sz="4" w:space="0"/>
              <w:bottom w:val="single" w:color="000000" w:sz="4" w:space="0"/>
              <w:right w:val="single" w:color="000000" w:sz="4" w:space="0"/>
            </w:tcBorders>
            <w:vAlign w:val="center"/>
          </w:tcPr>
          <w:p w14:paraId="658B6336">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color w:val="000000" w:themeColor="text1"/>
                <w:kern w:val="0"/>
                <w:szCs w:val="21"/>
                <w:lang w:bidi="ar"/>
                <w14:textFill>
                  <w14:solidFill>
                    <w14:schemeClr w14:val="tx1"/>
                  </w14:solidFill>
                </w14:textFill>
              </w:rPr>
              <w:t>2</w:t>
            </w:r>
          </w:p>
        </w:tc>
        <w:tc>
          <w:tcPr>
            <w:tcW w:w="952" w:type="pc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1F175585">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适配内容</w:t>
            </w:r>
          </w:p>
        </w:tc>
        <w:tc>
          <w:tcPr>
            <w:tcW w:w="3452" w:type="pct"/>
            <w:tcBorders>
              <w:top w:val="single" w:color="000000" w:sz="4" w:space="0"/>
              <w:left w:val="single" w:color="000000" w:sz="4" w:space="0"/>
              <w:bottom w:val="single" w:color="000000" w:sz="4" w:space="0"/>
              <w:right w:val="single" w:color="000000" w:sz="4" w:space="0"/>
            </w:tcBorders>
            <w:vAlign w:val="center"/>
          </w:tcPr>
          <w:p w14:paraId="16CC78BC">
            <w:pPr>
              <w:widowControl/>
              <w:snapToGrid w:val="0"/>
              <w:spacing w:line="360" w:lineRule="auto"/>
              <w:jc w:val="left"/>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完成上述项目与国产处理器、操作系统、数据库、中间件及浏览器等</w:t>
            </w:r>
            <w:r>
              <w:rPr>
                <w:rFonts w:hint="eastAsia" w:ascii="仿宋" w:hAnsi="仿宋" w:eastAsia="仿宋" w:cs="仿宋"/>
                <w:bCs/>
                <w:color w:val="000000" w:themeColor="text1"/>
                <w:szCs w:val="21"/>
                <w:lang w:eastAsia="zh-CN"/>
                <w14:textFill>
                  <w14:solidFill>
                    <w14:schemeClr w14:val="tx1"/>
                  </w14:solidFill>
                </w14:textFill>
              </w:rPr>
              <w:t>XC</w:t>
            </w:r>
            <w:r>
              <w:rPr>
                <w:rFonts w:hint="eastAsia" w:ascii="仿宋" w:hAnsi="仿宋" w:eastAsia="仿宋" w:cs="仿宋"/>
                <w:bCs/>
                <w:color w:val="000000" w:themeColor="text1"/>
                <w:szCs w:val="21"/>
                <w14:textFill>
                  <w14:solidFill>
                    <w14:schemeClr w14:val="tx1"/>
                  </w14:solidFill>
                </w14:textFill>
              </w:rPr>
              <w:t>软硬件环境的适配、测试与优化，提交适配测试方案及测试报告。</w:t>
            </w:r>
          </w:p>
        </w:tc>
      </w:tr>
      <w:tr w14:paraId="7664D87D">
        <w:tblPrEx>
          <w:tblCellMar>
            <w:top w:w="0" w:type="dxa"/>
            <w:left w:w="108" w:type="dxa"/>
            <w:bottom w:w="0" w:type="dxa"/>
            <w:right w:w="108" w:type="dxa"/>
          </w:tblCellMar>
        </w:tblPrEx>
        <w:trPr>
          <w:trHeight w:val="136" w:hRule="atLeast"/>
        </w:trPr>
        <w:tc>
          <w:tcPr>
            <w:tcW w:w="594" w:type="pct"/>
            <w:tcBorders>
              <w:top w:val="single" w:color="000000" w:sz="4" w:space="0"/>
              <w:left w:val="single" w:color="000000" w:sz="4" w:space="0"/>
              <w:bottom w:val="single" w:color="000000" w:sz="4" w:space="0"/>
              <w:right w:val="single" w:color="000000" w:sz="4" w:space="0"/>
            </w:tcBorders>
            <w:vAlign w:val="center"/>
          </w:tcPr>
          <w:p w14:paraId="3BE62518">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color w:val="000000" w:themeColor="text1"/>
                <w:kern w:val="0"/>
                <w:szCs w:val="21"/>
                <w:lang w:bidi="ar"/>
                <w14:textFill>
                  <w14:solidFill>
                    <w14:schemeClr w14:val="tx1"/>
                  </w14:solidFill>
                </w14:textFill>
              </w:rPr>
              <w:t>3</w:t>
            </w:r>
          </w:p>
        </w:tc>
        <w:tc>
          <w:tcPr>
            <w:tcW w:w="952" w:type="pc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1786B719">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适配申报配合</w:t>
            </w:r>
          </w:p>
        </w:tc>
        <w:tc>
          <w:tcPr>
            <w:tcW w:w="3452" w:type="pct"/>
            <w:tcBorders>
              <w:top w:val="single" w:color="000000" w:sz="4" w:space="0"/>
              <w:left w:val="single" w:color="000000" w:sz="4" w:space="0"/>
              <w:bottom w:val="single" w:color="000000" w:sz="4" w:space="0"/>
              <w:right w:val="single" w:color="000000" w:sz="4" w:space="0"/>
            </w:tcBorders>
            <w:vAlign w:val="center"/>
          </w:tcPr>
          <w:p w14:paraId="6BDA53F8">
            <w:pPr>
              <w:widowControl/>
              <w:snapToGrid w:val="0"/>
              <w:spacing w:line="360" w:lineRule="auto"/>
              <w:jc w:val="left"/>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szCs w:val="21"/>
              </w:rPr>
              <w:t>中标人负责配合教育部</w:t>
            </w:r>
            <w:r>
              <w:rPr>
                <w:rFonts w:hint="eastAsia" w:ascii="仿宋" w:hAnsi="仿宋" w:eastAsia="仿宋" w:cs="仿宋"/>
                <w:bCs/>
                <w:color w:val="000000"/>
                <w:szCs w:val="21"/>
                <w:lang w:eastAsia="zh-CN"/>
              </w:rPr>
              <w:t>XC</w:t>
            </w:r>
            <w:r>
              <w:rPr>
                <w:rFonts w:hint="eastAsia" w:ascii="仿宋" w:hAnsi="仿宋" w:eastAsia="仿宋" w:cs="仿宋"/>
                <w:bCs/>
                <w:color w:val="000000"/>
                <w:szCs w:val="21"/>
              </w:rPr>
              <w:t>实验室完成适配测试与申报，按要求提交申报材料；适配结论以教育部</w:t>
            </w:r>
            <w:r>
              <w:rPr>
                <w:rFonts w:hint="eastAsia" w:ascii="仿宋" w:hAnsi="仿宋" w:eastAsia="仿宋" w:cs="仿宋"/>
                <w:bCs/>
                <w:color w:val="000000"/>
                <w:szCs w:val="21"/>
                <w:lang w:eastAsia="zh-CN"/>
              </w:rPr>
              <w:t>XC</w:t>
            </w:r>
            <w:r>
              <w:rPr>
                <w:rFonts w:hint="eastAsia" w:ascii="仿宋" w:hAnsi="仿宋" w:eastAsia="仿宋" w:cs="仿宋"/>
                <w:bCs/>
                <w:color w:val="000000"/>
                <w:szCs w:val="21"/>
              </w:rPr>
              <w:t>实验室出具的结果为准。</w:t>
            </w:r>
          </w:p>
        </w:tc>
      </w:tr>
      <w:tr w14:paraId="57AC5B97">
        <w:tblPrEx>
          <w:tblCellMar>
            <w:top w:w="0" w:type="dxa"/>
            <w:left w:w="108" w:type="dxa"/>
            <w:bottom w:w="0" w:type="dxa"/>
            <w:right w:w="108" w:type="dxa"/>
          </w:tblCellMar>
        </w:tblPrEx>
        <w:trPr>
          <w:trHeight w:val="136" w:hRule="atLeast"/>
        </w:trPr>
        <w:tc>
          <w:tcPr>
            <w:tcW w:w="594" w:type="pct"/>
            <w:tcBorders>
              <w:top w:val="single" w:color="000000" w:sz="4" w:space="0"/>
              <w:left w:val="single" w:color="000000" w:sz="4" w:space="0"/>
              <w:bottom w:val="single" w:color="000000" w:sz="4" w:space="0"/>
              <w:right w:val="single" w:color="000000" w:sz="4" w:space="0"/>
            </w:tcBorders>
            <w:vAlign w:val="center"/>
          </w:tcPr>
          <w:p w14:paraId="5AECF76E">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color w:val="000000" w:themeColor="text1"/>
                <w:kern w:val="0"/>
                <w:szCs w:val="21"/>
                <w:lang w:bidi="ar"/>
                <w14:textFill>
                  <w14:solidFill>
                    <w14:schemeClr w14:val="tx1"/>
                  </w14:solidFill>
                </w14:textFill>
              </w:rPr>
              <w:t>4</w:t>
            </w:r>
          </w:p>
        </w:tc>
        <w:tc>
          <w:tcPr>
            <w:tcW w:w="952" w:type="pc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15B12912">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费用</w:t>
            </w:r>
          </w:p>
        </w:tc>
        <w:tc>
          <w:tcPr>
            <w:tcW w:w="3452" w:type="pct"/>
            <w:tcBorders>
              <w:top w:val="single" w:color="000000" w:sz="4" w:space="0"/>
              <w:left w:val="single" w:color="000000" w:sz="4" w:space="0"/>
              <w:bottom w:val="single" w:color="000000" w:sz="4" w:space="0"/>
              <w:right w:val="single" w:color="000000" w:sz="4" w:space="0"/>
            </w:tcBorders>
            <w:vAlign w:val="center"/>
          </w:tcPr>
          <w:p w14:paraId="5F170277">
            <w:pPr>
              <w:widowControl/>
              <w:snapToGrid w:val="0"/>
              <w:spacing w:line="360" w:lineRule="auto"/>
              <w:jc w:val="left"/>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适配测试、认证申报等全部费用含在投标总价中，中标人不得另行收取。</w:t>
            </w:r>
          </w:p>
        </w:tc>
      </w:tr>
      <w:tr w14:paraId="567D1AF8">
        <w:tblPrEx>
          <w:tblCellMar>
            <w:top w:w="0" w:type="dxa"/>
            <w:left w:w="108" w:type="dxa"/>
            <w:bottom w:w="0" w:type="dxa"/>
            <w:right w:w="108" w:type="dxa"/>
          </w:tblCellMar>
        </w:tblPrEx>
        <w:trPr>
          <w:trHeight w:val="136" w:hRule="atLeast"/>
        </w:trPr>
        <w:tc>
          <w:tcPr>
            <w:tcW w:w="594" w:type="pct"/>
            <w:tcBorders>
              <w:top w:val="single" w:color="000000" w:sz="4" w:space="0"/>
              <w:left w:val="single" w:color="000000" w:sz="4" w:space="0"/>
              <w:bottom w:val="single" w:color="000000" w:sz="4" w:space="0"/>
              <w:right w:val="single" w:color="000000" w:sz="4" w:space="0"/>
            </w:tcBorders>
            <w:vAlign w:val="center"/>
          </w:tcPr>
          <w:p w14:paraId="6AD5726A">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color w:val="000000" w:themeColor="text1"/>
                <w:kern w:val="0"/>
                <w:szCs w:val="21"/>
                <w:lang w:bidi="ar"/>
                <w14:textFill>
                  <w14:solidFill>
                    <w14:schemeClr w14:val="tx1"/>
                  </w14:solidFill>
                </w14:textFill>
              </w:rPr>
              <w:t>5</w:t>
            </w:r>
          </w:p>
        </w:tc>
        <w:tc>
          <w:tcPr>
            <w:tcW w:w="952" w:type="pc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61A778A">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过程资料</w:t>
            </w:r>
          </w:p>
        </w:tc>
        <w:tc>
          <w:tcPr>
            <w:tcW w:w="3452" w:type="pct"/>
            <w:tcBorders>
              <w:top w:val="single" w:color="000000" w:sz="4" w:space="0"/>
              <w:left w:val="single" w:color="000000" w:sz="4" w:space="0"/>
              <w:bottom w:val="single" w:color="000000" w:sz="4" w:space="0"/>
              <w:right w:val="single" w:color="000000" w:sz="4" w:space="0"/>
            </w:tcBorders>
            <w:vAlign w:val="center"/>
          </w:tcPr>
          <w:p w14:paraId="2E4FA4BD">
            <w:pPr>
              <w:widowControl/>
              <w:snapToGrid w:val="0"/>
              <w:spacing w:line="360" w:lineRule="auto"/>
              <w:jc w:val="left"/>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提交适配申报材料、测试记录、整改记录及适配结论文件，并将相关资料交采购人留存。</w:t>
            </w:r>
          </w:p>
        </w:tc>
      </w:tr>
    </w:tbl>
    <w:p w14:paraId="6F9F98DB">
      <w:pPr>
        <w:pStyle w:val="4"/>
        <w:numPr>
          <w:ilvl w:val="1"/>
          <w:numId w:val="2"/>
        </w:numPr>
        <w:spacing w:line="360" w:lineRule="auto"/>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rPr>
        <w:t>异构超算平台与核心业务集成</w:t>
      </w:r>
    </w:p>
    <w:tbl>
      <w:tblPr>
        <w:tblStyle w:val="14"/>
        <w:tblW w:w="5000" w:type="pct"/>
        <w:tblInd w:w="0" w:type="dxa"/>
        <w:tblLayout w:type="autofit"/>
        <w:tblCellMar>
          <w:top w:w="0" w:type="dxa"/>
          <w:left w:w="108" w:type="dxa"/>
          <w:bottom w:w="0" w:type="dxa"/>
          <w:right w:w="108" w:type="dxa"/>
        </w:tblCellMar>
      </w:tblPr>
      <w:tblGrid>
        <w:gridCol w:w="1013"/>
        <w:gridCol w:w="1623"/>
        <w:gridCol w:w="5886"/>
      </w:tblGrid>
      <w:tr w14:paraId="729687D2">
        <w:tblPrEx>
          <w:tblCellMar>
            <w:top w:w="0" w:type="dxa"/>
            <w:left w:w="108" w:type="dxa"/>
            <w:bottom w:w="0" w:type="dxa"/>
            <w:right w:w="108" w:type="dxa"/>
          </w:tblCellMar>
        </w:tblPrEx>
        <w:trPr>
          <w:trHeight w:val="497" w:hRule="atLeast"/>
        </w:trPr>
        <w:tc>
          <w:tcPr>
            <w:tcW w:w="594" w:type="pct"/>
            <w:tcBorders>
              <w:top w:val="single" w:color="000000" w:sz="4" w:space="0"/>
              <w:left w:val="single" w:color="000000" w:sz="4" w:space="0"/>
              <w:bottom w:val="single" w:color="000000" w:sz="4" w:space="0"/>
              <w:right w:val="single" w:color="000000" w:sz="4" w:space="0"/>
            </w:tcBorders>
            <w:vAlign w:val="center"/>
          </w:tcPr>
          <w:p w14:paraId="16F8808E">
            <w:pPr>
              <w:widowControl/>
              <w:snapToGrid w:val="0"/>
              <w:spacing w:line="360" w:lineRule="auto"/>
              <w:jc w:val="center"/>
              <w:textAlignment w:val="center"/>
              <w:rPr>
                <w:rFonts w:ascii="仿宋" w:hAnsi="仿宋" w:eastAsia="仿宋" w:cs="仿宋"/>
                <w:b/>
                <w:color w:val="000000" w:themeColor="text1"/>
                <w:kern w:val="0"/>
                <w:szCs w:val="21"/>
                <w:lang w:bidi="ar"/>
                <w14:textFill>
                  <w14:solidFill>
                    <w14:schemeClr w14:val="tx1"/>
                  </w14:solidFill>
                </w14:textFill>
              </w:rPr>
            </w:pPr>
            <w:r>
              <w:rPr>
                <w:rFonts w:hint="eastAsia" w:ascii="仿宋" w:hAnsi="仿宋" w:eastAsia="仿宋" w:cs="仿宋"/>
                <w:b/>
                <w:color w:val="000000" w:themeColor="text1"/>
                <w:kern w:val="0"/>
                <w:szCs w:val="21"/>
                <w:lang w:bidi="ar"/>
                <w14:textFill>
                  <w14:solidFill>
                    <w14:schemeClr w14:val="tx1"/>
                  </w14:solidFill>
                </w14:textFill>
              </w:rPr>
              <w:t>序号</w:t>
            </w:r>
          </w:p>
        </w:tc>
        <w:tc>
          <w:tcPr>
            <w:tcW w:w="952" w:type="pc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78A21A04">
            <w:pPr>
              <w:widowControl/>
              <w:snapToGrid w:val="0"/>
              <w:spacing w:line="360" w:lineRule="auto"/>
              <w:jc w:val="center"/>
              <w:textAlignment w:val="center"/>
              <w:rPr>
                <w:rFonts w:ascii="仿宋" w:hAnsi="仿宋" w:eastAsia="仿宋" w:cs="仿宋"/>
                <w:b/>
                <w:color w:val="000000" w:themeColor="text1"/>
                <w:kern w:val="0"/>
                <w:szCs w:val="21"/>
                <w:lang w:bidi="ar"/>
                <w14:textFill>
                  <w14:solidFill>
                    <w14:schemeClr w14:val="tx1"/>
                  </w14:solidFill>
                </w14:textFill>
              </w:rPr>
            </w:pPr>
            <w:r>
              <w:rPr>
                <w:rFonts w:hint="eastAsia" w:ascii="仿宋" w:hAnsi="仿宋" w:eastAsia="仿宋" w:cs="仿宋"/>
                <w:b/>
                <w:color w:val="000000" w:themeColor="text1"/>
                <w:kern w:val="0"/>
                <w:szCs w:val="21"/>
                <w:lang w:bidi="ar"/>
                <w14:textFill>
                  <w14:solidFill>
                    <w14:schemeClr w14:val="tx1"/>
                  </w14:solidFill>
                </w14:textFill>
              </w:rPr>
              <w:t>功能</w:t>
            </w:r>
          </w:p>
        </w:tc>
        <w:tc>
          <w:tcPr>
            <w:tcW w:w="3452" w:type="pct"/>
            <w:tcBorders>
              <w:top w:val="single" w:color="000000" w:sz="4" w:space="0"/>
              <w:left w:val="single" w:color="000000" w:sz="4" w:space="0"/>
              <w:bottom w:val="single" w:color="000000" w:sz="4" w:space="0"/>
              <w:right w:val="single" w:color="000000" w:sz="4" w:space="0"/>
            </w:tcBorders>
            <w:vAlign w:val="center"/>
          </w:tcPr>
          <w:p w14:paraId="4058405D">
            <w:pPr>
              <w:widowControl/>
              <w:snapToGrid w:val="0"/>
              <w:spacing w:line="360" w:lineRule="auto"/>
              <w:jc w:val="center"/>
              <w:textAlignment w:val="center"/>
              <w:rPr>
                <w:rFonts w:ascii="仿宋" w:hAnsi="仿宋" w:eastAsia="仿宋" w:cs="仿宋"/>
                <w:b/>
                <w:color w:val="000000" w:themeColor="text1"/>
                <w:kern w:val="0"/>
                <w:szCs w:val="21"/>
                <w:lang w:bidi="ar"/>
                <w14:textFill>
                  <w14:solidFill>
                    <w14:schemeClr w14:val="tx1"/>
                  </w14:solidFill>
                </w14:textFill>
              </w:rPr>
            </w:pPr>
            <w:r>
              <w:rPr>
                <w:rFonts w:hint="eastAsia" w:ascii="仿宋" w:hAnsi="仿宋" w:eastAsia="仿宋" w:cs="仿宋"/>
                <w:b/>
                <w:bCs/>
                <w:color w:val="000000" w:themeColor="text1"/>
                <w:kern w:val="0"/>
                <w:szCs w:val="21"/>
                <w:lang w:bidi="ar"/>
                <w14:textFill>
                  <w14:solidFill>
                    <w14:schemeClr w14:val="tx1"/>
                  </w14:solidFill>
                </w14:textFill>
              </w:rPr>
              <w:t>说明</w:t>
            </w:r>
          </w:p>
        </w:tc>
      </w:tr>
      <w:tr w14:paraId="237E429E">
        <w:tblPrEx>
          <w:tblCellMar>
            <w:top w:w="0" w:type="dxa"/>
            <w:left w:w="108" w:type="dxa"/>
            <w:bottom w:w="0" w:type="dxa"/>
            <w:right w:w="108" w:type="dxa"/>
          </w:tblCellMar>
        </w:tblPrEx>
        <w:trPr>
          <w:trHeight w:val="136" w:hRule="atLeast"/>
        </w:trPr>
        <w:tc>
          <w:tcPr>
            <w:tcW w:w="594" w:type="pct"/>
            <w:tcBorders>
              <w:top w:val="single" w:color="000000" w:sz="4" w:space="0"/>
              <w:left w:val="single" w:color="000000" w:sz="4" w:space="0"/>
              <w:bottom w:val="single" w:color="000000" w:sz="4" w:space="0"/>
              <w:right w:val="single" w:color="000000" w:sz="4" w:space="0"/>
            </w:tcBorders>
            <w:vAlign w:val="center"/>
          </w:tcPr>
          <w:p w14:paraId="17F45993">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color w:val="000000" w:themeColor="text1"/>
                <w:kern w:val="0"/>
                <w:szCs w:val="21"/>
                <w:lang w:bidi="ar"/>
                <w14:textFill>
                  <w14:solidFill>
                    <w14:schemeClr w14:val="tx1"/>
                  </w14:solidFill>
                </w14:textFill>
              </w:rPr>
              <w:t>1</w:t>
            </w:r>
          </w:p>
        </w:tc>
        <w:tc>
          <w:tcPr>
            <w:tcW w:w="952" w:type="pc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39CFC86C">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异构算力纳管</w:t>
            </w:r>
          </w:p>
        </w:tc>
        <w:tc>
          <w:tcPr>
            <w:tcW w:w="3452" w:type="pct"/>
            <w:tcBorders>
              <w:top w:val="single" w:color="000000" w:sz="4" w:space="0"/>
              <w:left w:val="single" w:color="000000" w:sz="4" w:space="0"/>
              <w:bottom w:val="single" w:color="000000" w:sz="4" w:space="0"/>
              <w:right w:val="single" w:color="000000" w:sz="4" w:space="0"/>
            </w:tcBorders>
            <w:vAlign w:val="center"/>
          </w:tcPr>
          <w:p w14:paraId="4E6D30D4">
            <w:pPr>
              <w:widowControl/>
              <w:snapToGrid w:val="0"/>
              <w:spacing w:line="360" w:lineRule="auto"/>
              <w:jc w:val="left"/>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将不同架构、不同厂商的计算资源统一纳管接入，形成统一资源视图，支持资源状态监控与告警。</w:t>
            </w:r>
          </w:p>
        </w:tc>
      </w:tr>
      <w:tr w14:paraId="176C8447">
        <w:tblPrEx>
          <w:tblCellMar>
            <w:top w:w="0" w:type="dxa"/>
            <w:left w:w="108" w:type="dxa"/>
            <w:bottom w:w="0" w:type="dxa"/>
            <w:right w:w="108" w:type="dxa"/>
          </w:tblCellMar>
        </w:tblPrEx>
        <w:trPr>
          <w:trHeight w:val="136" w:hRule="atLeast"/>
        </w:trPr>
        <w:tc>
          <w:tcPr>
            <w:tcW w:w="594" w:type="pct"/>
            <w:tcBorders>
              <w:top w:val="single" w:color="000000" w:sz="4" w:space="0"/>
              <w:left w:val="single" w:color="000000" w:sz="4" w:space="0"/>
              <w:bottom w:val="single" w:color="000000" w:sz="4" w:space="0"/>
              <w:right w:val="single" w:color="000000" w:sz="4" w:space="0"/>
            </w:tcBorders>
            <w:vAlign w:val="center"/>
          </w:tcPr>
          <w:p w14:paraId="5637B152">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color w:val="000000" w:themeColor="text1"/>
                <w:kern w:val="0"/>
                <w:szCs w:val="21"/>
                <w:lang w:bidi="ar"/>
                <w14:textFill>
                  <w14:solidFill>
                    <w14:schemeClr w14:val="tx1"/>
                  </w14:solidFill>
                </w14:textFill>
              </w:rPr>
              <w:t>2</w:t>
            </w:r>
          </w:p>
        </w:tc>
        <w:tc>
          <w:tcPr>
            <w:tcW w:w="952" w:type="pc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753E94A">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统一调度</w:t>
            </w:r>
          </w:p>
        </w:tc>
        <w:tc>
          <w:tcPr>
            <w:tcW w:w="3452" w:type="pct"/>
            <w:tcBorders>
              <w:top w:val="single" w:color="000000" w:sz="4" w:space="0"/>
              <w:left w:val="single" w:color="000000" w:sz="4" w:space="0"/>
              <w:bottom w:val="single" w:color="000000" w:sz="4" w:space="0"/>
              <w:right w:val="single" w:color="000000" w:sz="4" w:space="0"/>
            </w:tcBorders>
            <w:vAlign w:val="center"/>
          </w:tcPr>
          <w:p w14:paraId="25EF13C7">
            <w:pPr>
              <w:widowControl/>
              <w:snapToGrid w:val="0"/>
              <w:spacing w:line="360" w:lineRule="auto"/>
              <w:jc w:val="left"/>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实现统一作业调度，支持按队列、配额及优先级调度，支持通用算力与智能算力作业的统一提交与管理。</w:t>
            </w:r>
          </w:p>
        </w:tc>
      </w:tr>
      <w:tr w14:paraId="1525F51F">
        <w:tblPrEx>
          <w:tblCellMar>
            <w:top w:w="0" w:type="dxa"/>
            <w:left w:w="108" w:type="dxa"/>
            <w:bottom w:w="0" w:type="dxa"/>
            <w:right w:w="108" w:type="dxa"/>
          </w:tblCellMar>
        </w:tblPrEx>
        <w:trPr>
          <w:trHeight w:val="136" w:hRule="atLeast"/>
        </w:trPr>
        <w:tc>
          <w:tcPr>
            <w:tcW w:w="594" w:type="pct"/>
            <w:tcBorders>
              <w:top w:val="single" w:color="000000" w:sz="4" w:space="0"/>
              <w:left w:val="single" w:color="000000" w:sz="4" w:space="0"/>
              <w:bottom w:val="single" w:color="000000" w:sz="4" w:space="0"/>
              <w:right w:val="single" w:color="000000" w:sz="4" w:space="0"/>
            </w:tcBorders>
            <w:vAlign w:val="center"/>
          </w:tcPr>
          <w:p w14:paraId="4EE636A7">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color w:val="000000" w:themeColor="text1"/>
                <w:kern w:val="0"/>
                <w:szCs w:val="21"/>
                <w:lang w:bidi="ar"/>
                <w14:textFill>
                  <w14:solidFill>
                    <w14:schemeClr w14:val="tx1"/>
                  </w14:solidFill>
                </w14:textFill>
              </w:rPr>
              <w:t>3</w:t>
            </w:r>
          </w:p>
        </w:tc>
        <w:tc>
          <w:tcPr>
            <w:tcW w:w="952" w:type="pc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37F5C4D3">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跨校共享</w:t>
            </w:r>
          </w:p>
        </w:tc>
        <w:tc>
          <w:tcPr>
            <w:tcW w:w="3452" w:type="pct"/>
            <w:tcBorders>
              <w:top w:val="single" w:color="000000" w:sz="4" w:space="0"/>
              <w:left w:val="single" w:color="000000" w:sz="4" w:space="0"/>
              <w:bottom w:val="single" w:color="000000" w:sz="4" w:space="0"/>
              <w:right w:val="single" w:color="000000" w:sz="4" w:space="0"/>
            </w:tcBorders>
            <w:vAlign w:val="center"/>
          </w:tcPr>
          <w:p w14:paraId="0C7865E1">
            <w:pPr>
              <w:widowControl/>
              <w:snapToGrid w:val="0"/>
              <w:spacing w:line="360" w:lineRule="auto"/>
              <w:jc w:val="left"/>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支持跨校用户经统一身份认证后申请并使用算力资源，具备授权管理、用量统计及审计功能。</w:t>
            </w:r>
          </w:p>
        </w:tc>
      </w:tr>
      <w:tr w14:paraId="0C11C6BC">
        <w:tblPrEx>
          <w:tblCellMar>
            <w:top w:w="0" w:type="dxa"/>
            <w:left w:w="108" w:type="dxa"/>
            <w:bottom w:w="0" w:type="dxa"/>
            <w:right w:w="108" w:type="dxa"/>
          </w:tblCellMar>
        </w:tblPrEx>
        <w:trPr>
          <w:trHeight w:val="136" w:hRule="atLeast"/>
        </w:trPr>
        <w:tc>
          <w:tcPr>
            <w:tcW w:w="594" w:type="pct"/>
            <w:tcBorders>
              <w:top w:val="single" w:color="000000" w:sz="4" w:space="0"/>
              <w:left w:val="single" w:color="000000" w:sz="4" w:space="0"/>
              <w:bottom w:val="single" w:color="000000" w:sz="4" w:space="0"/>
              <w:right w:val="single" w:color="000000" w:sz="4" w:space="0"/>
            </w:tcBorders>
            <w:vAlign w:val="center"/>
          </w:tcPr>
          <w:p w14:paraId="5AD2A466">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color w:val="000000" w:themeColor="text1"/>
                <w:kern w:val="0"/>
                <w:szCs w:val="21"/>
                <w:lang w:bidi="ar"/>
                <w14:textFill>
                  <w14:solidFill>
                    <w14:schemeClr w14:val="tx1"/>
                  </w14:solidFill>
                </w14:textFill>
              </w:rPr>
              <w:t>4</w:t>
            </w:r>
          </w:p>
        </w:tc>
        <w:tc>
          <w:tcPr>
            <w:tcW w:w="952" w:type="pc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186BAD1">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教育算力专区</w:t>
            </w:r>
          </w:p>
        </w:tc>
        <w:tc>
          <w:tcPr>
            <w:tcW w:w="3452" w:type="pct"/>
            <w:tcBorders>
              <w:top w:val="single" w:color="000000" w:sz="4" w:space="0"/>
              <w:left w:val="single" w:color="000000" w:sz="4" w:space="0"/>
              <w:bottom w:val="single" w:color="000000" w:sz="4" w:space="0"/>
              <w:right w:val="single" w:color="000000" w:sz="4" w:space="0"/>
            </w:tcBorders>
            <w:vAlign w:val="center"/>
          </w:tcPr>
          <w:p w14:paraId="63CF4ABD">
            <w:pPr>
              <w:widowControl/>
              <w:snapToGrid w:val="0"/>
              <w:spacing w:line="360" w:lineRule="auto"/>
              <w:jc w:val="left"/>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完成教育算力专区的配置与测试集成，包括功能、性能及稳定性测试，提交测试方案及测试报告。</w:t>
            </w:r>
          </w:p>
        </w:tc>
      </w:tr>
      <w:tr w14:paraId="72F2D09B">
        <w:tblPrEx>
          <w:tblCellMar>
            <w:top w:w="0" w:type="dxa"/>
            <w:left w:w="108" w:type="dxa"/>
            <w:bottom w:w="0" w:type="dxa"/>
            <w:right w:w="108" w:type="dxa"/>
          </w:tblCellMar>
        </w:tblPrEx>
        <w:trPr>
          <w:trHeight w:val="136" w:hRule="atLeast"/>
        </w:trPr>
        <w:tc>
          <w:tcPr>
            <w:tcW w:w="594" w:type="pct"/>
            <w:tcBorders>
              <w:top w:val="single" w:color="000000" w:sz="4" w:space="0"/>
              <w:left w:val="single" w:color="000000" w:sz="4" w:space="0"/>
              <w:bottom w:val="single" w:color="000000" w:sz="4" w:space="0"/>
              <w:right w:val="single" w:color="000000" w:sz="4" w:space="0"/>
            </w:tcBorders>
            <w:vAlign w:val="center"/>
          </w:tcPr>
          <w:p w14:paraId="4DB00109">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color w:val="000000" w:themeColor="text1"/>
                <w:kern w:val="0"/>
                <w:szCs w:val="21"/>
                <w:lang w:bidi="ar"/>
                <w14:textFill>
                  <w14:solidFill>
                    <w14:schemeClr w14:val="tx1"/>
                  </w14:solidFill>
                </w14:textFill>
              </w:rPr>
              <w:t>5</w:t>
            </w:r>
          </w:p>
        </w:tc>
        <w:tc>
          <w:tcPr>
            <w:tcW w:w="952" w:type="pc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00137A46">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网络适配</w:t>
            </w:r>
          </w:p>
        </w:tc>
        <w:tc>
          <w:tcPr>
            <w:tcW w:w="3452" w:type="pct"/>
            <w:tcBorders>
              <w:top w:val="single" w:color="000000" w:sz="4" w:space="0"/>
              <w:left w:val="single" w:color="000000" w:sz="4" w:space="0"/>
              <w:bottom w:val="single" w:color="000000" w:sz="4" w:space="0"/>
              <w:right w:val="single" w:color="000000" w:sz="4" w:space="0"/>
            </w:tcBorders>
            <w:vAlign w:val="center"/>
          </w:tcPr>
          <w:p w14:paraId="1154E2EA">
            <w:pPr>
              <w:widowControl/>
              <w:snapToGrid w:val="0"/>
              <w:spacing w:line="360" w:lineRule="auto"/>
              <w:jc w:val="left"/>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依托科学计算专网及学校SDN环境运行，遵循采购人的IP地址及VLAN规划，保证跨校访问的网络连通与安全隔离。</w:t>
            </w:r>
          </w:p>
        </w:tc>
      </w:tr>
      <w:tr w14:paraId="2288C209">
        <w:tblPrEx>
          <w:tblCellMar>
            <w:top w:w="0" w:type="dxa"/>
            <w:left w:w="108" w:type="dxa"/>
            <w:bottom w:w="0" w:type="dxa"/>
            <w:right w:w="108" w:type="dxa"/>
          </w:tblCellMar>
        </w:tblPrEx>
        <w:trPr>
          <w:trHeight w:val="136" w:hRule="atLeast"/>
        </w:trPr>
        <w:tc>
          <w:tcPr>
            <w:tcW w:w="594" w:type="pct"/>
            <w:tcBorders>
              <w:top w:val="single" w:color="000000" w:sz="4" w:space="0"/>
              <w:left w:val="single" w:color="000000" w:sz="4" w:space="0"/>
              <w:bottom w:val="single" w:color="000000" w:sz="4" w:space="0"/>
              <w:right w:val="single" w:color="000000" w:sz="4" w:space="0"/>
            </w:tcBorders>
            <w:vAlign w:val="center"/>
          </w:tcPr>
          <w:p w14:paraId="746E2E5B">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color w:val="000000"/>
                <w:kern w:val="0"/>
                <w:szCs w:val="21"/>
                <w:lang w:bidi="ar"/>
              </w:rPr>
              <w:t>6</w:t>
            </w:r>
          </w:p>
        </w:tc>
        <w:tc>
          <w:tcPr>
            <w:tcW w:w="952" w:type="pc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DC589D1">
            <w:pPr>
              <w:widowControl/>
              <w:snapToGrid w:val="0"/>
              <w:spacing w:line="360" w:lineRule="auto"/>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szCs w:val="21"/>
              </w:rPr>
              <w:t>核心业务系统对接</w:t>
            </w:r>
          </w:p>
        </w:tc>
        <w:tc>
          <w:tcPr>
            <w:tcW w:w="3452" w:type="pct"/>
            <w:tcBorders>
              <w:top w:val="single" w:color="000000" w:sz="4" w:space="0"/>
              <w:left w:val="single" w:color="000000" w:sz="4" w:space="0"/>
              <w:bottom w:val="single" w:color="000000" w:sz="4" w:space="0"/>
              <w:right w:val="single" w:color="000000" w:sz="4" w:space="0"/>
            </w:tcBorders>
            <w:vAlign w:val="center"/>
          </w:tcPr>
          <w:p w14:paraId="4E443A32">
            <w:pPr>
              <w:widowControl/>
              <w:snapToGrid w:val="0"/>
              <w:spacing w:line="360" w:lineRule="auto"/>
              <w:jc w:val="left"/>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bCs/>
                <w:color w:val="000000"/>
                <w:szCs w:val="21"/>
              </w:rPr>
              <w:t>须与学校财务、请购、科研、教务、研究生系统对接，实现必要的数据交互与业务联动，具体对接内容及接口方案经采购人确认。</w:t>
            </w:r>
          </w:p>
        </w:tc>
      </w:tr>
    </w:tbl>
    <w:p w14:paraId="6C08AE26">
      <w:pPr>
        <w:spacing w:line="360" w:lineRule="auto"/>
        <w:ind w:firstLine="420"/>
        <w:rPr>
          <w:rFonts w:ascii="仿宋" w:hAnsi="仿宋" w:eastAsia="仿宋" w:cs="仿宋"/>
          <w:bCs/>
          <w:color w:val="000000" w:themeColor="text1"/>
          <w:sz w:val="24"/>
          <w14:textFill>
            <w14:solidFill>
              <w14:schemeClr w14:val="tx1"/>
            </w14:solidFill>
          </w14:textFill>
        </w:rPr>
      </w:pPr>
    </w:p>
    <w:p w14:paraId="3B54D569">
      <w:pPr>
        <w:pStyle w:val="3"/>
        <w:numPr>
          <w:ilvl w:val="0"/>
          <w:numId w:val="2"/>
        </w:numPr>
        <w:spacing w:line="360" w:lineRule="auto"/>
        <w:ind w:left="432" w:hanging="720"/>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技术要求</w:t>
      </w:r>
    </w:p>
    <w:p w14:paraId="0B336F58">
      <w:pPr>
        <w:spacing w:line="360" w:lineRule="auto"/>
        <w:ind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bCs/>
          <w:color w:val="000000" w:themeColor="text1"/>
          <w:sz w:val="24"/>
          <w14:textFill>
            <w14:solidFill>
              <w14:schemeClr w14:val="tx1"/>
            </w14:solidFill>
          </w14:textFill>
        </w:rPr>
        <w:t>本次招标中的集成服务涉及的各子系统，以及需要用到学校各业务系统数据、算力资源的平台，均须接入上海大学SSO统一身份认证，符合学校信息化标准规范和主数据管理要求，并与学校公共数据平台实现数据对接。</w:t>
      </w:r>
    </w:p>
    <w:p w14:paraId="6354D91F">
      <w:pPr>
        <w:spacing w:line="360" w:lineRule="auto"/>
        <w:rPr>
          <w:rFonts w:ascii="仿宋" w:hAnsi="仿宋" w:eastAsia="仿宋" w:cs="仿宋"/>
          <w:color w:val="000000" w:themeColor="text1"/>
          <w14:textFill>
            <w14:solidFill>
              <w14:schemeClr w14:val="tx1"/>
            </w14:solidFill>
          </w14:textFill>
        </w:rPr>
      </w:pPr>
    </w:p>
    <w:p w14:paraId="3EBAA5E4">
      <w:pPr>
        <w:pStyle w:val="4"/>
        <w:numPr>
          <w:ilvl w:val="1"/>
          <w:numId w:val="2"/>
        </w:numPr>
        <w:spacing w:line="360" w:lineRule="auto"/>
        <w:ind w:left="0" w:firstLine="0"/>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对接要求</w:t>
      </w:r>
    </w:p>
    <w:p w14:paraId="38B7BB75">
      <w:pPr>
        <w:widowControl/>
        <w:numPr>
          <w:ilvl w:val="0"/>
          <w:numId w:val="3"/>
        </w:numPr>
        <w:spacing w:line="360" w:lineRule="auto"/>
        <w:jc w:val="left"/>
        <w:rPr>
          <w:rFonts w:ascii="仿宋" w:hAnsi="仿宋" w:eastAsia="仿宋" w:cs="仿宋"/>
          <w:color w:val="000000" w:themeColor="text1"/>
          <w:sz w:val="24"/>
          <w:szCs w:val="32"/>
          <w14:textFill>
            <w14:solidFill>
              <w14:schemeClr w14:val="tx1"/>
            </w14:solidFill>
          </w14:textFill>
        </w:rPr>
      </w:pPr>
      <w:r>
        <w:rPr>
          <w:rFonts w:hint="eastAsia" w:ascii="仿宋" w:hAnsi="仿宋" w:eastAsia="仿宋" w:cs="仿宋"/>
          <w:color w:val="000000" w:themeColor="text1"/>
          <w:sz w:val="24"/>
          <w:szCs w:val="32"/>
          <w14:textFill>
            <w14:solidFill>
              <w14:schemeClr w14:val="tx1"/>
            </w14:solidFill>
          </w14:textFill>
        </w:rPr>
        <w:t>与上海大学企业微信实现对接</w:t>
      </w:r>
    </w:p>
    <w:p w14:paraId="45A714A3">
      <w:pPr>
        <w:widowControl/>
        <w:numPr>
          <w:ilvl w:val="0"/>
          <w:numId w:val="3"/>
        </w:numPr>
        <w:spacing w:line="360" w:lineRule="auto"/>
        <w:jc w:val="left"/>
        <w:rPr>
          <w:rFonts w:ascii="仿宋" w:hAnsi="仿宋" w:eastAsia="仿宋" w:cs="仿宋"/>
          <w:color w:val="000000" w:themeColor="text1"/>
          <w:sz w:val="24"/>
          <w:szCs w:val="32"/>
          <w14:textFill>
            <w14:solidFill>
              <w14:schemeClr w14:val="tx1"/>
            </w14:solidFill>
          </w14:textFill>
        </w:rPr>
      </w:pPr>
      <w:r>
        <w:rPr>
          <w:rFonts w:hint="eastAsia" w:ascii="仿宋" w:hAnsi="仿宋" w:eastAsia="仿宋" w:cs="仿宋"/>
          <w:color w:val="000000" w:themeColor="text1"/>
          <w:sz w:val="24"/>
          <w:szCs w:val="32"/>
          <w14:textFill>
            <w14:solidFill>
              <w14:schemeClr w14:val="tx1"/>
            </w14:solidFill>
          </w14:textFill>
        </w:rPr>
        <w:t>与上海大学统一身份认证平台实现对接，支持单点登录</w:t>
      </w:r>
    </w:p>
    <w:p w14:paraId="6B04EAC7">
      <w:pPr>
        <w:widowControl/>
        <w:numPr>
          <w:ilvl w:val="0"/>
          <w:numId w:val="3"/>
        </w:numPr>
        <w:spacing w:line="360" w:lineRule="auto"/>
        <w:jc w:val="left"/>
        <w:rPr>
          <w:rFonts w:ascii="仿宋" w:hAnsi="仿宋" w:eastAsia="仿宋" w:cs="仿宋"/>
          <w:color w:val="000000" w:themeColor="text1"/>
          <w:sz w:val="24"/>
          <w:szCs w:val="32"/>
          <w14:textFill>
            <w14:solidFill>
              <w14:schemeClr w14:val="tx1"/>
            </w14:solidFill>
          </w14:textFill>
        </w:rPr>
      </w:pPr>
      <w:r>
        <w:rPr>
          <w:rFonts w:hint="eastAsia" w:ascii="仿宋" w:hAnsi="仿宋" w:eastAsia="仿宋" w:cs="仿宋"/>
          <w:color w:val="000000" w:themeColor="text1"/>
          <w:sz w:val="24"/>
          <w:szCs w:val="32"/>
          <w14:textFill>
            <w14:solidFill>
              <w14:schemeClr w14:val="tx1"/>
            </w14:solidFill>
          </w14:textFill>
        </w:rPr>
        <w:t>与上海大学公共数据平台（数据中台）及统一门户实现对接</w:t>
      </w:r>
    </w:p>
    <w:p w14:paraId="302A0A6F">
      <w:pPr>
        <w:widowControl/>
        <w:numPr>
          <w:ilvl w:val="0"/>
          <w:numId w:val="3"/>
        </w:numPr>
        <w:spacing w:line="360" w:lineRule="auto"/>
        <w:jc w:val="left"/>
        <w:rPr>
          <w:rFonts w:ascii="仿宋" w:hAnsi="仿宋" w:eastAsia="仿宋" w:cs="仿宋"/>
          <w:color w:val="000000" w:themeColor="text1"/>
          <w:sz w:val="24"/>
          <w:szCs w:val="32"/>
          <w14:textFill>
            <w14:solidFill>
              <w14:schemeClr w14:val="tx1"/>
            </w14:solidFill>
          </w14:textFill>
        </w:rPr>
      </w:pPr>
      <w:r>
        <w:rPr>
          <w:rFonts w:hint="eastAsia" w:ascii="仿宋" w:hAnsi="仿宋" w:eastAsia="仿宋" w:cs="仿宋"/>
          <w:color w:val="000000" w:themeColor="text1"/>
          <w:sz w:val="24"/>
          <w:szCs w:val="32"/>
          <w14:textFill>
            <w14:solidFill>
              <w14:schemeClr w14:val="tx1"/>
            </w14:solidFill>
          </w14:textFill>
        </w:rPr>
        <w:t>涉及硬件的子系统须与学校SDN软件定义网络架构兼容，遵循采购人的IP地址及VLAN规划；涉及AI应用的子系统须优先调用千学百科大模型校内本地应用能力</w:t>
      </w:r>
    </w:p>
    <w:p w14:paraId="05850314">
      <w:pPr>
        <w:widowControl/>
        <w:numPr>
          <w:ilvl w:val="0"/>
          <w:numId w:val="3"/>
        </w:numPr>
        <w:spacing w:line="360" w:lineRule="auto"/>
        <w:jc w:val="left"/>
        <w:rPr>
          <w:rFonts w:ascii="仿宋" w:hAnsi="仿宋" w:eastAsia="仿宋" w:cs="仿宋"/>
          <w:color w:val="000000" w:themeColor="text1"/>
          <w:sz w:val="24"/>
          <w:szCs w:val="32"/>
          <w14:textFill>
            <w14:solidFill>
              <w14:schemeClr w14:val="tx1"/>
            </w14:solidFill>
          </w14:textFill>
        </w:rPr>
      </w:pPr>
      <w:r>
        <w:rPr>
          <w:rFonts w:hint="eastAsia" w:ascii="仿宋" w:hAnsi="仿宋" w:eastAsia="仿宋" w:cs="仿宋"/>
          <w:color w:val="000000" w:themeColor="text1"/>
          <w:sz w:val="24"/>
          <w:szCs w:val="32"/>
          <w14:textFill>
            <w14:solidFill>
              <w14:schemeClr w14:val="tx1"/>
            </w14:solidFill>
          </w14:textFill>
        </w:rPr>
        <w:t>提供开放的接口，允许新业务系统将来与其他系统的对接；软件系统部分要具有全X</w:t>
      </w:r>
      <w:r>
        <w:rPr>
          <w:rFonts w:ascii="仿宋" w:hAnsi="仿宋" w:eastAsia="仿宋" w:cs="仿宋"/>
          <w:color w:val="000000" w:themeColor="text1"/>
          <w:sz w:val="24"/>
          <w:szCs w:val="32"/>
          <w14:textFill>
            <w14:solidFill>
              <w14:schemeClr w14:val="tx1"/>
            </w14:solidFill>
          </w14:textFill>
        </w:rPr>
        <w:t>C</w:t>
      </w:r>
      <w:r>
        <w:rPr>
          <w:rFonts w:hint="eastAsia" w:ascii="仿宋" w:hAnsi="仿宋" w:eastAsia="仿宋" w:cs="仿宋"/>
          <w:color w:val="000000" w:themeColor="text1"/>
          <w:sz w:val="24"/>
          <w:szCs w:val="32"/>
          <w14:textFill>
            <w14:solidFill>
              <w14:schemeClr w14:val="tx1"/>
            </w14:solidFill>
          </w14:textFill>
        </w:rPr>
        <w:t>适配，须支持国密环境</w:t>
      </w:r>
    </w:p>
    <w:p w14:paraId="79EE481F">
      <w:pPr>
        <w:pStyle w:val="4"/>
        <w:numPr>
          <w:ilvl w:val="1"/>
          <w:numId w:val="2"/>
        </w:numPr>
        <w:spacing w:line="360" w:lineRule="auto"/>
        <w:ind w:left="0" w:firstLine="0"/>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系统性能要求</w:t>
      </w:r>
    </w:p>
    <w:p w14:paraId="6B2AAE8A">
      <w:pPr>
        <w:pStyle w:val="8"/>
        <w:ind w:firstLine="0" w:firstLineChars="0"/>
        <w:rPr>
          <w:rFonts w:ascii="仿宋" w:hAnsi="仿宋" w:eastAsia="仿宋" w:cs="仿宋"/>
          <w:color w:val="000000" w:themeColor="text1"/>
          <w:sz w:val="24"/>
          <w:szCs w:val="32"/>
          <w14:textFill>
            <w14:solidFill>
              <w14:schemeClr w14:val="tx1"/>
            </w14:solidFill>
          </w14:textFill>
        </w:rPr>
      </w:pPr>
      <w:r>
        <w:rPr>
          <w:rFonts w:hint="eastAsia" w:ascii="仿宋" w:hAnsi="仿宋" w:eastAsia="仿宋" w:cs="仿宋"/>
          <w:color w:val="000000" w:themeColor="text1"/>
          <w:sz w:val="24"/>
          <w:szCs w:val="32"/>
          <w14:textFill>
            <w14:solidFill>
              <w14:schemeClr w14:val="tx1"/>
            </w14:solidFill>
          </w14:textFill>
        </w:rPr>
        <w:t>系统完成后达到以下性能要求：</w:t>
      </w:r>
    </w:p>
    <w:p w14:paraId="4105FAF8">
      <w:pPr>
        <w:widowControl/>
        <w:numPr>
          <w:ilvl w:val="0"/>
          <w:numId w:val="4"/>
        </w:numPr>
        <w:spacing w:line="360" w:lineRule="auto"/>
        <w:ind w:left="720" w:hanging="720"/>
        <w:jc w:val="left"/>
        <w:rPr>
          <w:rFonts w:ascii="仿宋" w:hAnsi="仿宋" w:eastAsia="仿宋" w:cs="仿宋"/>
          <w:b/>
          <w:bCs/>
          <w:color w:val="000000" w:themeColor="text1"/>
          <w:sz w:val="24"/>
          <w:szCs w:val="32"/>
          <w14:textFill>
            <w14:solidFill>
              <w14:schemeClr w14:val="tx1"/>
            </w14:solidFill>
          </w14:textFill>
        </w:rPr>
      </w:pPr>
      <w:r>
        <w:rPr>
          <w:rFonts w:hint="eastAsia" w:ascii="仿宋" w:hAnsi="仿宋" w:eastAsia="仿宋" w:cs="仿宋"/>
          <w:b/>
          <w:bCs/>
          <w:color w:val="000000" w:themeColor="text1"/>
          <w:sz w:val="24"/>
          <w:szCs w:val="32"/>
          <w14:textFill>
            <w14:solidFill>
              <w14:schemeClr w14:val="tx1"/>
            </w14:solidFill>
          </w14:textFill>
        </w:rPr>
        <w:t>易于理解和使用</w:t>
      </w:r>
    </w:p>
    <w:p w14:paraId="1BE2AF68">
      <w:pPr>
        <w:spacing w:line="360" w:lineRule="auto"/>
        <w:ind w:firstLine="480" w:firstLineChars="200"/>
        <w:rPr>
          <w:rFonts w:ascii="仿宋" w:hAnsi="仿宋" w:eastAsia="仿宋" w:cs="仿宋"/>
          <w:color w:val="000000" w:themeColor="text1"/>
          <w:sz w:val="24"/>
          <w:szCs w:val="32"/>
          <w14:textFill>
            <w14:solidFill>
              <w14:schemeClr w14:val="tx1"/>
            </w14:solidFill>
          </w14:textFill>
        </w:rPr>
      </w:pPr>
      <w:r>
        <w:rPr>
          <w:rFonts w:hint="eastAsia" w:ascii="仿宋" w:hAnsi="仿宋" w:eastAsia="仿宋" w:cs="仿宋"/>
          <w:color w:val="000000" w:themeColor="text1"/>
          <w:sz w:val="24"/>
          <w:szCs w:val="32"/>
          <w14:textFill>
            <w14:solidFill>
              <w14:schemeClr w14:val="tx1"/>
            </w14:solidFill>
          </w14:textFill>
        </w:rPr>
        <w:t>没有任何多余的复杂选项，界面友好简单，容易上手，省时高效。</w:t>
      </w:r>
    </w:p>
    <w:p w14:paraId="2D0C7C6D">
      <w:pPr>
        <w:widowControl/>
        <w:numPr>
          <w:ilvl w:val="0"/>
          <w:numId w:val="4"/>
        </w:numPr>
        <w:spacing w:line="360" w:lineRule="auto"/>
        <w:ind w:left="720" w:hanging="720"/>
        <w:jc w:val="left"/>
        <w:rPr>
          <w:rFonts w:ascii="仿宋" w:hAnsi="仿宋" w:eastAsia="仿宋" w:cs="仿宋"/>
          <w:b/>
          <w:bCs/>
          <w:color w:val="000000" w:themeColor="text1"/>
          <w:sz w:val="24"/>
          <w:szCs w:val="32"/>
          <w14:textFill>
            <w14:solidFill>
              <w14:schemeClr w14:val="tx1"/>
            </w14:solidFill>
          </w14:textFill>
        </w:rPr>
      </w:pPr>
      <w:r>
        <w:rPr>
          <w:rFonts w:hint="eastAsia" w:ascii="仿宋" w:hAnsi="仿宋" w:eastAsia="仿宋" w:cs="仿宋"/>
          <w:b/>
          <w:bCs/>
          <w:color w:val="000000" w:themeColor="text1"/>
          <w:sz w:val="24"/>
          <w:szCs w:val="32"/>
          <w14:textFill>
            <w14:solidFill>
              <w14:schemeClr w14:val="tx1"/>
            </w14:solidFill>
          </w14:textFill>
        </w:rPr>
        <w:t>系统可拓展性强</w:t>
      </w:r>
    </w:p>
    <w:p w14:paraId="57F76FBE">
      <w:pPr>
        <w:spacing w:line="360" w:lineRule="auto"/>
        <w:ind w:firstLine="480" w:firstLineChars="200"/>
        <w:rPr>
          <w:rFonts w:ascii="仿宋" w:hAnsi="仿宋" w:eastAsia="仿宋" w:cs="仿宋"/>
          <w:color w:val="000000" w:themeColor="text1"/>
          <w:sz w:val="24"/>
          <w:szCs w:val="32"/>
          <w14:textFill>
            <w14:solidFill>
              <w14:schemeClr w14:val="tx1"/>
            </w14:solidFill>
          </w14:textFill>
        </w:rPr>
      </w:pPr>
      <w:r>
        <w:rPr>
          <w:rFonts w:hint="eastAsia" w:ascii="仿宋" w:hAnsi="仿宋" w:eastAsia="仿宋" w:cs="仿宋"/>
          <w:color w:val="000000" w:themeColor="text1"/>
          <w:sz w:val="24"/>
          <w:szCs w:val="32"/>
          <w14:textFill>
            <w14:solidFill>
              <w14:schemeClr w14:val="tx1"/>
            </w14:solidFill>
          </w14:textFill>
        </w:rPr>
        <w:t>考虑到系统将来有功能拓展的可能，对目前功能设计时做好可拓展性预留。</w:t>
      </w:r>
    </w:p>
    <w:p w14:paraId="7EA8E5C1">
      <w:pPr>
        <w:widowControl/>
        <w:numPr>
          <w:ilvl w:val="0"/>
          <w:numId w:val="4"/>
        </w:numPr>
        <w:spacing w:line="360" w:lineRule="auto"/>
        <w:ind w:left="720" w:hanging="720"/>
        <w:jc w:val="left"/>
        <w:rPr>
          <w:rFonts w:ascii="仿宋" w:hAnsi="仿宋" w:eastAsia="仿宋" w:cs="仿宋"/>
          <w:b/>
          <w:bCs/>
          <w:color w:val="000000" w:themeColor="text1"/>
          <w:sz w:val="24"/>
          <w:szCs w:val="32"/>
          <w14:textFill>
            <w14:solidFill>
              <w14:schemeClr w14:val="tx1"/>
            </w14:solidFill>
          </w14:textFill>
        </w:rPr>
      </w:pPr>
      <w:r>
        <w:rPr>
          <w:rFonts w:hint="eastAsia" w:ascii="仿宋" w:hAnsi="仿宋" w:eastAsia="仿宋" w:cs="仿宋"/>
          <w:b/>
          <w:bCs/>
          <w:color w:val="000000" w:themeColor="text1"/>
          <w:sz w:val="24"/>
          <w:szCs w:val="32"/>
          <w14:textFill>
            <w14:solidFill>
              <w14:schemeClr w14:val="tx1"/>
            </w14:solidFill>
          </w14:textFill>
        </w:rPr>
        <w:t>性能和响应速度要求</w:t>
      </w:r>
    </w:p>
    <w:p w14:paraId="0EDB9644">
      <w:pPr>
        <w:spacing w:line="360" w:lineRule="auto"/>
        <w:ind w:firstLine="480" w:firstLineChars="200"/>
        <w:rPr>
          <w:rFonts w:ascii="仿宋" w:hAnsi="仿宋" w:eastAsia="仿宋" w:cs="仿宋"/>
          <w:color w:val="000000" w:themeColor="text1"/>
          <w:sz w:val="24"/>
          <w:szCs w:val="32"/>
          <w14:textFill>
            <w14:solidFill>
              <w14:schemeClr w14:val="tx1"/>
            </w14:solidFill>
          </w14:textFill>
        </w:rPr>
      </w:pPr>
      <w:r>
        <w:rPr>
          <w:rFonts w:hint="eastAsia" w:ascii="仿宋" w:hAnsi="仿宋" w:eastAsia="仿宋" w:cs="仿宋"/>
          <w:color w:val="000000" w:themeColor="text1"/>
          <w:sz w:val="24"/>
          <w:szCs w:val="32"/>
          <w14:textFill>
            <w14:solidFill>
              <w14:schemeClr w14:val="tx1"/>
            </w14:solidFill>
          </w14:textFill>
        </w:rPr>
        <w:t>集成后各子系统核心页面首屏平均加载时间不超过3秒，接口调用平均响应时间不超过2秒（在采购人确认的并发用户数条件下测试），并提供性能测试报告。</w:t>
      </w:r>
    </w:p>
    <w:p w14:paraId="59833563">
      <w:pPr>
        <w:widowControl/>
        <w:numPr>
          <w:ilvl w:val="0"/>
          <w:numId w:val="4"/>
        </w:numPr>
        <w:spacing w:line="360" w:lineRule="auto"/>
        <w:ind w:left="720" w:hanging="720"/>
        <w:jc w:val="left"/>
        <w:rPr>
          <w:rFonts w:ascii="仿宋" w:hAnsi="仿宋" w:eastAsia="仿宋" w:cs="仿宋"/>
          <w:b/>
          <w:bCs/>
          <w:color w:val="000000" w:themeColor="text1"/>
          <w:sz w:val="24"/>
          <w:szCs w:val="32"/>
          <w14:textFill>
            <w14:solidFill>
              <w14:schemeClr w14:val="tx1"/>
            </w14:solidFill>
          </w14:textFill>
        </w:rPr>
      </w:pPr>
      <w:r>
        <w:rPr>
          <w:rFonts w:hint="eastAsia" w:ascii="仿宋" w:hAnsi="仿宋" w:eastAsia="仿宋" w:cs="仿宋"/>
          <w:b/>
          <w:bCs/>
          <w:color w:val="000000" w:themeColor="text1"/>
          <w:sz w:val="24"/>
          <w:szCs w:val="32"/>
          <w14:textFill>
            <w14:solidFill>
              <w14:schemeClr w14:val="tx1"/>
            </w14:solidFill>
          </w14:textFill>
        </w:rPr>
        <w:t>集成与数据对接能力</w:t>
      </w:r>
    </w:p>
    <w:p w14:paraId="3361384A">
      <w:pPr>
        <w:spacing w:line="360" w:lineRule="auto"/>
        <w:ind w:firstLine="480" w:firstLineChars="200"/>
        <w:rPr>
          <w:rFonts w:ascii="仿宋" w:hAnsi="仿宋" w:eastAsia="仿宋" w:cs="仿宋"/>
          <w:color w:val="000000" w:themeColor="text1"/>
          <w:sz w:val="24"/>
          <w:szCs w:val="32"/>
          <w14:textFill>
            <w14:solidFill>
              <w14:schemeClr w14:val="tx1"/>
            </w14:solidFill>
          </w14:textFill>
        </w:rPr>
      </w:pPr>
      <w:r>
        <w:rPr>
          <w:rFonts w:hint="eastAsia" w:ascii="仿宋" w:hAnsi="仿宋" w:eastAsia="仿宋" w:cs="仿宋"/>
          <w:color w:val="000000" w:themeColor="text1"/>
          <w:sz w:val="24"/>
          <w:szCs w:val="32"/>
          <w14:textFill>
            <w14:solidFill>
              <w14:schemeClr w14:val="tx1"/>
            </w14:solidFill>
          </w14:textFill>
        </w:rPr>
        <w:t>各子系统产生的业务数据须实时同步至公共数据平台，并可按需调用平台共享数据，实现跨系统数据联动；全部子系统通过统一身份认证入口登录，支持单点登录，避免重复认证。</w:t>
      </w:r>
    </w:p>
    <w:p w14:paraId="04577548">
      <w:pPr>
        <w:widowControl/>
        <w:numPr>
          <w:ilvl w:val="0"/>
          <w:numId w:val="4"/>
        </w:numPr>
        <w:spacing w:line="360" w:lineRule="auto"/>
        <w:ind w:left="720" w:hanging="720"/>
        <w:jc w:val="left"/>
        <w:rPr>
          <w:rFonts w:ascii="仿宋" w:hAnsi="仿宋" w:eastAsia="仿宋" w:cs="仿宋"/>
          <w:b/>
          <w:bCs/>
          <w:color w:val="000000" w:themeColor="text1"/>
          <w:sz w:val="24"/>
          <w:szCs w:val="32"/>
          <w14:textFill>
            <w14:solidFill>
              <w14:schemeClr w14:val="tx1"/>
            </w14:solidFill>
          </w14:textFill>
        </w:rPr>
      </w:pPr>
      <w:r>
        <w:rPr>
          <w:rFonts w:hint="eastAsia" w:ascii="仿宋" w:hAnsi="仿宋" w:eastAsia="仿宋" w:cs="仿宋"/>
          <w:b/>
          <w:bCs/>
          <w:color w:val="000000" w:themeColor="text1"/>
          <w:sz w:val="24"/>
          <w:szCs w:val="32"/>
          <w14:textFill>
            <w14:solidFill>
              <w14:schemeClr w14:val="tx1"/>
            </w14:solidFill>
          </w14:textFill>
        </w:rPr>
        <w:t>大模型与X</w:t>
      </w:r>
      <w:r>
        <w:rPr>
          <w:rFonts w:ascii="仿宋" w:hAnsi="仿宋" w:eastAsia="仿宋" w:cs="仿宋"/>
          <w:b/>
          <w:bCs/>
          <w:color w:val="000000" w:themeColor="text1"/>
          <w:sz w:val="24"/>
          <w:szCs w:val="32"/>
          <w14:textFill>
            <w14:solidFill>
              <w14:schemeClr w14:val="tx1"/>
            </w14:solidFill>
          </w14:textFill>
        </w:rPr>
        <w:t>C</w:t>
      </w:r>
      <w:r>
        <w:rPr>
          <w:rFonts w:hint="eastAsia" w:ascii="仿宋" w:hAnsi="仿宋" w:eastAsia="仿宋" w:cs="仿宋"/>
          <w:b/>
          <w:bCs/>
          <w:color w:val="000000" w:themeColor="text1"/>
          <w:sz w:val="24"/>
          <w:szCs w:val="32"/>
          <w14:textFill>
            <w14:solidFill>
              <w14:schemeClr w14:val="tx1"/>
            </w14:solidFill>
          </w14:textFill>
        </w:rPr>
        <w:t>适配能力</w:t>
      </w:r>
    </w:p>
    <w:p w14:paraId="07AF093D">
      <w:pPr>
        <w:spacing w:line="360" w:lineRule="auto"/>
        <w:ind w:firstLine="480" w:firstLineChars="200"/>
        <w:rPr>
          <w:rFonts w:ascii="仿宋" w:hAnsi="仿宋" w:eastAsia="仿宋" w:cs="仿宋"/>
          <w:color w:val="000000" w:themeColor="text1"/>
          <w:sz w:val="24"/>
          <w:szCs w:val="32"/>
          <w14:textFill>
            <w14:solidFill>
              <w14:schemeClr w14:val="tx1"/>
            </w14:solidFill>
          </w14:textFill>
        </w:rPr>
      </w:pPr>
      <w:r>
        <w:rPr>
          <w:rFonts w:hint="eastAsia" w:ascii="仿宋" w:hAnsi="仿宋" w:eastAsia="仿宋" w:cs="仿宋"/>
          <w:color w:val="000000" w:themeColor="text1"/>
          <w:sz w:val="24"/>
          <w:szCs w:val="32"/>
          <w14:textFill>
            <w14:solidFill>
              <w14:schemeClr w14:val="tx1"/>
            </w14:solidFill>
          </w14:textFill>
        </w:rPr>
        <w:t>完成不少于3个大模型的部署、不少于20万条语料的标注及模型微调（抽检准确率不低于95%）；完成3个项目的教育部X</w:t>
      </w:r>
      <w:r>
        <w:rPr>
          <w:rFonts w:ascii="仿宋" w:hAnsi="仿宋" w:eastAsia="仿宋" w:cs="仿宋"/>
          <w:color w:val="000000" w:themeColor="text1"/>
          <w:sz w:val="24"/>
          <w:szCs w:val="32"/>
          <w14:textFill>
            <w14:solidFill>
              <w14:schemeClr w14:val="tx1"/>
            </w14:solidFill>
          </w14:textFill>
        </w:rPr>
        <w:t>C</w:t>
      </w:r>
      <w:r>
        <w:rPr>
          <w:rFonts w:hint="eastAsia" w:ascii="仿宋" w:hAnsi="仿宋" w:eastAsia="仿宋" w:cs="仿宋"/>
          <w:color w:val="000000" w:themeColor="text1"/>
          <w:sz w:val="24"/>
          <w:szCs w:val="32"/>
          <w14:textFill>
            <w14:solidFill>
              <w14:schemeClr w14:val="tx1"/>
            </w14:solidFill>
          </w14:textFill>
        </w:rPr>
        <w:t>适配。</w:t>
      </w:r>
    </w:p>
    <w:p w14:paraId="376C7F18">
      <w:pPr>
        <w:widowControl/>
        <w:numPr>
          <w:ilvl w:val="0"/>
          <w:numId w:val="4"/>
        </w:numPr>
        <w:spacing w:line="360" w:lineRule="auto"/>
        <w:ind w:left="720" w:hanging="720"/>
        <w:jc w:val="left"/>
        <w:rPr>
          <w:rFonts w:ascii="仿宋" w:hAnsi="仿宋" w:eastAsia="仿宋" w:cs="仿宋"/>
          <w:b/>
          <w:bCs/>
          <w:color w:val="000000" w:themeColor="text1"/>
          <w:sz w:val="24"/>
          <w:szCs w:val="32"/>
          <w14:textFill>
            <w14:solidFill>
              <w14:schemeClr w14:val="tx1"/>
            </w14:solidFill>
          </w14:textFill>
        </w:rPr>
      </w:pPr>
      <w:r>
        <w:rPr>
          <w:rFonts w:hint="eastAsia" w:ascii="仿宋" w:hAnsi="仿宋" w:eastAsia="仿宋" w:cs="仿宋"/>
          <w:b/>
          <w:bCs/>
          <w:color w:val="000000" w:themeColor="text1"/>
          <w:sz w:val="24"/>
          <w:szCs w:val="32"/>
          <w14:textFill>
            <w14:solidFill>
              <w14:schemeClr w14:val="tx1"/>
            </w14:solidFill>
          </w14:textFill>
        </w:rPr>
        <w:t>安全性</w:t>
      </w:r>
    </w:p>
    <w:p w14:paraId="289B4652">
      <w:pPr>
        <w:spacing w:line="360" w:lineRule="auto"/>
        <w:ind w:firstLine="480" w:firstLineChars="200"/>
        <w:rPr>
          <w:rFonts w:ascii="仿宋" w:hAnsi="仿宋" w:eastAsia="仿宋" w:cs="仿宋"/>
          <w:color w:val="000000" w:themeColor="text1"/>
          <w:sz w:val="24"/>
          <w:szCs w:val="32"/>
          <w14:textFill>
            <w14:solidFill>
              <w14:schemeClr w14:val="tx1"/>
            </w14:solidFill>
          </w14:textFill>
        </w:rPr>
      </w:pPr>
      <w:r>
        <w:rPr>
          <w:rFonts w:hint="eastAsia" w:ascii="仿宋" w:hAnsi="仿宋" w:eastAsia="仿宋" w:cs="仿宋"/>
          <w:color w:val="000000" w:themeColor="text1"/>
          <w:sz w:val="24"/>
          <w:szCs w:val="32"/>
          <w14:textFill>
            <w14:solidFill>
              <w14:schemeClr w14:val="tx1"/>
            </w14:solidFill>
          </w14:textFill>
        </w:rPr>
        <w:t>本项目按照行政事业单位以及高校信息化的安全标准进行建设；在数据采集、传输、存储等环节实现全流程管控，符合隐私保护要求；验收前须提供具备CMA/CNAS资质或网络安全等级保护测评资质的第三方机构出具的信息安全监测（测评）报告，监测费用包含在项目费用中。</w:t>
      </w:r>
    </w:p>
    <w:p w14:paraId="6785D356">
      <w:pPr>
        <w:widowControl/>
        <w:numPr>
          <w:ilvl w:val="0"/>
          <w:numId w:val="4"/>
        </w:numPr>
        <w:spacing w:line="360" w:lineRule="auto"/>
        <w:ind w:left="720" w:hanging="720"/>
        <w:jc w:val="left"/>
        <w:rPr>
          <w:rFonts w:ascii="仿宋" w:hAnsi="仿宋" w:eastAsia="仿宋" w:cs="仿宋"/>
          <w:b/>
          <w:bCs/>
          <w:color w:val="000000" w:themeColor="text1"/>
          <w:sz w:val="24"/>
          <w:szCs w:val="32"/>
          <w14:textFill>
            <w14:solidFill>
              <w14:schemeClr w14:val="tx1"/>
            </w14:solidFill>
          </w14:textFill>
        </w:rPr>
      </w:pPr>
      <w:r>
        <w:rPr>
          <w:rFonts w:hint="eastAsia" w:ascii="仿宋" w:hAnsi="仿宋" w:eastAsia="仿宋" w:cs="仿宋"/>
          <w:b/>
          <w:bCs/>
          <w:color w:val="000000" w:themeColor="text1"/>
          <w:sz w:val="24"/>
          <w:szCs w:val="32"/>
          <w14:textFill>
            <w14:solidFill>
              <w14:schemeClr w14:val="tx1"/>
            </w14:solidFill>
          </w14:textFill>
        </w:rPr>
        <w:t>注重网络标准</w:t>
      </w:r>
    </w:p>
    <w:p w14:paraId="5CD10BCE">
      <w:pPr>
        <w:spacing w:line="360" w:lineRule="auto"/>
        <w:ind w:firstLine="480" w:firstLineChars="200"/>
        <w:rPr>
          <w:rFonts w:ascii="仿宋" w:hAnsi="仿宋" w:eastAsia="仿宋" w:cs="仿宋"/>
          <w:color w:val="000000" w:themeColor="text1"/>
          <w:sz w:val="24"/>
          <w:szCs w:val="32"/>
          <w14:textFill>
            <w14:solidFill>
              <w14:schemeClr w14:val="tx1"/>
            </w14:solidFill>
          </w14:textFill>
        </w:rPr>
      </w:pPr>
      <w:r>
        <w:rPr>
          <w:rFonts w:hint="eastAsia" w:ascii="仿宋" w:hAnsi="仿宋" w:eastAsia="仿宋" w:cs="仿宋"/>
          <w:color w:val="000000" w:themeColor="text1"/>
          <w:sz w:val="24"/>
          <w:szCs w:val="32"/>
          <w14:textFill>
            <w14:solidFill>
              <w14:schemeClr w14:val="tx1"/>
            </w14:solidFill>
          </w14:textFill>
        </w:rPr>
        <w:t>遵循IPv4/IPv6双栈及HTTP/HTTPS等国家和行业通用网络标准，支持主流浏览器（Chrome、Edge、Firefox最新版本及前两个版本）及国产浏览器访问。</w:t>
      </w:r>
    </w:p>
    <w:p w14:paraId="3D9D531B">
      <w:pPr>
        <w:pStyle w:val="3"/>
        <w:numPr>
          <w:ilvl w:val="0"/>
          <w:numId w:val="2"/>
        </w:numPr>
        <w:spacing w:line="360" w:lineRule="auto"/>
        <w:ind w:left="12" w:hanging="12"/>
        <w:rPr>
          <w:rFonts w:ascii="仿宋" w:hAnsi="仿宋" w:eastAsia="仿宋" w:cs="仿宋"/>
          <w:color w:val="000000" w:themeColor="text1"/>
          <w14:textFill>
            <w14:solidFill>
              <w14:schemeClr w14:val="tx1"/>
            </w14:solidFill>
          </w14:textFill>
        </w:rPr>
      </w:pPr>
      <w:bookmarkStart w:id="0" w:name="_Toc20594"/>
      <w:bookmarkStart w:id="1" w:name="_Toc655"/>
      <w:r>
        <w:rPr>
          <w:rFonts w:hint="eastAsia" w:ascii="仿宋" w:hAnsi="仿宋" w:eastAsia="仿宋" w:cs="仿宋"/>
          <w:color w:val="000000" w:themeColor="text1"/>
          <w14:textFill>
            <w14:solidFill>
              <w14:schemeClr w14:val="tx1"/>
            </w14:solidFill>
          </w14:textFill>
        </w:rPr>
        <w:t>项目实施的要求</w:t>
      </w:r>
      <w:bookmarkEnd w:id="0"/>
      <w:bookmarkEnd w:id="1"/>
    </w:p>
    <w:p w14:paraId="4E74580B">
      <w:pPr>
        <w:pStyle w:val="4"/>
        <w:numPr>
          <w:ilvl w:val="1"/>
          <w:numId w:val="2"/>
        </w:numPr>
        <w:spacing w:line="360" w:lineRule="auto"/>
        <w:ind w:left="0" w:firstLine="0"/>
        <w:rPr>
          <w:rFonts w:ascii="仿宋" w:hAnsi="仿宋" w:eastAsia="仿宋" w:cs="仿宋"/>
          <w:color w:val="000000" w:themeColor="text1"/>
          <w14:textFill>
            <w14:solidFill>
              <w14:schemeClr w14:val="tx1"/>
            </w14:solidFill>
          </w14:textFill>
        </w:rPr>
      </w:pPr>
      <w:bookmarkStart w:id="2" w:name="_Toc6154"/>
      <w:bookmarkStart w:id="3" w:name="_Toc20706"/>
      <w:r>
        <w:rPr>
          <w:rFonts w:hint="eastAsia" w:ascii="仿宋" w:hAnsi="仿宋" w:eastAsia="仿宋" w:cs="仿宋"/>
          <w:color w:val="000000" w:themeColor="text1"/>
          <w14:textFill>
            <w14:solidFill>
              <w14:schemeClr w14:val="tx1"/>
            </w14:solidFill>
          </w14:textFill>
        </w:rPr>
        <w:t>项目管理要求</w:t>
      </w:r>
      <w:bookmarkEnd w:id="2"/>
      <w:bookmarkEnd w:id="3"/>
    </w:p>
    <w:p w14:paraId="35B8C3C5">
      <w:pPr>
        <w:spacing w:line="360" w:lineRule="auto"/>
        <w:ind w:firstLine="600" w:firstLineChars="250"/>
        <w:rPr>
          <w:rFonts w:ascii="仿宋" w:hAnsi="仿宋" w:eastAsia="仿宋" w:cs="仿宋"/>
          <w:color w:val="000000" w:themeColor="text1"/>
          <w:sz w:val="24"/>
          <w:szCs w:val="32"/>
          <w14:textFill>
            <w14:solidFill>
              <w14:schemeClr w14:val="tx1"/>
            </w14:solidFill>
          </w14:textFill>
        </w:rPr>
      </w:pPr>
      <w:r>
        <w:rPr>
          <w:rFonts w:hint="eastAsia" w:ascii="仿宋" w:hAnsi="仿宋" w:eastAsia="仿宋" w:cs="仿宋"/>
          <w:color w:val="000000" w:themeColor="text1"/>
          <w:sz w:val="24"/>
          <w:szCs w:val="32"/>
          <w14:textFill>
            <w14:solidFill>
              <w14:schemeClr w14:val="tx1"/>
            </w14:solidFill>
          </w14:textFill>
        </w:rPr>
        <w:t>项目组需由专人担任项目负责人直接对项目中的各项事务负责，需提供《项目实施方案》《项目实施计划》《项目跟踪记录》关键性项目节点文件。</w:t>
      </w:r>
    </w:p>
    <w:p w14:paraId="13AF0AF1">
      <w:pPr>
        <w:pStyle w:val="4"/>
        <w:numPr>
          <w:ilvl w:val="1"/>
          <w:numId w:val="2"/>
        </w:numPr>
        <w:spacing w:line="360" w:lineRule="auto"/>
        <w:ind w:left="0" w:firstLine="0"/>
        <w:rPr>
          <w:rFonts w:ascii="仿宋" w:hAnsi="仿宋" w:eastAsia="仿宋" w:cs="仿宋"/>
          <w:color w:val="000000" w:themeColor="text1"/>
          <w14:textFill>
            <w14:solidFill>
              <w14:schemeClr w14:val="tx1"/>
            </w14:solidFill>
          </w14:textFill>
        </w:rPr>
      </w:pPr>
      <w:bookmarkStart w:id="4" w:name="_Toc30515"/>
      <w:bookmarkStart w:id="5" w:name="_Toc27672"/>
      <w:r>
        <w:rPr>
          <w:rFonts w:hint="eastAsia" w:ascii="仿宋" w:hAnsi="仿宋" w:eastAsia="仿宋" w:cs="仿宋"/>
          <w:color w:val="000000" w:themeColor="text1"/>
          <w14:textFill>
            <w14:solidFill>
              <w14:schemeClr w14:val="tx1"/>
            </w14:solidFill>
          </w14:textFill>
        </w:rPr>
        <w:t>项目进度要求</w:t>
      </w:r>
      <w:bookmarkEnd w:id="4"/>
      <w:bookmarkEnd w:id="5"/>
    </w:p>
    <w:p w14:paraId="58D35297">
      <w:pPr>
        <w:spacing w:line="360" w:lineRule="auto"/>
        <w:ind w:firstLine="480" w:firstLineChars="200"/>
        <w:rPr>
          <w:rFonts w:ascii="仿宋" w:hAnsi="仿宋" w:eastAsia="仿宋" w:cs="仿宋"/>
          <w:color w:val="000000" w:themeColor="text1"/>
          <w:sz w:val="24"/>
          <w:szCs w:val="32"/>
          <w14:textFill>
            <w14:solidFill>
              <w14:schemeClr w14:val="tx1"/>
            </w14:solidFill>
          </w14:textFill>
        </w:rPr>
      </w:pPr>
      <w:r>
        <w:rPr>
          <w:rFonts w:hint="eastAsia" w:ascii="仿宋" w:hAnsi="仿宋" w:eastAsia="仿宋" w:cs="仿宋"/>
          <w:color w:val="000000" w:themeColor="text1"/>
          <w:sz w:val="24"/>
          <w:szCs w:val="32"/>
          <w14:textFill>
            <w14:solidFill>
              <w14:schemeClr w14:val="tx1"/>
            </w14:solidFill>
          </w14:textFill>
        </w:rPr>
        <w:t>自合同签订之日起</w:t>
      </w:r>
      <w:r>
        <w:rPr>
          <w:rFonts w:hint="eastAsia" w:ascii="仿宋" w:hAnsi="仿宋" w:eastAsia="仿宋" w:cs="仿宋"/>
          <w:color w:val="000000" w:themeColor="text1"/>
          <w:sz w:val="24"/>
          <w:szCs w:val="32"/>
          <w:lang w:val="en-US" w:eastAsia="zh-CN"/>
          <w14:textFill>
            <w14:solidFill>
              <w14:schemeClr w14:val="tx1"/>
            </w14:solidFill>
          </w14:textFill>
        </w:rPr>
        <w:t>180</w:t>
      </w:r>
      <w:r>
        <w:rPr>
          <w:rFonts w:hint="eastAsia" w:ascii="仿宋" w:hAnsi="仿宋" w:eastAsia="仿宋" w:cs="仿宋"/>
          <w:color w:val="000000" w:themeColor="text1"/>
          <w:sz w:val="24"/>
          <w:szCs w:val="32"/>
          <w14:textFill>
            <w14:solidFill>
              <w14:schemeClr w14:val="tx1"/>
            </w14:solidFill>
          </w14:textFill>
        </w:rPr>
        <w:t>天内完成本项目建设内容并通过验收（含30天试运行）。</w:t>
      </w:r>
    </w:p>
    <w:p w14:paraId="16E28C60">
      <w:pPr>
        <w:pStyle w:val="4"/>
        <w:numPr>
          <w:ilvl w:val="1"/>
          <w:numId w:val="2"/>
        </w:numPr>
        <w:spacing w:line="360" w:lineRule="auto"/>
        <w:ind w:left="0" w:firstLine="0"/>
        <w:rPr>
          <w:rFonts w:ascii="仿宋" w:hAnsi="仿宋" w:eastAsia="仿宋" w:cs="仿宋"/>
          <w:color w:val="000000" w:themeColor="text1"/>
          <w14:textFill>
            <w14:solidFill>
              <w14:schemeClr w14:val="tx1"/>
            </w14:solidFill>
          </w14:textFill>
        </w:rPr>
      </w:pPr>
      <w:bookmarkStart w:id="6" w:name="_Toc26774"/>
      <w:bookmarkStart w:id="7" w:name="_Toc21599"/>
      <w:r>
        <w:rPr>
          <w:rFonts w:hint="eastAsia" w:ascii="仿宋" w:hAnsi="仿宋" w:eastAsia="仿宋" w:cs="仿宋"/>
          <w:color w:val="000000" w:themeColor="text1"/>
          <w14:textFill>
            <w14:solidFill>
              <w14:schemeClr w14:val="tx1"/>
            </w14:solidFill>
          </w14:textFill>
        </w:rPr>
        <w:t>人员培训要求</w:t>
      </w:r>
      <w:bookmarkEnd w:id="6"/>
      <w:bookmarkEnd w:id="7"/>
    </w:p>
    <w:p w14:paraId="47D88DBA">
      <w:pPr>
        <w:spacing w:line="360" w:lineRule="auto"/>
        <w:ind w:firstLine="480" w:firstLineChars="200"/>
        <w:rPr>
          <w:rFonts w:ascii="仿宋" w:hAnsi="仿宋" w:eastAsia="仿宋" w:cs="仿宋"/>
          <w:color w:val="000000" w:themeColor="text1"/>
          <w:sz w:val="24"/>
          <w:szCs w:val="32"/>
          <w14:textFill>
            <w14:solidFill>
              <w14:schemeClr w14:val="tx1"/>
            </w14:solidFill>
          </w14:textFill>
        </w:rPr>
      </w:pPr>
      <w:r>
        <w:rPr>
          <w:rFonts w:hint="eastAsia" w:ascii="仿宋" w:hAnsi="仿宋" w:eastAsia="仿宋" w:cs="仿宋"/>
          <w:color w:val="000000" w:themeColor="text1"/>
          <w:sz w:val="24"/>
          <w:szCs w:val="32"/>
          <w14:textFill>
            <w14:solidFill>
              <w14:schemeClr w14:val="tx1"/>
            </w14:solidFill>
          </w14:textFill>
        </w:rPr>
        <w:t>由供应商为系统操作相关的各部门业务人员提供培训，培训材料由供应商提供。将来校内其他应用系统接入时，需向第三方系统供应商提供对接技术支持。</w:t>
      </w:r>
    </w:p>
    <w:p w14:paraId="64E40FEC">
      <w:pPr>
        <w:pStyle w:val="4"/>
        <w:numPr>
          <w:ilvl w:val="1"/>
          <w:numId w:val="2"/>
        </w:numPr>
        <w:spacing w:line="360" w:lineRule="auto"/>
        <w:ind w:left="0" w:firstLine="0"/>
        <w:rPr>
          <w:rFonts w:ascii="仿宋" w:hAnsi="仿宋" w:eastAsia="仿宋" w:cs="仿宋"/>
          <w:color w:val="000000" w:themeColor="text1"/>
          <w14:textFill>
            <w14:solidFill>
              <w14:schemeClr w14:val="tx1"/>
            </w14:solidFill>
          </w14:textFill>
        </w:rPr>
      </w:pPr>
      <w:bookmarkStart w:id="8" w:name="_Toc30335"/>
      <w:bookmarkStart w:id="9" w:name="_Toc24383"/>
      <w:r>
        <w:rPr>
          <w:rFonts w:hint="eastAsia" w:ascii="仿宋" w:hAnsi="仿宋" w:eastAsia="仿宋" w:cs="仿宋"/>
          <w:color w:val="000000" w:themeColor="text1"/>
          <w14:textFill>
            <w14:solidFill>
              <w14:schemeClr w14:val="tx1"/>
            </w14:solidFill>
          </w14:textFill>
        </w:rPr>
        <w:t>项目实施组织基本要求</w:t>
      </w:r>
      <w:bookmarkEnd w:id="8"/>
      <w:bookmarkEnd w:id="9"/>
    </w:p>
    <w:p w14:paraId="3618369E">
      <w:pPr>
        <w:spacing w:line="360" w:lineRule="auto"/>
        <w:ind w:firstLine="480" w:firstLineChars="200"/>
        <w:rPr>
          <w:rFonts w:ascii="仿宋" w:hAnsi="仿宋" w:eastAsia="仿宋" w:cs="仿宋"/>
          <w:color w:val="000000" w:themeColor="text1"/>
          <w:sz w:val="24"/>
          <w:szCs w:val="32"/>
          <w14:textFill>
            <w14:solidFill>
              <w14:schemeClr w14:val="tx1"/>
            </w14:solidFill>
          </w14:textFill>
        </w:rPr>
      </w:pPr>
      <w:r>
        <w:rPr>
          <w:rFonts w:hint="eastAsia" w:ascii="仿宋" w:hAnsi="仿宋" w:eastAsia="仿宋" w:cs="仿宋"/>
          <w:color w:val="000000" w:themeColor="text1"/>
          <w:sz w:val="24"/>
          <w:szCs w:val="32"/>
          <w14:textFill>
            <w14:solidFill>
              <w14:schemeClr w14:val="tx1"/>
            </w14:solidFill>
          </w14:textFill>
        </w:rPr>
        <w:t>项目组负责人具备10年以上相关软件研发或实施经验，具有信息系统项目管理师（高级）证书的为优；项目团队中有不少于2人具有计算机或电子信息类相关专业本科以上学历且具有3年以上项目工作经验的为优。</w:t>
      </w:r>
    </w:p>
    <w:p w14:paraId="373658C4">
      <w:pPr>
        <w:spacing w:line="360" w:lineRule="auto"/>
        <w:ind w:firstLine="480" w:firstLineChars="200"/>
        <w:rPr>
          <w:rFonts w:ascii="仿宋" w:hAnsi="仿宋" w:eastAsia="仿宋" w:cs="仿宋"/>
          <w:color w:val="000000" w:themeColor="text1"/>
          <w:sz w:val="24"/>
          <w:szCs w:val="32"/>
          <w14:textFill>
            <w14:solidFill>
              <w14:schemeClr w14:val="tx1"/>
            </w14:solidFill>
          </w14:textFill>
        </w:rPr>
      </w:pPr>
      <w:r>
        <w:rPr>
          <w:rFonts w:hint="eastAsia" w:ascii="仿宋" w:hAnsi="仿宋" w:eastAsia="仿宋" w:cs="仿宋"/>
          <w:color w:val="000000" w:themeColor="text1"/>
          <w:sz w:val="24"/>
          <w:szCs w:val="32"/>
          <w14:textFill>
            <w14:solidFill>
              <w14:schemeClr w14:val="tx1"/>
            </w14:solidFill>
          </w14:textFill>
        </w:rPr>
        <w:t>项目开发与实施人员中须具备软件系统开发与实施经验，并提供简历及社保证明。</w:t>
      </w:r>
    </w:p>
    <w:p w14:paraId="5DDBF34B">
      <w:pPr>
        <w:pStyle w:val="4"/>
        <w:numPr>
          <w:ilvl w:val="1"/>
          <w:numId w:val="2"/>
        </w:numPr>
        <w:spacing w:line="360" w:lineRule="auto"/>
        <w:ind w:left="0" w:firstLine="0"/>
        <w:rPr>
          <w:rFonts w:ascii="仿宋" w:hAnsi="仿宋" w:eastAsia="仿宋" w:cs="仿宋"/>
          <w:color w:val="000000" w:themeColor="text1"/>
          <w14:textFill>
            <w14:solidFill>
              <w14:schemeClr w14:val="tx1"/>
            </w14:solidFill>
          </w14:textFill>
        </w:rPr>
      </w:pPr>
      <w:bookmarkStart w:id="10" w:name="_Toc14244"/>
      <w:bookmarkStart w:id="11" w:name="_Toc29486"/>
      <w:r>
        <w:rPr>
          <w:rFonts w:hint="eastAsia" w:ascii="仿宋" w:hAnsi="仿宋" w:eastAsia="仿宋" w:cs="仿宋"/>
          <w:color w:val="000000" w:themeColor="text1"/>
          <w14:textFill>
            <w14:solidFill>
              <w14:schemeClr w14:val="tx1"/>
            </w14:solidFill>
          </w14:textFill>
        </w:rPr>
        <w:t>项目质量和服务保障要求</w:t>
      </w:r>
      <w:bookmarkEnd w:id="10"/>
      <w:bookmarkEnd w:id="11"/>
    </w:p>
    <w:p w14:paraId="4CB00541">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项目验收通过后提供</w:t>
      </w:r>
      <w:r>
        <w:rPr>
          <w:rFonts w:hint="eastAsia" w:ascii="仿宋" w:hAnsi="仿宋" w:eastAsia="仿宋" w:cs="仿宋"/>
          <w:sz w:val="24"/>
          <w:szCs w:val="24"/>
          <w:lang w:eastAsia="zh-CN"/>
        </w:rPr>
        <w:t>不少于</w:t>
      </w:r>
      <w:r>
        <w:rPr>
          <w:rFonts w:hint="eastAsia" w:ascii="仿宋" w:hAnsi="仿宋" w:eastAsia="仿宋" w:cs="仿宋"/>
          <w:sz w:val="24"/>
          <w:szCs w:val="24"/>
        </w:rPr>
        <w:t>36个月的免费质保维护服务。要求建立一套规范的技术支持服务运作系统和流程，</w:t>
      </w:r>
      <w:r>
        <w:rPr>
          <w:rFonts w:hint="eastAsia" w:ascii="仿宋" w:hAnsi="仿宋" w:eastAsia="仿宋" w:cs="仿宋"/>
          <w:sz w:val="24"/>
          <w:szCs w:val="24"/>
          <w:lang w:eastAsia="zh-CN"/>
        </w:rPr>
        <w:t>免费质保</w:t>
      </w:r>
      <w:r>
        <w:rPr>
          <w:rFonts w:hint="eastAsia" w:ascii="仿宋" w:hAnsi="仿宋" w:eastAsia="仿宋" w:cs="仿宋"/>
          <w:sz w:val="24"/>
          <w:szCs w:val="24"/>
        </w:rPr>
        <w:t>期内服务响应时间为1小时，如需到达现场，则要求在4小时内到达现场，1个工作日内给出解决方案；除现场支持外，还需提供通过电话、网络、邮件等多种通讯手段向用户提供服务。</w:t>
      </w:r>
    </w:p>
    <w:p w14:paraId="70D5790F">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中标人应详细说明</w:t>
      </w:r>
      <w:r>
        <w:rPr>
          <w:rFonts w:hint="eastAsia" w:ascii="仿宋" w:hAnsi="仿宋" w:eastAsia="仿宋" w:cs="仿宋"/>
          <w:sz w:val="24"/>
          <w:szCs w:val="24"/>
          <w:lang w:eastAsia="zh-CN"/>
        </w:rPr>
        <w:t>免费质保期</w:t>
      </w:r>
      <w:r>
        <w:rPr>
          <w:rFonts w:hint="eastAsia" w:ascii="仿宋" w:hAnsi="仿宋" w:eastAsia="仿宋" w:cs="仿宋"/>
          <w:sz w:val="24"/>
          <w:szCs w:val="24"/>
        </w:rPr>
        <w:t>满后服务的方式、内容与相应的价格，此费用不计入总价。</w:t>
      </w:r>
    </w:p>
    <w:p w14:paraId="6840734A">
      <w:pPr>
        <w:pStyle w:val="2"/>
      </w:pPr>
    </w:p>
    <w:p w14:paraId="06266E4C">
      <w:pPr>
        <w:pStyle w:val="4"/>
        <w:numPr>
          <w:ilvl w:val="1"/>
          <w:numId w:val="2"/>
        </w:numPr>
        <w:spacing w:line="360" w:lineRule="auto"/>
        <w:ind w:left="0" w:firstLine="0"/>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项目常驻服务的要求</w:t>
      </w:r>
    </w:p>
    <w:p w14:paraId="50A5AEDD">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项目实施期间，须安排不少于2名熟悉Java及</w:t>
      </w:r>
      <w:r>
        <w:rPr>
          <w:rFonts w:hint="eastAsia" w:ascii="仿宋" w:hAnsi="仿宋" w:eastAsia="仿宋" w:cs="仿宋"/>
          <w:sz w:val="24"/>
          <w:szCs w:val="24"/>
          <w:lang w:eastAsia="zh-CN"/>
        </w:rPr>
        <w:t>XC</w:t>
      </w:r>
      <w:r>
        <w:rPr>
          <w:rFonts w:hint="eastAsia" w:ascii="仿宋" w:hAnsi="仿宋" w:eastAsia="仿宋" w:cs="仿宋"/>
          <w:sz w:val="24"/>
          <w:szCs w:val="24"/>
        </w:rPr>
        <w:t>软件开发的软件开发工程师驻场，提供软件集成及必需的开发服务；项目负责人及驻场人员须为投标人在职职工，未经采购人同意，不得调换或撤离。</w:t>
      </w:r>
    </w:p>
    <w:p w14:paraId="45AF2285">
      <w:pPr>
        <w:pStyle w:val="4"/>
        <w:numPr>
          <w:ilvl w:val="1"/>
          <w:numId w:val="2"/>
        </w:numPr>
        <w:spacing w:line="360" w:lineRule="auto"/>
        <w:ind w:left="0" w:firstLine="0"/>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算力设备和网络设备实施配合的要求</w:t>
      </w:r>
    </w:p>
    <w:p w14:paraId="6932E5EB">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涉及算力设备和网络设备的部署、实施、上线和调试，由采购人组织相关设备供应商的原厂工程师现场实施，中标人负责配合及集成对接。本项目所称算力设备和网络设备，指千学百科人工智能支撑共享（跨校共建）子系统及科学计算资源共享及专网建设子系统采购的算力设备（算力服务器、加速卡、一体化算力终端等）和网络设备（算力网络、存储网络及校内算力专网建设涉及的交换、路由等设备）。</w:t>
      </w:r>
    </w:p>
    <w:p w14:paraId="0F820E17">
      <w:pPr>
        <w:pStyle w:val="4"/>
        <w:numPr>
          <w:ilvl w:val="1"/>
          <w:numId w:val="2"/>
        </w:numPr>
        <w:spacing w:line="360" w:lineRule="auto"/>
        <w:ind w:left="0" w:firstLine="0"/>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知识产权承诺</w:t>
      </w:r>
    </w:p>
    <w:p w14:paraId="47A9E72A">
      <w:pPr>
        <w:spacing w:line="360" w:lineRule="auto"/>
        <w:ind w:firstLine="480" w:firstLineChars="200"/>
        <w:rPr>
          <w:rFonts w:ascii="仿宋" w:hAnsi="仿宋" w:eastAsia="仿宋" w:cs="仿宋"/>
          <w:color w:val="000000" w:themeColor="text1"/>
          <w:sz w:val="24"/>
          <w:szCs w:val="32"/>
          <w14:textFill>
            <w14:solidFill>
              <w14:schemeClr w14:val="tx1"/>
            </w14:solidFill>
          </w14:textFill>
        </w:rPr>
      </w:pPr>
      <w:r>
        <w:rPr>
          <w:rFonts w:hint="eastAsia" w:ascii="仿宋" w:hAnsi="仿宋" w:eastAsia="仿宋" w:cs="仿宋"/>
          <w:color w:val="000000" w:themeColor="text1"/>
          <w:sz w:val="24"/>
          <w:szCs w:val="32"/>
          <w14:textFill>
            <w14:solidFill>
              <w14:schemeClr w14:val="tx1"/>
            </w14:solidFill>
          </w14:textFill>
        </w:rPr>
        <w:t>供应商应针对以下内容作出以下承诺：</w:t>
      </w:r>
    </w:p>
    <w:p w14:paraId="21D8905C">
      <w:pPr>
        <w:spacing w:line="360" w:lineRule="auto"/>
        <w:ind w:firstLine="480" w:firstLineChars="200"/>
        <w:rPr>
          <w:rFonts w:ascii="仿宋" w:hAnsi="仿宋" w:eastAsia="仿宋" w:cs="仿宋"/>
          <w:color w:val="000000" w:themeColor="text1"/>
          <w:sz w:val="24"/>
          <w:szCs w:val="32"/>
          <w14:textFill>
            <w14:solidFill>
              <w14:schemeClr w14:val="tx1"/>
            </w14:solidFill>
          </w14:textFill>
        </w:rPr>
      </w:pPr>
      <w:r>
        <w:rPr>
          <w:rFonts w:hint="eastAsia" w:ascii="仿宋" w:hAnsi="仿宋" w:eastAsia="仿宋" w:cs="仿宋"/>
          <w:color w:val="000000" w:themeColor="text1"/>
          <w:sz w:val="24"/>
          <w:szCs w:val="32"/>
          <w14:textFill>
            <w14:solidFill>
              <w14:schemeClr w14:val="tx1"/>
            </w14:solidFill>
          </w14:textFill>
        </w:rPr>
        <w:t>本项目所产生的系统知识产权（包括软件、源程序、数据文件、文档、记录、工作日志或其他与合同有关的资料）归采购人所有；供应商交付使用的信息系统已享有知识产权的（需提供证明文件），采购人可在合同文件明确的范围内自主使用。</w:t>
      </w:r>
    </w:p>
    <w:p w14:paraId="72D3EBB1">
      <w:pPr>
        <w:spacing w:line="360" w:lineRule="auto"/>
        <w:ind w:firstLine="480" w:firstLineChars="200"/>
        <w:rPr>
          <w:rFonts w:hint="eastAsia" w:ascii="仿宋" w:hAnsi="仿宋" w:eastAsia="仿宋" w:cs="仿宋"/>
          <w:color w:val="000000" w:themeColor="text1"/>
          <w:sz w:val="24"/>
          <w:szCs w:val="32"/>
          <w14:textFill>
            <w14:solidFill>
              <w14:schemeClr w14:val="tx1"/>
            </w14:solidFill>
          </w14:textFill>
        </w:rPr>
      </w:pPr>
      <w:r>
        <w:rPr>
          <w:rFonts w:hint="eastAsia" w:ascii="仿宋" w:hAnsi="仿宋" w:eastAsia="仿宋" w:cs="仿宋"/>
          <w:color w:val="000000" w:themeColor="text1"/>
          <w:sz w:val="24"/>
          <w:szCs w:val="32"/>
          <w14:textFill>
            <w14:solidFill>
              <w14:schemeClr w14:val="tx1"/>
            </w14:solidFill>
          </w14:textFill>
        </w:rPr>
        <w:t>提供相关系统源代码及数据库设计文件承诺书，后期验收时需要提供最新相应的代码以及设计文件、第三方测试报告等。</w:t>
      </w:r>
    </w:p>
    <w:p w14:paraId="29C2FB28">
      <w:pPr>
        <w:pStyle w:val="4"/>
        <w:numPr>
          <w:ilvl w:val="1"/>
          <w:numId w:val="2"/>
        </w:numPr>
        <w:spacing w:line="360" w:lineRule="auto"/>
        <w:ind w:left="0" w:firstLine="0"/>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培训要求</w:t>
      </w:r>
    </w:p>
    <w:p w14:paraId="42152D03">
      <w:pPr>
        <w:spacing w:line="360" w:lineRule="auto"/>
        <w:ind w:firstLine="420"/>
        <w:rPr>
          <w:rFonts w:ascii="仿宋" w:hAnsi="仿宋" w:eastAsia="仿宋" w:cs="仿宋"/>
          <w:sz w:val="24"/>
          <w:szCs w:val="28"/>
        </w:rPr>
      </w:pPr>
      <w:r>
        <w:rPr>
          <w:rFonts w:hint="eastAsia" w:ascii="仿宋" w:hAnsi="仿宋" w:eastAsia="仿宋" w:cs="仿宋"/>
          <w:sz w:val="24"/>
          <w:szCs w:val="28"/>
        </w:rPr>
        <w:t>由中标人为系统操作相关的各部门业务人员提供培训，并提供培训材料；培训内容包含但不限于各子系统集成后的业务操作、日常运维及故障处置；将来校内其他应用系统接入时，中标人须向第三方系统供应商提供对接技术支持；所有培训产生的费用由中标人承担。</w:t>
      </w:r>
    </w:p>
    <w:p w14:paraId="6AC7B3FD">
      <w:pPr>
        <w:spacing w:line="360" w:lineRule="auto"/>
        <w:rPr>
          <w:rFonts w:ascii="仿宋" w:hAnsi="仿宋" w:eastAsia="仿宋" w:cs="仿宋"/>
          <w:sz w:val="24"/>
          <w:szCs w:val="28"/>
        </w:rPr>
      </w:pPr>
      <w:r>
        <w:rPr>
          <w:rFonts w:hint="eastAsia" w:ascii="仿宋" w:hAnsi="仿宋" w:eastAsia="仿宋" w:cs="仿宋"/>
          <w:sz w:val="24"/>
          <w:szCs w:val="28"/>
        </w:rPr>
        <w:t>1）中标人须提供详细培训大纲，在现场培训前15天交付采购人；</w:t>
      </w:r>
    </w:p>
    <w:p w14:paraId="21EBBDB3">
      <w:pPr>
        <w:spacing w:line="360" w:lineRule="auto"/>
        <w:rPr>
          <w:rFonts w:ascii="仿宋" w:hAnsi="仿宋" w:eastAsia="仿宋" w:cs="仿宋"/>
          <w:sz w:val="24"/>
          <w:szCs w:val="28"/>
        </w:rPr>
      </w:pPr>
      <w:r>
        <w:rPr>
          <w:rFonts w:hint="eastAsia" w:ascii="仿宋" w:hAnsi="仿宋" w:eastAsia="仿宋" w:cs="仿宋"/>
          <w:sz w:val="24"/>
          <w:szCs w:val="28"/>
        </w:rPr>
        <w:t>2）在各子系统集成上线前，在采购人指定地点进行现场操作培训；</w:t>
      </w:r>
    </w:p>
    <w:p w14:paraId="53C8B202">
      <w:pPr>
        <w:spacing w:line="360" w:lineRule="auto"/>
        <w:rPr>
          <w:rFonts w:ascii="仿宋" w:hAnsi="仿宋" w:eastAsia="仿宋" w:cs="仿宋"/>
          <w:sz w:val="24"/>
          <w:szCs w:val="28"/>
        </w:rPr>
      </w:pPr>
      <w:r>
        <w:rPr>
          <w:rFonts w:hint="eastAsia" w:ascii="仿宋" w:hAnsi="仿宋" w:eastAsia="仿宋" w:cs="仿宋"/>
          <w:sz w:val="24"/>
          <w:szCs w:val="28"/>
        </w:rPr>
        <w:t>3）培训时间由中标人与采购人共同确定，灵活安排，总体不少于2天，讲解系统的使用与维护方法，培训期间回答培训人员提出的问题，所有培训产生费用由中标人承担。</w:t>
      </w:r>
    </w:p>
    <w:p w14:paraId="6E5965DE">
      <w:pPr>
        <w:pStyle w:val="4"/>
        <w:numPr>
          <w:ilvl w:val="1"/>
          <w:numId w:val="2"/>
        </w:numPr>
        <w:spacing w:line="360" w:lineRule="auto"/>
        <w:ind w:left="0" w:firstLine="0"/>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履约验收标准</w:t>
      </w:r>
    </w:p>
    <w:p w14:paraId="250576BA">
      <w:pPr>
        <w:numPr>
          <w:ilvl w:val="0"/>
          <w:numId w:val="5"/>
        </w:numPr>
        <w:spacing w:line="360" w:lineRule="auto"/>
        <w:rPr>
          <w:rFonts w:hint="eastAsia" w:ascii="仿宋" w:hAnsi="仿宋" w:eastAsia="仿宋" w:cs="仿宋"/>
          <w:sz w:val="24"/>
          <w:szCs w:val="28"/>
        </w:rPr>
      </w:pPr>
      <w:r>
        <w:rPr>
          <w:rFonts w:hint="eastAsia" w:ascii="仿宋" w:hAnsi="仿宋" w:eastAsia="仿宋" w:cs="仿宋"/>
          <w:sz w:val="24"/>
          <w:szCs w:val="28"/>
        </w:rPr>
        <w:t>验收由验收小组依据采购合同对照采购需求逐项进行查验完成；</w:t>
      </w:r>
    </w:p>
    <w:p w14:paraId="2185EA8B">
      <w:pPr>
        <w:numPr>
          <w:ilvl w:val="0"/>
          <w:numId w:val="5"/>
        </w:numPr>
        <w:spacing w:line="360" w:lineRule="auto"/>
        <w:rPr>
          <w:rFonts w:ascii="仿宋" w:hAnsi="仿宋" w:eastAsia="仿宋" w:cs="仿宋"/>
          <w:sz w:val="24"/>
          <w:szCs w:val="28"/>
        </w:rPr>
      </w:pPr>
      <w:r>
        <w:rPr>
          <w:rFonts w:hint="eastAsia" w:ascii="仿宋" w:hAnsi="仿宋" w:eastAsia="仿宋" w:cs="仿宋"/>
          <w:sz w:val="24"/>
          <w:szCs w:val="28"/>
        </w:rPr>
        <w:t>功能与集成验收：各子系统与学校公共数据平台、统一身份认证、统一门户等的对接须逐项测试并出具联调测试记录；千学百科AI集成、X</w:t>
      </w:r>
      <w:r>
        <w:rPr>
          <w:rFonts w:ascii="仿宋" w:hAnsi="仿宋" w:eastAsia="仿宋" w:cs="仿宋"/>
          <w:sz w:val="24"/>
          <w:szCs w:val="28"/>
        </w:rPr>
        <w:t>C</w:t>
      </w:r>
      <w:r>
        <w:rPr>
          <w:rFonts w:hint="eastAsia" w:ascii="仿宋" w:hAnsi="仿宋" w:eastAsia="仿宋" w:cs="仿宋"/>
          <w:sz w:val="24"/>
          <w:szCs w:val="28"/>
        </w:rPr>
        <w:t>适配及异构超算平台集成须按本需求书各项指标逐项验收；</w:t>
      </w:r>
    </w:p>
    <w:p w14:paraId="1A7E097F">
      <w:pPr>
        <w:numPr>
          <w:ilvl w:val="0"/>
          <w:numId w:val="5"/>
        </w:numPr>
        <w:spacing w:line="360" w:lineRule="auto"/>
        <w:rPr>
          <w:rFonts w:ascii="仿宋" w:hAnsi="仿宋" w:eastAsia="仿宋" w:cs="仿宋"/>
          <w:sz w:val="24"/>
          <w:szCs w:val="28"/>
        </w:rPr>
      </w:pPr>
      <w:r>
        <w:rPr>
          <w:rFonts w:hint="eastAsia" w:ascii="仿宋" w:hAnsi="仿宋" w:eastAsia="仿宋" w:cs="仿宋"/>
          <w:sz w:val="24"/>
          <w:szCs w:val="28"/>
        </w:rPr>
        <w:t>安全验收：验收前须提供具备CMA/CNAS资质或网络安全等级保护测评资质的第三方机构出具的信息安全监测（测评）报告，监测费用包含在项目费用中；</w:t>
      </w:r>
    </w:p>
    <w:p w14:paraId="260AC2D8">
      <w:pPr>
        <w:numPr>
          <w:ilvl w:val="0"/>
          <w:numId w:val="5"/>
        </w:numPr>
        <w:spacing w:line="360" w:lineRule="auto"/>
        <w:rPr>
          <w:rFonts w:ascii="仿宋" w:hAnsi="仿宋" w:eastAsia="仿宋" w:cs="仿宋"/>
          <w:sz w:val="24"/>
          <w:szCs w:val="28"/>
        </w:rPr>
      </w:pPr>
      <w:r>
        <w:rPr>
          <w:rFonts w:hint="eastAsia" w:ascii="仿宋" w:hAnsi="仿宋" w:eastAsia="仿宋" w:cs="仿宋"/>
          <w:sz w:val="24"/>
          <w:szCs w:val="28"/>
        </w:rPr>
        <w:t>资料验收：须提交最新的系统源代码、数据库设计文件、第三方测试报告、项目实施方案、实施计划、跟踪记录、接口文档及运维手册，并提供相应承诺书；</w:t>
      </w:r>
    </w:p>
    <w:p w14:paraId="33A38707">
      <w:pPr>
        <w:numPr>
          <w:ilvl w:val="0"/>
          <w:numId w:val="5"/>
        </w:numPr>
        <w:spacing w:line="360" w:lineRule="auto"/>
        <w:rPr>
          <w:rFonts w:ascii="仿宋" w:hAnsi="仿宋" w:eastAsia="仿宋" w:cs="仿宋"/>
          <w:sz w:val="24"/>
          <w:szCs w:val="28"/>
        </w:rPr>
      </w:pPr>
      <w:r>
        <w:rPr>
          <w:rFonts w:hint="eastAsia" w:ascii="仿宋" w:hAnsi="仿宋" w:eastAsia="仿宋" w:cs="仿宋"/>
          <w:sz w:val="24"/>
          <w:szCs w:val="28"/>
        </w:rPr>
        <w:t>验收过程要求验收小组全体成员集体参与完成，集体讨论、形成验收结论；验收过程中出现争议的，由验收小组负责协调解决；</w:t>
      </w:r>
    </w:p>
    <w:p w14:paraId="595CEF0B">
      <w:pPr>
        <w:numPr>
          <w:ilvl w:val="0"/>
          <w:numId w:val="5"/>
        </w:numPr>
        <w:spacing w:line="360" w:lineRule="auto"/>
        <w:rPr>
          <w:rFonts w:ascii="仿宋" w:hAnsi="仿宋" w:eastAsia="仿宋" w:cs="仿宋"/>
          <w:sz w:val="24"/>
          <w:szCs w:val="28"/>
        </w:rPr>
      </w:pPr>
      <w:r>
        <w:rPr>
          <w:rFonts w:hint="eastAsia" w:ascii="仿宋" w:hAnsi="仿宋" w:eastAsia="仿宋" w:cs="仿宋"/>
          <w:sz w:val="24"/>
          <w:szCs w:val="28"/>
        </w:rPr>
        <w:t>验收结论为“合格”，是指所有交付内容均符合或优于合同要求，包括集成范围、功能、性能、安全、X</w:t>
      </w:r>
      <w:r>
        <w:rPr>
          <w:rFonts w:ascii="仿宋" w:hAnsi="仿宋" w:eastAsia="仿宋" w:cs="仿宋"/>
          <w:sz w:val="24"/>
          <w:szCs w:val="28"/>
        </w:rPr>
        <w:t>C</w:t>
      </w:r>
      <w:r>
        <w:rPr>
          <w:rFonts w:hint="eastAsia" w:ascii="仿宋" w:hAnsi="仿宋" w:eastAsia="仿宋" w:cs="仿宋"/>
          <w:sz w:val="24"/>
          <w:szCs w:val="28"/>
        </w:rPr>
        <w:t>适配及交付文档等均满足或优于合同要求。</w:t>
      </w:r>
    </w:p>
    <w:p w14:paraId="21108865">
      <w:pPr>
        <w:spacing w:line="360" w:lineRule="auto"/>
        <w:rPr>
          <w:rFonts w:ascii="仿宋" w:hAnsi="仿宋" w:eastAsia="仿宋" w:cs="仿宋"/>
          <w:sz w:val="24"/>
          <w:szCs w:val="28"/>
        </w:rPr>
      </w:pPr>
    </w:p>
    <w:p w14:paraId="2CEC7EB6">
      <w:pPr>
        <w:pStyle w:val="2"/>
      </w:pPr>
    </w:p>
    <w:p w14:paraId="0388C534">
      <w:pPr>
        <w:spacing w:line="360" w:lineRule="auto"/>
        <w:rPr>
          <w:rFonts w:ascii="仿宋" w:hAnsi="仿宋" w:eastAsia="仿宋" w:cs="仿宋"/>
          <w:strike/>
          <w:color w:val="FF0000"/>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Noto Sans CJK SC"/>
    <w:panose1 w:val="02010600030101010101"/>
    <w:charset w:val="86"/>
    <w:family w:val="auto"/>
    <w:pitch w:val="default"/>
    <w:sig w:usb0="00000000" w:usb1="00000000" w:usb2="00000016" w:usb3="00000000" w:csb0="0004000F" w:csb1="00000000"/>
  </w:font>
  <w:font w:name="Noto Sans CJK SC">
    <w:panose1 w:val="020B0500000000000000"/>
    <w:charset w:val="86"/>
    <w:family w:val="auto"/>
    <w:pitch w:val="default"/>
    <w:sig w:usb0="30000083" w:usb1="2BDF3C10" w:usb2="00000016" w:usb3="00000000" w:csb0="602E0107" w:csb1="00000000"/>
  </w:font>
  <w:font w:name="等线 Light">
    <w:altName w:val="宋体"/>
    <w:panose1 w:val="02010600030101010101"/>
    <w:charset w:val="86"/>
    <w:family w:val="auto"/>
    <w:pitch w:val="default"/>
    <w:sig w:usb0="00000000" w:usb1="00000000" w:usb2="00000016" w:usb3="00000000" w:csb0="0004000F" w:csb1="00000000"/>
  </w:font>
  <w:font w:name=".sf ns">
    <w:altName w:val="Calibri"/>
    <w:panose1 w:val="00000000000000000000"/>
    <w:charset w:val="00"/>
    <w:family w:val="auto"/>
    <w:pitch w:val="default"/>
    <w:sig w:usb0="00000000" w:usb1="00000000" w:usb2="00000001" w:usb3="00000000" w:csb0="400001BF" w:csb1="DFF70000"/>
  </w:font>
  <w:font w:name="仿宋">
    <w:panose1 w:val="02010609060101010101"/>
    <w:charset w:val="86"/>
    <w:family w:val="modern"/>
    <w:pitch w:val="default"/>
    <w:sig w:usb0="800002BF" w:usb1="38CF7CFA" w:usb2="00000016" w:usb3="00000000" w:csb0="00040001" w:csb1="00000000"/>
  </w:font>
  <w:font w:name="等线">
    <w:altName w:val="Noto Sans CJK SC"/>
    <w:panose1 w:val="00000000000000000000"/>
    <w:charset w:val="00"/>
    <w:family w:val="auto"/>
    <w:pitch w:val="default"/>
    <w:sig w:usb0="00000000" w:usb1="00000000" w:usb2="00000000" w:usb3="00000000" w:csb0="00000000" w:csb1="00000000"/>
  </w:font>
  <w:font w:name="Wingdings 3">
    <w:panose1 w:val="050401020108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9CC0BB">
    <w:pPr>
      <w:pStyle w:val="1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DE120B">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0DE120B">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B39C4E"/>
    <w:multiLevelType w:val="multilevel"/>
    <w:tmpl w:val="88B39C4E"/>
    <w:lvl w:ilvl="0" w:tentative="0">
      <w:start w:val="1"/>
      <w:numFmt w:val="decimal"/>
      <w:lvlText w:val="%1."/>
      <w:lvlJc w:val="left"/>
      <w:pPr>
        <w:ind w:left="574" w:hanging="432"/>
      </w:pPr>
      <w:rPr>
        <w:rFonts w:hint="default"/>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1">
    <w:nsid w:val="EBEDBFF0"/>
    <w:multiLevelType w:val="singleLevel"/>
    <w:tmpl w:val="EBEDBFF0"/>
    <w:lvl w:ilvl="0" w:tentative="0">
      <w:start w:val="1"/>
      <w:numFmt w:val="decimal"/>
      <w:lvlText w:val="%1."/>
      <w:lvlJc w:val="left"/>
      <w:pPr>
        <w:tabs>
          <w:tab w:val="left" w:pos="312"/>
        </w:tabs>
      </w:pPr>
    </w:lvl>
  </w:abstractNum>
  <w:abstractNum w:abstractNumId="2">
    <w:nsid w:val="0B5F5AA5"/>
    <w:multiLevelType w:val="multilevel"/>
    <w:tmpl w:val="0B5F5AA5"/>
    <w:lvl w:ilvl="0" w:tentative="0">
      <w:start w:val="1"/>
      <w:numFmt w:val="decimal"/>
      <w:pStyle w:val="3"/>
      <w:lvlText w:val="（%1）"/>
      <w:lvlJc w:val="left"/>
      <w:pPr>
        <w:ind w:left="720" w:hanging="720"/>
      </w:pPr>
      <w:rPr>
        <w:rFonts w:hint="default"/>
      </w:rPr>
    </w:lvl>
    <w:lvl w:ilvl="1" w:tentative="0">
      <w:start w:val="1"/>
      <w:numFmt w:val="lowerLetter"/>
      <w:pStyle w:val="4"/>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
    <w:nsid w:val="23E007C8"/>
    <w:multiLevelType w:val="multilevel"/>
    <w:tmpl w:val="23E007C8"/>
    <w:lvl w:ilvl="0" w:tentative="0">
      <w:start w:val="1"/>
      <w:numFmt w:val="decimal"/>
      <w:suff w:val="nothing"/>
      <w:lvlText w:val="%1."/>
      <w:lvlJc w:val="left"/>
    </w:lvl>
    <w:lvl w:ilvl="1" w:tentative="0">
      <w:start w:val="1"/>
      <w:numFmt w:val="decimal"/>
      <w:isLgl/>
      <w:lvlText w:val="%1.%2"/>
      <w:lvlJc w:val="left"/>
      <w:pPr>
        <w:ind w:left="645" w:hanging="645"/>
      </w:pPr>
      <w:rPr>
        <w:rFonts w:hint="default"/>
      </w:rPr>
    </w:lvl>
    <w:lvl w:ilvl="2" w:tentative="0">
      <w:start w:val="1"/>
      <w:numFmt w:val="decimal"/>
      <w:isLgl/>
      <w:lvlText w:val="%1.%2.%3"/>
      <w:lvlJc w:val="left"/>
      <w:pPr>
        <w:ind w:left="720" w:hanging="720"/>
      </w:pPr>
      <w:rPr>
        <w:rFonts w:hint="default"/>
      </w:rPr>
    </w:lvl>
    <w:lvl w:ilvl="3" w:tentative="0">
      <w:start w:val="1"/>
      <w:numFmt w:val="decimal"/>
      <w:isLgl/>
      <w:lvlText w:val="%1.%2.%3.%4"/>
      <w:lvlJc w:val="left"/>
      <w:pPr>
        <w:ind w:left="720" w:hanging="720"/>
      </w:pPr>
      <w:rPr>
        <w:rFonts w:hint="default"/>
      </w:rPr>
    </w:lvl>
    <w:lvl w:ilvl="4" w:tentative="0">
      <w:start w:val="1"/>
      <w:numFmt w:val="decimal"/>
      <w:isLgl/>
      <w:lvlText w:val="%1.%2.%3.%4.%5"/>
      <w:lvlJc w:val="left"/>
      <w:pPr>
        <w:ind w:left="1080" w:hanging="1080"/>
      </w:pPr>
      <w:rPr>
        <w:rFonts w:hint="default"/>
      </w:rPr>
    </w:lvl>
    <w:lvl w:ilvl="5" w:tentative="0">
      <w:start w:val="1"/>
      <w:numFmt w:val="decimal"/>
      <w:isLgl/>
      <w:lvlText w:val="%1.%2.%3.%4.%5.%6"/>
      <w:lvlJc w:val="left"/>
      <w:pPr>
        <w:ind w:left="1080" w:hanging="1080"/>
      </w:pPr>
      <w:rPr>
        <w:rFonts w:hint="default"/>
      </w:rPr>
    </w:lvl>
    <w:lvl w:ilvl="6" w:tentative="0">
      <w:start w:val="1"/>
      <w:numFmt w:val="decimal"/>
      <w:isLgl/>
      <w:lvlText w:val="%1.%2.%3.%4.%5.%6.%7"/>
      <w:lvlJc w:val="left"/>
      <w:pPr>
        <w:ind w:left="1440" w:hanging="1440"/>
      </w:pPr>
      <w:rPr>
        <w:rFonts w:hint="default"/>
      </w:rPr>
    </w:lvl>
    <w:lvl w:ilvl="7" w:tentative="0">
      <w:start w:val="1"/>
      <w:numFmt w:val="decimal"/>
      <w:isLgl/>
      <w:lvlText w:val="%1.%2.%3.%4.%5.%6.%7.%8"/>
      <w:lvlJc w:val="left"/>
      <w:pPr>
        <w:ind w:left="1440" w:hanging="1440"/>
      </w:pPr>
      <w:rPr>
        <w:rFonts w:hint="default"/>
      </w:rPr>
    </w:lvl>
    <w:lvl w:ilvl="8" w:tentative="0">
      <w:start w:val="1"/>
      <w:numFmt w:val="decimal"/>
      <w:isLgl/>
      <w:lvlText w:val="%1.%2.%3.%4.%5.%6.%7.%8.%9"/>
      <w:lvlJc w:val="left"/>
      <w:pPr>
        <w:ind w:left="1800" w:hanging="1800"/>
      </w:pPr>
      <w:rPr>
        <w:rFonts w:hint="default"/>
      </w:rPr>
    </w:lvl>
  </w:abstractNum>
  <w:abstractNum w:abstractNumId="4">
    <w:nsid w:val="689D1E4C"/>
    <w:multiLevelType w:val="multilevel"/>
    <w:tmpl w:val="689D1E4C"/>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VhYTAzODEyYTgwM2EwYjQyODRiZmQxMzg0YTgxNWQifQ=="/>
  </w:docVars>
  <w:rsids>
    <w:rsidRoot w:val="00FB4E35"/>
    <w:rsid w:val="00035CFC"/>
    <w:rsid w:val="0007451A"/>
    <w:rsid w:val="000A0E07"/>
    <w:rsid w:val="000C6BAD"/>
    <w:rsid w:val="000F3C5C"/>
    <w:rsid w:val="00114B19"/>
    <w:rsid w:val="00116482"/>
    <w:rsid w:val="00160C39"/>
    <w:rsid w:val="0018650B"/>
    <w:rsid w:val="001B5EAF"/>
    <w:rsid w:val="002230CE"/>
    <w:rsid w:val="002719B4"/>
    <w:rsid w:val="00272D11"/>
    <w:rsid w:val="002778C5"/>
    <w:rsid w:val="002B365F"/>
    <w:rsid w:val="002B39B2"/>
    <w:rsid w:val="00356920"/>
    <w:rsid w:val="0037090D"/>
    <w:rsid w:val="0037749B"/>
    <w:rsid w:val="004002D9"/>
    <w:rsid w:val="004013C0"/>
    <w:rsid w:val="004359C8"/>
    <w:rsid w:val="0047018A"/>
    <w:rsid w:val="004C6885"/>
    <w:rsid w:val="004D7A4F"/>
    <w:rsid w:val="00543140"/>
    <w:rsid w:val="00554430"/>
    <w:rsid w:val="005814DC"/>
    <w:rsid w:val="005973E5"/>
    <w:rsid w:val="005D3B79"/>
    <w:rsid w:val="00667F86"/>
    <w:rsid w:val="006F7064"/>
    <w:rsid w:val="0077621A"/>
    <w:rsid w:val="007C2B68"/>
    <w:rsid w:val="007D0634"/>
    <w:rsid w:val="007F174C"/>
    <w:rsid w:val="008439AA"/>
    <w:rsid w:val="00894048"/>
    <w:rsid w:val="008A0499"/>
    <w:rsid w:val="008B78CD"/>
    <w:rsid w:val="00914E3B"/>
    <w:rsid w:val="0092032C"/>
    <w:rsid w:val="00966224"/>
    <w:rsid w:val="00980756"/>
    <w:rsid w:val="009B2878"/>
    <w:rsid w:val="009C2EAD"/>
    <w:rsid w:val="009C4198"/>
    <w:rsid w:val="009F098E"/>
    <w:rsid w:val="00A1678D"/>
    <w:rsid w:val="00A66CC7"/>
    <w:rsid w:val="00AA609A"/>
    <w:rsid w:val="00AE2E9E"/>
    <w:rsid w:val="00B006A0"/>
    <w:rsid w:val="00B1146C"/>
    <w:rsid w:val="00B147AD"/>
    <w:rsid w:val="00B72DBA"/>
    <w:rsid w:val="00B838ED"/>
    <w:rsid w:val="00B97137"/>
    <w:rsid w:val="00BC7C93"/>
    <w:rsid w:val="00BD175E"/>
    <w:rsid w:val="00C7112B"/>
    <w:rsid w:val="00CA0F28"/>
    <w:rsid w:val="00CA6379"/>
    <w:rsid w:val="00D67414"/>
    <w:rsid w:val="00D87102"/>
    <w:rsid w:val="00DD5A02"/>
    <w:rsid w:val="00DE0467"/>
    <w:rsid w:val="00E03178"/>
    <w:rsid w:val="00E24912"/>
    <w:rsid w:val="00EF312C"/>
    <w:rsid w:val="00F00260"/>
    <w:rsid w:val="00F379FE"/>
    <w:rsid w:val="00FB2881"/>
    <w:rsid w:val="00FB4E35"/>
    <w:rsid w:val="00FE2FD5"/>
    <w:rsid w:val="012B19A7"/>
    <w:rsid w:val="02A604E3"/>
    <w:rsid w:val="07F44EE9"/>
    <w:rsid w:val="08591B53"/>
    <w:rsid w:val="0A563D59"/>
    <w:rsid w:val="0E614D6B"/>
    <w:rsid w:val="14BA5FDE"/>
    <w:rsid w:val="17D86098"/>
    <w:rsid w:val="1D644DCB"/>
    <w:rsid w:val="25355EDB"/>
    <w:rsid w:val="25A91F14"/>
    <w:rsid w:val="26A5448A"/>
    <w:rsid w:val="2BFF9FD2"/>
    <w:rsid w:val="2C790159"/>
    <w:rsid w:val="2F9D0E0E"/>
    <w:rsid w:val="2FFF1D9B"/>
    <w:rsid w:val="315216B2"/>
    <w:rsid w:val="335D5D2E"/>
    <w:rsid w:val="345968B4"/>
    <w:rsid w:val="373FEE19"/>
    <w:rsid w:val="3962620A"/>
    <w:rsid w:val="3C553E04"/>
    <w:rsid w:val="3DB43CCE"/>
    <w:rsid w:val="3DBDF1E0"/>
    <w:rsid w:val="3DBF1E7D"/>
    <w:rsid w:val="3DEC0025"/>
    <w:rsid w:val="3FD10DAF"/>
    <w:rsid w:val="41B44896"/>
    <w:rsid w:val="42FB410A"/>
    <w:rsid w:val="439D5CFD"/>
    <w:rsid w:val="49553696"/>
    <w:rsid w:val="499FB81E"/>
    <w:rsid w:val="4A5780D8"/>
    <w:rsid w:val="4C917015"/>
    <w:rsid w:val="503127BB"/>
    <w:rsid w:val="51325131"/>
    <w:rsid w:val="573E7E5F"/>
    <w:rsid w:val="5C4E553A"/>
    <w:rsid w:val="5D0B2591"/>
    <w:rsid w:val="5F2922AC"/>
    <w:rsid w:val="5FBF2609"/>
    <w:rsid w:val="5FE08A84"/>
    <w:rsid w:val="5FF66836"/>
    <w:rsid w:val="60057275"/>
    <w:rsid w:val="61272B11"/>
    <w:rsid w:val="630A33EF"/>
    <w:rsid w:val="69303A39"/>
    <w:rsid w:val="6EB365E5"/>
    <w:rsid w:val="6FFB200B"/>
    <w:rsid w:val="72294059"/>
    <w:rsid w:val="72FA21B3"/>
    <w:rsid w:val="75214AB2"/>
    <w:rsid w:val="7718792D"/>
    <w:rsid w:val="78FB6DC4"/>
    <w:rsid w:val="795638F0"/>
    <w:rsid w:val="7AFE3BCE"/>
    <w:rsid w:val="7B9D276D"/>
    <w:rsid w:val="7D425704"/>
    <w:rsid w:val="7DFD3E82"/>
    <w:rsid w:val="7EFEDB50"/>
    <w:rsid w:val="7F5876EB"/>
    <w:rsid w:val="7FC78000"/>
    <w:rsid w:val="7FEA7168"/>
    <w:rsid w:val="7FEB21EB"/>
    <w:rsid w:val="9ED5E441"/>
    <w:rsid w:val="BDADAFBC"/>
    <w:rsid w:val="CF7BFF83"/>
    <w:rsid w:val="F5FAD920"/>
    <w:rsid w:val="FAB7D0FC"/>
    <w:rsid w:val="FDF76E2A"/>
    <w:rsid w:val="FF66312A"/>
    <w:rsid w:val="FFBF02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styleId="3">
    <w:name w:val="heading 1"/>
    <w:basedOn w:val="1"/>
    <w:next w:val="1"/>
    <w:link w:val="19"/>
    <w:qFormat/>
    <w:uiPriority w:val="0"/>
    <w:pPr>
      <w:keepNext/>
      <w:keepLines/>
      <w:widowControl/>
      <w:numPr>
        <w:ilvl w:val="0"/>
        <w:numId w:val="1"/>
      </w:numPr>
      <w:spacing w:before="340" w:after="330" w:line="576" w:lineRule="auto"/>
      <w:jc w:val="left"/>
      <w:outlineLvl w:val="0"/>
    </w:pPr>
    <w:rPr>
      <w:rFonts w:ascii="Times New Roman" w:hAnsi="Times New Roman" w:eastAsia="黑体" w:cs="Times New Roman"/>
      <w:b/>
      <w:kern w:val="44"/>
      <w:sz w:val="36"/>
      <w:szCs w:val="20"/>
      <w14:ligatures w14:val="none"/>
    </w:rPr>
  </w:style>
  <w:style w:type="paragraph" w:styleId="4">
    <w:name w:val="heading 2"/>
    <w:basedOn w:val="1"/>
    <w:next w:val="1"/>
    <w:link w:val="16"/>
    <w:qFormat/>
    <w:uiPriority w:val="9"/>
    <w:pPr>
      <w:keepNext/>
      <w:keepLines/>
      <w:widowControl/>
      <w:numPr>
        <w:ilvl w:val="1"/>
        <w:numId w:val="1"/>
      </w:numPr>
      <w:spacing w:before="260" w:after="260" w:line="413" w:lineRule="auto"/>
      <w:jc w:val="left"/>
      <w:outlineLvl w:val="1"/>
    </w:pPr>
    <w:rPr>
      <w:rFonts w:ascii="Arial" w:hAnsi="Arial" w:eastAsia="黑体" w:cs="Times New Roman"/>
      <w:b/>
      <w:kern w:val="0"/>
      <w:sz w:val="32"/>
      <w:szCs w:val="24"/>
      <w14:ligatures w14:val="none"/>
    </w:rPr>
  </w:style>
  <w:style w:type="paragraph" w:styleId="5">
    <w:name w:val="heading 3"/>
    <w:basedOn w:val="1"/>
    <w:next w:val="1"/>
    <w:link w:val="23"/>
    <w:unhideWhenUsed/>
    <w:qFormat/>
    <w:uiPriority w:val="9"/>
    <w:pPr>
      <w:keepNext/>
      <w:keepLines/>
      <w:spacing w:before="260" w:after="260" w:line="416" w:lineRule="auto"/>
      <w:outlineLvl w:val="2"/>
    </w:pPr>
    <w:rPr>
      <w:b/>
      <w:bCs/>
      <w:sz w:val="32"/>
      <w:szCs w:val="32"/>
    </w:rPr>
  </w:style>
  <w:style w:type="paragraph" w:styleId="6">
    <w:name w:val="heading 4"/>
    <w:basedOn w:val="1"/>
    <w:next w:val="1"/>
    <w:link w:val="24"/>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7">
    <w:name w:val="heading 5"/>
    <w:basedOn w:val="1"/>
    <w:next w:val="1"/>
    <w:link w:val="25"/>
    <w:unhideWhenUsed/>
    <w:qFormat/>
    <w:uiPriority w:val="9"/>
    <w:pPr>
      <w:keepNext/>
      <w:keepLines/>
      <w:spacing w:before="280" w:after="290" w:line="376" w:lineRule="auto"/>
      <w:outlineLvl w:val="4"/>
    </w:pPr>
    <w:rPr>
      <w:b/>
      <w:bCs/>
      <w:sz w:val="28"/>
      <w:szCs w:val="28"/>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18"/>
    <w:unhideWhenUsed/>
    <w:qFormat/>
    <w:uiPriority w:val="99"/>
    <w:pPr>
      <w:widowControl/>
      <w:spacing w:after="120" w:line="360" w:lineRule="auto"/>
      <w:jc w:val="left"/>
    </w:pPr>
    <w:rPr>
      <w:rFonts w:ascii="Times New Roman" w:hAnsi="Times New Roman" w:eastAsia="宋体" w:cs="Times New Roman"/>
      <w:kern w:val="0"/>
      <w:szCs w:val="24"/>
      <w14:ligatures w14:val="none"/>
    </w:rPr>
  </w:style>
  <w:style w:type="paragraph" w:styleId="8">
    <w:name w:val="Normal Indent"/>
    <w:basedOn w:val="1"/>
    <w:link w:val="20"/>
    <w:unhideWhenUsed/>
    <w:qFormat/>
    <w:uiPriority w:val="99"/>
    <w:pPr>
      <w:widowControl/>
      <w:spacing w:line="360" w:lineRule="auto"/>
      <w:ind w:firstLine="420" w:firstLineChars="200"/>
      <w:jc w:val="left"/>
    </w:pPr>
    <w:rPr>
      <w:rFonts w:ascii="Times New Roman" w:hAnsi="Times New Roman" w:eastAsia="宋体" w:cs="Times New Roman"/>
      <w:kern w:val="0"/>
      <w:szCs w:val="24"/>
      <w14:ligatures w14:val="none"/>
    </w:rPr>
  </w:style>
  <w:style w:type="paragraph" w:styleId="9">
    <w:name w:val="annotation text"/>
    <w:basedOn w:val="1"/>
    <w:semiHidden/>
    <w:unhideWhenUsed/>
    <w:qFormat/>
    <w:uiPriority w:val="99"/>
    <w:pPr>
      <w:jc w:val="left"/>
    </w:pPr>
  </w:style>
  <w:style w:type="paragraph" w:styleId="10">
    <w:name w:val="footer"/>
    <w:basedOn w:val="1"/>
    <w:unhideWhenUsed/>
    <w:qFormat/>
    <w:uiPriority w:val="99"/>
    <w:pPr>
      <w:tabs>
        <w:tab w:val="center" w:pos="4153"/>
        <w:tab w:val="right" w:pos="8306"/>
      </w:tabs>
      <w:snapToGrid w:val="0"/>
      <w:jc w:val="left"/>
    </w:pPr>
    <w:rPr>
      <w:sz w:val="18"/>
    </w:rPr>
  </w:style>
  <w:style w:type="paragraph" w:styleId="11">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2">
    <w:name w:val="Normal (Web)"/>
    <w:basedOn w:val="1"/>
    <w:semiHidden/>
    <w:unhideWhenUsed/>
    <w:qFormat/>
    <w:uiPriority w:val="99"/>
    <w:rPr>
      <w:sz w:val="24"/>
    </w:rPr>
  </w:style>
  <w:style w:type="paragraph" w:styleId="13">
    <w:name w:val="Body Text First Indent"/>
    <w:basedOn w:val="2"/>
    <w:link w:val="26"/>
    <w:semiHidden/>
    <w:unhideWhenUsed/>
    <w:qFormat/>
    <w:uiPriority w:val="99"/>
    <w:pPr>
      <w:widowControl w:val="0"/>
      <w:spacing w:line="240" w:lineRule="auto"/>
      <w:ind w:firstLine="420" w:firstLineChars="100"/>
      <w:jc w:val="both"/>
    </w:pPr>
    <w:rPr>
      <w:kern w:val="2"/>
    </w:rPr>
  </w:style>
  <w:style w:type="character" w:customStyle="1" w:styleId="16">
    <w:name w:val="标题 2 字符"/>
    <w:basedOn w:val="15"/>
    <w:link w:val="4"/>
    <w:qFormat/>
    <w:uiPriority w:val="9"/>
    <w:rPr>
      <w:rFonts w:ascii="Arial" w:hAnsi="Arial" w:eastAsia="黑体" w:cs="Times New Roman"/>
      <w:b/>
      <w:kern w:val="0"/>
      <w:sz w:val="32"/>
      <w:szCs w:val="24"/>
      <w14:ligatures w14:val="none"/>
    </w:rPr>
  </w:style>
  <w:style w:type="paragraph" w:styleId="17">
    <w:name w:val="List Paragraph"/>
    <w:basedOn w:val="1"/>
    <w:qFormat/>
    <w:uiPriority w:val="0"/>
    <w:pPr>
      <w:ind w:firstLine="420" w:firstLineChars="200"/>
    </w:pPr>
  </w:style>
  <w:style w:type="character" w:customStyle="1" w:styleId="18">
    <w:name w:val="正文文本 字符"/>
    <w:basedOn w:val="15"/>
    <w:link w:val="2"/>
    <w:qFormat/>
    <w:uiPriority w:val="99"/>
    <w:rPr>
      <w:rFonts w:ascii="Times New Roman" w:hAnsi="Times New Roman" w:eastAsia="宋体" w:cs="Times New Roman"/>
      <w:kern w:val="0"/>
      <w:szCs w:val="24"/>
      <w14:ligatures w14:val="none"/>
    </w:rPr>
  </w:style>
  <w:style w:type="character" w:customStyle="1" w:styleId="19">
    <w:name w:val="标题 1 字符"/>
    <w:basedOn w:val="15"/>
    <w:link w:val="3"/>
    <w:qFormat/>
    <w:uiPriority w:val="0"/>
    <w:rPr>
      <w:rFonts w:ascii="Times New Roman" w:hAnsi="Times New Roman" w:eastAsia="黑体" w:cs="Times New Roman"/>
      <w:b/>
      <w:kern w:val="44"/>
      <w:sz w:val="36"/>
      <w:szCs w:val="20"/>
      <w14:ligatures w14:val="none"/>
    </w:rPr>
  </w:style>
  <w:style w:type="character" w:customStyle="1" w:styleId="20">
    <w:name w:val="正文缩进 字符"/>
    <w:link w:val="8"/>
    <w:qFormat/>
    <w:uiPriority w:val="99"/>
    <w:rPr>
      <w:rFonts w:ascii="Times New Roman" w:hAnsi="Times New Roman" w:eastAsia="宋体" w:cs="Times New Roman"/>
      <w:kern w:val="0"/>
      <w:szCs w:val="24"/>
      <w14:ligatures w14:val="none"/>
    </w:rPr>
  </w:style>
  <w:style w:type="character" w:customStyle="1" w:styleId="21">
    <w:name w:val="apple-converted-space"/>
    <w:qFormat/>
    <w:uiPriority w:val="0"/>
  </w:style>
  <w:style w:type="paragraph" w:customStyle="1" w:styleId="22">
    <w:name w:val="样式2"/>
    <w:basedOn w:val="1"/>
    <w:qFormat/>
    <w:uiPriority w:val="0"/>
    <w:pPr>
      <w:widowControl/>
      <w:adjustRightInd w:val="0"/>
      <w:spacing w:line="360" w:lineRule="auto"/>
      <w:ind w:firstLine="480" w:firstLineChars="200"/>
    </w:pPr>
    <w:rPr>
      <w:rFonts w:ascii="宋体" w:hAnsi="宋体" w:eastAsia="宋体" w:cs="Times New Roman"/>
      <w:kern w:val="0"/>
      <w:sz w:val="24"/>
      <w:szCs w:val="24"/>
      <w:lang w:eastAsia="en-US"/>
      <w14:ligatures w14:val="none"/>
    </w:rPr>
  </w:style>
  <w:style w:type="character" w:customStyle="1" w:styleId="23">
    <w:name w:val="标题 3 字符"/>
    <w:basedOn w:val="15"/>
    <w:link w:val="5"/>
    <w:qFormat/>
    <w:uiPriority w:val="9"/>
    <w:rPr>
      <w:rFonts w:asciiTheme="minorHAnsi" w:hAnsiTheme="minorHAnsi" w:eastAsiaTheme="minorEastAsia" w:cstheme="minorBidi"/>
      <w:b/>
      <w:bCs/>
      <w:kern w:val="2"/>
      <w:sz w:val="32"/>
      <w:szCs w:val="32"/>
      <w14:ligatures w14:val="standardContextual"/>
    </w:rPr>
  </w:style>
  <w:style w:type="character" w:customStyle="1" w:styleId="24">
    <w:name w:val="标题 4 字符"/>
    <w:basedOn w:val="15"/>
    <w:link w:val="6"/>
    <w:qFormat/>
    <w:uiPriority w:val="9"/>
    <w:rPr>
      <w:rFonts w:asciiTheme="majorHAnsi" w:hAnsiTheme="majorHAnsi" w:eastAsiaTheme="majorEastAsia" w:cstheme="majorBidi"/>
      <w:b/>
      <w:bCs/>
      <w:kern w:val="2"/>
      <w:sz w:val="28"/>
      <w:szCs w:val="28"/>
      <w14:ligatures w14:val="standardContextual"/>
    </w:rPr>
  </w:style>
  <w:style w:type="character" w:customStyle="1" w:styleId="25">
    <w:name w:val="标题 5 字符"/>
    <w:basedOn w:val="15"/>
    <w:link w:val="7"/>
    <w:qFormat/>
    <w:uiPriority w:val="9"/>
    <w:rPr>
      <w:rFonts w:asciiTheme="minorHAnsi" w:hAnsiTheme="minorHAnsi" w:eastAsiaTheme="minorEastAsia" w:cstheme="minorBidi"/>
      <w:b/>
      <w:bCs/>
      <w:kern w:val="2"/>
      <w:sz w:val="28"/>
      <w:szCs w:val="28"/>
      <w14:ligatures w14:val="standardContextual"/>
    </w:rPr>
  </w:style>
  <w:style w:type="character" w:customStyle="1" w:styleId="26">
    <w:name w:val="正文文本首行缩进 字符"/>
    <w:basedOn w:val="18"/>
    <w:link w:val="13"/>
    <w:semiHidden/>
    <w:qFormat/>
    <w:uiPriority w:val="99"/>
    <w:rPr>
      <w:rFonts w:ascii="Times New Roman" w:hAnsi="Times New Roman" w:eastAsia="宋体" w:cs="Times New Roman"/>
      <w:kern w:val="2"/>
      <w:sz w:val="21"/>
      <w:szCs w:val="24"/>
      <w14:ligatures w14:val="none"/>
    </w:rPr>
  </w:style>
  <w:style w:type="paragraph" w:customStyle="1" w:styleId="27">
    <w:name w:val="p1"/>
    <w:basedOn w:val="1"/>
    <w:qFormat/>
    <w:uiPriority w:val="0"/>
    <w:pPr>
      <w:jc w:val="left"/>
    </w:pPr>
    <w:rPr>
      <w:rFonts w:ascii=".sf ns" w:hAnsi=".sf ns" w:eastAsia=".sf ns" w:cs="Times New Roman"/>
      <w:color w:val="0E0E0E"/>
      <w:kern w:val="0"/>
      <w:sz w:val="28"/>
      <w:szCs w:val="28"/>
    </w:rPr>
  </w:style>
  <w:style w:type="paragraph" w:customStyle="1" w:styleId="28">
    <w:name w:val="p3"/>
    <w:basedOn w:val="1"/>
    <w:qFormat/>
    <w:uiPriority w:val="0"/>
    <w:pPr>
      <w:jc w:val="left"/>
    </w:pPr>
    <w:rPr>
      <w:rFonts w:ascii=".sf ns" w:hAnsi=".sf ns" w:eastAsia=".sf ns" w:cs="Times New Roman"/>
      <w:color w:val="0E0E0E"/>
      <w:kern w:val="0"/>
      <w:sz w:val="30"/>
      <w:szCs w:val="30"/>
    </w:rPr>
  </w:style>
  <w:style w:type="paragraph" w:customStyle="1" w:styleId="29">
    <w:name w:val="p4"/>
    <w:basedOn w:val="1"/>
    <w:qFormat/>
    <w:uiPriority w:val="0"/>
    <w:pPr>
      <w:ind w:left="260" w:hanging="260"/>
      <w:jc w:val="left"/>
    </w:pPr>
    <w:rPr>
      <w:rFonts w:ascii=".sf ns" w:hAnsi=".sf ns" w:eastAsia=".sf ns" w:cs="Times New Roman"/>
      <w:color w:val="0E0E0E"/>
      <w:kern w:val="0"/>
      <w:sz w:val="28"/>
      <w:szCs w:val="28"/>
    </w:rPr>
  </w:style>
  <w:style w:type="character" w:customStyle="1" w:styleId="30">
    <w:name w:val="apple-tab-span"/>
    <w:basedOn w:val="15"/>
    <w:qFormat/>
    <w:uiPriority w:val="0"/>
  </w:style>
  <w:style w:type="paragraph" w:customStyle="1" w:styleId="31">
    <w:name w:val="p2"/>
    <w:basedOn w:val="1"/>
    <w:qFormat/>
    <w:uiPriority w:val="0"/>
    <w:pPr>
      <w:jc w:val="left"/>
    </w:pPr>
    <w:rPr>
      <w:rFonts w:ascii=".sf ns" w:hAnsi=".sf ns" w:eastAsia=".sf ns" w:cs="Times New Roman"/>
      <w:color w:val="0E0E0E"/>
      <w:kern w:val="0"/>
      <w:sz w:val="28"/>
      <w:szCs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1013</Words>
  <Characters>5780</Characters>
  <Lines>48</Lines>
  <Paragraphs>13</Paragraphs>
  <TotalTime>1051</TotalTime>
  <ScaleCrop>false</ScaleCrop>
  <LinksUpToDate>false</LinksUpToDate>
  <CharactersWithSpaces>6780</CharactersWithSpaces>
  <Application>WPS Office_12.1.2.29183_F1E327BC-269C-435d-A152-05C5408002CA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2026-10-09T20:18:00Z</dcterms:created>
  <dc:creator>user</dc:creator>
  <cp:lastModifiedBy>高际航</cp:lastModifiedBy>
  <dcterms:modified xsi:type="dcterms:W3CDTF">2026-11-04T09:49:45Z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2052-12.1.2.29183</vt:lpwstr>
  </property>
  <property fmtid="{D5CDD505-2E9C-101B-9397-08002B2CF9AE}" pid="3" name="ICV">
    <vt:lpwstr>A1BD14772D0D02250A70E96AF847D290_43</vt:lpwstr>
  </property>
  <property fmtid="{D5CDD505-2E9C-101B-9397-08002B2CF9AE}" pid="4" name="KSOTemplateDocerSaveRecord">
    <vt:lpwstr>eyJoZGlkIjoiNjI3ZTY1N2VlZTUxN2E2MmFjM2ZhYzY0OGU3ZTMyYTQiLCJ1c2VySWQiOiI0MzE2NzQ3MDYifQ==</vt:lpwstr>
  </property>
</Properties>
</file>