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6B34D">
      <w:pPr>
        <w:keepNext/>
        <w:keepLines/>
        <w:tabs>
          <w:tab w:val="left" w:pos="930"/>
        </w:tabs>
        <w:spacing w:before="260" w:after="260"/>
        <w:jc w:val="center"/>
        <w:outlineLvl w:val="2"/>
        <w:rPr>
          <w:rFonts w:ascii="仿宋_GB2312" w:hAnsi="Times New Roman" w:eastAsia="仿宋_GB2312" w:cs="Times New Roman"/>
          <w:b/>
          <w:bCs/>
          <w:kern w:val="28"/>
          <w:sz w:val="36"/>
          <w:szCs w:val="30"/>
        </w:rPr>
      </w:pPr>
      <w:r>
        <w:rPr>
          <w:rFonts w:hint="eastAsia" w:ascii="仿宋_GB2312" w:hAnsi="Times New Roman" w:eastAsia="仿宋_GB2312" w:cs="Times New Roman"/>
          <w:b/>
          <w:bCs/>
          <w:kern w:val="28"/>
          <w:sz w:val="36"/>
          <w:szCs w:val="30"/>
        </w:rPr>
        <w:t xml:space="preserve"> 上海市教育考试院民星路院区互联网专线接入需求</w:t>
      </w:r>
    </w:p>
    <w:p w14:paraId="5B03654E">
      <w:pPr>
        <w:numPr>
          <w:ilvl w:val="0"/>
          <w:numId w:val="1"/>
        </w:numPr>
        <w:tabs>
          <w:tab w:val="left" w:pos="630"/>
        </w:tabs>
        <w:spacing w:line="560" w:lineRule="exact"/>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项目背景</w:t>
      </w:r>
    </w:p>
    <w:p w14:paraId="0563CA75">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上海市教育考试院主要承担上海市市义务教育阶段以后的各级各类教育考试招生工作。其主要职责是：贯彻执行党和国家关于教育考试和招生工作的各项方针、政策和法规；开展教育考试的科研和开发；深化教育考试制度的改革；组织实施教育考试与招生工作方案；促进与境外考试机构的合作交流，开拓多层次、多规格的考试项目，为社会和考生提供咨询服务。</w:t>
      </w:r>
    </w:p>
    <w:p w14:paraId="17BF9E71">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上海市教育考试院始终秉承“尚德慎行、至公至正”的院训，保持锐意进取的积极姿态：作为全国高考综合改革首批试点省份，构建教、学、考、招“四位一体”上海高考模式，搭建春季高考、专科自主招生、三校生高考和秋季高考相结合的升学立交桥。关注学生全面发展，推进综合评价、多元录取，平稳实施上海中考中招改革。牢牢把握改革契机，持续深化教育评价和考试招生制度改革，构建由终结性评价与过程性评价相结合、以信息技术为基础的测评体系，大力推进考试机构专业化建设，完成由“考试组织”向“考试评价”的机构转型。</w:t>
      </w:r>
    </w:p>
    <w:p w14:paraId="3D4DA9C8">
      <w:pPr>
        <w:tabs>
          <w:tab w:val="left" w:pos="630"/>
          <w:tab w:val="left" w:pos="930"/>
        </w:tabs>
        <w:spacing w:line="560" w:lineRule="exact"/>
        <w:ind w:firstLine="600"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color w:val="000000" w:themeColor="text1"/>
          <w:sz w:val="30"/>
          <w:szCs w:val="30"/>
          <w14:textFill>
            <w14:solidFill>
              <w14:schemeClr w14:val="tx1"/>
            </w14:solidFill>
          </w14:textFill>
        </w:rPr>
        <w:t>面对新形势新任务，上海市教育考试院聚焦教育“立德树人”的根本目标，坚持教育、科技、人才“三位一体”的发展战略，不断开拓创新，本着“为考生、为教育、为发展”的办院宗旨，努力推进教育考试招生事业高质量发展，为了满足上海市教育考试院建设发展需要，必须建设一个安全高效、适用性强、可持续发展的网络基础环境。</w:t>
      </w:r>
    </w:p>
    <w:p w14:paraId="5CD9BC30">
      <w:pPr>
        <w:numPr>
          <w:ilvl w:val="0"/>
          <w:numId w:val="1"/>
        </w:numPr>
        <w:tabs>
          <w:tab w:val="left" w:pos="630"/>
        </w:tabs>
        <w:spacing w:line="560" w:lineRule="exact"/>
        <w:rPr>
          <w:rFonts w:ascii="仿宋_GB2312" w:eastAsia="仿宋_GB2312"/>
          <w:b/>
          <w:sz w:val="30"/>
          <w:szCs w:val="30"/>
        </w:rPr>
      </w:pPr>
      <w:r>
        <w:rPr>
          <w:rFonts w:hint="eastAsia" w:ascii="仿宋_GB2312" w:eastAsia="仿宋_GB2312"/>
          <w:b/>
          <w:sz w:val="30"/>
          <w:szCs w:val="30"/>
        </w:rPr>
        <w:t>项目内容：</w:t>
      </w:r>
    </w:p>
    <w:p w14:paraId="165AE4CB">
      <w:pPr>
        <w:numPr>
          <w:ilvl w:val="-1"/>
          <w:numId w:val="0"/>
        </w:numPr>
        <w:tabs>
          <w:tab w:val="left" w:pos="780"/>
        </w:tabs>
        <w:spacing w:line="360" w:lineRule="auto"/>
        <w:ind w:leftChars="200" w:firstLine="0" w:firstLineChars="0"/>
        <w:rPr>
          <w:rFonts w:ascii="仿宋_GB2312" w:hAnsi="Calibri" w:eastAsia="仿宋_GB2312" w:cs="Times New Roman"/>
          <w:sz w:val="30"/>
          <w:szCs w:val="30"/>
        </w:rPr>
      </w:pPr>
      <w:r>
        <w:rPr>
          <w:rFonts w:ascii="仿宋_GB2312" w:hAnsi="Calibri" w:eastAsia="仿宋_GB2312" w:cs="Times New Roman"/>
          <w:sz w:val="30"/>
          <w:szCs w:val="30"/>
        </w:rPr>
        <w:t>供应商为上海市教育考试院提供</w:t>
      </w:r>
      <w:r>
        <w:rPr>
          <w:rFonts w:hint="eastAsia" w:ascii="仿宋_GB2312" w:hAnsi="Calibri" w:eastAsia="仿宋_GB2312" w:cs="Times New Roman"/>
          <w:sz w:val="30"/>
          <w:szCs w:val="30"/>
        </w:rPr>
        <w:t>互联网专线上网</w:t>
      </w:r>
      <w:r>
        <w:rPr>
          <w:rFonts w:ascii="仿宋_GB2312" w:hAnsi="Calibri" w:eastAsia="仿宋_GB2312" w:cs="Times New Roman"/>
          <w:sz w:val="30"/>
          <w:szCs w:val="30"/>
        </w:rPr>
        <w:t>服务</w:t>
      </w:r>
      <w:r>
        <w:rPr>
          <w:rFonts w:hint="eastAsia" w:ascii="仿宋_GB2312" w:hAnsi="Calibri" w:eastAsia="仿宋_GB2312" w:cs="Times New Roman"/>
          <w:sz w:val="30"/>
          <w:szCs w:val="30"/>
          <w:lang w:eastAsia="zh-CN"/>
        </w:rPr>
        <w:t>，</w:t>
      </w:r>
      <w:r>
        <w:rPr>
          <w:rFonts w:ascii="仿宋_GB2312" w:hAnsi="Calibri" w:eastAsia="仿宋_GB2312" w:cs="Times New Roman"/>
          <w:sz w:val="30"/>
          <w:szCs w:val="30"/>
        </w:rPr>
        <w:t>并在服务期内提供运维服务</w:t>
      </w:r>
      <w:r>
        <w:rPr>
          <w:rFonts w:hint="eastAsia" w:ascii="仿宋_GB2312" w:hAnsi="Calibri" w:eastAsia="仿宋_GB2312" w:cs="Times New Roman"/>
          <w:sz w:val="30"/>
          <w:szCs w:val="30"/>
        </w:rPr>
        <w:t>、DDoS服务</w:t>
      </w:r>
      <w:r>
        <w:rPr>
          <w:rFonts w:ascii="仿宋_GB2312" w:hAnsi="Calibri" w:eastAsia="仿宋_GB2312" w:cs="Times New Roman"/>
          <w:sz w:val="30"/>
          <w:szCs w:val="30"/>
        </w:rPr>
        <w:t>、一站式服务</w:t>
      </w:r>
      <w:r>
        <w:rPr>
          <w:rFonts w:hint="eastAsia" w:ascii="仿宋_GB2312" w:hAnsi="Calibri" w:eastAsia="仿宋_GB2312" w:cs="Times New Roman"/>
          <w:sz w:val="30"/>
          <w:szCs w:val="30"/>
        </w:rPr>
        <w:t>、内容分发加速、动态提速、SLA服务等</w:t>
      </w:r>
      <w:r>
        <w:rPr>
          <w:rFonts w:ascii="仿宋_GB2312" w:hAnsi="Calibri" w:eastAsia="仿宋_GB2312" w:cs="Times New Roman"/>
          <w:sz w:val="30"/>
          <w:szCs w:val="30"/>
        </w:rPr>
        <w:t>。</w:t>
      </w:r>
    </w:p>
    <w:p w14:paraId="5D52072D">
      <w:pPr>
        <w:numPr>
          <w:ilvl w:val="0"/>
          <w:numId w:val="2"/>
        </w:numPr>
        <w:tabs>
          <w:tab w:val="left" w:pos="780"/>
        </w:tabs>
        <w:spacing w:line="360" w:lineRule="auto"/>
        <w:ind w:leftChars="0" w:firstLine="0" w:firstLineChars="0"/>
        <w:rPr>
          <w:rFonts w:hint="eastAsia" w:ascii="仿宋_GB2312" w:hAnsi="Calibri" w:eastAsia="仿宋_GB2312" w:cs="Times New Roman"/>
          <w:sz w:val="30"/>
          <w:szCs w:val="30"/>
          <w:lang w:eastAsia="zh-CN"/>
        </w:rPr>
      </w:pPr>
      <w:r>
        <w:rPr>
          <w:rFonts w:hint="eastAsia" w:ascii="仿宋_GB2312" w:hAnsi="Calibri" w:eastAsia="仿宋_GB2312" w:cs="Times New Roman"/>
          <w:sz w:val="30"/>
          <w:szCs w:val="30"/>
          <w:lang w:eastAsia="zh-CN"/>
        </w:rPr>
        <w:t>技术要求</w:t>
      </w:r>
    </w:p>
    <w:tbl>
      <w:tblPr>
        <w:tblStyle w:val="11"/>
        <w:tblW w:w="8018" w:type="dxa"/>
        <w:tblInd w:w="96" w:type="dxa"/>
        <w:tblLayout w:type="fixed"/>
        <w:tblCellMar>
          <w:top w:w="0" w:type="dxa"/>
          <w:left w:w="108" w:type="dxa"/>
          <w:bottom w:w="0" w:type="dxa"/>
          <w:right w:w="108" w:type="dxa"/>
        </w:tblCellMar>
      </w:tblPr>
      <w:tblGrid>
        <w:gridCol w:w="430"/>
        <w:gridCol w:w="6844"/>
        <w:gridCol w:w="744"/>
      </w:tblGrid>
      <w:tr w14:paraId="79E9B217">
        <w:tblPrEx>
          <w:tblCellMar>
            <w:top w:w="0" w:type="dxa"/>
            <w:left w:w="108" w:type="dxa"/>
            <w:bottom w:w="0" w:type="dxa"/>
            <w:right w:w="108" w:type="dxa"/>
          </w:tblCellMar>
        </w:tblPrEx>
        <w:trPr>
          <w:trHeight w:val="4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29C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961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技术参数要求</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F72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对应分值</w:t>
            </w:r>
          </w:p>
        </w:tc>
      </w:tr>
      <w:tr w14:paraId="3A707368">
        <w:tblPrEx>
          <w:tblCellMar>
            <w:top w:w="0" w:type="dxa"/>
            <w:left w:w="108" w:type="dxa"/>
            <w:bottom w:w="0" w:type="dxa"/>
            <w:right w:w="108" w:type="dxa"/>
          </w:tblCellMar>
        </w:tblPrEx>
        <w:trPr>
          <w:trHeight w:val="1272"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32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7E58">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供应商应提供两根带宽互联网接入线路，直接接入供应商的IP城域网中，带宽1Gpbs，上下行速率对称，全程独享带宽，下行或者上行实际速率不低于约定速率的90%。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C317">
            <w:pPr>
              <w:widowControl/>
              <w:jc w:val="righ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6</w:t>
            </w:r>
          </w:p>
        </w:tc>
      </w:tr>
      <w:tr w14:paraId="34EFD24C">
        <w:tblPrEx>
          <w:tblCellMar>
            <w:top w:w="0" w:type="dxa"/>
            <w:left w:w="108" w:type="dxa"/>
            <w:bottom w:w="0" w:type="dxa"/>
            <w:right w:w="108" w:type="dxa"/>
          </w:tblCellMar>
        </w:tblPrEx>
        <w:trPr>
          <w:trHeight w:val="10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01B1">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AD8A">
            <w:pPr>
              <w:keepNext w:val="0"/>
              <w:keepLines w:val="0"/>
              <w:widowControl/>
              <w:suppressLineNumbers w:val="0"/>
              <w:ind w:firstLine="0" w:firstLineChars="0"/>
              <w:jc w:val="both"/>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线路光纤到上海市教育考试院民星路465号1号楼5层机房的设备，从用户出口设备到接入供应商骨干节点的路由跳数不大于3跳，并通过静态路由协议实现与供应商城域网互联。</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27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25C46902">
        <w:tblPrEx>
          <w:tblCellMar>
            <w:top w:w="0" w:type="dxa"/>
            <w:left w:w="108" w:type="dxa"/>
            <w:bottom w:w="0" w:type="dxa"/>
            <w:right w:w="108" w:type="dxa"/>
          </w:tblCellMar>
        </w:tblPrEx>
        <w:trPr>
          <w:trHeight w:val="109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B010">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80D8">
            <w:pPr>
              <w:keepNext w:val="0"/>
              <w:keepLines w:val="0"/>
              <w:widowControl/>
              <w:suppressLineNumbers w:val="0"/>
              <w:ind w:firstLine="0" w:firstLineChars="0"/>
              <w:jc w:val="both"/>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供应商应提供一定数量的固定公网IP地址，院方可以自行分配使用的固定公网IP地址，IPv4和IPv6地址各不少于512个，提供IP地址对应的所有端口开放服务。</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AE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5AD80DD8">
        <w:tblPrEx>
          <w:tblCellMar>
            <w:top w:w="0" w:type="dxa"/>
            <w:left w:w="108" w:type="dxa"/>
            <w:bottom w:w="0" w:type="dxa"/>
            <w:right w:w="108" w:type="dxa"/>
          </w:tblCellMar>
        </w:tblPrEx>
        <w:trPr>
          <w:trHeight w:val="778"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8155">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4</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908E">
            <w:pPr>
              <w:keepNext w:val="0"/>
              <w:keepLines w:val="0"/>
              <w:widowControl/>
              <w:suppressLineNumbers w:val="0"/>
              <w:ind w:firstLine="0" w:firstLineChars="0"/>
              <w:jc w:val="both"/>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根据客户业务需求，提供3个月的抗ddos服务， 全面保障线路安全。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FBC3">
            <w:pPr>
              <w:widowControl/>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w:t>
            </w:r>
          </w:p>
        </w:tc>
      </w:tr>
      <w:tr w14:paraId="3A549443">
        <w:tblPrEx>
          <w:tblCellMar>
            <w:top w:w="0" w:type="dxa"/>
            <w:left w:w="108" w:type="dxa"/>
            <w:bottom w:w="0" w:type="dxa"/>
            <w:right w:w="108" w:type="dxa"/>
          </w:tblCellMar>
        </w:tblPrEx>
        <w:trPr>
          <w:trHeight w:val="136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5564">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5</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0A95">
            <w:pPr>
              <w:keepNext w:val="0"/>
              <w:keepLines w:val="0"/>
              <w:widowControl/>
              <w:suppressLineNumbers w:val="0"/>
              <w:ind w:firstLine="0" w:firstLineChars="0"/>
              <w:jc w:val="both"/>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链路品质：网络的可用性</w:t>
            </w:r>
            <w:r>
              <w:rPr>
                <w:rStyle w:val="26"/>
                <w:rFonts w:eastAsia="宋体"/>
                <w:sz w:val="22"/>
                <w:szCs w:val="22"/>
                <w:lang w:val="en-US" w:eastAsia="zh-CN" w:bidi="ar"/>
              </w:rPr>
              <w:t>≥</w:t>
            </w:r>
            <w:r>
              <w:rPr>
                <w:rFonts w:hint="eastAsia" w:ascii="宋体" w:hAnsi="宋体" w:eastAsia="宋体" w:cs="宋体"/>
                <w:i w:val="0"/>
                <w:iCs w:val="0"/>
                <w:color w:val="000000"/>
                <w:kern w:val="0"/>
                <w:sz w:val="22"/>
                <w:szCs w:val="22"/>
                <w:u w:val="none"/>
                <w:lang w:val="en-US" w:eastAsia="zh-CN" w:bidi="ar"/>
              </w:rPr>
              <w:t>99.99%、线路物理带宽可用率大于95％，线路点到点访问平均丢包率</w:t>
            </w:r>
            <w:r>
              <w:rPr>
                <w:rStyle w:val="26"/>
                <w:rFonts w:eastAsia="宋体"/>
                <w:sz w:val="22"/>
                <w:szCs w:val="22"/>
                <w:lang w:val="en-US" w:eastAsia="zh-CN" w:bidi="ar"/>
              </w:rPr>
              <w:t>≤</w:t>
            </w:r>
            <w:r>
              <w:rPr>
                <w:rFonts w:hint="eastAsia" w:ascii="宋体" w:hAnsi="宋体" w:eastAsia="宋体" w:cs="宋体"/>
                <w:i w:val="0"/>
                <w:iCs w:val="0"/>
                <w:color w:val="000000"/>
                <w:kern w:val="0"/>
                <w:sz w:val="22"/>
                <w:szCs w:val="22"/>
                <w:u w:val="none"/>
                <w:lang w:val="en-US" w:eastAsia="zh-CN" w:bidi="ar"/>
              </w:rPr>
              <w:t>0.5%，平均修复时间</w:t>
            </w:r>
            <w:r>
              <w:rPr>
                <w:rStyle w:val="26"/>
                <w:rFonts w:eastAsia="宋体"/>
                <w:sz w:val="22"/>
                <w:szCs w:val="22"/>
                <w:lang w:val="en-US" w:eastAsia="zh-CN" w:bidi="ar"/>
              </w:rPr>
              <w:t>≤</w:t>
            </w:r>
            <w:r>
              <w:rPr>
                <w:rFonts w:hint="eastAsia" w:ascii="宋体" w:hAnsi="宋体" w:eastAsia="宋体" w:cs="宋体"/>
                <w:i w:val="0"/>
                <w:iCs w:val="0"/>
                <w:color w:val="000000"/>
                <w:kern w:val="0"/>
                <w:sz w:val="22"/>
                <w:szCs w:val="22"/>
                <w:u w:val="none"/>
                <w:lang w:val="en-US" w:eastAsia="zh-CN" w:bidi="ar"/>
              </w:rPr>
              <w:t>4小时，最长不超过8小时，提供2路光纤以及2个交换机端口（用户端光纤2路不同路由），故障时切换。</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70DF">
            <w:pPr>
              <w:widowControl/>
              <w:jc w:val="righ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5</w:t>
            </w:r>
          </w:p>
        </w:tc>
      </w:tr>
      <w:tr w14:paraId="119BA6AA">
        <w:tblPrEx>
          <w:tblCellMar>
            <w:top w:w="0" w:type="dxa"/>
            <w:left w:w="108" w:type="dxa"/>
            <w:bottom w:w="0" w:type="dxa"/>
            <w:right w:w="108" w:type="dxa"/>
          </w:tblCellMar>
        </w:tblPrEx>
        <w:trPr>
          <w:trHeight w:val="106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A5FB">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6</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0F6">
            <w:pPr>
              <w:keepNext w:val="0"/>
              <w:keepLines w:val="0"/>
              <w:widowControl/>
              <w:suppressLineNumbers w:val="0"/>
              <w:ind w:firstLine="0" w:firstLineChars="0"/>
              <w:jc w:val="both"/>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供应商应提供具备万兆接入的能力，院方设备通过万兆光纤物理路由方式直接接入招标方边界路由设备，连接客户路由器标准万兆单模光接口模块，通过划分VLAN方式对应供应商互联设备。</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F6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01EAAEE6">
        <w:tblPrEx>
          <w:tblCellMar>
            <w:top w:w="0" w:type="dxa"/>
            <w:left w:w="108" w:type="dxa"/>
            <w:bottom w:w="0" w:type="dxa"/>
            <w:right w:w="108" w:type="dxa"/>
          </w:tblCellMar>
        </w:tblPrEx>
        <w:trPr>
          <w:trHeight w:val="803"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F183">
            <w:pPr>
              <w:widowControl/>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7</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BDB3">
            <w:pPr>
              <w:keepNext w:val="0"/>
              <w:keepLines w:val="0"/>
              <w:widowControl/>
              <w:suppressLineNumbers w:val="0"/>
              <w:ind w:firstLine="0" w:firstLineChars="0"/>
              <w:jc w:val="both"/>
              <w:textAlignment w:val="center"/>
              <w:rPr>
                <w:rFonts w:hint="eastAsia" w:ascii="宋体" w:hAnsi="宋体" w:eastAsia="宋体" w:cs="宋体"/>
                <w:color w:val="000000"/>
                <w:kern w:val="0"/>
                <w:sz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提供网页内容分发加速功能，保障网页运行顺畅，并提供日志服务。供应商的内容分发加速应提供网页加速、上传加速、协议支持和WAF基础防护能力的各项能力（需提供截图证明）</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06C2">
            <w:pPr>
              <w:widowControl/>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3</w:t>
            </w:r>
          </w:p>
        </w:tc>
      </w:tr>
    </w:tbl>
    <w:p w14:paraId="30A06436">
      <w:pPr>
        <w:numPr>
          <w:ilvl w:val="-1"/>
          <w:numId w:val="0"/>
        </w:numPr>
        <w:tabs>
          <w:tab w:val="left" w:pos="630"/>
        </w:tabs>
        <w:spacing w:line="560" w:lineRule="exact"/>
        <w:ind w:left="210" w:firstLine="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lang w:eastAsia="zh-CN"/>
          <w14:textFill>
            <w14:solidFill>
              <w14:schemeClr w14:val="tx1"/>
            </w14:solidFill>
          </w14:textFill>
        </w:rPr>
        <w:t>四、</w:t>
      </w:r>
      <w:r>
        <w:rPr>
          <w:rFonts w:hint="eastAsia" w:ascii="仿宋_GB2312" w:eastAsia="仿宋_GB2312"/>
          <w:b/>
          <w:color w:val="000000" w:themeColor="text1"/>
          <w:sz w:val="30"/>
          <w:szCs w:val="30"/>
          <w14:textFill>
            <w14:solidFill>
              <w14:schemeClr w14:val="tx1"/>
            </w14:solidFill>
          </w14:textFill>
        </w:rPr>
        <w:t>服务要求</w:t>
      </w:r>
    </w:p>
    <w:p w14:paraId="2D1E3101">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供应商提供的网络服务应具备相关的运营要求，对涉及用户的数据不得发生任何泄漏事件。</w:t>
      </w:r>
    </w:p>
    <w:p w14:paraId="6DEAD998">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网络系统无故障率保证：供应商需保证为上海市教育考试院提供服务的网络服务无故障率和网络连通率不低于</w:t>
      </w:r>
      <w:r>
        <w:rPr>
          <w:rFonts w:ascii="仿宋_GB2312" w:hAnsi="Calibri" w:eastAsia="仿宋_GB2312" w:cs="Times New Roman"/>
          <w:sz w:val="30"/>
          <w:szCs w:val="30"/>
        </w:rPr>
        <w:t>99.</w:t>
      </w:r>
      <w:r>
        <w:rPr>
          <w:rFonts w:hint="eastAsia" w:ascii="仿宋_GB2312" w:hAnsi="Calibri" w:eastAsia="仿宋_GB2312" w:cs="Times New Roman"/>
          <w:sz w:val="30"/>
          <w:szCs w:val="30"/>
        </w:rPr>
        <w:t>99</w:t>
      </w:r>
      <w:r>
        <w:rPr>
          <w:rFonts w:ascii="仿宋_GB2312" w:hAnsi="Calibri" w:eastAsia="仿宋_GB2312" w:cs="Times New Roman"/>
          <w:sz w:val="30"/>
          <w:szCs w:val="30"/>
        </w:rPr>
        <w:t>%</w:t>
      </w:r>
      <w:r>
        <w:rPr>
          <w:rFonts w:hint="eastAsia" w:ascii="仿宋_GB2312" w:hAnsi="Calibri" w:eastAsia="仿宋_GB2312" w:cs="Times New Roman"/>
          <w:sz w:val="30"/>
          <w:szCs w:val="30"/>
        </w:rPr>
        <w:t>，不可控因素除外。</w:t>
      </w:r>
    </w:p>
    <w:p w14:paraId="18019CAE">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lang w:eastAsia="zh-CN"/>
        </w:rPr>
        <w:t>供应商</w:t>
      </w:r>
      <w:r>
        <w:rPr>
          <w:rFonts w:hint="eastAsia" w:ascii="仿宋_GB2312" w:hAnsi="Calibri" w:eastAsia="仿宋_GB2312" w:cs="Times New Roman"/>
          <w:sz w:val="30"/>
          <w:szCs w:val="30"/>
        </w:rPr>
        <w:t>所提供的服务机房及光纤链路技术标准能够为考试院DDoS服务、一站式服务、动态提速、SLA服务等提供快速、可靠的接入资源服务。</w:t>
      </w:r>
      <w:r>
        <w:rPr>
          <w:rFonts w:hint="eastAsia" w:ascii="仿宋_GB2312" w:hAnsi="Calibri" w:eastAsia="仿宋_GB2312" w:cs="Times New Roman"/>
          <w:sz w:val="30"/>
          <w:szCs w:val="30"/>
          <w:lang w:eastAsia="zh-CN"/>
        </w:rPr>
        <w:t>服务机房具备</w:t>
      </w:r>
      <w:r>
        <w:rPr>
          <w:rFonts w:hint="eastAsia" w:ascii="仿宋_GB2312" w:hAnsi="Calibri" w:eastAsia="仿宋_GB2312" w:cs="Times New Roman"/>
          <w:sz w:val="30"/>
          <w:szCs w:val="30"/>
        </w:rPr>
        <w:t>等保3级认证</w:t>
      </w:r>
      <w:r>
        <w:rPr>
          <w:rFonts w:hint="eastAsia" w:ascii="仿宋_GB2312" w:hAnsi="Calibri" w:eastAsia="仿宋_GB2312" w:cs="Times New Roman"/>
          <w:sz w:val="30"/>
          <w:szCs w:val="30"/>
          <w:lang w:eastAsia="zh-CN"/>
        </w:rPr>
        <w:t>论证。</w:t>
      </w:r>
    </w:p>
    <w:p w14:paraId="48F75E58">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在中标后，如供应商需改变线路绑定IP地址，改变与调整不能影响线路的继续使用，并提供用户原有IP地址平滑迁移服务。供应商须对此提出解决方案，并在中标后负责解决方案的实现，由此产生的全部费用纳入服务总价。</w:t>
      </w:r>
    </w:p>
    <w:p w14:paraId="7C53B915">
      <w:pPr>
        <w:numPr>
          <w:ilvl w:val="0"/>
          <w:numId w:val="3"/>
        </w:numPr>
        <w:tabs>
          <w:tab w:val="left" w:pos="780"/>
        </w:tabs>
        <w:spacing w:line="360" w:lineRule="auto"/>
        <w:ind w:left="30" w:firstLine="600" w:firstLineChars="0"/>
        <w:rPr>
          <w:rFonts w:ascii="仿宋_GB2312" w:hAnsi="Calibri" w:eastAsia="仿宋_GB2312" w:cs="Times New Roman"/>
          <w:sz w:val="30"/>
          <w:szCs w:val="30"/>
        </w:rPr>
      </w:pPr>
      <w:r>
        <w:rPr>
          <w:rFonts w:hint="eastAsia" w:ascii="仿宋_GB2312" w:hAnsi="Calibri" w:eastAsia="仿宋_GB2312" w:cs="Times New Roman"/>
          <w:sz w:val="30"/>
          <w:szCs w:val="30"/>
        </w:rPr>
        <w:t>在服务提供期内，供应商应建立完善的售后服务体系，提供运维服务规划。规划包括标准、规范、目标职责、与用户的分工界面、组织结构、人员配置、设备配备、技术手段、实施流程、应急预案、需用户配合的内容与要求、质量评估方法及可量化评估细则等。</w:t>
      </w:r>
      <w:r>
        <w:rPr>
          <w:rFonts w:hint="eastAsia" w:ascii="仿宋_GB2312" w:hAnsi="Calibri" w:eastAsia="仿宋_GB2312" w:cs="Times New Roman"/>
          <w:sz w:val="30"/>
          <w:szCs w:val="30"/>
          <w:lang w:eastAsia="zh-CN"/>
        </w:rPr>
        <w:t>同时根据自身实力尽可能向用户提供</w:t>
      </w:r>
      <w:r>
        <w:rPr>
          <w:rFonts w:hint="eastAsia" w:ascii="仿宋_GB2312" w:hAnsi="Calibri" w:eastAsia="仿宋_GB2312" w:cs="Times New Roman"/>
          <w:sz w:val="30"/>
          <w:szCs w:val="30"/>
        </w:rPr>
        <w:t>网络规划、技术研究等</w:t>
      </w:r>
      <w:r>
        <w:rPr>
          <w:rFonts w:hint="eastAsia" w:ascii="仿宋_GB2312" w:hAnsi="Calibri" w:eastAsia="仿宋_GB2312" w:cs="Times New Roman"/>
          <w:sz w:val="30"/>
          <w:szCs w:val="30"/>
          <w:lang w:eastAsia="zh-CN"/>
        </w:rPr>
        <w:t>增值服务。</w:t>
      </w:r>
    </w:p>
    <w:p w14:paraId="03B0734E">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供应商应设立专属客户经理，提供一对一的支持服务</w:t>
      </w:r>
      <w:r>
        <w:rPr>
          <w:rFonts w:ascii="仿宋_GB2312" w:hAnsi="Calibri" w:eastAsia="仿宋_GB2312" w:cs="Times New Roman"/>
          <w:sz w:val="30"/>
          <w:szCs w:val="30"/>
        </w:rPr>
        <w:t>。</w:t>
      </w:r>
      <w:r>
        <w:rPr>
          <w:rFonts w:hint="eastAsia" w:ascii="仿宋_GB2312" w:hAnsi="Calibri" w:eastAsia="仿宋_GB2312" w:cs="Times New Roman"/>
          <w:sz w:val="30"/>
          <w:szCs w:val="30"/>
        </w:rPr>
        <w:t>团队组织、功能架构、工作制度及流程清晰明确，团队人员数量、岗位配置齐全合理。提供团队中项目经理、运维经理、安全经理等项目核心服务人员的相关资质、证书、社保证明、学历、专业、职称及主要从业经历。</w:t>
      </w:r>
    </w:p>
    <w:p w14:paraId="7B1AF797">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服务有效期内响应时间要求：提供技术支持和故障申告联系电话，在服务有效期内，该服务必须是7（天）×24（小时）技术支持；如设备或系统出现故障，7×24小时故障处理，在接到报修通知后</w:t>
      </w:r>
      <w:r>
        <w:rPr>
          <w:rFonts w:ascii="仿宋_GB2312" w:hAnsi="Calibri" w:eastAsia="仿宋_GB2312" w:cs="Times New Roman"/>
          <w:sz w:val="30"/>
          <w:szCs w:val="30"/>
        </w:rPr>
        <w:t>5</w:t>
      </w:r>
      <w:r>
        <w:rPr>
          <w:rFonts w:hint="eastAsia" w:ascii="仿宋_GB2312" w:hAnsi="Calibri" w:eastAsia="仿宋_GB2312" w:cs="Times New Roman"/>
          <w:sz w:val="30"/>
          <w:szCs w:val="30"/>
        </w:rPr>
        <w:t>分钟故障响应，3</w:t>
      </w:r>
      <w:r>
        <w:rPr>
          <w:rFonts w:ascii="仿宋_GB2312" w:hAnsi="Calibri" w:eastAsia="仿宋_GB2312" w:cs="Times New Roman"/>
          <w:sz w:val="30"/>
          <w:szCs w:val="30"/>
        </w:rPr>
        <w:t>0</w:t>
      </w:r>
      <w:r>
        <w:rPr>
          <w:rFonts w:hint="eastAsia" w:ascii="仿宋_GB2312" w:hAnsi="Calibri" w:eastAsia="仿宋_GB2312" w:cs="Times New Roman"/>
          <w:sz w:val="30"/>
          <w:szCs w:val="30"/>
        </w:rPr>
        <w:t>分钟故障排除反馈，平均修复时长小于4小时，8小时内排除故障并完全恢复系统的正常运行，保证院方的正常教学工作，事后须及时提交相应的故障报告。</w:t>
      </w:r>
    </w:p>
    <w:p w14:paraId="76452372">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供应商应有完善的网络实时监控手段，可以7*24小时对网络流量进行全面的监控，最少保留3个月的带宽使用数据，并提供故障及处理等情况的相关报告。</w:t>
      </w:r>
    </w:p>
    <w:p w14:paraId="1A162D78">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若供应商进行有可能对服务产生影响的网络调整，需提前7天书面通知用户。</w:t>
      </w:r>
    </w:p>
    <w:p w14:paraId="6851C134">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紧急事件处理：提供应急预案</w:t>
      </w:r>
    </w:p>
    <w:p w14:paraId="62C64959">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若因不可抗力引发网络故障，供应商应立即通知用户，并采取措施尽快解决，事后应提供完整的书面报告。</w:t>
      </w:r>
    </w:p>
    <w:p w14:paraId="465F9B34">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供应商应承诺提供重大活动现场保障及重点保障服务。提供网管侧重点监控和保障、提供相关保障方案、保障前巡检测试、网络操作规避、现场侧保障、重保记录报告等。</w:t>
      </w:r>
    </w:p>
    <w:p w14:paraId="3DB8D5EF">
      <w:pPr>
        <w:numPr>
          <w:ilvl w:val="0"/>
          <w:numId w:val="3"/>
        </w:numPr>
        <w:tabs>
          <w:tab w:val="left" w:pos="780"/>
        </w:tabs>
        <w:spacing w:line="360" w:lineRule="auto"/>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在服务期内，如上级主管教育部门上海市教育委员会对全市网络出口有统一管理新政出台，供应商需积极配合招标人进行网络调整。</w:t>
      </w:r>
    </w:p>
    <w:p w14:paraId="73199D7F">
      <w:pPr>
        <w:tabs>
          <w:tab w:val="left" w:pos="780"/>
        </w:tabs>
        <w:spacing w:line="360" w:lineRule="auto"/>
        <w:ind w:left="600"/>
        <w:rPr>
          <w:rFonts w:ascii="仿宋_GB2312" w:hAnsi="Calibri" w:eastAsia="仿宋_GB2312" w:cs="Times New Roman"/>
          <w:sz w:val="30"/>
          <w:szCs w:val="30"/>
        </w:rPr>
      </w:pPr>
    </w:p>
    <w:p w14:paraId="4FCF6591">
      <w:pPr>
        <w:numPr>
          <w:ilvl w:val="0"/>
          <w:numId w:val="1"/>
        </w:numPr>
        <w:tabs>
          <w:tab w:val="left" w:pos="630"/>
        </w:tabs>
        <w:spacing w:line="560" w:lineRule="exact"/>
        <w:rPr>
          <w:rFonts w:ascii="仿宋_GB2312" w:eastAsia="仿宋_GB2312"/>
          <w:b/>
          <w:sz w:val="30"/>
          <w:szCs w:val="30"/>
        </w:rPr>
      </w:pPr>
      <w:bookmarkStart w:id="0" w:name="_GoBack"/>
      <w:bookmarkEnd w:id="0"/>
      <w:r>
        <w:rPr>
          <w:rFonts w:hint="eastAsia" w:ascii="仿宋_GB2312" w:eastAsia="仿宋_GB2312"/>
          <w:b/>
          <w:sz w:val="30"/>
          <w:szCs w:val="30"/>
        </w:rPr>
        <w:t>验收要求</w:t>
      </w:r>
    </w:p>
    <w:p w14:paraId="00C3DD70">
      <w:pPr>
        <w:tabs>
          <w:tab w:val="left" w:pos="630"/>
          <w:tab w:val="left" w:pos="930"/>
        </w:tabs>
        <w:spacing w:line="560" w:lineRule="exact"/>
        <w:ind w:left="210" w:firstLine="600" w:firstLineChars="200"/>
        <w:rPr>
          <w:rFonts w:ascii="仿宋_GB2312" w:eastAsia="仿宋_GB2312"/>
          <w:b/>
          <w:color w:val="FF0000"/>
          <w:sz w:val="30"/>
          <w:szCs w:val="30"/>
        </w:rPr>
      </w:pPr>
      <w:r>
        <w:rPr>
          <w:rFonts w:hint="eastAsia" w:ascii="仿宋_GB2312" w:hAnsi="Calibri" w:eastAsia="仿宋_GB2312" w:cs="Times New Roman"/>
          <w:color w:val="000000" w:themeColor="text1"/>
          <w:sz w:val="30"/>
          <w:szCs w:val="30"/>
          <w14:textFill>
            <w14:solidFill>
              <w14:schemeClr w14:val="tx1"/>
            </w14:solidFill>
          </w14:textFill>
        </w:rPr>
        <w:t>招标方根据合同约定对投标方提供的服务进行验收，招标方收</w:t>
      </w:r>
      <w:r>
        <w:rPr>
          <w:rFonts w:hint="eastAsia" w:ascii="仿宋_GB2312" w:hAnsi="Calibri" w:eastAsia="仿宋_GB2312" w:cs="Times New Roman"/>
          <w:sz w:val="30"/>
          <w:szCs w:val="30"/>
        </w:rPr>
        <w:t>取投标方项目过程中形成的运维服务资料、知识成果、相</w:t>
      </w:r>
      <w:r>
        <w:rPr>
          <w:rFonts w:hint="eastAsia" w:ascii="仿宋_GB2312" w:hAnsi="Calibri" w:eastAsia="仿宋_GB2312" w:cs="Times New Roman"/>
          <w:color w:val="000000" w:themeColor="text1"/>
          <w:sz w:val="30"/>
          <w:szCs w:val="30"/>
          <w14:textFill>
            <w14:solidFill>
              <w14:schemeClr w14:val="tx1"/>
            </w14:solidFill>
          </w14:textFill>
        </w:rPr>
        <w:t>关报告并在验收单上签字确认，并按合同约定与</w:t>
      </w:r>
      <w:r>
        <w:rPr>
          <w:rFonts w:hint="eastAsia" w:ascii="仿宋_GB2312" w:hAnsi="Calibri" w:eastAsia="仿宋_GB2312" w:cs="Times New Roman"/>
          <w:color w:val="000000" w:themeColor="text1"/>
          <w:sz w:val="30"/>
          <w:szCs w:val="30"/>
          <w:lang w:eastAsia="zh-CN"/>
          <w14:textFill>
            <w14:solidFill>
              <w14:schemeClr w14:val="tx1"/>
            </w14:solidFill>
          </w14:textFill>
        </w:rPr>
        <w:t>中</w:t>
      </w:r>
      <w:r>
        <w:rPr>
          <w:rFonts w:hint="eastAsia" w:ascii="仿宋_GB2312" w:hAnsi="Calibri" w:eastAsia="仿宋_GB2312" w:cs="Times New Roman"/>
          <w:color w:val="000000" w:themeColor="text1"/>
          <w:sz w:val="30"/>
          <w:szCs w:val="30"/>
          <w14:textFill>
            <w14:solidFill>
              <w14:schemeClr w14:val="tx1"/>
            </w14:solidFill>
          </w14:textFill>
        </w:rPr>
        <w:t>标方结清款项。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95D39"/>
    <w:multiLevelType w:val="singleLevel"/>
    <w:tmpl w:val="D9E95D39"/>
    <w:lvl w:ilvl="0" w:tentative="0">
      <w:start w:val="3"/>
      <w:numFmt w:val="chineseCounting"/>
      <w:suff w:val="nothing"/>
      <w:lvlText w:val="%1、"/>
      <w:lvlJc w:val="left"/>
      <w:rPr>
        <w:rFonts w:hint="eastAsia"/>
      </w:rPr>
    </w:lvl>
  </w:abstractNum>
  <w:abstractNum w:abstractNumId="1">
    <w:nsid w:val="06DF3F37"/>
    <w:multiLevelType w:val="multilevel"/>
    <w:tmpl w:val="06DF3F37"/>
    <w:lvl w:ilvl="0" w:tentative="0">
      <w:start w:val="1"/>
      <w:numFmt w:val="chineseCountingThousand"/>
      <w:lvlText w:val="%1、"/>
      <w:lvlJc w:val="left"/>
      <w:pPr>
        <w:tabs>
          <w:tab w:val="left" w:pos="930"/>
        </w:tabs>
        <w:ind w:left="930" w:hanging="720"/>
      </w:pPr>
      <w:rPr>
        <w:rFonts w:hint="eastAsia"/>
        <w:color w:val="auto"/>
        <w:sz w:val="30"/>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0B5976DB"/>
    <w:multiLevelType w:val="multilevel"/>
    <w:tmpl w:val="0B5976DB"/>
    <w:lvl w:ilvl="0" w:tentative="0">
      <w:start w:val="1"/>
      <w:numFmt w:val="decimal"/>
      <w:suff w:val="space"/>
      <w:lvlText w:val="%1、"/>
      <w:lvlJc w:val="left"/>
      <w:pPr>
        <w:ind w:left="0" w:firstLine="0"/>
      </w:pPr>
      <w:rPr>
        <w:rFonts w:hint="default"/>
      </w:rPr>
    </w:lvl>
    <w:lvl w:ilvl="1" w:tentative="0">
      <w:start w:val="1"/>
      <w:numFmt w:val="lowerLetter"/>
      <w:lvlText w:val="%2)"/>
      <w:lvlJc w:val="left"/>
      <w:pPr>
        <w:tabs>
          <w:tab w:val="left" w:pos="780"/>
        </w:tabs>
        <w:ind w:left="0" w:firstLine="0"/>
      </w:pPr>
      <w:rPr>
        <w:rFonts w:hint="eastAsia"/>
      </w:rPr>
    </w:lvl>
    <w:lvl w:ilvl="2" w:tentative="0">
      <w:start w:val="1"/>
      <w:numFmt w:val="decimal"/>
      <w:lvlText w:val="%3."/>
      <w:lvlJc w:val="left"/>
      <w:pPr>
        <w:tabs>
          <w:tab w:val="left" w:pos="780"/>
        </w:tabs>
        <w:ind w:left="0" w:firstLine="0"/>
      </w:pPr>
      <w:rPr>
        <w:rFonts w:hint="default"/>
      </w:rPr>
    </w:lvl>
    <w:lvl w:ilvl="3" w:tentative="0">
      <w:start w:val="1"/>
      <w:numFmt w:val="decimal"/>
      <w:lvlText w:val="%4."/>
      <w:lvlJc w:val="left"/>
      <w:pPr>
        <w:tabs>
          <w:tab w:val="left" w:pos="780"/>
        </w:tabs>
        <w:ind w:left="0" w:firstLine="0"/>
      </w:pPr>
      <w:rPr>
        <w:rFonts w:hint="eastAsia"/>
      </w:rPr>
    </w:lvl>
    <w:lvl w:ilvl="4" w:tentative="0">
      <w:start w:val="1"/>
      <w:numFmt w:val="lowerLetter"/>
      <w:lvlText w:val="%5)"/>
      <w:lvlJc w:val="left"/>
      <w:pPr>
        <w:tabs>
          <w:tab w:val="left" w:pos="780"/>
        </w:tabs>
        <w:ind w:left="0" w:firstLine="0"/>
      </w:pPr>
      <w:rPr>
        <w:rFonts w:hint="eastAsia"/>
      </w:rPr>
    </w:lvl>
    <w:lvl w:ilvl="5" w:tentative="0">
      <w:start w:val="1"/>
      <w:numFmt w:val="lowerRoman"/>
      <w:lvlText w:val="%6."/>
      <w:lvlJc w:val="right"/>
      <w:pPr>
        <w:tabs>
          <w:tab w:val="left" w:pos="780"/>
        </w:tabs>
        <w:ind w:left="0" w:firstLine="0"/>
      </w:pPr>
      <w:rPr>
        <w:rFonts w:hint="eastAsia"/>
      </w:rPr>
    </w:lvl>
    <w:lvl w:ilvl="6" w:tentative="0">
      <w:start w:val="1"/>
      <w:numFmt w:val="decimal"/>
      <w:lvlText w:val="%7."/>
      <w:lvlJc w:val="left"/>
      <w:pPr>
        <w:tabs>
          <w:tab w:val="left" w:pos="780"/>
        </w:tabs>
        <w:ind w:left="0" w:firstLine="0"/>
      </w:pPr>
      <w:rPr>
        <w:rFonts w:hint="eastAsia"/>
      </w:rPr>
    </w:lvl>
    <w:lvl w:ilvl="7" w:tentative="0">
      <w:start w:val="1"/>
      <w:numFmt w:val="lowerLetter"/>
      <w:lvlText w:val="%8)"/>
      <w:lvlJc w:val="left"/>
      <w:pPr>
        <w:tabs>
          <w:tab w:val="left" w:pos="780"/>
        </w:tabs>
        <w:ind w:left="0" w:firstLine="0"/>
      </w:pPr>
      <w:rPr>
        <w:rFonts w:hint="eastAsia"/>
      </w:rPr>
    </w:lvl>
    <w:lvl w:ilvl="8" w:tentative="0">
      <w:start w:val="1"/>
      <w:numFmt w:val="lowerRoman"/>
      <w:lvlText w:val="%9."/>
      <w:lvlJc w:val="right"/>
      <w:pPr>
        <w:tabs>
          <w:tab w:val="left" w:pos="780"/>
        </w:tabs>
        <w:ind w:left="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iNmU1NGQ4OGEwZGNkMmE0ODlkYjM0MTNlNzBhNmIifQ=="/>
  </w:docVars>
  <w:rsids>
    <w:rsidRoot w:val="00DF1134"/>
    <w:rsid w:val="00011E3D"/>
    <w:rsid w:val="00040420"/>
    <w:rsid w:val="00055B0A"/>
    <w:rsid w:val="00055F6B"/>
    <w:rsid w:val="00064644"/>
    <w:rsid w:val="00082CFC"/>
    <w:rsid w:val="000B22E7"/>
    <w:rsid w:val="000B46D7"/>
    <w:rsid w:val="000B5B1A"/>
    <w:rsid w:val="000B7577"/>
    <w:rsid w:val="000C00C7"/>
    <w:rsid w:val="001150CF"/>
    <w:rsid w:val="0016729D"/>
    <w:rsid w:val="001F3B92"/>
    <w:rsid w:val="002158F9"/>
    <w:rsid w:val="00232B1A"/>
    <w:rsid w:val="00240589"/>
    <w:rsid w:val="002635B2"/>
    <w:rsid w:val="0026595A"/>
    <w:rsid w:val="0029147A"/>
    <w:rsid w:val="002B413E"/>
    <w:rsid w:val="002C697F"/>
    <w:rsid w:val="00306EBF"/>
    <w:rsid w:val="00341505"/>
    <w:rsid w:val="00356400"/>
    <w:rsid w:val="003C081B"/>
    <w:rsid w:val="003E29E5"/>
    <w:rsid w:val="003E55BB"/>
    <w:rsid w:val="00402005"/>
    <w:rsid w:val="0040388C"/>
    <w:rsid w:val="004139E6"/>
    <w:rsid w:val="00414FD3"/>
    <w:rsid w:val="00427F86"/>
    <w:rsid w:val="004379D0"/>
    <w:rsid w:val="00466F03"/>
    <w:rsid w:val="004D4D10"/>
    <w:rsid w:val="004E22EB"/>
    <w:rsid w:val="004F08CE"/>
    <w:rsid w:val="004F6D90"/>
    <w:rsid w:val="0051228C"/>
    <w:rsid w:val="00527A00"/>
    <w:rsid w:val="00530AFD"/>
    <w:rsid w:val="00574352"/>
    <w:rsid w:val="0057687D"/>
    <w:rsid w:val="0059611B"/>
    <w:rsid w:val="005C7334"/>
    <w:rsid w:val="005D18BD"/>
    <w:rsid w:val="005F28B4"/>
    <w:rsid w:val="005F3528"/>
    <w:rsid w:val="0064790B"/>
    <w:rsid w:val="0065353D"/>
    <w:rsid w:val="006537D8"/>
    <w:rsid w:val="00674E25"/>
    <w:rsid w:val="006912D0"/>
    <w:rsid w:val="006B6E74"/>
    <w:rsid w:val="006C55F8"/>
    <w:rsid w:val="007211AA"/>
    <w:rsid w:val="00730F26"/>
    <w:rsid w:val="0073268B"/>
    <w:rsid w:val="00734494"/>
    <w:rsid w:val="007610D3"/>
    <w:rsid w:val="007A6763"/>
    <w:rsid w:val="007A7714"/>
    <w:rsid w:val="008338C6"/>
    <w:rsid w:val="008646E0"/>
    <w:rsid w:val="00876CD4"/>
    <w:rsid w:val="00880CA8"/>
    <w:rsid w:val="008F1386"/>
    <w:rsid w:val="008F39E4"/>
    <w:rsid w:val="0094022B"/>
    <w:rsid w:val="009806BD"/>
    <w:rsid w:val="00982B45"/>
    <w:rsid w:val="009B2E23"/>
    <w:rsid w:val="009C79DA"/>
    <w:rsid w:val="009E0C74"/>
    <w:rsid w:val="009F3743"/>
    <w:rsid w:val="00A0119D"/>
    <w:rsid w:val="00A062CA"/>
    <w:rsid w:val="00A87835"/>
    <w:rsid w:val="00AB7343"/>
    <w:rsid w:val="00AC5D2D"/>
    <w:rsid w:val="00AD220B"/>
    <w:rsid w:val="00B229B6"/>
    <w:rsid w:val="00B45AB6"/>
    <w:rsid w:val="00B97660"/>
    <w:rsid w:val="00BB1EFD"/>
    <w:rsid w:val="00BE0C9C"/>
    <w:rsid w:val="00BF451E"/>
    <w:rsid w:val="00C50AAB"/>
    <w:rsid w:val="00C651DF"/>
    <w:rsid w:val="00CA18D2"/>
    <w:rsid w:val="00CB614C"/>
    <w:rsid w:val="00D379E5"/>
    <w:rsid w:val="00D74E4D"/>
    <w:rsid w:val="00D8312C"/>
    <w:rsid w:val="00D845E6"/>
    <w:rsid w:val="00DB56B7"/>
    <w:rsid w:val="00DC6DD4"/>
    <w:rsid w:val="00DD5572"/>
    <w:rsid w:val="00DE3C50"/>
    <w:rsid w:val="00DF0E5B"/>
    <w:rsid w:val="00DF1134"/>
    <w:rsid w:val="00E3394A"/>
    <w:rsid w:val="00E60083"/>
    <w:rsid w:val="00EA3C21"/>
    <w:rsid w:val="00EA77DD"/>
    <w:rsid w:val="00EC3714"/>
    <w:rsid w:val="00ED7326"/>
    <w:rsid w:val="00F14E46"/>
    <w:rsid w:val="00F26A33"/>
    <w:rsid w:val="00F33ADF"/>
    <w:rsid w:val="00F40B3A"/>
    <w:rsid w:val="00F42189"/>
    <w:rsid w:val="00F44802"/>
    <w:rsid w:val="00F6559C"/>
    <w:rsid w:val="00F9421C"/>
    <w:rsid w:val="00F95068"/>
    <w:rsid w:val="00FA3230"/>
    <w:rsid w:val="00FF0499"/>
    <w:rsid w:val="02E50C17"/>
    <w:rsid w:val="0AC71D75"/>
    <w:rsid w:val="1946302D"/>
    <w:rsid w:val="1E2E3E06"/>
    <w:rsid w:val="22216B91"/>
    <w:rsid w:val="23014D42"/>
    <w:rsid w:val="2BC92DAC"/>
    <w:rsid w:val="313B3289"/>
    <w:rsid w:val="394E6C03"/>
    <w:rsid w:val="3F578B9F"/>
    <w:rsid w:val="3F905D07"/>
    <w:rsid w:val="41187B2C"/>
    <w:rsid w:val="46C90012"/>
    <w:rsid w:val="47C87B46"/>
    <w:rsid w:val="5AC0440C"/>
    <w:rsid w:val="5F9EA30F"/>
    <w:rsid w:val="643C1998"/>
    <w:rsid w:val="6B3FEA11"/>
    <w:rsid w:val="6B7A0E0A"/>
    <w:rsid w:val="6E469283"/>
    <w:rsid w:val="734A7548"/>
    <w:rsid w:val="78DE4B91"/>
    <w:rsid w:val="79D75BA0"/>
    <w:rsid w:val="7C475B4D"/>
    <w:rsid w:val="7C770752"/>
    <w:rsid w:val="7EC02164"/>
    <w:rsid w:val="7F7F6B8F"/>
    <w:rsid w:val="7FFF2C27"/>
    <w:rsid w:val="AFFFD5E5"/>
    <w:rsid w:val="D5F7AA56"/>
    <w:rsid w:val="D6E2DE05"/>
    <w:rsid w:val="D83F1FD4"/>
    <w:rsid w:val="DFEDFE3E"/>
    <w:rsid w:val="E73F0437"/>
    <w:rsid w:val="FBFBED98"/>
    <w:rsid w:val="FE6FEE62"/>
    <w:rsid w:val="FEFEDFF6"/>
    <w:rsid w:val="FF57D98E"/>
    <w:rsid w:val="FF6EFB40"/>
    <w:rsid w:val="FFFB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semiHidden/>
    <w:unhideWhenUsed/>
    <w:qFormat/>
    <w:uiPriority w:val="99"/>
    <w:pPr>
      <w:jc w:val="left"/>
    </w:pPr>
  </w:style>
  <w:style w:type="paragraph" w:styleId="4">
    <w:name w:val="Body Text"/>
    <w:basedOn w:val="1"/>
    <w:next w:val="5"/>
    <w:link w:val="22"/>
    <w:autoRedefine/>
    <w:qFormat/>
    <w:uiPriority w:val="0"/>
    <w:pPr>
      <w:spacing w:after="120"/>
    </w:pPr>
    <w:rPr>
      <w:rFonts w:ascii="Times New Roman" w:hAnsi="Times New Roman" w:eastAsia="宋体" w:cs="Times New Roman"/>
      <w:szCs w:val="20"/>
    </w:rPr>
  </w:style>
  <w:style w:type="paragraph" w:styleId="5">
    <w:name w:val="Body Text First Indent"/>
    <w:basedOn w:val="4"/>
    <w:link w:val="23"/>
    <w:autoRedefine/>
    <w:qFormat/>
    <w:uiPriority w:val="0"/>
    <w:pPr>
      <w:ind w:firstLine="420" w:firstLineChars="100"/>
    </w:pPr>
    <w:rPr>
      <w:szCs w:val="24"/>
    </w:rPr>
  </w:style>
  <w:style w:type="paragraph" w:styleId="6">
    <w:name w:val="Balloon Text"/>
    <w:basedOn w:val="1"/>
    <w:link w:val="20"/>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10">
    <w:name w:val="annotation subject"/>
    <w:basedOn w:val="3"/>
    <w:next w:val="3"/>
    <w:link w:val="19"/>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semiHidden/>
    <w:unhideWhenUsed/>
    <w:qFormat/>
    <w:uiPriority w:val="99"/>
    <w:rPr>
      <w:sz w:val="21"/>
      <w:szCs w:val="21"/>
    </w:rPr>
  </w:style>
  <w:style w:type="paragraph" w:styleId="15">
    <w:name w:val="List Paragraph"/>
    <w:basedOn w:val="1"/>
    <w:autoRedefine/>
    <w:qFormat/>
    <w:uiPriority w:val="34"/>
    <w:pPr>
      <w:ind w:firstLine="420" w:firstLineChars="200"/>
    </w:pPr>
  </w:style>
  <w:style w:type="character" w:customStyle="1" w:styleId="16">
    <w:name w:val="页眉 字符"/>
    <w:basedOn w:val="13"/>
    <w:link w:val="8"/>
    <w:autoRedefine/>
    <w:qFormat/>
    <w:uiPriority w:val="99"/>
    <w:rPr>
      <w:sz w:val="18"/>
      <w:szCs w:val="18"/>
    </w:rPr>
  </w:style>
  <w:style w:type="character" w:customStyle="1" w:styleId="17">
    <w:name w:val="页脚 字符"/>
    <w:basedOn w:val="13"/>
    <w:link w:val="7"/>
    <w:autoRedefine/>
    <w:qFormat/>
    <w:uiPriority w:val="99"/>
    <w:rPr>
      <w:sz w:val="18"/>
      <w:szCs w:val="18"/>
    </w:rPr>
  </w:style>
  <w:style w:type="character" w:customStyle="1" w:styleId="18">
    <w:name w:val="批注文字 字符"/>
    <w:basedOn w:val="13"/>
    <w:link w:val="3"/>
    <w:autoRedefine/>
    <w:semiHidden/>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10"/>
    <w:autoRedefine/>
    <w:semiHidden/>
    <w:qFormat/>
    <w:uiPriority w:val="99"/>
    <w:rPr>
      <w:rFonts w:asciiTheme="minorHAnsi" w:hAnsiTheme="minorHAnsi" w:eastAsiaTheme="minorEastAsia" w:cstheme="minorBidi"/>
      <w:b/>
      <w:bCs/>
      <w:kern w:val="2"/>
      <w:sz w:val="21"/>
      <w:szCs w:val="22"/>
    </w:rPr>
  </w:style>
  <w:style w:type="character" w:customStyle="1" w:styleId="20">
    <w:name w:val="批注框文本 字符"/>
    <w:basedOn w:val="13"/>
    <w:link w:val="6"/>
    <w:autoRedefine/>
    <w:semiHidden/>
    <w:qFormat/>
    <w:uiPriority w:val="99"/>
    <w:rPr>
      <w:rFonts w:asciiTheme="minorHAnsi" w:hAnsiTheme="minorHAnsi" w:eastAsiaTheme="minorEastAsia" w:cstheme="minorBidi"/>
      <w:kern w:val="2"/>
      <w:sz w:val="18"/>
      <w:szCs w:val="18"/>
    </w:rPr>
  </w:style>
  <w:style w:type="character" w:customStyle="1" w:styleId="21">
    <w:name w:val="标题 1 字符"/>
    <w:basedOn w:val="13"/>
    <w:link w:val="2"/>
    <w:autoRedefine/>
    <w:qFormat/>
    <w:uiPriority w:val="9"/>
    <w:rPr>
      <w:rFonts w:ascii="Times New Roman" w:hAnsi="Times New Roman"/>
      <w:b/>
      <w:bCs/>
      <w:kern w:val="44"/>
      <w:sz w:val="44"/>
      <w:szCs w:val="44"/>
    </w:rPr>
  </w:style>
  <w:style w:type="character" w:customStyle="1" w:styleId="22">
    <w:name w:val="正文文本 字符"/>
    <w:basedOn w:val="13"/>
    <w:link w:val="4"/>
    <w:autoRedefine/>
    <w:qFormat/>
    <w:uiPriority w:val="0"/>
    <w:rPr>
      <w:rFonts w:ascii="Times New Roman" w:hAnsi="Times New Roman"/>
      <w:kern w:val="2"/>
      <w:sz w:val="21"/>
    </w:rPr>
  </w:style>
  <w:style w:type="character" w:customStyle="1" w:styleId="23">
    <w:name w:val="正文首行缩进 字符"/>
    <w:basedOn w:val="22"/>
    <w:link w:val="5"/>
    <w:autoRedefine/>
    <w:qFormat/>
    <w:uiPriority w:val="0"/>
    <w:rPr>
      <w:rFonts w:ascii="Times New Roman" w:hAnsi="Times New Roman"/>
      <w:kern w:val="2"/>
      <w:sz w:val="21"/>
      <w:szCs w:val="24"/>
    </w:rPr>
  </w:style>
  <w:style w:type="character" w:customStyle="1" w:styleId="24">
    <w:name w:val="font21"/>
    <w:basedOn w:val="13"/>
    <w:qFormat/>
    <w:uiPriority w:val="0"/>
    <w:rPr>
      <w:rFonts w:ascii="Calibri" w:hAnsi="Calibri" w:cs="Calibri"/>
      <w:color w:val="000000"/>
      <w:sz w:val="22"/>
      <w:szCs w:val="22"/>
      <w:u w:val="none"/>
    </w:rPr>
  </w:style>
  <w:style w:type="character" w:customStyle="1" w:styleId="25">
    <w:name w:val="font01"/>
    <w:basedOn w:val="13"/>
    <w:qFormat/>
    <w:uiPriority w:val="0"/>
    <w:rPr>
      <w:rFonts w:hint="eastAsia" w:ascii="宋体" w:hAnsi="宋体" w:eastAsia="宋体" w:cs="宋体"/>
      <w:color w:val="000000"/>
      <w:sz w:val="22"/>
      <w:szCs w:val="22"/>
      <w:u w:val="none"/>
    </w:rPr>
  </w:style>
  <w:style w:type="character" w:customStyle="1" w:styleId="26">
    <w:name w:val="font31"/>
    <w:basedOn w:val="13"/>
    <w:qFormat/>
    <w:uiPriority w:val="0"/>
    <w:rPr>
      <w:rFonts w:ascii="Calibri" w:hAnsi="Calibri" w:cs="Calibri"/>
      <w:color w:val="000000"/>
      <w:sz w:val="30"/>
      <w:szCs w:val="3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89E94035-7471-47C3-BE07-21A9833A04D3}">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5</Pages>
  <Words>632</Words>
  <Characters>3607</Characters>
  <Lines>30</Lines>
  <Paragraphs>8</Paragraphs>
  <TotalTime>10</TotalTime>
  <ScaleCrop>false</ScaleCrop>
  <LinksUpToDate>false</LinksUpToDate>
  <CharactersWithSpaces>4231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2024-04-17T00:47:00Z</dcterms:created>
  <dc:creator>xhm</dc:creator>
  <cp:lastModifiedBy>顾文林</cp:lastModifiedBy>
  <cp:lastPrinted>2026-03-11T23:39:00Z</cp:lastPrinted>
  <dcterms:modified xsi:type="dcterms:W3CDTF">2026-05-18T15:12:40Z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8F91B129CAA4A3F161720A6AEA03F55C_43</vt:lpwstr>
  </property>
  <property fmtid="{D5CDD505-2E9C-101B-9397-08002B2CF9AE}" pid="4" name="KSOTemplateDocerSaveRecord">
    <vt:lpwstr>eyJoZGlkIjoiODUxNDU0MzdmYWExNTI0OWVjN2ZiOWIxNzAwYjczYjkiLCJ1c2VySWQiOiIyNDY5NDc3MjMifQ==</vt:lpwstr>
  </property>
</Properties>
</file>