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EDA46">
      <w:pPr>
        <w:pStyle w:val="16"/>
      </w:pPr>
      <w:bookmarkStart w:id="50" w:name="_GoBack"/>
      <w:bookmarkEnd w:id="50"/>
      <w:bookmarkStart w:id="0" w:name="_Toc63785461"/>
      <w:r>
        <w:rPr>
          <w:rFonts w:hint="eastAsia"/>
        </w:rPr>
        <w:t>上海市口腔医院备份、容灾服务项目（一期）采购需求</w:t>
      </w:r>
    </w:p>
    <w:p w14:paraId="15E171D9"/>
    <w:p w14:paraId="4C11FE59">
      <w:pPr>
        <w:pStyle w:val="2"/>
      </w:pPr>
      <w:r>
        <w:rPr>
          <w:rFonts w:hint="eastAsia"/>
        </w:rPr>
        <w:t>项目概况</w:t>
      </w:r>
      <w:bookmarkEnd w:id="0"/>
    </w:p>
    <w:p w14:paraId="6853E39E">
      <w:pPr>
        <w:ind w:firstLine="480" w:firstLineChars="200"/>
      </w:pPr>
      <w:r>
        <w:rPr>
          <w:rFonts w:hint="eastAsia"/>
        </w:rPr>
        <w:t>我院目前核心业务系统（HIS、LIS、CIS、PACS、EMR等）均部署于闵行院区，黄浦院区及其他分院区仅作为接入端，不具备核心业务接管能力。随着业务量的增长及对医疗业务连续性要求的提高，现有架构已无法满足《信息安全技术信息系统安全等级保护基本要求》（三级）中关于数据备份恢复与应用容灾的规定。为实现“两地三中心”的高可用架构，现启动跨院区数据中心容灾备份及网络改造项目。</w:t>
      </w:r>
    </w:p>
    <w:p w14:paraId="28F8FD4D">
      <w:pPr>
        <w:pStyle w:val="12"/>
      </w:pPr>
      <w:r>
        <w:rPr>
          <w:rFonts w:hint="eastAsia"/>
        </w:rPr>
        <w:t>目前医院核心业务系统主机的运行状态和保护措施的风险情况如下:</w:t>
      </w:r>
    </w:p>
    <w:p w14:paraId="61E12586">
      <w:pPr>
        <w:pStyle w:val="12"/>
        <w:numPr>
          <w:ilvl w:val="0"/>
          <w:numId w:val="2"/>
        </w:numPr>
      </w:pPr>
      <w:r>
        <w:t>HIS</w:t>
      </w:r>
      <w:r>
        <w:rPr>
          <w:rFonts w:hint="eastAsia"/>
        </w:rPr>
        <w:t>/LIS</w:t>
      </w:r>
      <w:r>
        <w:t>服务器：部署于闵行院区核心机房，配置512GB内存+4*16核CPU，支撑电子票据、门急诊挂号/收费、住院收费/入出转、药品管理、医保基金控费等23项核心业务。当前通过定时备份（间</w:t>
      </w:r>
      <w:r>
        <w:rPr>
          <w:rFonts w:hint="eastAsia"/>
        </w:rPr>
        <w:t>隔</w:t>
      </w:r>
      <w:r>
        <w:t>小时</w:t>
      </w:r>
      <w:r>
        <w:rPr>
          <w:rFonts w:hint="eastAsia"/>
        </w:rPr>
        <w:t>级</w:t>
      </w:r>
      <w:r>
        <w:t>）</w:t>
      </w:r>
      <w:bookmarkStart w:id="1" w:name="OLE_LINK1"/>
      <w:r>
        <w:rPr>
          <w:rFonts w:hint="eastAsia"/>
        </w:rPr>
        <w:t>和异地实时同步</w:t>
      </w:r>
      <w:r>
        <w:t>保护数据</w:t>
      </w:r>
      <w:bookmarkEnd w:id="1"/>
      <w:r>
        <w:t>，若门诊高峰期</w:t>
      </w:r>
      <w:r>
        <w:rPr>
          <w:rFonts w:hint="eastAsia"/>
        </w:rPr>
        <w:t>发生业务逻辑</w:t>
      </w:r>
      <w:r>
        <w:t>故障</w:t>
      </w:r>
      <w:r>
        <w:rPr>
          <w:rFonts w:hint="eastAsia"/>
        </w:rPr>
        <w:t>（比如误删除）</w:t>
      </w:r>
      <w:r>
        <w:t>，可能丢失</w:t>
      </w:r>
      <w:r>
        <w:rPr>
          <w:rFonts w:hint="eastAsia"/>
        </w:rPr>
        <w:t>几小时内</w:t>
      </w:r>
      <w:r>
        <w:t>数</w:t>
      </w:r>
      <w:r>
        <w:rPr>
          <w:rFonts w:hint="eastAsia"/>
        </w:rPr>
        <w:t>百</w:t>
      </w:r>
      <w:r>
        <w:t>条挂号记录、处方数据与收费明细，导致患者无法就诊、医保对账异常。</w:t>
      </w:r>
    </w:p>
    <w:p w14:paraId="3BD3F473">
      <w:pPr>
        <w:pStyle w:val="12"/>
        <w:numPr>
          <w:ilvl w:val="0"/>
          <w:numId w:val="2"/>
        </w:numPr>
      </w:pPr>
      <w:r>
        <w:rPr>
          <w:rFonts w:hint="eastAsia"/>
        </w:rPr>
        <w:t>C</w:t>
      </w:r>
      <w:r>
        <w:t>IS/PACS服务器：CIS支撑电子医嘱等临床业务</w:t>
      </w:r>
      <w:r>
        <w:rPr>
          <w:rFonts w:hint="eastAsia"/>
        </w:rPr>
        <w:t>。</w:t>
      </w:r>
      <w:r>
        <w:t>PACS存储医学影像（DICOM格式图片、放射治疗数据），均部署于闵行院区核心机房，依赖本地整库备份（</w:t>
      </w:r>
      <w:r>
        <w:rPr>
          <w:rFonts w:hint="eastAsia"/>
        </w:rPr>
        <w:t>间隔小时级</w:t>
      </w:r>
      <w:r>
        <w:t>）</w:t>
      </w:r>
      <w:r>
        <w:rPr>
          <w:rFonts w:hint="eastAsia"/>
        </w:rPr>
        <w:t>和异地实时同步</w:t>
      </w:r>
      <w:r>
        <w:t>保护数据。一旦检验设备断连或影像数据误删，当天检验报告、影像资料（牙片、CT影像）将无法恢复，影响诊断与治疗。</w:t>
      </w:r>
    </w:p>
    <w:p w14:paraId="408E9FF1">
      <w:pPr>
        <w:pStyle w:val="12"/>
        <w:numPr>
          <w:ilvl w:val="0"/>
          <w:numId w:val="2"/>
        </w:numPr>
      </w:pPr>
      <w:r>
        <w:rPr>
          <w:rFonts w:hint="eastAsia"/>
        </w:rPr>
        <w:t>PT数据库群集</w:t>
      </w:r>
      <w:r>
        <w:t>服务器：均部署于闵行院区核心机房，仅简单定时备份</w:t>
      </w:r>
      <w:r>
        <w:rPr>
          <w:rFonts w:hint="eastAsia"/>
        </w:rPr>
        <w:t>和异地实时同步</w:t>
      </w:r>
      <w:r>
        <w:t>保护数据。若硬件故障，将导致</w:t>
      </w:r>
      <w:r>
        <w:rPr>
          <w:rFonts w:hint="eastAsia"/>
        </w:rPr>
        <w:t>相关业务</w:t>
      </w:r>
      <w:r>
        <w:t>中断、医嘱无法下达，严重影响临床流程。</w:t>
      </w:r>
    </w:p>
    <w:p w14:paraId="5A2A7D75">
      <w:pPr>
        <w:pStyle w:val="12"/>
        <w:numPr>
          <w:ilvl w:val="0"/>
          <w:numId w:val="2"/>
        </w:numPr>
      </w:pPr>
      <w:r>
        <w:t>EMR 服务器： Oracle架构，部署于闵行院区核心机房，支撑门诊/住院电子病历（结构化病历、医嘱记录），依赖数据库</w:t>
      </w:r>
      <w:r>
        <w:rPr>
          <w:rFonts w:hint="eastAsia"/>
        </w:rPr>
        <w:t>脚本</w:t>
      </w:r>
      <w:r>
        <w:t>定时备份</w:t>
      </w:r>
      <w:r>
        <w:rPr>
          <w:rFonts w:hint="eastAsia"/>
        </w:rPr>
        <w:t>和异地实时同步</w:t>
      </w:r>
      <w:r>
        <w:t>保护数据。若遭遇勒索攻击或误删病程记录，将丢失备份间隔期内数据，引发医疗纠纷。</w:t>
      </w:r>
    </w:p>
    <w:p w14:paraId="13B7CD73">
      <w:pPr>
        <w:ind w:firstLine="480" w:firstLineChars="200"/>
      </w:pPr>
      <w:r>
        <w:t>此外，</w:t>
      </w:r>
      <w:r>
        <w:rPr>
          <w:rFonts w:hint="eastAsia"/>
        </w:rPr>
        <w:t>若闵行院区机房遭遇火灾、洪水、网络瘫痪、存储故障等站点级灾难，所有依赖核心数据库的业务（挂号、收费、诊疗记录）将全面宕机，且无备用站点接管，无法满足《卫生行业信息安全等级保护指导意见》中“三级及以上医疗信息系统需实现异地灾备” 的合规要求，威胁年几十余万人次门急诊服务连续性</w:t>
      </w:r>
      <w:r>
        <w:t>。</w:t>
      </w:r>
    </w:p>
    <w:p w14:paraId="0AA74DF3">
      <w:pPr>
        <w:ind w:firstLine="480" w:firstLineChars="200"/>
      </w:pPr>
      <w:r>
        <w:t>是否按</w:t>
      </w:r>
      <w:r>
        <w:rPr>
          <w:rFonts w:hint="eastAsia"/>
        </w:rPr>
        <w:t>XC</w:t>
      </w:r>
      <w:r>
        <w:t>要求建设：</w:t>
      </w:r>
      <w:r>
        <w:rPr>
          <w:rFonts w:hint="eastAsia"/>
        </w:rPr>
        <w:t>否</w:t>
      </w:r>
    </w:p>
    <w:p w14:paraId="7F0E32B6">
      <w:pPr>
        <w:pStyle w:val="2"/>
      </w:pPr>
      <w:bookmarkStart w:id="2" w:name="_Toc47536272"/>
      <w:bookmarkEnd w:id="2"/>
      <w:bookmarkStart w:id="3" w:name="_Toc47539070"/>
      <w:bookmarkEnd w:id="3"/>
      <w:bookmarkStart w:id="4" w:name="_Toc47531634"/>
      <w:bookmarkEnd w:id="4"/>
      <w:bookmarkStart w:id="5" w:name="_Toc47536644"/>
      <w:bookmarkEnd w:id="5"/>
      <w:bookmarkStart w:id="6" w:name="_Toc47532891"/>
      <w:bookmarkEnd w:id="6"/>
      <w:bookmarkStart w:id="7" w:name="_Toc47537134"/>
      <w:bookmarkEnd w:id="7"/>
      <w:bookmarkStart w:id="8" w:name="_Toc47532255"/>
      <w:bookmarkEnd w:id="8"/>
      <w:bookmarkStart w:id="9" w:name="_Toc47533256"/>
      <w:bookmarkEnd w:id="9"/>
      <w:bookmarkStart w:id="10" w:name="_Toc63785463"/>
      <w:bookmarkStart w:id="11" w:name="_Toc48223882"/>
      <w:r>
        <w:rPr>
          <w:rFonts w:hint="eastAsia"/>
        </w:rPr>
        <w:t>建设目标</w:t>
      </w:r>
      <w:bookmarkEnd w:id="10"/>
      <w:bookmarkEnd w:id="11"/>
    </w:p>
    <w:p w14:paraId="4BC007FA">
      <w:pPr>
        <w:pStyle w:val="3"/>
        <w:ind w:left="0" w:leftChars="-59" w:hanging="141" w:hangingChars="47"/>
      </w:pPr>
      <w:r>
        <w:rPr>
          <w:rFonts w:hint="eastAsia"/>
        </w:rPr>
        <w:t>建设目标</w:t>
      </w:r>
    </w:p>
    <w:p w14:paraId="6CE1B07A">
      <w:pPr>
        <w:pStyle w:val="26"/>
        <w:numPr>
          <w:ilvl w:val="0"/>
          <w:numId w:val="3"/>
        </w:numPr>
      </w:pPr>
      <w:r>
        <w:t>业务</w:t>
      </w:r>
      <w:r>
        <w:rPr>
          <w:rFonts w:hint="eastAsia"/>
        </w:rPr>
        <w:t>短时</w:t>
      </w:r>
      <w:r>
        <w:t>中断</w:t>
      </w:r>
      <w:r>
        <w:rPr>
          <w:rFonts w:hint="eastAsia"/>
        </w:rPr>
        <w:t>：</w:t>
      </w:r>
      <w:r>
        <w:t>核心系统（</w:t>
      </w:r>
      <w:r>
        <w:rPr>
          <w:rFonts w:hint="eastAsia"/>
        </w:rPr>
        <w:t>3套核心SQL和oracle电子病历</w:t>
      </w:r>
      <w:r>
        <w:t>）本地接管时效RTO≤</w:t>
      </w:r>
      <w:r>
        <w:rPr>
          <w:rFonts w:hint="eastAsia"/>
        </w:rPr>
        <w:t>60</w:t>
      </w:r>
      <w:r>
        <w:t>分钟，通过</w:t>
      </w:r>
      <w:r>
        <w:rPr>
          <w:rFonts w:hint="eastAsia"/>
        </w:rPr>
        <w:t>手动启用容灾接管</w:t>
      </w:r>
      <w:r>
        <w:t>，确保在发生故障时能够快速切换到灾备系统，实现业务的无缝衔接，保障医疗服务的不间断运行。</w:t>
      </w:r>
    </w:p>
    <w:p w14:paraId="575E447C">
      <w:pPr>
        <w:pStyle w:val="26"/>
        <w:numPr>
          <w:ilvl w:val="0"/>
          <w:numId w:val="3"/>
        </w:numPr>
      </w:pPr>
      <w:r>
        <w:t>数据零丢失</w:t>
      </w:r>
      <w:r>
        <w:rPr>
          <w:rFonts w:hint="eastAsia"/>
        </w:rPr>
        <w:t>：</w:t>
      </w:r>
      <w:r>
        <w:t>通过数据块级增量捕获技术实现RPO=0，确保在任何情况下都不会丢失数据，保障数据一致性,保障医院信息系统的数据完整性和一致性，为医疗服务提供可靠的数据支持。</w:t>
      </w:r>
    </w:p>
    <w:p w14:paraId="327B7FE9">
      <w:pPr>
        <w:pStyle w:val="26"/>
        <w:numPr>
          <w:ilvl w:val="0"/>
          <w:numId w:val="3"/>
        </w:numPr>
      </w:pPr>
      <w:r>
        <w:t>兼容零障碍</w:t>
      </w:r>
      <w:r>
        <w:rPr>
          <w:rFonts w:hint="eastAsia"/>
        </w:rPr>
        <w:t>：容灾方案须深度适配我院现有的数据库集群架构，不得要求改造现有业务系统的底层数据结构，实现无缝部署。</w:t>
      </w:r>
    </w:p>
    <w:p w14:paraId="348CFBFB">
      <w:pPr>
        <w:pStyle w:val="3"/>
        <w:ind w:left="0" w:leftChars="-59" w:hanging="141" w:hangingChars="47"/>
      </w:pPr>
      <w:bookmarkStart w:id="12" w:name="_Toc233881706"/>
      <w:r>
        <w:rPr>
          <w:rFonts w:hint="eastAsia"/>
        </w:rPr>
        <w:t>网络改造</w:t>
      </w:r>
      <w:bookmarkEnd w:id="12"/>
      <w:r>
        <w:rPr>
          <w:rFonts w:hint="eastAsia"/>
        </w:rPr>
        <w:t>需求</w:t>
      </w:r>
    </w:p>
    <w:p w14:paraId="437450D0">
      <w:r>
        <w:rPr>
          <w:rFonts w:hint="eastAsia"/>
        </w:rPr>
        <w:t>为解决黄浦院区无业务网段、无法实现同IP切换的问题，需新建跨院区数据中心网络。</w:t>
      </w:r>
    </w:p>
    <w:p w14:paraId="3381E58F">
      <w:pPr>
        <w:pStyle w:val="26"/>
        <w:numPr>
          <w:ilvl w:val="0"/>
          <w:numId w:val="4"/>
        </w:numPr>
      </w:pPr>
      <w:r>
        <w:rPr>
          <w:rFonts w:hint="eastAsia"/>
        </w:rPr>
        <w:t>实现闵行院区与黄浦院区的二层互通。</w:t>
      </w:r>
    </w:p>
    <w:p w14:paraId="4DDC078A">
      <w:pPr>
        <w:pStyle w:val="26"/>
        <w:numPr>
          <w:ilvl w:val="0"/>
          <w:numId w:val="4"/>
        </w:numPr>
      </w:pPr>
      <w:r>
        <w:rPr>
          <w:rFonts w:hint="eastAsia"/>
        </w:rPr>
        <w:t>各院区终端至数据中心需实现冗余互联，通过路由冗余机制确保访问高可用。</w:t>
      </w:r>
    </w:p>
    <w:p w14:paraId="04771C65">
      <w:pPr>
        <w:pStyle w:val="3"/>
        <w:ind w:left="0" w:leftChars="-59" w:hanging="141" w:hangingChars="47"/>
      </w:pPr>
      <w:bookmarkStart w:id="13" w:name="_Toc233881707"/>
      <w:r>
        <w:rPr>
          <w:rFonts w:hint="eastAsia"/>
        </w:rPr>
        <w:t>数据备份</w:t>
      </w:r>
      <w:bookmarkEnd w:id="13"/>
      <w:r>
        <w:rPr>
          <w:rFonts w:hint="eastAsia"/>
        </w:rPr>
        <w:t>需求</w:t>
      </w:r>
    </w:p>
    <w:p w14:paraId="2EE386DA">
      <w:pPr>
        <w:pStyle w:val="26"/>
      </w:pPr>
      <w:r>
        <w:rPr>
          <w:rFonts w:hint="eastAsia"/>
        </w:rPr>
        <w:t>对DMZ区域的所有虚拟机及数据库实施持续数据保护备份，确保可恢复到7天以内的任意时间点。</w:t>
      </w:r>
    </w:p>
    <w:p w14:paraId="2830EFAE">
      <w:pPr>
        <w:pStyle w:val="3"/>
        <w:ind w:left="0" w:leftChars="-59" w:hanging="141" w:hangingChars="47"/>
      </w:pPr>
      <w:bookmarkStart w:id="14" w:name="_Toc233881708"/>
      <w:r>
        <w:rPr>
          <w:rFonts w:hint="eastAsia"/>
        </w:rPr>
        <w:t>应用容灾</w:t>
      </w:r>
      <w:bookmarkEnd w:id="14"/>
      <w:r>
        <w:rPr>
          <w:rFonts w:hint="eastAsia"/>
        </w:rPr>
        <w:t>需求</w:t>
      </w:r>
    </w:p>
    <w:p w14:paraId="47339767">
      <w:pPr>
        <w:pStyle w:val="26"/>
        <w:numPr>
          <w:ilvl w:val="0"/>
          <w:numId w:val="5"/>
        </w:numPr>
      </w:pPr>
      <w:r>
        <w:rPr>
          <w:rFonts w:hint="eastAsia"/>
        </w:rPr>
        <w:t>关键业务虚拟机：针对闵行院区与挂号、收费、门诊医生站、电子病历相关的虚拟机，须在黄浦院区实现整机复制。</w:t>
      </w:r>
    </w:p>
    <w:p w14:paraId="2174715D">
      <w:pPr>
        <w:pStyle w:val="26"/>
        <w:numPr>
          <w:ilvl w:val="0"/>
          <w:numId w:val="5"/>
        </w:numPr>
      </w:pPr>
      <w:r>
        <w:rPr>
          <w:rFonts w:hint="eastAsia"/>
        </w:rPr>
        <w:t>应急拉起：当闵行院区主中心故障，需在灾黄浦备中心快速“拉起”上述虚拟机，确保门诊业务基本运行。</w:t>
      </w:r>
    </w:p>
    <w:p w14:paraId="612DEEC8">
      <w:pPr>
        <w:pStyle w:val="26"/>
        <w:numPr>
          <w:ilvl w:val="0"/>
          <w:numId w:val="5"/>
        </w:numPr>
      </w:pPr>
      <w:r>
        <w:rPr>
          <w:rFonts w:hint="eastAsia"/>
        </w:rPr>
        <w:t>DMZ业务容灾： 针对移动支付、互联网医院等对外服务，需在黄浦院区建立容灾站点，确保互联网业务连续性。</w:t>
      </w:r>
    </w:p>
    <w:p w14:paraId="76338439">
      <w:pPr>
        <w:pStyle w:val="2"/>
      </w:pPr>
      <w:bookmarkStart w:id="15" w:name="_Toc47539102"/>
      <w:bookmarkEnd w:id="15"/>
      <w:bookmarkStart w:id="16" w:name="_Toc47537166"/>
      <w:bookmarkEnd w:id="16"/>
      <w:bookmarkStart w:id="17" w:name="_Toc47536676"/>
      <w:bookmarkEnd w:id="17"/>
      <w:bookmarkStart w:id="18" w:name="_Toc47536304"/>
      <w:bookmarkEnd w:id="18"/>
      <w:bookmarkStart w:id="19" w:name="_Toc47532923"/>
      <w:bookmarkEnd w:id="19"/>
      <w:bookmarkStart w:id="20" w:name="_Toc47533288"/>
      <w:bookmarkEnd w:id="20"/>
      <w:r>
        <w:rPr>
          <w:rFonts w:hint="eastAsia"/>
        </w:rPr>
        <w:t>项目建设内容</w:t>
      </w:r>
    </w:p>
    <w:p w14:paraId="42CCF697">
      <w:pPr>
        <w:pStyle w:val="3"/>
      </w:pPr>
      <w:bookmarkStart w:id="21" w:name="_Toc233881711"/>
      <w:r>
        <w:rPr>
          <w:rFonts w:hint="eastAsia"/>
        </w:rPr>
        <w:t>备份容灾业务范围</w:t>
      </w:r>
      <w:bookmarkEnd w:id="21"/>
    </w:p>
    <w:p w14:paraId="6AFEFED2">
      <w:pPr>
        <w:pStyle w:val="26"/>
        <w:numPr>
          <w:ilvl w:val="0"/>
          <w:numId w:val="6"/>
        </w:numPr>
      </w:pPr>
      <w:r>
        <w:rPr>
          <w:rFonts w:hint="eastAsia"/>
        </w:rPr>
        <w:t>数据备份：</w:t>
      </w:r>
    </w:p>
    <w:p w14:paraId="2AC8FD5B">
      <w:pPr>
        <w:pStyle w:val="26"/>
        <w:numPr>
          <w:ilvl w:val="0"/>
          <w:numId w:val="7"/>
        </w:numPr>
      </w:pPr>
      <w:r>
        <w:t>DMZ</w:t>
      </w:r>
      <w:bookmarkStart w:id="22" w:name="OLE_LINK12"/>
      <w:r>
        <w:rPr>
          <w:rFonts w:hint="eastAsia"/>
        </w:rPr>
        <w:t>区域：</w:t>
      </w:r>
      <w:bookmarkEnd w:id="22"/>
      <w:r>
        <w:t>52</w:t>
      </w:r>
      <w:r>
        <w:rPr>
          <w:rFonts w:hint="eastAsia"/>
        </w:rPr>
        <w:t>台虚拟机，1套SQL数据库。资源总量：864G内存，24T存储空间。</w:t>
      </w:r>
    </w:p>
    <w:p w14:paraId="53D34F90">
      <w:pPr>
        <w:pStyle w:val="26"/>
        <w:numPr>
          <w:ilvl w:val="0"/>
          <w:numId w:val="7"/>
        </w:numPr>
      </w:pPr>
      <w:r>
        <w:rPr>
          <w:rFonts w:hint="eastAsia"/>
        </w:rPr>
        <w:t>内网区域：</w:t>
      </w:r>
      <w:r>
        <w:t>3</w:t>
      </w:r>
      <w:r>
        <w:rPr>
          <w:rFonts w:hint="eastAsia"/>
        </w:rPr>
        <w:t>套SQL数据库集群、1套Oracle ODG，10台</w:t>
      </w:r>
      <w:bookmarkStart w:id="23" w:name="OLE_LINK16"/>
      <w:r>
        <w:rPr>
          <w:rFonts w:hint="eastAsia"/>
        </w:rPr>
        <w:t>与</w:t>
      </w:r>
      <w:r>
        <w:t>挂号</w:t>
      </w:r>
      <w:r>
        <w:rPr>
          <w:rFonts w:hint="eastAsia"/>
        </w:rPr>
        <w:t>、</w:t>
      </w:r>
      <w:r>
        <w:t>收费</w:t>
      </w:r>
      <w:r>
        <w:rPr>
          <w:rFonts w:hint="eastAsia"/>
        </w:rPr>
        <w:t>、</w:t>
      </w:r>
      <w:r>
        <w:t>门诊医生站</w:t>
      </w:r>
      <w:r>
        <w:rPr>
          <w:rFonts w:hint="eastAsia"/>
        </w:rPr>
        <w:t>、</w:t>
      </w:r>
      <w:r>
        <w:t>电子病历业务运行相关的</w:t>
      </w:r>
      <w:r>
        <w:rPr>
          <w:rFonts w:hint="eastAsia"/>
        </w:rPr>
        <w:t>虚拟机</w:t>
      </w:r>
      <w:bookmarkEnd w:id="23"/>
      <w:r>
        <w:rPr>
          <w:rFonts w:hint="eastAsia"/>
        </w:rPr>
        <w:t>。</w:t>
      </w:r>
    </w:p>
    <w:p w14:paraId="66FAA566">
      <w:pPr>
        <w:pStyle w:val="26"/>
        <w:numPr>
          <w:ilvl w:val="0"/>
          <w:numId w:val="6"/>
        </w:numPr>
      </w:pPr>
      <w:r>
        <w:rPr>
          <w:rFonts w:hint="eastAsia"/>
        </w:rPr>
        <w:t>跨院区应用容灾：</w:t>
      </w:r>
    </w:p>
    <w:p w14:paraId="0DC93C5F">
      <w:pPr>
        <w:pStyle w:val="26"/>
        <w:numPr>
          <w:ilvl w:val="0"/>
          <w:numId w:val="7"/>
        </w:numPr>
      </w:pPr>
      <w:r>
        <w:rPr>
          <w:rFonts w:hint="eastAsia"/>
        </w:rPr>
        <w:t>所有内网业务always On/ODG节点和与</w:t>
      </w:r>
      <w:r>
        <w:t>挂号</w:t>
      </w:r>
      <w:r>
        <w:rPr>
          <w:rFonts w:hint="eastAsia"/>
        </w:rPr>
        <w:t>、</w:t>
      </w:r>
      <w:r>
        <w:t>收费</w:t>
      </w:r>
      <w:r>
        <w:rPr>
          <w:rFonts w:hint="eastAsia"/>
        </w:rPr>
        <w:t>、</w:t>
      </w:r>
      <w:r>
        <w:t>门诊医生站</w:t>
      </w:r>
      <w:r>
        <w:rPr>
          <w:rFonts w:hint="eastAsia"/>
        </w:rPr>
        <w:t>、</w:t>
      </w:r>
      <w:r>
        <w:t>电子病历业务运行相关的</w:t>
      </w:r>
      <w:r>
        <w:rPr>
          <w:rFonts w:hint="eastAsia"/>
        </w:rPr>
        <w:t>虚拟机。</w:t>
      </w:r>
    </w:p>
    <w:p w14:paraId="41FD55BB">
      <w:pPr>
        <w:pStyle w:val="26"/>
        <w:numPr>
          <w:ilvl w:val="0"/>
          <w:numId w:val="7"/>
        </w:numPr>
      </w:pPr>
      <w:r>
        <w:rPr>
          <w:rFonts w:hint="eastAsia"/>
        </w:rPr>
        <w:t>关键互联网业务，包括移动支付等。</w:t>
      </w:r>
    </w:p>
    <w:p w14:paraId="4AD28D42">
      <w:pPr>
        <w:pStyle w:val="3"/>
      </w:pPr>
      <w:r>
        <w:rPr>
          <w:rFonts w:hint="eastAsia"/>
        </w:rPr>
        <w:t>项目建设分项内容要求</w:t>
      </w:r>
    </w:p>
    <w:p w14:paraId="648AA80C">
      <w:bookmarkStart w:id="24" w:name="OLE_LINK7"/>
      <w:r>
        <w:rPr>
          <w:rFonts w:hint="eastAsia"/>
        </w:rPr>
        <w:t>本项目</w:t>
      </w:r>
      <w:bookmarkEnd w:id="24"/>
      <w:r>
        <w:rPr>
          <w:rFonts w:hint="eastAsia"/>
        </w:rPr>
        <w:t>不仅包含项目建设所需相关</w:t>
      </w:r>
      <w:bookmarkStart w:id="25" w:name="OLE_LINK8"/>
      <w:r>
        <w:rPr>
          <w:rFonts w:hint="eastAsia"/>
        </w:rPr>
        <w:t>硬件设备</w:t>
      </w:r>
      <w:bookmarkEnd w:id="25"/>
      <w:r>
        <w:rPr>
          <w:rFonts w:hint="eastAsia"/>
        </w:rPr>
        <w:t>，还应包含系统建设所涉及的</w:t>
      </w:r>
      <w:bookmarkStart w:id="26" w:name="OLE_LINK9"/>
      <w:r>
        <w:rPr>
          <w:rFonts w:hint="eastAsia"/>
        </w:rPr>
        <w:t>集成改造和运维服务内容</w:t>
      </w:r>
      <w:bookmarkEnd w:id="26"/>
      <w:r>
        <w:rPr>
          <w:rFonts w:hint="eastAsia"/>
        </w:rPr>
        <w:t>清单。</w:t>
      </w:r>
    </w:p>
    <w:p w14:paraId="2040400B">
      <w:bookmarkStart w:id="27" w:name="OLE_LINK6"/>
      <w:r>
        <w:rPr>
          <w:rFonts w:hint="eastAsia"/>
        </w:rPr>
        <w:t>硬件设备清单</w:t>
      </w:r>
      <w:bookmarkEnd w:id="27"/>
      <w:bookmarkStart w:id="28" w:name="OLE_LINK10"/>
      <w:r>
        <w:rPr>
          <w:rFonts w:hint="eastAsia"/>
        </w:rPr>
        <w:t>要求具体报出</w:t>
      </w:r>
      <w:bookmarkEnd w:id="28"/>
      <w:r>
        <w:rPr>
          <w:rFonts w:hint="eastAsia"/>
        </w:rPr>
        <w:t>厂家品牌、型号</w:t>
      </w:r>
      <w:bookmarkStart w:id="29" w:name="OLE_LINK11"/>
      <w:r>
        <w:rPr>
          <w:rFonts w:hint="eastAsia"/>
        </w:rPr>
        <w:t>、单价、数量、总金额和税率</w:t>
      </w:r>
      <w:bookmarkEnd w:id="29"/>
      <w:r>
        <w:rPr>
          <w:rFonts w:hint="eastAsia"/>
        </w:rPr>
        <w:t>，本清单将作为招标方提出的需求变更造成的设备材料数量增减时价格依据。</w:t>
      </w:r>
    </w:p>
    <w:p w14:paraId="17C41E01">
      <w:r>
        <w:rPr>
          <w:rFonts w:hint="eastAsia"/>
        </w:rPr>
        <w:t>集成改造和运维服务内容清单要求具体报出服务项目、单价、数量、总金额和税率。整体服务内容包括但不限于网络和备份容灾方案的设计、建设、集成、割接、应急演练和运维。</w:t>
      </w:r>
    </w:p>
    <w:p w14:paraId="34BF57CD">
      <w:r>
        <w:rPr>
          <w:rFonts w:hint="eastAsia"/>
        </w:rPr>
        <w:t>本项目实施中所需的所有辅材包括但不限于网线、光纤、光模块、配线架、跳线等，必须符合国家标准（GB），若因辅材质量问题导致的系统故障、数据丢包或业务中断，由中标人承担全部技术及赔偿责任。</w:t>
      </w:r>
    </w:p>
    <w:p w14:paraId="5294940F">
      <w:pPr>
        <w:pStyle w:val="3"/>
      </w:pPr>
      <w:r>
        <w:rPr>
          <w:rFonts w:hint="eastAsia"/>
        </w:rPr>
        <w:t>项目硬件购置技术参数要求</w:t>
      </w:r>
    </w:p>
    <w:tbl>
      <w:tblPr>
        <w:tblStyle w:val="18"/>
        <w:tblW w:w="9052" w:type="dxa"/>
        <w:jc w:val="center"/>
        <w:tblLayout w:type="fixed"/>
        <w:tblCellMar>
          <w:top w:w="0" w:type="dxa"/>
          <w:left w:w="108" w:type="dxa"/>
          <w:bottom w:w="0" w:type="dxa"/>
          <w:right w:w="108" w:type="dxa"/>
        </w:tblCellMar>
      </w:tblPr>
      <w:tblGrid>
        <w:gridCol w:w="457"/>
        <w:gridCol w:w="1801"/>
        <w:gridCol w:w="6794"/>
      </w:tblGrid>
      <w:tr w14:paraId="5583B10D">
        <w:tblPrEx>
          <w:tblCellMar>
            <w:top w:w="0" w:type="dxa"/>
            <w:left w:w="108" w:type="dxa"/>
            <w:bottom w:w="0" w:type="dxa"/>
            <w:right w:w="108" w:type="dxa"/>
          </w:tblCellMar>
        </w:tblPrEx>
        <w:trPr>
          <w:trHeight w:val="323" w:hRule="atLeast"/>
          <w:jc w:val="center"/>
        </w:trPr>
        <w:tc>
          <w:tcPr>
            <w:tcW w:w="457" w:type="dxa"/>
            <w:tcBorders>
              <w:top w:val="single" w:color="auto" w:sz="8" w:space="0"/>
              <w:left w:val="single" w:color="auto" w:sz="8" w:space="0"/>
              <w:bottom w:val="single" w:color="auto" w:sz="8" w:space="0"/>
              <w:right w:val="single" w:color="auto" w:sz="8" w:space="0"/>
            </w:tcBorders>
            <w:vAlign w:val="center"/>
          </w:tcPr>
          <w:p w14:paraId="4EE637E8">
            <w:r>
              <w:t>序号</w:t>
            </w:r>
          </w:p>
        </w:tc>
        <w:tc>
          <w:tcPr>
            <w:tcW w:w="1801" w:type="dxa"/>
            <w:tcBorders>
              <w:top w:val="single" w:color="auto" w:sz="8" w:space="0"/>
              <w:left w:val="nil"/>
              <w:bottom w:val="single" w:color="auto" w:sz="8" w:space="0"/>
              <w:right w:val="single" w:color="auto" w:sz="8" w:space="0"/>
            </w:tcBorders>
            <w:noWrap/>
            <w:vAlign w:val="center"/>
          </w:tcPr>
          <w:p w14:paraId="29EEF1F3">
            <w:r>
              <w:t>指标项</w:t>
            </w:r>
          </w:p>
        </w:tc>
        <w:tc>
          <w:tcPr>
            <w:tcW w:w="6794" w:type="dxa"/>
            <w:tcBorders>
              <w:top w:val="single" w:color="auto" w:sz="8" w:space="0"/>
              <w:left w:val="nil"/>
              <w:bottom w:val="single" w:color="auto" w:sz="8" w:space="0"/>
              <w:right w:val="single" w:color="auto" w:sz="8" w:space="0"/>
            </w:tcBorders>
            <w:vAlign w:val="center"/>
          </w:tcPr>
          <w:p w14:paraId="5EA38AAC">
            <w:r>
              <w:t>参数要求</w:t>
            </w:r>
          </w:p>
        </w:tc>
      </w:tr>
      <w:tr w14:paraId="4367F63E">
        <w:tblPrEx>
          <w:tblCellMar>
            <w:top w:w="0" w:type="dxa"/>
            <w:left w:w="108" w:type="dxa"/>
            <w:bottom w:w="0" w:type="dxa"/>
            <w:right w:w="108" w:type="dxa"/>
          </w:tblCellMar>
        </w:tblPrEx>
        <w:trPr>
          <w:trHeight w:val="323" w:hRule="atLeast"/>
          <w:jc w:val="center"/>
        </w:trPr>
        <w:tc>
          <w:tcPr>
            <w:tcW w:w="9052" w:type="dxa"/>
            <w:gridSpan w:val="3"/>
            <w:tcBorders>
              <w:top w:val="single" w:color="auto" w:sz="8" w:space="0"/>
              <w:left w:val="single" w:color="auto" w:sz="8" w:space="0"/>
              <w:bottom w:val="single" w:color="auto" w:sz="8" w:space="0"/>
              <w:right w:val="single" w:color="000000" w:sz="8" w:space="0"/>
            </w:tcBorders>
            <w:shd w:val="clear" w:color="000000" w:fill="00B0F0"/>
            <w:vAlign w:val="center"/>
          </w:tcPr>
          <w:p w14:paraId="5C4FA30D">
            <w:bookmarkStart w:id="30" w:name="OLE_LINK20"/>
            <w:r>
              <w:rPr>
                <w:rFonts w:hint="eastAsia"/>
              </w:rPr>
              <w:t>项目总体要求</w:t>
            </w:r>
          </w:p>
        </w:tc>
      </w:tr>
      <w:tr w14:paraId="59F55EA6">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6A8CE018">
            <w:r>
              <w:t>1</w:t>
            </w:r>
          </w:p>
        </w:tc>
        <w:tc>
          <w:tcPr>
            <w:tcW w:w="1801" w:type="dxa"/>
            <w:tcBorders>
              <w:top w:val="nil"/>
              <w:left w:val="single" w:color="auto" w:sz="8" w:space="0"/>
              <w:bottom w:val="single" w:color="000000" w:sz="8" w:space="0"/>
              <w:right w:val="single" w:color="auto" w:sz="8" w:space="0"/>
            </w:tcBorders>
            <w:vAlign w:val="center"/>
          </w:tcPr>
          <w:p w14:paraId="4112E036">
            <w:r>
              <w:t>总体</w:t>
            </w:r>
            <w:r>
              <w:rPr>
                <w:rFonts w:hint="eastAsia"/>
              </w:rPr>
              <w:t>架构</w:t>
            </w:r>
          </w:p>
        </w:tc>
        <w:tc>
          <w:tcPr>
            <w:tcW w:w="6794" w:type="dxa"/>
            <w:tcBorders>
              <w:top w:val="nil"/>
              <w:left w:val="nil"/>
              <w:bottom w:val="single" w:color="auto" w:sz="8" w:space="0"/>
              <w:right w:val="single" w:color="auto" w:sz="8" w:space="0"/>
            </w:tcBorders>
            <w:vAlign w:val="center"/>
          </w:tcPr>
          <w:p w14:paraId="0A7EF216">
            <w:r>
              <w:t>为保证全院网络基础设施统一架构、统一管理、统一运维，本次招标产品需兼容口腔医院现有业务，支持无缝对接、统一纳管、统一策略部署</w:t>
            </w:r>
          </w:p>
        </w:tc>
      </w:tr>
      <w:tr w14:paraId="15BFDC27">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791D6995">
            <w:r>
              <w:t>2</w:t>
            </w:r>
          </w:p>
        </w:tc>
        <w:tc>
          <w:tcPr>
            <w:tcW w:w="1801" w:type="dxa"/>
            <w:tcBorders>
              <w:top w:val="nil"/>
              <w:left w:val="single" w:color="auto" w:sz="8" w:space="0"/>
              <w:bottom w:val="single" w:color="000000" w:sz="8" w:space="0"/>
              <w:right w:val="single" w:color="auto" w:sz="8" w:space="0"/>
            </w:tcBorders>
            <w:vAlign w:val="center"/>
          </w:tcPr>
          <w:p w14:paraId="2462FBEE">
            <w:r>
              <w:rPr>
                <w:rFonts w:hint="eastAsia"/>
              </w:rPr>
              <w:t>项目授权及</w:t>
            </w:r>
            <w:r>
              <w:t>维保</w:t>
            </w:r>
          </w:p>
        </w:tc>
        <w:tc>
          <w:tcPr>
            <w:tcW w:w="6794" w:type="dxa"/>
            <w:tcBorders>
              <w:top w:val="nil"/>
              <w:left w:val="nil"/>
              <w:bottom w:val="single" w:color="auto" w:sz="8" w:space="0"/>
              <w:right w:val="single" w:color="auto" w:sz="8" w:space="0"/>
            </w:tcBorders>
            <w:vAlign w:val="center"/>
          </w:tcPr>
          <w:p w14:paraId="303CA97F">
            <w:r>
              <w:rPr>
                <w:rFonts w:hint="eastAsia"/>
              </w:rPr>
              <w:t>所有产品包括配件</w:t>
            </w:r>
            <w:r>
              <w:t>需提供原厂</w:t>
            </w:r>
            <w:r>
              <w:rPr>
                <w:rFonts w:hint="eastAsia"/>
              </w:rPr>
              <w:t>针对本项目的授权函及3</w:t>
            </w:r>
            <w:r>
              <w:t>年服务承诺函</w:t>
            </w:r>
          </w:p>
        </w:tc>
      </w:tr>
      <w:tr w14:paraId="29949974">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5925AAD9">
            <w:r>
              <w:rPr>
                <w:rFonts w:hint="eastAsia"/>
              </w:rPr>
              <w:t>3</w:t>
            </w:r>
          </w:p>
        </w:tc>
        <w:tc>
          <w:tcPr>
            <w:tcW w:w="1801" w:type="dxa"/>
            <w:tcBorders>
              <w:top w:val="nil"/>
              <w:left w:val="single" w:color="auto" w:sz="8" w:space="0"/>
              <w:bottom w:val="single" w:color="000000" w:sz="8" w:space="0"/>
              <w:right w:val="single" w:color="auto" w:sz="8" w:space="0"/>
            </w:tcBorders>
            <w:vAlign w:val="center"/>
          </w:tcPr>
          <w:p w14:paraId="2A080C7E">
            <w:r>
              <w:rPr>
                <w:rFonts w:hint="eastAsia"/>
              </w:rPr>
              <w:t>售后服务要求</w:t>
            </w:r>
          </w:p>
        </w:tc>
        <w:tc>
          <w:tcPr>
            <w:tcW w:w="6794" w:type="dxa"/>
            <w:tcBorders>
              <w:top w:val="nil"/>
              <w:left w:val="nil"/>
              <w:bottom w:val="single" w:color="auto" w:sz="8" w:space="0"/>
              <w:right w:val="single" w:color="auto" w:sz="8" w:space="0"/>
            </w:tcBorders>
            <w:vAlign w:val="center"/>
          </w:tcPr>
          <w:p w14:paraId="1F6FC574">
            <w:pPr>
              <w:rPr>
                <w:color w:val="000000"/>
                <w:kern w:val="0"/>
              </w:rPr>
            </w:pPr>
            <w:r>
              <w:rPr>
                <w:rFonts w:hint="eastAsia"/>
              </w:rPr>
              <w:t>需对</w:t>
            </w:r>
            <w:r>
              <w:t>本次</w:t>
            </w:r>
            <w:r>
              <w:rPr>
                <w:rFonts w:hint="eastAsia"/>
              </w:rPr>
              <w:t>项目完成验收后提供维保期三年服务。</w:t>
            </w:r>
          </w:p>
        </w:tc>
      </w:tr>
      <w:tr w14:paraId="5A5DEF7D">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1CE04646">
            <w:r>
              <w:rPr>
                <w:rFonts w:hint="eastAsia"/>
              </w:rPr>
              <w:t>4</w:t>
            </w:r>
          </w:p>
        </w:tc>
        <w:tc>
          <w:tcPr>
            <w:tcW w:w="1801" w:type="dxa"/>
            <w:tcBorders>
              <w:top w:val="nil"/>
              <w:left w:val="single" w:color="auto" w:sz="8" w:space="0"/>
              <w:bottom w:val="single" w:color="000000" w:sz="8" w:space="0"/>
              <w:right w:val="single" w:color="auto" w:sz="8" w:space="0"/>
            </w:tcBorders>
            <w:vAlign w:val="center"/>
          </w:tcPr>
          <w:p w14:paraId="2B3E3E46">
            <w:r>
              <w:rPr>
                <w:rFonts w:hint="eastAsia"/>
              </w:rPr>
              <w:t>验收要求</w:t>
            </w:r>
          </w:p>
        </w:tc>
        <w:tc>
          <w:tcPr>
            <w:tcW w:w="6794" w:type="dxa"/>
            <w:tcBorders>
              <w:top w:val="nil"/>
              <w:left w:val="nil"/>
              <w:bottom w:val="single" w:color="auto" w:sz="8" w:space="0"/>
              <w:right w:val="single" w:color="auto" w:sz="8" w:space="0"/>
            </w:tcBorders>
            <w:vAlign w:val="center"/>
          </w:tcPr>
          <w:p w14:paraId="4021530D">
            <w:pPr>
              <w:pStyle w:val="26"/>
              <w:numPr>
                <w:ilvl w:val="0"/>
                <w:numId w:val="8"/>
              </w:numPr>
            </w:pPr>
            <w:r>
              <w:rPr>
                <w:rFonts w:hint="eastAsia"/>
              </w:rPr>
              <w:t>连通性测试：跨院区大二层网络互通，VLAN及IP地址规划符合设计要求，各院区访问正常。</w:t>
            </w:r>
          </w:p>
          <w:p w14:paraId="66E13C11">
            <w:pPr>
              <w:pStyle w:val="26"/>
              <w:numPr>
                <w:ilvl w:val="0"/>
                <w:numId w:val="8"/>
              </w:numPr>
            </w:pPr>
            <w:r>
              <w:rPr>
                <w:rFonts w:hint="eastAsia"/>
              </w:rPr>
              <w:t>数据同步测试： 验证闵行院区及黄浦院区数据库同步状态正常，无数据差异。</w:t>
            </w:r>
          </w:p>
          <w:p w14:paraId="739142A0">
            <w:pPr>
              <w:pStyle w:val="26"/>
              <w:numPr>
                <w:ilvl w:val="0"/>
                <w:numId w:val="8"/>
              </w:numPr>
            </w:pPr>
            <w:r>
              <w:rPr>
                <w:rFonts w:hint="eastAsia"/>
              </w:rPr>
              <w:t>容灾演练：</w:t>
            </w:r>
          </w:p>
          <w:p w14:paraId="61734FC6">
            <w:pPr>
              <w:pStyle w:val="26"/>
              <w:numPr>
                <w:ilvl w:val="255"/>
                <w:numId w:val="0"/>
              </w:numPr>
              <w:ind w:left="1280" w:firstLine="420"/>
            </w:pPr>
            <w:r>
              <w:rPr>
                <w:rFonts w:hint="eastAsia"/>
              </w:rPr>
              <w:t>模拟闵行院区核心业务中断。</w:t>
            </w:r>
          </w:p>
          <w:p w14:paraId="0D2EE799">
            <w:pPr>
              <w:pStyle w:val="26"/>
              <w:numPr>
                <w:ilvl w:val="255"/>
                <w:numId w:val="0"/>
              </w:numPr>
              <w:ind w:left="1280" w:firstLine="420"/>
            </w:pPr>
            <w:r>
              <w:rPr>
                <w:rFonts w:hint="eastAsia"/>
              </w:rPr>
              <w:t>在黄浦院区执行接管操作。</w:t>
            </w:r>
          </w:p>
          <w:p w14:paraId="3FF33240">
            <w:pPr>
              <w:pStyle w:val="26"/>
              <w:numPr>
                <w:ilvl w:val="255"/>
                <w:numId w:val="0"/>
              </w:numPr>
              <w:ind w:left="1280" w:firstLine="420"/>
            </w:pPr>
            <w:r>
              <w:rPr>
                <w:rFonts w:hint="eastAsia"/>
              </w:rPr>
              <w:t>验证结果： 核心业务（挂号/收费/医生站/电子病历）成功拉起，数据完整，且整个过程耗时不超过60分钟。</w:t>
            </w:r>
          </w:p>
          <w:p w14:paraId="225C57DA">
            <w:pPr>
              <w:pStyle w:val="26"/>
              <w:numPr>
                <w:ilvl w:val="0"/>
                <w:numId w:val="8"/>
              </w:numPr>
            </w:pPr>
            <w:r>
              <w:rPr>
                <w:rFonts w:hint="eastAsia"/>
              </w:rPr>
              <w:t>文档交付： 提供全套拓扑图、配置文档、使用说明书、运维手册及《容灾切换应急预案》等文档资料。</w:t>
            </w:r>
          </w:p>
        </w:tc>
      </w:tr>
      <w:bookmarkEnd w:id="30"/>
      <w:tr w14:paraId="24325750">
        <w:tblPrEx>
          <w:tblCellMar>
            <w:top w:w="0" w:type="dxa"/>
            <w:left w:w="108" w:type="dxa"/>
            <w:bottom w:w="0" w:type="dxa"/>
            <w:right w:w="108" w:type="dxa"/>
          </w:tblCellMar>
        </w:tblPrEx>
        <w:trPr>
          <w:trHeight w:val="323" w:hRule="atLeast"/>
          <w:jc w:val="center"/>
        </w:trPr>
        <w:tc>
          <w:tcPr>
            <w:tcW w:w="9052" w:type="dxa"/>
            <w:gridSpan w:val="3"/>
            <w:tcBorders>
              <w:top w:val="single" w:color="auto" w:sz="8" w:space="0"/>
              <w:left w:val="single" w:color="auto" w:sz="8" w:space="0"/>
              <w:bottom w:val="single" w:color="auto" w:sz="8" w:space="0"/>
              <w:right w:val="single" w:color="000000" w:sz="8" w:space="0"/>
            </w:tcBorders>
            <w:shd w:val="clear" w:color="000000" w:fill="00B0F0"/>
            <w:vAlign w:val="center"/>
          </w:tcPr>
          <w:p w14:paraId="7DD1F28D">
            <w:bookmarkStart w:id="31" w:name="OLE_LINK19"/>
            <w:r>
              <w:t>数据中心</w:t>
            </w:r>
            <w:r>
              <w:rPr>
                <w:rFonts w:hint="eastAsia"/>
              </w:rPr>
              <w:t>服务</w:t>
            </w:r>
            <w:r>
              <w:t xml:space="preserve"> 交换机1,数量3</w:t>
            </w:r>
          </w:p>
        </w:tc>
      </w:tr>
      <w:tr w14:paraId="452E99BB">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24C2FAD9">
            <w:r>
              <w:t>1</w:t>
            </w:r>
          </w:p>
        </w:tc>
        <w:tc>
          <w:tcPr>
            <w:tcW w:w="1801" w:type="dxa"/>
            <w:vMerge w:val="restart"/>
            <w:tcBorders>
              <w:top w:val="nil"/>
              <w:left w:val="single" w:color="auto" w:sz="8" w:space="0"/>
              <w:bottom w:val="single" w:color="000000" w:sz="8" w:space="0"/>
              <w:right w:val="single" w:color="auto" w:sz="8" w:space="0"/>
            </w:tcBorders>
            <w:vAlign w:val="center"/>
          </w:tcPr>
          <w:p w14:paraId="427A1484">
            <w:r>
              <w:t>产品规格</w:t>
            </w:r>
          </w:p>
        </w:tc>
        <w:tc>
          <w:tcPr>
            <w:tcW w:w="6794" w:type="dxa"/>
            <w:tcBorders>
              <w:top w:val="nil"/>
              <w:left w:val="nil"/>
              <w:bottom w:val="single" w:color="auto" w:sz="8" w:space="0"/>
              <w:right w:val="single" w:color="auto" w:sz="8" w:space="0"/>
            </w:tcBorders>
            <w:vAlign w:val="center"/>
          </w:tcPr>
          <w:p w14:paraId="26A7FD08">
            <w:r>
              <w:t>▲交换容量≥6.4Tbps，包转发率≥2030Mpps，以官网最低参数为准</w:t>
            </w:r>
          </w:p>
        </w:tc>
      </w:tr>
      <w:tr w14:paraId="7C7662FB">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52876C04">
            <w:r>
              <w:t>2</w:t>
            </w:r>
          </w:p>
        </w:tc>
        <w:tc>
          <w:tcPr>
            <w:tcW w:w="1801" w:type="dxa"/>
            <w:vMerge w:val="continue"/>
            <w:tcBorders>
              <w:top w:val="nil"/>
              <w:left w:val="single" w:color="auto" w:sz="8" w:space="0"/>
              <w:bottom w:val="single" w:color="000000" w:sz="8" w:space="0"/>
              <w:right w:val="single" w:color="auto" w:sz="8" w:space="0"/>
            </w:tcBorders>
            <w:vAlign w:val="center"/>
          </w:tcPr>
          <w:p w14:paraId="45B67071"/>
        </w:tc>
        <w:tc>
          <w:tcPr>
            <w:tcW w:w="6794" w:type="dxa"/>
            <w:tcBorders>
              <w:top w:val="nil"/>
              <w:left w:val="nil"/>
              <w:bottom w:val="single" w:color="auto" w:sz="8" w:space="0"/>
              <w:right w:val="single" w:color="auto" w:sz="8" w:space="0"/>
            </w:tcBorders>
            <w:vAlign w:val="center"/>
          </w:tcPr>
          <w:p w14:paraId="6746D9EA">
            <w:r>
              <w:t>▲100G光口≥16个，10G光口≥24个，40G光口≥2个</w:t>
            </w:r>
          </w:p>
        </w:tc>
      </w:tr>
      <w:bookmarkEnd w:id="31"/>
      <w:tr w14:paraId="6EC6CD65">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6947FD78">
            <w:r>
              <w:t>3</w:t>
            </w:r>
          </w:p>
        </w:tc>
        <w:tc>
          <w:tcPr>
            <w:tcW w:w="1801" w:type="dxa"/>
            <w:vMerge w:val="continue"/>
            <w:tcBorders>
              <w:top w:val="nil"/>
              <w:left w:val="single" w:color="auto" w:sz="8" w:space="0"/>
              <w:bottom w:val="single" w:color="000000" w:sz="8" w:space="0"/>
              <w:right w:val="single" w:color="auto" w:sz="8" w:space="0"/>
            </w:tcBorders>
            <w:vAlign w:val="center"/>
          </w:tcPr>
          <w:p w14:paraId="4B2FA3B8"/>
        </w:tc>
        <w:tc>
          <w:tcPr>
            <w:tcW w:w="6794" w:type="dxa"/>
            <w:tcBorders>
              <w:top w:val="nil"/>
              <w:left w:val="nil"/>
              <w:bottom w:val="single" w:color="auto" w:sz="8" w:space="0"/>
              <w:right w:val="single" w:color="auto" w:sz="8" w:space="0"/>
            </w:tcBorders>
            <w:vAlign w:val="center"/>
          </w:tcPr>
          <w:p w14:paraId="008893B7">
            <w:r>
              <w:t>▲业务插槽数≥4个，提供官网截图证明</w:t>
            </w:r>
          </w:p>
        </w:tc>
      </w:tr>
      <w:tr w14:paraId="07568E0A">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25D822A9">
            <w:r>
              <w:t>4</w:t>
            </w:r>
          </w:p>
        </w:tc>
        <w:tc>
          <w:tcPr>
            <w:tcW w:w="1801" w:type="dxa"/>
            <w:vMerge w:val="continue"/>
            <w:tcBorders>
              <w:top w:val="nil"/>
              <w:left w:val="single" w:color="auto" w:sz="8" w:space="0"/>
              <w:bottom w:val="single" w:color="000000" w:sz="8" w:space="0"/>
              <w:right w:val="single" w:color="auto" w:sz="8" w:space="0"/>
            </w:tcBorders>
            <w:vAlign w:val="center"/>
          </w:tcPr>
          <w:p w14:paraId="4BA36263"/>
        </w:tc>
        <w:tc>
          <w:tcPr>
            <w:tcW w:w="6794" w:type="dxa"/>
            <w:tcBorders>
              <w:top w:val="nil"/>
              <w:left w:val="nil"/>
              <w:bottom w:val="single" w:color="auto" w:sz="8" w:space="0"/>
              <w:right w:val="single" w:color="auto" w:sz="8" w:space="0"/>
            </w:tcBorders>
            <w:vAlign w:val="center"/>
          </w:tcPr>
          <w:p w14:paraId="46B8F9F7">
            <w:r>
              <w:t>▲冗余电源，冗余风扇模块</w:t>
            </w:r>
          </w:p>
        </w:tc>
      </w:tr>
      <w:tr w14:paraId="46D7D7DA">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33FF75B2">
            <w:r>
              <w:t>5</w:t>
            </w:r>
          </w:p>
        </w:tc>
        <w:tc>
          <w:tcPr>
            <w:tcW w:w="1801" w:type="dxa"/>
            <w:vMerge w:val="continue"/>
            <w:tcBorders>
              <w:top w:val="nil"/>
              <w:left w:val="single" w:color="auto" w:sz="8" w:space="0"/>
              <w:bottom w:val="single" w:color="000000" w:sz="8" w:space="0"/>
              <w:right w:val="single" w:color="auto" w:sz="8" w:space="0"/>
            </w:tcBorders>
            <w:vAlign w:val="center"/>
          </w:tcPr>
          <w:p w14:paraId="60966FB4"/>
        </w:tc>
        <w:tc>
          <w:tcPr>
            <w:tcW w:w="6794" w:type="dxa"/>
            <w:tcBorders>
              <w:top w:val="nil"/>
              <w:left w:val="nil"/>
              <w:bottom w:val="single" w:color="auto" w:sz="8" w:space="0"/>
              <w:right w:val="single" w:color="auto" w:sz="8" w:space="0"/>
            </w:tcBorders>
            <w:vAlign w:val="center"/>
          </w:tcPr>
          <w:p w14:paraId="5DB1DD31">
            <w:r>
              <w:t>▲路由表≥320K，ARP表≥270K，MAC表≥280K ，提供第三方</w:t>
            </w:r>
          </w:p>
          <w:p w14:paraId="449F6941">
            <w:r>
              <w:t>机构检测报告证明</w:t>
            </w:r>
          </w:p>
        </w:tc>
      </w:tr>
      <w:tr w14:paraId="116B723B">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5FD2A285">
            <w:r>
              <w:t>6</w:t>
            </w:r>
          </w:p>
        </w:tc>
        <w:tc>
          <w:tcPr>
            <w:tcW w:w="1801" w:type="dxa"/>
            <w:tcBorders>
              <w:top w:val="nil"/>
              <w:left w:val="nil"/>
              <w:bottom w:val="single" w:color="auto" w:sz="8" w:space="0"/>
              <w:right w:val="single" w:color="auto" w:sz="8" w:space="0"/>
            </w:tcBorders>
            <w:vAlign w:val="center"/>
          </w:tcPr>
          <w:p w14:paraId="2F5F8716">
            <w:r>
              <w:t>链路聚合服务</w:t>
            </w:r>
          </w:p>
        </w:tc>
        <w:tc>
          <w:tcPr>
            <w:tcW w:w="6794" w:type="dxa"/>
            <w:tcBorders>
              <w:top w:val="nil"/>
              <w:left w:val="nil"/>
              <w:bottom w:val="single" w:color="auto" w:sz="8" w:space="0"/>
              <w:right w:val="single" w:color="auto" w:sz="8" w:space="0"/>
            </w:tcBorders>
            <w:vAlign w:val="center"/>
          </w:tcPr>
          <w:p w14:paraId="345FF618">
            <w:r>
              <w:t>支持链路聚合，支持基于端口、协议、MAC地址VLAN划分</w:t>
            </w:r>
          </w:p>
        </w:tc>
      </w:tr>
      <w:tr w14:paraId="0248CF16">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1C7A025E">
            <w:r>
              <w:t>7</w:t>
            </w:r>
          </w:p>
        </w:tc>
        <w:tc>
          <w:tcPr>
            <w:tcW w:w="1801" w:type="dxa"/>
            <w:tcBorders>
              <w:top w:val="nil"/>
              <w:left w:val="nil"/>
              <w:bottom w:val="single" w:color="auto" w:sz="8" w:space="0"/>
              <w:right w:val="single" w:color="auto" w:sz="8" w:space="0"/>
            </w:tcBorders>
            <w:vAlign w:val="center"/>
          </w:tcPr>
          <w:p w14:paraId="6A766ECB">
            <w:r>
              <w:t>静态路由服务</w:t>
            </w:r>
          </w:p>
        </w:tc>
        <w:tc>
          <w:tcPr>
            <w:tcW w:w="6794" w:type="dxa"/>
            <w:tcBorders>
              <w:top w:val="nil"/>
              <w:left w:val="nil"/>
              <w:bottom w:val="single" w:color="auto" w:sz="8" w:space="0"/>
              <w:right w:val="single" w:color="auto" w:sz="8" w:space="0"/>
            </w:tcBorders>
            <w:vAlign w:val="center"/>
          </w:tcPr>
          <w:p w14:paraId="2E3713DC">
            <w:r>
              <w:t>支持IPv4静态路由、RIP、OSPF、ISIS、BGP，支持IPv6静态路由、OSPFv3、ISISv6、BGP4+</w:t>
            </w:r>
          </w:p>
        </w:tc>
      </w:tr>
      <w:tr w14:paraId="2E34322F">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339CD4AB">
            <w:r>
              <w:t>8</w:t>
            </w:r>
          </w:p>
        </w:tc>
        <w:tc>
          <w:tcPr>
            <w:tcW w:w="1801" w:type="dxa"/>
            <w:tcBorders>
              <w:top w:val="nil"/>
              <w:left w:val="nil"/>
              <w:bottom w:val="single" w:color="auto" w:sz="8" w:space="0"/>
              <w:right w:val="single" w:color="auto" w:sz="8" w:space="0"/>
            </w:tcBorders>
            <w:vAlign w:val="center"/>
          </w:tcPr>
          <w:p w14:paraId="57FD551F">
            <w:r>
              <w:t>VXLAN功能</w:t>
            </w:r>
          </w:p>
        </w:tc>
        <w:tc>
          <w:tcPr>
            <w:tcW w:w="6794" w:type="dxa"/>
            <w:tcBorders>
              <w:top w:val="nil"/>
              <w:left w:val="nil"/>
              <w:bottom w:val="single" w:color="auto" w:sz="8" w:space="0"/>
              <w:right w:val="single" w:color="auto" w:sz="8" w:space="0"/>
            </w:tcBorders>
            <w:vAlign w:val="center"/>
          </w:tcPr>
          <w:p w14:paraId="1918D57C">
            <w:r>
              <w:t>支持二层、三层Vxlan网关和BGP EVPN特性</w:t>
            </w:r>
          </w:p>
        </w:tc>
      </w:tr>
      <w:tr w14:paraId="407BB765">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06C4FB81">
            <w:r>
              <w:t>9</w:t>
            </w:r>
          </w:p>
        </w:tc>
        <w:tc>
          <w:tcPr>
            <w:tcW w:w="1801" w:type="dxa"/>
            <w:tcBorders>
              <w:top w:val="nil"/>
              <w:left w:val="nil"/>
              <w:bottom w:val="single" w:color="auto" w:sz="8" w:space="0"/>
              <w:right w:val="single" w:color="auto" w:sz="8" w:space="0"/>
            </w:tcBorders>
            <w:vAlign w:val="center"/>
          </w:tcPr>
          <w:p w14:paraId="489A5E45">
            <w:r>
              <w:t>智能无损</w:t>
            </w:r>
          </w:p>
        </w:tc>
        <w:tc>
          <w:tcPr>
            <w:tcW w:w="6794" w:type="dxa"/>
            <w:tcBorders>
              <w:top w:val="nil"/>
              <w:left w:val="nil"/>
              <w:bottom w:val="single" w:color="auto" w:sz="8" w:space="0"/>
              <w:right w:val="single" w:color="auto" w:sz="8" w:space="0"/>
            </w:tcBorders>
            <w:vAlign w:val="center"/>
          </w:tcPr>
          <w:p w14:paraId="0DEAE729">
            <w:r>
              <w:t>▲支持无损网络RoCE(RoCEv1/RoCEv2 功能)/RDMA，支持PFC、ECN、ETS、DCB，提供第三方机构测试报告截图证明</w:t>
            </w:r>
          </w:p>
        </w:tc>
      </w:tr>
      <w:tr w14:paraId="1EF2C626">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60B0A7C4">
            <w:r>
              <w:t>10</w:t>
            </w:r>
          </w:p>
        </w:tc>
        <w:tc>
          <w:tcPr>
            <w:tcW w:w="1801" w:type="dxa"/>
            <w:tcBorders>
              <w:top w:val="nil"/>
              <w:left w:val="nil"/>
              <w:bottom w:val="single" w:color="auto" w:sz="8" w:space="0"/>
              <w:right w:val="single" w:color="auto" w:sz="8" w:space="0"/>
            </w:tcBorders>
            <w:vAlign w:val="center"/>
          </w:tcPr>
          <w:p w14:paraId="02B48D81">
            <w:r>
              <w:t>可视化</w:t>
            </w:r>
          </w:p>
        </w:tc>
        <w:tc>
          <w:tcPr>
            <w:tcW w:w="6794" w:type="dxa"/>
            <w:tcBorders>
              <w:top w:val="nil"/>
              <w:left w:val="nil"/>
              <w:bottom w:val="single" w:color="auto" w:sz="8" w:space="0"/>
              <w:right w:val="single" w:color="auto" w:sz="8" w:space="0"/>
            </w:tcBorders>
            <w:vAlign w:val="center"/>
          </w:tcPr>
          <w:p w14:paraId="177865E0">
            <w:r>
              <w:t>▲支持Telemetry Stream功能，支持全硬件采集上送，解放CPU资源并且可以支持最大全流量1:1采样。提供第三方机构测试报告截图证明</w:t>
            </w:r>
          </w:p>
        </w:tc>
      </w:tr>
      <w:tr w14:paraId="52A1E61A">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5E41D7D2">
            <w:r>
              <w:t>11</w:t>
            </w:r>
          </w:p>
        </w:tc>
        <w:tc>
          <w:tcPr>
            <w:tcW w:w="1801" w:type="dxa"/>
            <w:tcBorders>
              <w:top w:val="nil"/>
              <w:left w:val="nil"/>
              <w:bottom w:val="single" w:color="auto" w:sz="8" w:space="0"/>
              <w:right w:val="single" w:color="auto" w:sz="8" w:space="0"/>
            </w:tcBorders>
            <w:noWrap/>
            <w:vAlign w:val="center"/>
          </w:tcPr>
          <w:p w14:paraId="2DBA4439">
            <w:r>
              <w:t>安全性</w:t>
            </w:r>
          </w:p>
        </w:tc>
        <w:tc>
          <w:tcPr>
            <w:tcW w:w="6794" w:type="dxa"/>
            <w:tcBorders>
              <w:top w:val="nil"/>
              <w:left w:val="nil"/>
              <w:bottom w:val="single" w:color="auto" w:sz="8" w:space="0"/>
              <w:right w:val="single" w:color="auto" w:sz="8" w:space="0"/>
            </w:tcBorders>
            <w:vAlign w:val="center"/>
          </w:tcPr>
          <w:p w14:paraId="73935908">
            <w:r>
              <w:t>▲支持MACSec功能测试，支持128bit和256bit MACSec加密，提供第三方权威机构测试报告截图证明</w:t>
            </w:r>
          </w:p>
        </w:tc>
      </w:tr>
      <w:tr w14:paraId="1D5AEC2C">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673D71D3">
            <w:r>
              <w:rPr>
                <w:rFonts w:hint="eastAsia"/>
              </w:rPr>
              <w:t>12</w:t>
            </w:r>
          </w:p>
        </w:tc>
        <w:tc>
          <w:tcPr>
            <w:tcW w:w="1801" w:type="dxa"/>
            <w:tcBorders>
              <w:top w:val="nil"/>
              <w:left w:val="nil"/>
              <w:bottom w:val="single" w:color="auto" w:sz="8" w:space="0"/>
              <w:right w:val="single" w:color="auto" w:sz="8" w:space="0"/>
            </w:tcBorders>
            <w:noWrap/>
            <w:vAlign w:val="center"/>
          </w:tcPr>
          <w:p w14:paraId="462CA6E6">
            <w:r>
              <w:rPr>
                <w:rFonts w:hint="eastAsia"/>
              </w:rPr>
              <w:t>软件授权</w:t>
            </w:r>
          </w:p>
        </w:tc>
        <w:tc>
          <w:tcPr>
            <w:tcW w:w="6794" w:type="dxa"/>
            <w:tcBorders>
              <w:top w:val="nil"/>
              <w:left w:val="nil"/>
              <w:bottom w:val="single" w:color="auto" w:sz="8" w:space="0"/>
              <w:right w:val="single" w:color="auto" w:sz="8" w:space="0"/>
            </w:tcBorders>
            <w:vAlign w:val="center"/>
          </w:tcPr>
          <w:p w14:paraId="45C7EE77">
            <w:pPr>
              <w:rPr>
                <w:color w:val="000000"/>
                <w:kern w:val="0"/>
              </w:rPr>
            </w:pPr>
            <w:r>
              <w:t>▲</w:t>
            </w:r>
            <w:r>
              <w:rPr>
                <w:rFonts w:hint="eastAsia"/>
                <w:color w:val="000000"/>
                <w:kern w:val="0"/>
              </w:rPr>
              <w:t>配置1节点网元管理软件授权</w:t>
            </w:r>
            <w:r>
              <w:rPr>
                <w:rFonts w:hint="eastAsia"/>
              </w:rPr>
              <w:t>，</w:t>
            </w:r>
            <w:r>
              <w:rPr>
                <w:rFonts w:hint="eastAsia"/>
                <w:color w:val="000000"/>
                <w:kern w:val="0"/>
              </w:rPr>
              <w:t>能够与医院现有网络管理平台兼容</w:t>
            </w:r>
            <w:r>
              <w:rPr>
                <w:rFonts w:hint="eastAsia"/>
              </w:rPr>
              <w:t>，承载网络监控、Underlay和O</w:t>
            </w:r>
            <w:r>
              <w:t>verlay自动化部署、策略编排、东西向隔离</w:t>
            </w:r>
            <w:r>
              <w:rPr>
                <w:rFonts w:hint="eastAsia"/>
              </w:rPr>
              <w:t>功能</w:t>
            </w:r>
          </w:p>
        </w:tc>
      </w:tr>
      <w:tr w14:paraId="5EE15486">
        <w:tblPrEx>
          <w:tblCellMar>
            <w:top w:w="0" w:type="dxa"/>
            <w:left w:w="108" w:type="dxa"/>
            <w:bottom w:w="0" w:type="dxa"/>
            <w:right w:w="108" w:type="dxa"/>
          </w:tblCellMar>
        </w:tblPrEx>
        <w:trPr>
          <w:trHeight w:val="323" w:hRule="atLeast"/>
          <w:jc w:val="center"/>
        </w:trPr>
        <w:tc>
          <w:tcPr>
            <w:tcW w:w="9052" w:type="dxa"/>
            <w:gridSpan w:val="3"/>
            <w:tcBorders>
              <w:top w:val="single" w:color="auto" w:sz="8" w:space="0"/>
              <w:left w:val="single" w:color="auto" w:sz="8" w:space="0"/>
              <w:bottom w:val="single" w:color="auto" w:sz="8" w:space="0"/>
              <w:right w:val="single" w:color="000000" w:sz="8" w:space="0"/>
            </w:tcBorders>
            <w:shd w:val="clear" w:color="000000" w:fill="00B0F0"/>
            <w:vAlign w:val="center"/>
          </w:tcPr>
          <w:p w14:paraId="3540F706">
            <w:r>
              <w:t>数据中心</w:t>
            </w:r>
            <w:r>
              <w:rPr>
                <w:rFonts w:hint="eastAsia"/>
              </w:rPr>
              <w:t>服务</w:t>
            </w:r>
            <w:r>
              <w:t xml:space="preserve"> 交换机2，数</w:t>
            </w:r>
            <w:r>
              <w:rPr>
                <w:color w:val="000000" w:themeColor="text1"/>
                <w14:textFill>
                  <w14:solidFill>
                    <w14:schemeClr w14:val="tx1"/>
                  </w14:solidFill>
                </w14:textFill>
              </w:rPr>
              <w:t>量</w:t>
            </w:r>
            <w:r>
              <w:rPr>
                <w:rFonts w:hint="eastAsia"/>
                <w:color w:val="000000" w:themeColor="text1"/>
                <w14:textFill>
                  <w14:solidFill>
                    <w14:schemeClr w14:val="tx1"/>
                  </w14:solidFill>
                </w14:textFill>
              </w:rPr>
              <w:t>9</w:t>
            </w:r>
          </w:p>
        </w:tc>
      </w:tr>
      <w:tr w14:paraId="7D7C645D">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11D5D5D9">
            <w:r>
              <w:t>1</w:t>
            </w:r>
          </w:p>
        </w:tc>
        <w:tc>
          <w:tcPr>
            <w:tcW w:w="1801" w:type="dxa"/>
            <w:vMerge w:val="restart"/>
            <w:tcBorders>
              <w:top w:val="nil"/>
              <w:left w:val="single" w:color="auto" w:sz="8" w:space="0"/>
              <w:bottom w:val="single" w:color="000000" w:sz="8" w:space="0"/>
              <w:right w:val="single" w:color="auto" w:sz="8" w:space="0"/>
            </w:tcBorders>
            <w:vAlign w:val="center"/>
          </w:tcPr>
          <w:p w14:paraId="5105ED49">
            <w:r>
              <w:t>产品规格</w:t>
            </w:r>
          </w:p>
        </w:tc>
        <w:tc>
          <w:tcPr>
            <w:tcW w:w="6794" w:type="dxa"/>
            <w:tcBorders>
              <w:top w:val="nil"/>
              <w:left w:val="nil"/>
              <w:bottom w:val="single" w:color="auto" w:sz="8" w:space="0"/>
              <w:right w:val="single" w:color="auto" w:sz="8" w:space="0"/>
            </w:tcBorders>
            <w:vAlign w:val="center"/>
          </w:tcPr>
          <w:p w14:paraId="6356B20A">
            <w:r>
              <w:t>▲交换容量≥4.8Tbps，包转发率≥2000Mpps，以官网所列最低参数为准</w:t>
            </w:r>
          </w:p>
        </w:tc>
      </w:tr>
      <w:tr w14:paraId="5E9B2980">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15D4DB5F">
            <w:r>
              <w:t>2</w:t>
            </w:r>
          </w:p>
        </w:tc>
        <w:tc>
          <w:tcPr>
            <w:tcW w:w="1801" w:type="dxa"/>
            <w:vMerge w:val="continue"/>
            <w:tcBorders>
              <w:top w:val="nil"/>
              <w:left w:val="single" w:color="auto" w:sz="8" w:space="0"/>
              <w:bottom w:val="single" w:color="000000" w:sz="8" w:space="0"/>
              <w:right w:val="single" w:color="auto" w:sz="8" w:space="0"/>
            </w:tcBorders>
            <w:vAlign w:val="center"/>
          </w:tcPr>
          <w:p w14:paraId="38F9C321"/>
        </w:tc>
        <w:tc>
          <w:tcPr>
            <w:tcW w:w="6794" w:type="dxa"/>
            <w:tcBorders>
              <w:top w:val="nil"/>
              <w:left w:val="nil"/>
              <w:bottom w:val="single" w:color="auto" w:sz="8" w:space="0"/>
              <w:right w:val="single" w:color="auto" w:sz="8" w:space="0"/>
            </w:tcBorders>
            <w:vAlign w:val="center"/>
          </w:tcPr>
          <w:p w14:paraId="219E8C9D">
            <w:r>
              <w:t>▲10G光口≥48个，40G/100G光口≥6个</w:t>
            </w:r>
          </w:p>
        </w:tc>
      </w:tr>
      <w:tr w14:paraId="7D23B621">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6CFFD623">
            <w:r>
              <w:t>3</w:t>
            </w:r>
          </w:p>
        </w:tc>
        <w:tc>
          <w:tcPr>
            <w:tcW w:w="1801" w:type="dxa"/>
            <w:vMerge w:val="continue"/>
            <w:tcBorders>
              <w:top w:val="nil"/>
              <w:left w:val="single" w:color="auto" w:sz="8" w:space="0"/>
              <w:bottom w:val="single" w:color="000000" w:sz="8" w:space="0"/>
              <w:right w:val="single" w:color="auto" w:sz="8" w:space="0"/>
            </w:tcBorders>
            <w:vAlign w:val="center"/>
          </w:tcPr>
          <w:p w14:paraId="07CCBC50"/>
        </w:tc>
        <w:tc>
          <w:tcPr>
            <w:tcW w:w="6794" w:type="dxa"/>
            <w:tcBorders>
              <w:top w:val="nil"/>
              <w:left w:val="nil"/>
              <w:bottom w:val="single" w:color="auto" w:sz="8" w:space="0"/>
              <w:right w:val="single" w:color="auto" w:sz="8" w:space="0"/>
            </w:tcBorders>
            <w:vAlign w:val="center"/>
          </w:tcPr>
          <w:p w14:paraId="26A0D194">
            <w:r>
              <w:t>▲冗余电源模块，冗余风扇模块</w:t>
            </w:r>
          </w:p>
        </w:tc>
      </w:tr>
      <w:tr w14:paraId="68AA2A10">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3B14A04A">
            <w:r>
              <w:t>4</w:t>
            </w:r>
          </w:p>
        </w:tc>
        <w:tc>
          <w:tcPr>
            <w:tcW w:w="1801" w:type="dxa"/>
            <w:vMerge w:val="continue"/>
            <w:tcBorders>
              <w:top w:val="nil"/>
              <w:left w:val="single" w:color="auto" w:sz="8" w:space="0"/>
              <w:bottom w:val="single" w:color="000000" w:sz="8" w:space="0"/>
              <w:right w:val="single" w:color="auto" w:sz="8" w:space="0"/>
            </w:tcBorders>
            <w:vAlign w:val="center"/>
          </w:tcPr>
          <w:p w14:paraId="11B6F7A9"/>
        </w:tc>
        <w:tc>
          <w:tcPr>
            <w:tcW w:w="6794" w:type="dxa"/>
            <w:tcBorders>
              <w:top w:val="nil"/>
              <w:left w:val="nil"/>
              <w:bottom w:val="single" w:color="auto" w:sz="8" w:space="0"/>
              <w:right w:val="single" w:color="auto" w:sz="8" w:space="0"/>
            </w:tcBorders>
            <w:vAlign w:val="center"/>
          </w:tcPr>
          <w:p w14:paraId="67F581C2">
            <w:r>
              <w:t>▲路由表≥320K，ARP表≥270K，MAC表≥280K，提供第三方机构测试报告截图证明</w:t>
            </w:r>
          </w:p>
        </w:tc>
      </w:tr>
      <w:tr w14:paraId="54368D01">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57446463">
            <w:r>
              <w:t>5</w:t>
            </w:r>
          </w:p>
        </w:tc>
        <w:tc>
          <w:tcPr>
            <w:tcW w:w="1801" w:type="dxa"/>
            <w:tcBorders>
              <w:top w:val="nil"/>
              <w:left w:val="nil"/>
              <w:bottom w:val="single" w:color="auto" w:sz="8" w:space="0"/>
              <w:right w:val="single" w:color="auto" w:sz="8" w:space="0"/>
            </w:tcBorders>
            <w:vAlign w:val="center"/>
          </w:tcPr>
          <w:p w14:paraId="6E5D8C98">
            <w:r>
              <w:t>链路聚合服务</w:t>
            </w:r>
          </w:p>
        </w:tc>
        <w:tc>
          <w:tcPr>
            <w:tcW w:w="6794" w:type="dxa"/>
            <w:tcBorders>
              <w:top w:val="nil"/>
              <w:left w:val="nil"/>
              <w:bottom w:val="single" w:color="auto" w:sz="8" w:space="0"/>
              <w:right w:val="single" w:color="auto" w:sz="8" w:space="0"/>
            </w:tcBorders>
            <w:vAlign w:val="center"/>
          </w:tcPr>
          <w:p w14:paraId="70E0398F">
            <w:r>
              <w:t>支持链路聚合，支持基于端口、协议、IP子网、MAC地址VLAN划分</w:t>
            </w:r>
          </w:p>
        </w:tc>
      </w:tr>
      <w:tr w14:paraId="05A70AFC">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670377E6">
            <w:r>
              <w:t>6</w:t>
            </w:r>
          </w:p>
        </w:tc>
        <w:tc>
          <w:tcPr>
            <w:tcW w:w="1801" w:type="dxa"/>
            <w:tcBorders>
              <w:top w:val="nil"/>
              <w:left w:val="nil"/>
              <w:bottom w:val="single" w:color="auto" w:sz="8" w:space="0"/>
              <w:right w:val="single" w:color="auto" w:sz="8" w:space="0"/>
            </w:tcBorders>
            <w:vAlign w:val="center"/>
          </w:tcPr>
          <w:p w14:paraId="2A3A6A8A">
            <w:r>
              <w:t>静态路由服务</w:t>
            </w:r>
          </w:p>
        </w:tc>
        <w:tc>
          <w:tcPr>
            <w:tcW w:w="6794" w:type="dxa"/>
            <w:tcBorders>
              <w:top w:val="nil"/>
              <w:left w:val="nil"/>
              <w:bottom w:val="single" w:color="auto" w:sz="8" w:space="0"/>
              <w:right w:val="single" w:color="auto" w:sz="8" w:space="0"/>
            </w:tcBorders>
            <w:vAlign w:val="center"/>
          </w:tcPr>
          <w:p w14:paraId="5DABAC4A">
            <w:r>
              <w:t>支持IPv4静态路由、RIP、OSPF、ISIS、BGP，支持IPv6静态路由、OSPFv3、ISISv6、BGP4+</w:t>
            </w:r>
          </w:p>
        </w:tc>
      </w:tr>
      <w:tr w14:paraId="6C26D2DC">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22DB0106">
            <w:r>
              <w:t>7</w:t>
            </w:r>
          </w:p>
        </w:tc>
        <w:tc>
          <w:tcPr>
            <w:tcW w:w="1801" w:type="dxa"/>
            <w:tcBorders>
              <w:top w:val="nil"/>
              <w:left w:val="nil"/>
              <w:bottom w:val="single" w:color="auto" w:sz="8" w:space="0"/>
              <w:right w:val="single" w:color="auto" w:sz="8" w:space="0"/>
            </w:tcBorders>
            <w:vAlign w:val="center"/>
          </w:tcPr>
          <w:p w14:paraId="20B75906">
            <w:r>
              <w:t>无损网络服务</w:t>
            </w:r>
          </w:p>
        </w:tc>
        <w:tc>
          <w:tcPr>
            <w:tcW w:w="6794" w:type="dxa"/>
            <w:tcBorders>
              <w:top w:val="nil"/>
              <w:left w:val="nil"/>
              <w:bottom w:val="single" w:color="auto" w:sz="8" w:space="0"/>
              <w:right w:val="single" w:color="auto" w:sz="8" w:space="0"/>
            </w:tcBorders>
            <w:vAlign w:val="center"/>
          </w:tcPr>
          <w:p w14:paraId="7A0D6993">
            <w:r>
              <w:t>支持无损网络RoCE(RoCEv1/RoCEv2 功能)/RDMA，支持PFC、ECN、ETS、DCB</w:t>
            </w:r>
          </w:p>
        </w:tc>
      </w:tr>
      <w:tr w14:paraId="7C0C8164">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23552507">
            <w:r>
              <w:t>8</w:t>
            </w:r>
          </w:p>
        </w:tc>
        <w:tc>
          <w:tcPr>
            <w:tcW w:w="1801" w:type="dxa"/>
            <w:tcBorders>
              <w:top w:val="nil"/>
              <w:left w:val="nil"/>
              <w:bottom w:val="single" w:color="auto" w:sz="8" w:space="0"/>
              <w:right w:val="single" w:color="auto" w:sz="8" w:space="0"/>
            </w:tcBorders>
            <w:vAlign w:val="center"/>
          </w:tcPr>
          <w:p w14:paraId="62F77A8D">
            <w:r>
              <w:t>VXLAN功能</w:t>
            </w:r>
          </w:p>
        </w:tc>
        <w:tc>
          <w:tcPr>
            <w:tcW w:w="6794" w:type="dxa"/>
            <w:tcBorders>
              <w:top w:val="nil"/>
              <w:left w:val="nil"/>
              <w:bottom w:val="single" w:color="auto" w:sz="8" w:space="0"/>
              <w:right w:val="single" w:color="auto" w:sz="8" w:space="0"/>
            </w:tcBorders>
            <w:vAlign w:val="center"/>
          </w:tcPr>
          <w:p w14:paraId="631AEFDB">
            <w:r>
              <w:t>支持VxLAN二层互通, 支持VxLAN集中式网关互通功能，支持EVPN分布式网关二三层互通功能</w:t>
            </w:r>
          </w:p>
        </w:tc>
      </w:tr>
      <w:tr w14:paraId="725F1D8E">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622A16C8">
            <w:r>
              <w:t>9</w:t>
            </w:r>
          </w:p>
        </w:tc>
        <w:tc>
          <w:tcPr>
            <w:tcW w:w="1801" w:type="dxa"/>
            <w:tcBorders>
              <w:top w:val="nil"/>
              <w:left w:val="nil"/>
              <w:bottom w:val="single" w:color="auto" w:sz="8" w:space="0"/>
              <w:right w:val="single" w:color="auto" w:sz="8" w:space="0"/>
            </w:tcBorders>
            <w:vAlign w:val="center"/>
          </w:tcPr>
          <w:p w14:paraId="0048ACF7">
            <w:r>
              <w:t>安全特性</w:t>
            </w:r>
          </w:p>
        </w:tc>
        <w:tc>
          <w:tcPr>
            <w:tcW w:w="6794" w:type="dxa"/>
            <w:tcBorders>
              <w:top w:val="nil"/>
              <w:left w:val="nil"/>
              <w:bottom w:val="single" w:color="auto" w:sz="8" w:space="0"/>
              <w:right w:val="single" w:color="auto" w:sz="8" w:space="0"/>
            </w:tcBorders>
            <w:vAlign w:val="center"/>
          </w:tcPr>
          <w:p w14:paraId="74E4A5F0">
            <w:r>
              <w:t>支持微分段，支持在IPv4、IPv6协议栈下采用微分段技术以组策略组合实现精细化东西向安全隔离，减少ACL资源占用</w:t>
            </w:r>
          </w:p>
        </w:tc>
      </w:tr>
      <w:tr w14:paraId="015D3389">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2AF9BBC1">
            <w:r>
              <w:t>10</w:t>
            </w:r>
          </w:p>
        </w:tc>
        <w:tc>
          <w:tcPr>
            <w:tcW w:w="1801" w:type="dxa"/>
            <w:tcBorders>
              <w:top w:val="nil"/>
              <w:left w:val="nil"/>
              <w:bottom w:val="single" w:color="auto" w:sz="8" w:space="0"/>
              <w:right w:val="single" w:color="auto" w:sz="8" w:space="0"/>
            </w:tcBorders>
            <w:vAlign w:val="center"/>
          </w:tcPr>
          <w:p w14:paraId="595F16F5">
            <w:r>
              <w:t>管理和监控</w:t>
            </w:r>
          </w:p>
        </w:tc>
        <w:tc>
          <w:tcPr>
            <w:tcW w:w="6794" w:type="dxa"/>
            <w:tcBorders>
              <w:top w:val="nil"/>
              <w:left w:val="nil"/>
              <w:bottom w:val="single" w:color="auto" w:sz="8" w:space="0"/>
              <w:right w:val="single" w:color="auto" w:sz="8" w:space="0"/>
            </w:tcBorders>
            <w:vAlign w:val="center"/>
          </w:tcPr>
          <w:p w14:paraId="51CBBCFE">
            <w:r>
              <w:t>支持SNMP V1/V2/V3、RMON、SSH2.0功能</w:t>
            </w:r>
          </w:p>
        </w:tc>
      </w:tr>
      <w:tr w14:paraId="4499EDA8">
        <w:tblPrEx>
          <w:tblCellMar>
            <w:top w:w="0" w:type="dxa"/>
            <w:left w:w="108" w:type="dxa"/>
            <w:bottom w:w="0" w:type="dxa"/>
            <w:right w:w="108" w:type="dxa"/>
          </w:tblCellMar>
        </w:tblPrEx>
        <w:trPr>
          <w:trHeight w:val="323" w:hRule="atLeast"/>
          <w:jc w:val="center"/>
        </w:trPr>
        <w:tc>
          <w:tcPr>
            <w:tcW w:w="9052" w:type="dxa"/>
            <w:gridSpan w:val="3"/>
            <w:tcBorders>
              <w:top w:val="single" w:color="auto" w:sz="8" w:space="0"/>
              <w:left w:val="single" w:color="auto" w:sz="8" w:space="0"/>
              <w:bottom w:val="single" w:color="auto" w:sz="8" w:space="0"/>
              <w:right w:val="single" w:color="000000" w:sz="8" w:space="0"/>
            </w:tcBorders>
            <w:shd w:val="clear" w:color="000000" w:fill="00B0F0"/>
            <w:vAlign w:val="center"/>
          </w:tcPr>
          <w:p w14:paraId="16D99226">
            <w:r>
              <w:t>配件</w:t>
            </w:r>
            <w:r>
              <w:rPr>
                <w:rFonts w:hint="eastAsia"/>
              </w:rPr>
              <w:t>要求</w:t>
            </w:r>
          </w:p>
        </w:tc>
      </w:tr>
      <w:tr w14:paraId="3E8EF965">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4EC6EADF">
            <w:r>
              <w:t>1</w:t>
            </w:r>
          </w:p>
        </w:tc>
        <w:tc>
          <w:tcPr>
            <w:tcW w:w="1801" w:type="dxa"/>
            <w:tcBorders>
              <w:top w:val="nil"/>
              <w:left w:val="single" w:color="auto" w:sz="8" w:space="0"/>
              <w:bottom w:val="single" w:color="000000" w:sz="8" w:space="0"/>
              <w:right w:val="single" w:color="auto" w:sz="8" w:space="0"/>
            </w:tcBorders>
            <w:vAlign w:val="center"/>
          </w:tcPr>
          <w:p w14:paraId="5F8A1AD3">
            <w:bookmarkStart w:id="32" w:name="OLE_LINK22"/>
            <w:r>
              <w:rPr>
                <w:rFonts w:hint="eastAsia"/>
              </w:rPr>
              <w:t>光模块</w:t>
            </w:r>
            <w:bookmarkEnd w:id="32"/>
          </w:p>
        </w:tc>
        <w:tc>
          <w:tcPr>
            <w:tcW w:w="6794" w:type="dxa"/>
            <w:tcBorders>
              <w:top w:val="nil"/>
              <w:left w:val="nil"/>
              <w:bottom w:val="single" w:color="auto" w:sz="8" w:space="0"/>
              <w:right w:val="single" w:color="auto" w:sz="8" w:space="0"/>
            </w:tcBorders>
            <w:vAlign w:val="center"/>
          </w:tcPr>
          <w:p w14:paraId="49AC35D6">
            <w:r>
              <w:t>100G多模光模块≥</w:t>
            </w:r>
            <w:r>
              <w:rPr>
                <w:rFonts w:hint="eastAsia"/>
              </w:rPr>
              <w:t>12个</w:t>
            </w:r>
            <w:r>
              <w:t>，100G</w:t>
            </w:r>
            <w:r>
              <w:rPr>
                <w:rFonts w:hint="eastAsia"/>
              </w:rPr>
              <w:t>单模</w:t>
            </w:r>
            <w:r>
              <w:t>光模块≥</w:t>
            </w:r>
            <w:r>
              <w:rPr>
                <w:rFonts w:hint="eastAsia"/>
              </w:rPr>
              <w:t>12个</w:t>
            </w:r>
            <w:r>
              <w:t>，40G</w:t>
            </w:r>
            <w:r>
              <w:rPr>
                <w:rFonts w:hint="eastAsia"/>
              </w:rPr>
              <w:t>单</w:t>
            </w:r>
            <w:r>
              <w:t>模光模块≥</w:t>
            </w:r>
            <w:r>
              <w:rPr>
                <w:rFonts w:hint="eastAsia"/>
              </w:rPr>
              <w:t>4个，1</w:t>
            </w:r>
            <w:r>
              <w:t>0G多模光模块≥</w:t>
            </w:r>
            <w:r>
              <w:rPr>
                <w:rFonts w:hint="eastAsia"/>
              </w:rPr>
              <w:t>270个,10G单模光模块</w:t>
            </w:r>
            <w:r>
              <w:t>≥</w:t>
            </w:r>
            <w:r>
              <w:rPr>
                <w:rFonts w:hint="eastAsia"/>
              </w:rPr>
              <w:t>12个</w:t>
            </w:r>
          </w:p>
        </w:tc>
      </w:tr>
      <w:tr w14:paraId="4C1A9DE0">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49ABE048">
            <w:r>
              <w:rPr>
                <w:rFonts w:hint="eastAsia"/>
              </w:rPr>
              <w:t>2</w:t>
            </w:r>
          </w:p>
        </w:tc>
        <w:tc>
          <w:tcPr>
            <w:tcW w:w="1801" w:type="dxa"/>
            <w:tcBorders>
              <w:top w:val="nil"/>
              <w:left w:val="single" w:color="auto" w:sz="8" w:space="0"/>
              <w:bottom w:val="single" w:color="000000" w:sz="8" w:space="0"/>
              <w:right w:val="single" w:color="auto" w:sz="8" w:space="0"/>
            </w:tcBorders>
            <w:vAlign w:val="center"/>
          </w:tcPr>
          <w:p w14:paraId="101EDC96">
            <w:r>
              <w:rPr>
                <w:rFonts w:hint="eastAsia"/>
              </w:rPr>
              <w:t>堆叠电缆</w:t>
            </w:r>
          </w:p>
        </w:tc>
        <w:tc>
          <w:tcPr>
            <w:tcW w:w="6794" w:type="dxa"/>
            <w:tcBorders>
              <w:top w:val="nil"/>
              <w:left w:val="nil"/>
              <w:bottom w:val="single" w:color="auto" w:sz="8" w:space="0"/>
              <w:right w:val="single" w:color="auto" w:sz="8" w:space="0"/>
            </w:tcBorders>
            <w:vAlign w:val="center"/>
          </w:tcPr>
          <w:p w14:paraId="392E114F">
            <w:r>
              <w:rPr>
                <w:rFonts w:hint="eastAsia"/>
              </w:rPr>
              <w:t>7</w:t>
            </w:r>
            <w:r>
              <w:t>米100G堆叠线≥</w:t>
            </w:r>
            <w:r>
              <w:rPr>
                <w:rFonts w:hint="eastAsia"/>
              </w:rPr>
              <w:t>6根</w:t>
            </w:r>
          </w:p>
        </w:tc>
      </w:tr>
      <w:tr w14:paraId="71F32368">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50391CD2">
            <w:r>
              <w:rPr>
                <w:rFonts w:hint="eastAsia"/>
              </w:rPr>
              <w:t>3</w:t>
            </w:r>
          </w:p>
        </w:tc>
        <w:tc>
          <w:tcPr>
            <w:tcW w:w="1801" w:type="dxa"/>
            <w:tcBorders>
              <w:top w:val="nil"/>
              <w:left w:val="single" w:color="auto" w:sz="8" w:space="0"/>
              <w:bottom w:val="single" w:color="000000" w:sz="8" w:space="0"/>
              <w:right w:val="single" w:color="auto" w:sz="8" w:space="0"/>
            </w:tcBorders>
            <w:vAlign w:val="center"/>
          </w:tcPr>
          <w:p w14:paraId="732FD980">
            <w:r>
              <w:rPr>
                <w:rFonts w:hint="eastAsia"/>
              </w:rPr>
              <w:t>光纤跳线</w:t>
            </w:r>
          </w:p>
        </w:tc>
        <w:tc>
          <w:tcPr>
            <w:tcW w:w="6794" w:type="dxa"/>
            <w:tcBorders>
              <w:top w:val="nil"/>
              <w:left w:val="nil"/>
              <w:bottom w:val="single" w:color="auto" w:sz="8" w:space="0"/>
              <w:right w:val="single" w:color="auto" w:sz="8" w:space="0"/>
            </w:tcBorders>
            <w:vAlign w:val="center"/>
          </w:tcPr>
          <w:p w14:paraId="4B2C624B">
            <w:pPr>
              <w:rPr>
                <w:color w:val="FF0000"/>
              </w:rPr>
            </w:pPr>
            <w:r>
              <w:rPr>
                <w:rFonts w:hint="eastAsia"/>
                <w:color w:val="000000"/>
              </w:rPr>
              <w:t>1）</w:t>
            </w:r>
            <w:bookmarkStart w:id="33" w:name="OLE_LINK28"/>
            <w:r>
              <w:rPr>
                <w:rFonts w:hint="eastAsia"/>
              </w:rPr>
              <w:t>多模</w:t>
            </w:r>
            <w:bookmarkEnd w:id="33"/>
            <w:r>
              <w:rPr>
                <w:rFonts w:hint="eastAsia"/>
              </w:rPr>
              <w:t>MPO接口</w:t>
            </w:r>
            <w:r>
              <w:t>OM4光纤线5米≥</w:t>
            </w:r>
            <w:r>
              <w:rPr>
                <w:rFonts w:hint="eastAsia"/>
              </w:rPr>
              <w:t>7</w:t>
            </w:r>
            <w:r>
              <w:t>根，</w:t>
            </w:r>
            <w:r>
              <w:rPr>
                <w:rFonts w:hint="eastAsia"/>
              </w:rPr>
              <w:t>单模LC接口</w:t>
            </w:r>
            <w:r>
              <w:t>OM4光纤线15米≥</w:t>
            </w:r>
            <w:r>
              <w:rPr>
                <w:rFonts w:hint="eastAsia"/>
              </w:rPr>
              <w:t>26</w:t>
            </w:r>
            <w:r>
              <w:t>根，</w:t>
            </w:r>
            <w:r>
              <w:rPr>
                <w:rFonts w:hint="eastAsia"/>
              </w:rPr>
              <w:t>多模LC接口</w:t>
            </w:r>
            <w:r>
              <w:t>OM4光纤线</w:t>
            </w:r>
            <w:r>
              <w:rPr>
                <w:rFonts w:hint="eastAsia"/>
              </w:rPr>
              <w:t>1</w:t>
            </w:r>
            <w:r>
              <w:t>5米≥</w:t>
            </w:r>
            <w:r>
              <w:rPr>
                <w:rFonts w:hint="eastAsia"/>
              </w:rPr>
              <w:t>2</w:t>
            </w:r>
            <w:r>
              <w:t>根，</w:t>
            </w:r>
            <w:r>
              <w:rPr>
                <w:rFonts w:hint="eastAsia"/>
              </w:rPr>
              <w:t>多模LC接口OM4光纤线5米</w:t>
            </w:r>
            <w:r>
              <w:t>≥</w:t>
            </w:r>
            <w:r>
              <w:rPr>
                <w:rFonts w:hint="eastAsia"/>
              </w:rPr>
              <w:t>9根，多模LC接口</w:t>
            </w:r>
            <w:r>
              <w:t>OM4光纤线3米≥</w:t>
            </w:r>
            <w:r>
              <w:rPr>
                <w:rFonts w:hint="eastAsia"/>
              </w:rPr>
              <w:t>123</w:t>
            </w:r>
            <w:r>
              <w:t>根</w:t>
            </w:r>
          </w:p>
          <w:p w14:paraId="163B71BB">
            <w:pPr>
              <w:pStyle w:val="12"/>
            </w:pPr>
            <w:r>
              <w:rPr>
                <w:rFonts w:hint="eastAsia"/>
              </w:rPr>
              <w:t>2）与医院现有布线系统兼容适配，</w:t>
            </w:r>
            <w:r>
              <w:t>提供原厂认证或检测报告</w:t>
            </w:r>
          </w:p>
        </w:tc>
      </w:tr>
      <w:tr w14:paraId="1378BB5C">
        <w:tblPrEx>
          <w:tblCellMar>
            <w:top w:w="0" w:type="dxa"/>
            <w:left w:w="108" w:type="dxa"/>
            <w:bottom w:w="0" w:type="dxa"/>
            <w:right w:w="108" w:type="dxa"/>
          </w:tblCellMar>
        </w:tblPrEx>
        <w:trPr>
          <w:trHeight w:val="323" w:hRule="atLeast"/>
          <w:jc w:val="center"/>
        </w:trPr>
        <w:tc>
          <w:tcPr>
            <w:tcW w:w="9052" w:type="dxa"/>
            <w:gridSpan w:val="3"/>
            <w:tcBorders>
              <w:top w:val="single" w:color="auto" w:sz="8" w:space="0"/>
              <w:left w:val="single" w:color="auto" w:sz="8" w:space="0"/>
              <w:bottom w:val="single" w:color="auto" w:sz="8" w:space="0"/>
              <w:right w:val="single" w:color="000000" w:sz="8" w:space="0"/>
            </w:tcBorders>
            <w:shd w:val="clear" w:color="000000" w:fill="00B0F0"/>
            <w:vAlign w:val="center"/>
          </w:tcPr>
          <w:p w14:paraId="348582A5">
            <w:r>
              <w:t>DMZ专区</w:t>
            </w:r>
            <w:bookmarkStart w:id="34" w:name="OLE_LINK38"/>
            <w:r>
              <w:rPr>
                <w:rFonts w:hint="eastAsia"/>
              </w:rPr>
              <w:t>容灾</w:t>
            </w:r>
            <w:r>
              <w:t>备份</w:t>
            </w:r>
            <w:r>
              <w:rPr>
                <w:rFonts w:hint="eastAsia"/>
              </w:rPr>
              <w:t>一体</w:t>
            </w:r>
            <w:r>
              <w:t>机</w:t>
            </w:r>
            <w:bookmarkEnd w:id="34"/>
            <w:r>
              <w:t>，数量1</w:t>
            </w:r>
            <w:r>
              <w:rPr>
                <w:rFonts w:hint="eastAsia"/>
              </w:rPr>
              <w:t>项</w:t>
            </w:r>
          </w:p>
        </w:tc>
      </w:tr>
      <w:tr w14:paraId="190E848D">
        <w:tblPrEx>
          <w:tblCellMar>
            <w:top w:w="0" w:type="dxa"/>
            <w:left w:w="108" w:type="dxa"/>
            <w:bottom w:w="0" w:type="dxa"/>
            <w:right w:w="108" w:type="dxa"/>
          </w:tblCellMar>
        </w:tblPrEx>
        <w:trPr>
          <w:trHeight w:val="315"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2A18095E">
            <w:r>
              <w:t>1</w:t>
            </w:r>
          </w:p>
        </w:tc>
        <w:tc>
          <w:tcPr>
            <w:tcW w:w="1801" w:type="dxa"/>
            <w:vMerge w:val="restart"/>
            <w:tcBorders>
              <w:top w:val="nil"/>
              <w:left w:val="single" w:color="auto" w:sz="8" w:space="0"/>
              <w:bottom w:val="single" w:color="000000" w:sz="8" w:space="0"/>
              <w:right w:val="single" w:color="auto" w:sz="8" w:space="0"/>
            </w:tcBorders>
            <w:noWrap/>
            <w:vAlign w:val="center"/>
          </w:tcPr>
          <w:p w14:paraId="55FB5A0C">
            <w:r>
              <w:t>硬件配置</w:t>
            </w:r>
          </w:p>
        </w:tc>
        <w:tc>
          <w:tcPr>
            <w:tcW w:w="6794" w:type="dxa"/>
            <w:tcBorders>
              <w:top w:val="nil"/>
              <w:left w:val="nil"/>
              <w:bottom w:val="nil"/>
              <w:right w:val="single" w:color="auto" w:sz="8" w:space="0"/>
            </w:tcBorders>
            <w:vAlign w:val="center"/>
          </w:tcPr>
          <w:p w14:paraId="69E3AFAE">
            <w:r>
              <w:t>2U机架式服务器，要求如下：</w:t>
            </w:r>
          </w:p>
        </w:tc>
      </w:tr>
      <w:tr w14:paraId="58137213">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5EC630FD"/>
        </w:tc>
        <w:tc>
          <w:tcPr>
            <w:tcW w:w="1801" w:type="dxa"/>
            <w:vMerge w:val="continue"/>
            <w:tcBorders>
              <w:top w:val="nil"/>
              <w:left w:val="single" w:color="auto" w:sz="8" w:space="0"/>
              <w:bottom w:val="single" w:color="000000" w:sz="8" w:space="0"/>
              <w:right w:val="single" w:color="auto" w:sz="8" w:space="0"/>
            </w:tcBorders>
            <w:vAlign w:val="center"/>
          </w:tcPr>
          <w:p w14:paraId="1BC5F658"/>
        </w:tc>
        <w:tc>
          <w:tcPr>
            <w:tcW w:w="6794" w:type="dxa"/>
            <w:tcBorders>
              <w:top w:val="nil"/>
              <w:left w:val="nil"/>
              <w:bottom w:val="nil"/>
              <w:right w:val="single" w:color="auto" w:sz="8" w:space="0"/>
            </w:tcBorders>
            <w:vAlign w:val="center"/>
          </w:tcPr>
          <w:p w14:paraId="62AAF7B2">
            <w:r>
              <w:t>12核24线程CPU≥1颗；</w:t>
            </w:r>
          </w:p>
        </w:tc>
      </w:tr>
      <w:tr w14:paraId="3F75E5A4">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368EC3E7"/>
        </w:tc>
        <w:tc>
          <w:tcPr>
            <w:tcW w:w="1801" w:type="dxa"/>
            <w:vMerge w:val="continue"/>
            <w:tcBorders>
              <w:top w:val="nil"/>
              <w:left w:val="single" w:color="auto" w:sz="8" w:space="0"/>
              <w:bottom w:val="single" w:color="000000" w:sz="8" w:space="0"/>
              <w:right w:val="single" w:color="auto" w:sz="8" w:space="0"/>
            </w:tcBorders>
            <w:vAlign w:val="center"/>
          </w:tcPr>
          <w:p w14:paraId="4EE663CF"/>
        </w:tc>
        <w:tc>
          <w:tcPr>
            <w:tcW w:w="6794" w:type="dxa"/>
            <w:tcBorders>
              <w:top w:val="nil"/>
              <w:left w:val="nil"/>
              <w:bottom w:val="nil"/>
              <w:right w:val="single" w:color="auto" w:sz="8" w:space="0"/>
            </w:tcBorders>
            <w:vAlign w:val="center"/>
          </w:tcPr>
          <w:p w14:paraId="201F21DC">
            <w:r>
              <w:t>内存≥64GB；</w:t>
            </w:r>
          </w:p>
        </w:tc>
      </w:tr>
      <w:tr w14:paraId="58805072">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5849E799"/>
        </w:tc>
        <w:tc>
          <w:tcPr>
            <w:tcW w:w="1801" w:type="dxa"/>
            <w:vMerge w:val="continue"/>
            <w:tcBorders>
              <w:top w:val="nil"/>
              <w:left w:val="single" w:color="auto" w:sz="8" w:space="0"/>
              <w:bottom w:val="single" w:color="000000" w:sz="8" w:space="0"/>
              <w:right w:val="single" w:color="auto" w:sz="8" w:space="0"/>
            </w:tcBorders>
            <w:vAlign w:val="center"/>
          </w:tcPr>
          <w:p w14:paraId="6DE35C8D"/>
        </w:tc>
        <w:tc>
          <w:tcPr>
            <w:tcW w:w="6794" w:type="dxa"/>
            <w:tcBorders>
              <w:top w:val="nil"/>
              <w:left w:val="nil"/>
              <w:bottom w:val="nil"/>
              <w:right w:val="single" w:color="auto" w:sz="8" w:space="0"/>
            </w:tcBorders>
            <w:vAlign w:val="center"/>
          </w:tcPr>
          <w:p w14:paraId="66CF2F8D">
            <w:r>
              <w:t>千兆光口≥2个，万兆光口≥2个；</w:t>
            </w:r>
          </w:p>
        </w:tc>
      </w:tr>
      <w:tr w14:paraId="03C6A502">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7143F9BB"/>
        </w:tc>
        <w:tc>
          <w:tcPr>
            <w:tcW w:w="1801" w:type="dxa"/>
            <w:vMerge w:val="continue"/>
            <w:tcBorders>
              <w:top w:val="nil"/>
              <w:left w:val="single" w:color="auto" w:sz="8" w:space="0"/>
              <w:bottom w:val="single" w:color="000000" w:sz="8" w:space="0"/>
              <w:right w:val="single" w:color="auto" w:sz="8" w:space="0"/>
            </w:tcBorders>
            <w:vAlign w:val="center"/>
          </w:tcPr>
          <w:p w14:paraId="1BEA5D00"/>
        </w:tc>
        <w:tc>
          <w:tcPr>
            <w:tcW w:w="6794" w:type="dxa"/>
            <w:tcBorders>
              <w:top w:val="nil"/>
              <w:left w:val="nil"/>
              <w:bottom w:val="nil"/>
              <w:right w:val="single" w:color="auto" w:sz="8" w:space="0"/>
            </w:tcBorders>
            <w:vAlign w:val="center"/>
          </w:tcPr>
          <w:p w14:paraId="01C03031">
            <w:r>
              <w:t>16TB 硬盘≥3块，480GB SSD硬盘≥2块；</w:t>
            </w:r>
          </w:p>
        </w:tc>
      </w:tr>
      <w:tr w14:paraId="2FE83151">
        <w:tblPrEx>
          <w:tblCellMar>
            <w:top w:w="0" w:type="dxa"/>
            <w:left w:w="108" w:type="dxa"/>
            <w:bottom w:w="0" w:type="dxa"/>
            <w:right w:w="108" w:type="dxa"/>
          </w:tblCellMar>
        </w:tblPrEx>
        <w:trPr>
          <w:trHeight w:val="32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3AD46E18"/>
        </w:tc>
        <w:tc>
          <w:tcPr>
            <w:tcW w:w="1801" w:type="dxa"/>
            <w:vMerge w:val="continue"/>
            <w:tcBorders>
              <w:top w:val="nil"/>
              <w:left w:val="single" w:color="auto" w:sz="8" w:space="0"/>
              <w:bottom w:val="single" w:color="000000" w:sz="8" w:space="0"/>
              <w:right w:val="single" w:color="auto" w:sz="8" w:space="0"/>
            </w:tcBorders>
            <w:vAlign w:val="center"/>
          </w:tcPr>
          <w:p w14:paraId="02B1FB04"/>
        </w:tc>
        <w:tc>
          <w:tcPr>
            <w:tcW w:w="6794" w:type="dxa"/>
            <w:tcBorders>
              <w:top w:val="nil"/>
              <w:left w:val="nil"/>
              <w:bottom w:val="single" w:color="auto" w:sz="8" w:space="0"/>
              <w:right w:val="single" w:color="auto" w:sz="8" w:space="0"/>
            </w:tcBorders>
            <w:vAlign w:val="center"/>
          </w:tcPr>
          <w:p w14:paraId="4C3B06B9">
            <w:r>
              <w:t>冗余电源</w:t>
            </w:r>
          </w:p>
        </w:tc>
      </w:tr>
      <w:tr w14:paraId="01A0D103">
        <w:tblPrEx>
          <w:tblCellMar>
            <w:top w:w="0" w:type="dxa"/>
            <w:left w:w="108" w:type="dxa"/>
            <w:bottom w:w="0" w:type="dxa"/>
            <w:right w:w="108" w:type="dxa"/>
          </w:tblCellMar>
        </w:tblPrEx>
        <w:trPr>
          <w:trHeight w:val="315"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4E906802">
            <w:r>
              <w:t>2</w:t>
            </w:r>
          </w:p>
        </w:tc>
        <w:tc>
          <w:tcPr>
            <w:tcW w:w="1801" w:type="dxa"/>
            <w:vMerge w:val="restart"/>
            <w:tcBorders>
              <w:top w:val="nil"/>
              <w:left w:val="single" w:color="auto" w:sz="8" w:space="0"/>
              <w:bottom w:val="single" w:color="000000" w:sz="8" w:space="0"/>
              <w:right w:val="single" w:color="auto" w:sz="8" w:space="0"/>
            </w:tcBorders>
            <w:noWrap/>
            <w:vAlign w:val="center"/>
          </w:tcPr>
          <w:p w14:paraId="1EDCF0BC">
            <w:r>
              <w:t>功能服务范围</w:t>
            </w:r>
          </w:p>
        </w:tc>
        <w:tc>
          <w:tcPr>
            <w:tcW w:w="6794" w:type="dxa"/>
            <w:tcBorders>
              <w:top w:val="nil"/>
              <w:left w:val="nil"/>
              <w:bottom w:val="nil"/>
              <w:right w:val="single" w:color="auto" w:sz="8" w:space="0"/>
            </w:tcBorders>
            <w:vAlign w:val="center"/>
          </w:tcPr>
          <w:p w14:paraId="41C49556">
            <w:r>
              <w:t>每服务单位：</w:t>
            </w:r>
          </w:p>
        </w:tc>
      </w:tr>
      <w:tr w14:paraId="6EA4A8B3">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257BA4DB"/>
        </w:tc>
        <w:tc>
          <w:tcPr>
            <w:tcW w:w="1801" w:type="dxa"/>
            <w:vMerge w:val="continue"/>
            <w:tcBorders>
              <w:top w:val="nil"/>
              <w:left w:val="single" w:color="auto" w:sz="8" w:space="0"/>
              <w:bottom w:val="single" w:color="000000" w:sz="8" w:space="0"/>
              <w:right w:val="single" w:color="auto" w:sz="8" w:space="0"/>
            </w:tcBorders>
            <w:vAlign w:val="center"/>
          </w:tcPr>
          <w:p w14:paraId="2F545F88"/>
        </w:tc>
        <w:tc>
          <w:tcPr>
            <w:tcW w:w="6794" w:type="dxa"/>
            <w:tcBorders>
              <w:top w:val="nil"/>
              <w:left w:val="nil"/>
              <w:bottom w:val="nil"/>
              <w:right w:val="single" w:color="auto" w:sz="8" w:space="0"/>
            </w:tcBorders>
            <w:vAlign w:val="center"/>
          </w:tcPr>
          <w:p w14:paraId="1FC32154">
            <w:r>
              <w:t>至少满足20T备份容量规模和至少2个应急接管容灾点位服务要求；</w:t>
            </w:r>
          </w:p>
        </w:tc>
      </w:tr>
      <w:tr w14:paraId="5EC7B37C">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4ECD9841"/>
        </w:tc>
        <w:tc>
          <w:tcPr>
            <w:tcW w:w="1801" w:type="dxa"/>
            <w:vMerge w:val="continue"/>
            <w:tcBorders>
              <w:top w:val="nil"/>
              <w:left w:val="single" w:color="auto" w:sz="8" w:space="0"/>
              <w:bottom w:val="single" w:color="000000" w:sz="8" w:space="0"/>
              <w:right w:val="single" w:color="auto" w:sz="8" w:space="0"/>
            </w:tcBorders>
            <w:vAlign w:val="center"/>
          </w:tcPr>
          <w:p w14:paraId="47F2E9E8"/>
        </w:tc>
        <w:tc>
          <w:tcPr>
            <w:tcW w:w="6794" w:type="dxa"/>
            <w:tcBorders>
              <w:top w:val="nil"/>
              <w:left w:val="nil"/>
              <w:bottom w:val="nil"/>
              <w:right w:val="single" w:color="auto" w:sz="8" w:space="0"/>
            </w:tcBorders>
            <w:vAlign w:val="center"/>
          </w:tcPr>
          <w:p w14:paraId="4AC52123">
            <w:r>
              <w:t>不限制CDP持续数据保护服务规模；</w:t>
            </w:r>
          </w:p>
        </w:tc>
      </w:tr>
      <w:tr w14:paraId="2BA9519E">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734EA9AA"/>
        </w:tc>
        <w:tc>
          <w:tcPr>
            <w:tcW w:w="1801" w:type="dxa"/>
            <w:vMerge w:val="continue"/>
            <w:tcBorders>
              <w:top w:val="nil"/>
              <w:left w:val="single" w:color="auto" w:sz="8" w:space="0"/>
              <w:bottom w:val="single" w:color="000000" w:sz="8" w:space="0"/>
              <w:right w:val="single" w:color="auto" w:sz="8" w:space="0"/>
            </w:tcBorders>
            <w:vAlign w:val="center"/>
          </w:tcPr>
          <w:p w14:paraId="25AFBFAC"/>
        </w:tc>
        <w:tc>
          <w:tcPr>
            <w:tcW w:w="6794" w:type="dxa"/>
            <w:tcBorders>
              <w:top w:val="nil"/>
              <w:left w:val="nil"/>
              <w:bottom w:val="nil"/>
              <w:right w:val="single" w:color="auto" w:sz="8" w:space="0"/>
            </w:tcBorders>
            <w:vAlign w:val="center"/>
          </w:tcPr>
          <w:p w14:paraId="31900D9F">
            <w:r>
              <w:t>不限制文件备份功能服务规模；</w:t>
            </w:r>
          </w:p>
        </w:tc>
      </w:tr>
      <w:tr w14:paraId="3034BC66">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19C87FB4"/>
        </w:tc>
        <w:tc>
          <w:tcPr>
            <w:tcW w:w="1801" w:type="dxa"/>
            <w:vMerge w:val="continue"/>
            <w:tcBorders>
              <w:top w:val="nil"/>
              <w:left w:val="single" w:color="auto" w:sz="8" w:space="0"/>
              <w:bottom w:val="single" w:color="000000" w:sz="8" w:space="0"/>
              <w:right w:val="single" w:color="auto" w:sz="8" w:space="0"/>
            </w:tcBorders>
            <w:vAlign w:val="center"/>
          </w:tcPr>
          <w:p w14:paraId="3CCB632A"/>
        </w:tc>
        <w:tc>
          <w:tcPr>
            <w:tcW w:w="6794" w:type="dxa"/>
            <w:tcBorders>
              <w:top w:val="nil"/>
              <w:left w:val="nil"/>
              <w:bottom w:val="nil"/>
              <w:right w:val="single" w:color="auto" w:sz="8" w:space="0"/>
            </w:tcBorders>
            <w:vAlign w:val="center"/>
          </w:tcPr>
          <w:p w14:paraId="6E9A7C35">
            <w:r>
              <w:t>不限制数据库备份功能服务规模；</w:t>
            </w:r>
          </w:p>
        </w:tc>
      </w:tr>
      <w:tr w14:paraId="77DC526C">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5D176778"/>
        </w:tc>
        <w:tc>
          <w:tcPr>
            <w:tcW w:w="1801" w:type="dxa"/>
            <w:vMerge w:val="continue"/>
            <w:tcBorders>
              <w:top w:val="nil"/>
              <w:left w:val="single" w:color="auto" w:sz="8" w:space="0"/>
              <w:bottom w:val="single" w:color="000000" w:sz="8" w:space="0"/>
              <w:right w:val="single" w:color="auto" w:sz="8" w:space="0"/>
            </w:tcBorders>
            <w:vAlign w:val="center"/>
          </w:tcPr>
          <w:p w14:paraId="4B289200"/>
        </w:tc>
        <w:tc>
          <w:tcPr>
            <w:tcW w:w="6794" w:type="dxa"/>
            <w:tcBorders>
              <w:top w:val="nil"/>
              <w:left w:val="nil"/>
              <w:bottom w:val="nil"/>
              <w:right w:val="single" w:color="auto" w:sz="8" w:space="0"/>
            </w:tcBorders>
            <w:vAlign w:val="center"/>
          </w:tcPr>
          <w:p w14:paraId="2E5E702C">
            <w:r>
              <w:t>不限制备份数据归档功能服务规模；</w:t>
            </w:r>
          </w:p>
        </w:tc>
      </w:tr>
      <w:tr w14:paraId="62E85BB6">
        <w:tblPrEx>
          <w:tblCellMar>
            <w:top w:w="0" w:type="dxa"/>
            <w:left w:w="108" w:type="dxa"/>
            <w:bottom w:w="0" w:type="dxa"/>
            <w:right w:w="108" w:type="dxa"/>
          </w:tblCellMar>
        </w:tblPrEx>
        <w:trPr>
          <w:trHeight w:val="315"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0C95FFB9"/>
        </w:tc>
        <w:tc>
          <w:tcPr>
            <w:tcW w:w="1801" w:type="dxa"/>
            <w:vMerge w:val="continue"/>
            <w:tcBorders>
              <w:top w:val="nil"/>
              <w:left w:val="single" w:color="auto" w:sz="8" w:space="0"/>
              <w:bottom w:val="single" w:color="000000" w:sz="8" w:space="0"/>
              <w:right w:val="single" w:color="auto" w:sz="8" w:space="0"/>
            </w:tcBorders>
            <w:vAlign w:val="center"/>
          </w:tcPr>
          <w:p w14:paraId="640EB942"/>
        </w:tc>
        <w:tc>
          <w:tcPr>
            <w:tcW w:w="6794" w:type="dxa"/>
            <w:tcBorders>
              <w:top w:val="nil"/>
              <w:left w:val="nil"/>
              <w:bottom w:val="nil"/>
              <w:right w:val="single" w:color="auto" w:sz="8" w:space="0"/>
            </w:tcBorders>
            <w:vAlign w:val="center"/>
          </w:tcPr>
          <w:p w14:paraId="6944B79A">
            <w:r>
              <w:t>不限制虚拟化主机验证服务规模；</w:t>
            </w:r>
          </w:p>
        </w:tc>
      </w:tr>
      <w:tr w14:paraId="63244C97">
        <w:tblPrEx>
          <w:tblCellMar>
            <w:top w:w="0" w:type="dxa"/>
            <w:left w:w="108" w:type="dxa"/>
            <w:bottom w:w="0" w:type="dxa"/>
            <w:right w:w="108" w:type="dxa"/>
          </w:tblCellMar>
        </w:tblPrEx>
        <w:trPr>
          <w:trHeight w:val="32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4525C334"/>
        </w:tc>
        <w:tc>
          <w:tcPr>
            <w:tcW w:w="1801" w:type="dxa"/>
            <w:vMerge w:val="continue"/>
            <w:tcBorders>
              <w:top w:val="nil"/>
              <w:left w:val="single" w:color="auto" w:sz="8" w:space="0"/>
              <w:bottom w:val="single" w:color="000000" w:sz="8" w:space="0"/>
              <w:right w:val="single" w:color="auto" w:sz="8" w:space="0"/>
            </w:tcBorders>
            <w:vAlign w:val="center"/>
          </w:tcPr>
          <w:p w14:paraId="789B1044"/>
        </w:tc>
        <w:tc>
          <w:tcPr>
            <w:tcW w:w="6794" w:type="dxa"/>
            <w:tcBorders>
              <w:top w:val="nil"/>
              <w:left w:val="nil"/>
              <w:bottom w:val="single" w:color="auto" w:sz="8" w:space="0"/>
              <w:right w:val="single" w:color="auto" w:sz="8" w:space="0"/>
            </w:tcBorders>
            <w:vAlign w:val="center"/>
          </w:tcPr>
          <w:p w14:paraId="2FE5033D">
            <w:r>
              <w:t>不限制15分钟内快速恢复服务规模；</w:t>
            </w:r>
          </w:p>
        </w:tc>
      </w:tr>
      <w:tr w14:paraId="04C44F1D">
        <w:tblPrEx>
          <w:tblCellMar>
            <w:top w:w="0" w:type="dxa"/>
            <w:left w:w="108" w:type="dxa"/>
            <w:bottom w:w="0" w:type="dxa"/>
            <w:right w:w="108" w:type="dxa"/>
          </w:tblCellMar>
        </w:tblPrEx>
        <w:trPr>
          <w:trHeight w:val="763"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0E3A8923">
            <w:r>
              <w:t>3</w:t>
            </w:r>
          </w:p>
        </w:tc>
        <w:tc>
          <w:tcPr>
            <w:tcW w:w="1801" w:type="dxa"/>
            <w:vMerge w:val="restart"/>
            <w:tcBorders>
              <w:top w:val="nil"/>
              <w:left w:val="single" w:color="auto" w:sz="8" w:space="0"/>
              <w:bottom w:val="single" w:color="000000" w:sz="8" w:space="0"/>
              <w:right w:val="single" w:color="auto" w:sz="8" w:space="0"/>
            </w:tcBorders>
            <w:noWrap/>
            <w:vAlign w:val="center"/>
          </w:tcPr>
          <w:p w14:paraId="0764E2A3">
            <w:r>
              <w:t>备份服务</w:t>
            </w:r>
          </w:p>
        </w:tc>
        <w:tc>
          <w:tcPr>
            <w:tcW w:w="6794" w:type="dxa"/>
            <w:tcBorders>
              <w:top w:val="nil"/>
              <w:left w:val="nil"/>
              <w:bottom w:val="single" w:color="auto" w:sz="8" w:space="0"/>
              <w:right w:val="single" w:color="auto" w:sz="8" w:space="0"/>
            </w:tcBorders>
            <w:vAlign w:val="center"/>
          </w:tcPr>
          <w:p w14:paraId="78EFF45D">
            <w:r>
              <w:t>提供基于磁盘数据块复制技术的整机一体化备份功能，可对物理机、虚拟机、云主机提供统一的灾备保护。整机保护内容包括主机的操作系统、应用系统、数据库、文件等，备份前无需了解主机业务系统类型、部署方法、业务系统间的数据交互机制、数据结构/逻辑关系和数据库的品牌/版本。</w:t>
            </w:r>
          </w:p>
        </w:tc>
      </w:tr>
      <w:tr w14:paraId="22428C9D">
        <w:tblPrEx>
          <w:tblCellMar>
            <w:top w:w="0" w:type="dxa"/>
            <w:left w:w="108" w:type="dxa"/>
            <w:bottom w:w="0" w:type="dxa"/>
            <w:right w:w="108" w:type="dxa"/>
          </w:tblCellMar>
        </w:tblPrEx>
        <w:trPr>
          <w:trHeight w:val="63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368F9204"/>
        </w:tc>
        <w:tc>
          <w:tcPr>
            <w:tcW w:w="1801" w:type="dxa"/>
            <w:vMerge w:val="continue"/>
            <w:tcBorders>
              <w:top w:val="nil"/>
              <w:left w:val="single" w:color="auto" w:sz="8" w:space="0"/>
              <w:bottom w:val="single" w:color="000000" w:sz="8" w:space="0"/>
              <w:right w:val="single" w:color="auto" w:sz="8" w:space="0"/>
            </w:tcBorders>
            <w:vAlign w:val="center"/>
          </w:tcPr>
          <w:p w14:paraId="1C2B7BE3"/>
        </w:tc>
        <w:tc>
          <w:tcPr>
            <w:tcW w:w="6794" w:type="dxa"/>
            <w:tcBorders>
              <w:top w:val="nil"/>
              <w:left w:val="nil"/>
              <w:bottom w:val="single" w:color="auto" w:sz="8" w:space="0"/>
              <w:right w:val="single" w:color="auto" w:sz="8" w:space="0"/>
            </w:tcBorders>
            <w:vAlign w:val="center"/>
          </w:tcPr>
          <w:p w14:paraId="4BA504E3">
            <w:r>
              <w:t>支持任意的分/时/天/月/年/仅备份一次等策略执行定时备份，操作简单，策略灵活（提供产品操作截图证明，并加盖原厂公章）。</w:t>
            </w:r>
          </w:p>
        </w:tc>
      </w:tr>
      <w:tr w14:paraId="4F697B48">
        <w:tblPrEx>
          <w:tblCellMar>
            <w:top w:w="0" w:type="dxa"/>
            <w:left w:w="108" w:type="dxa"/>
            <w:bottom w:w="0" w:type="dxa"/>
            <w:right w:w="108" w:type="dxa"/>
          </w:tblCellMar>
        </w:tblPrEx>
        <w:trPr>
          <w:trHeight w:val="638"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19264570">
            <w:r>
              <w:t>4</w:t>
            </w:r>
          </w:p>
        </w:tc>
        <w:tc>
          <w:tcPr>
            <w:tcW w:w="1801" w:type="dxa"/>
            <w:vMerge w:val="restart"/>
            <w:tcBorders>
              <w:top w:val="nil"/>
              <w:left w:val="single" w:color="auto" w:sz="8" w:space="0"/>
              <w:bottom w:val="single" w:color="000000" w:sz="8" w:space="0"/>
              <w:right w:val="single" w:color="auto" w:sz="8" w:space="0"/>
            </w:tcBorders>
            <w:noWrap/>
            <w:vAlign w:val="center"/>
          </w:tcPr>
          <w:p w14:paraId="67D9A057">
            <w:r>
              <w:t>永久增量</w:t>
            </w:r>
          </w:p>
        </w:tc>
        <w:tc>
          <w:tcPr>
            <w:tcW w:w="6794" w:type="dxa"/>
            <w:tcBorders>
              <w:top w:val="nil"/>
              <w:left w:val="nil"/>
              <w:bottom w:val="single" w:color="auto" w:sz="8" w:space="0"/>
              <w:right w:val="single" w:color="auto" w:sz="8" w:space="0"/>
            </w:tcBorders>
            <w:vAlign w:val="center"/>
          </w:tcPr>
          <w:p w14:paraId="262E4FAD">
            <w:r>
              <w:t>支持完整备份和增量备份，首次备份时使用完整备份保留整机应用的完整状态，后续所有备份均采用增量备份，大幅减少备份的数据量。</w:t>
            </w:r>
          </w:p>
        </w:tc>
      </w:tr>
      <w:tr w14:paraId="1A8B0799">
        <w:tblPrEx>
          <w:tblCellMar>
            <w:top w:w="0" w:type="dxa"/>
            <w:left w:w="108" w:type="dxa"/>
            <w:bottom w:w="0" w:type="dxa"/>
            <w:right w:w="108" w:type="dxa"/>
          </w:tblCellMar>
        </w:tblPrEx>
        <w:trPr>
          <w:trHeight w:val="126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62037C04"/>
        </w:tc>
        <w:tc>
          <w:tcPr>
            <w:tcW w:w="1801" w:type="dxa"/>
            <w:vMerge w:val="continue"/>
            <w:tcBorders>
              <w:top w:val="nil"/>
              <w:left w:val="single" w:color="auto" w:sz="8" w:space="0"/>
              <w:bottom w:val="single" w:color="000000" w:sz="8" w:space="0"/>
              <w:right w:val="single" w:color="auto" w:sz="8" w:space="0"/>
            </w:tcBorders>
            <w:vAlign w:val="center"/>
          </w:tcPr>
          <w:p w14:paraId="7CE10BD8"/>
        </w:tc>
        <w:tc>
          <w:tcPr>
            <w:tcW w:w="6794" w:type="dxa"/>
            <w:tcBorders>
              <w:top w:val="nil"/>
              <w:left w:val="nil"/>
              <w:bottom w:val="single" w:color="auto" w:sz="8" w:space="0"/>
              <w:right w:val="single" w:color="auto" w:sz="8" w:space="0"/>
            </w:tcBorders>
            <w:vAlign w:val="center"/>
          </w:tcPr>
          <w:p w14:paraId="24ADB273">
            <w:r>
              <w:t>支持合成备份，可按照策略设定数据保留时间，超时的增量备份副本将与全量备份副本进行自动合成，形成全新的全量备份副本。同时，每份增量副本均可进行容灾与恢复，中间备份副本的丢失或损坏不会影响后续的时间点恢复，提高数据的安全性。</w:t>
            </w:r>
          </w:p>
        </w:tc>
      </w:tr>
      <w:tr w14:paraId="126A0795">
        <w:tblPrEx>
          <w:tblCellMar>
            <w:top w:w="0" w:type="dxa"/>
            <w:left w:w="108" w:type="dxa"/>
            <w:bottom w:w="0" w:type="dxa"/>
            <w:right w:w="108" w:type="dxa"/>
          </w:tblCellMar>
        </w:tblPrEx>
        <w:trPr>
          <w:trHeight w:val="791"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74D20C15">
            <w:r>
              <w:t>5</w:t>
            </w:r>
          </w:p>
        </w:tc>
        <w:tc>
          <w:tcPr>
            <w:tcW w:w="1801" w:type="dxa"/>
            <w:vMerge w:val="restart"/>
            <w:tcBorders>
              <w:top w:val="nil"/>
              <w:left w:val="single" w:color="auto" w:sz="8" w:space="0"/>
              <w:bottom w:val="single" w:color="000000" w:sz="8" w:space="0"/>
              <w:right w:val="single" w:color="auto" w:sz="8" w:space="0"/>
            </w:tcBorders>
            <w:noWrap/>
            <w:vAlign w:val="center"/>
          </w:tcPr>
          <w:p w14:paraId="452B1CE6">
            <w:r>
              <w:t>数据库备份</w:t>
            </w:r>
          </w:p>
        </w:tc>
        <w:tc>
          <w:tcPr>
            <w:tcW w:w="6794" w:type="dxa"/>
            <w:tcBorders>
              <w:top w:val="nil"/>
              <w:left w:val="nil"/>
              <w:bottom w:val="single" w:color="auto" w:sz="8" w:space="0"/>
              <w:right w:val="single" w:color="auto" w:sz="8" w:space="0"/>
            </w:tcBorders>
            <w:vAlign w:val="center"/>
          </w:tcPr>
          <w:p w14:paraId="16973525">
            <w:r>
              <w:t>支持对Oracle、SQL sever、MySQL等主流数据库的在线保护，对系统、配置、日志及数据实现整体的定时备份，保证数据的完整性和一致性，无需掌握数据库的众多专业知识、RMAN命令、参数配置等内容，即可实现统一灾备管理，操作简单的特点。</w:t>
            </w:r>
          </w:p>
        </w:tc>
      </w:tr>
      <w:tr w14:paraId="11F43776">
        <w:tblPrEx>
          <w:tblCellMar>
            <w:top w:w="0" w:type="dxa"/>
            <w:left w:w="108" w:type="dxa"/>
            <w:bottom w:w="0" w:type="dxa"/>
            <w:right w:w="108" w:type="dxa"/>
          </w:tblCellMar>
        </w:tblPrEx>
        <w:trPr>
          <w:trHeight w:val="126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6736EDBC"/>
        </w:tc>
        <w:tc>
          <w:tcPr>
            <w:tcW w:w="1801" w:type="dxa"/>
            <w:vMerge w:val="continue"/>
            <w:tcBorders>
              <w:top w:val="nil"/>
              <w:left w:val="single" w:color="auto" w:sz="8" w:space="0"/>
              <w:bottom w:val="single" w:color="000000" w:sz="8" w:space="0"/>
              <w:right w:val="single" w:color="auto" w:sz="8" w:space="0"/>
            </w:tcBorders>
            <w:vAlign w:val="center"/>
          </w:tcPr>
          <w:p w14:paraId="5C2B8AEF"/>
        </w:tc>
        <w:tc>
          <w:tcPr>
            <w:tcW w:w="6794" w:type="dxa"/>
            <w:tcBorders>
              <w:top w:val="nil"/>
              <w:left w:val="nil"/>
              <w:bottom w:val="single" w:color="auto" w:sz="8" w:space="0"/>
              <w:right w:val="single" w:color="auto" w:sz="8" w:space="0"/>
            </w:tcBorders>
            <w:vAlign w:val="center"/>
          </w:tcPr>
          <w:p w14:paraId="0CCD76FF">
            <w:r>
              <w:t>支持对Oracle、SQL sever、MySQL等主流数据库的在线保护，支持恢复到异机、Oralce单机与Oralce RAC支持双向恢复。具备完整备份、增量备份、差异备份等多种备份类型，支持备份数据压缩去重，节省存储空间资源，降低存储成本；</w:t>
            </w:r>
          </w:p>
        </w:tc>
      </w:tr>
      <w:tr w14:paraId="38928A3E">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2F49B7AE">
            <w:r>
              <w:t>6</w:t>
            </w:r>
          </w:p>
        </w:tc>
        <w:tc>
          <w:tcPr>
            <w:tcW w:w="1801" w:type="dxa"/>
            <w:tcBorders>
              <w:top w:val="nil"/>
              <w:left w:val="nil"/>
              <w:bottom w:val="single" w:color="auto" w:sz="8" w:space="0"/>
              <w:right w:val="single" w:color="auto" w:sz="8" w:space="0"/>
            </w:tcBorders>
            <w:noWrap/>
            <w:vAlign w:val="center"/>
          </w:tcPr>
          <w:p w14:paraId="54C89F78">
            <w:r>
              <w:t>文件备份</w:t>
            </w:r>
          </w:p>
        </w:tc>
        <w:tc>
          <w:tcPr>
            <w:tcW w:w="6794" w:type="dxa"/>
            <w:tcBorders>
              <w:top w:val="nil"/>
              <w:left w:val="nil"/>
              <w:bottom w:val="single" w:color="auto" w:sz="8" w:space="0"/>
              <w:right w:val="single" w:color="auto" w:sz="8" w:space="0"/>
            </w:tcBorders>
            <w:vAlign w:val="center"/>
          </w:tcPr>
          <w:p w14:paraId="381BDA5D">
            <w:r>
              <w:t>支持 Unix、Windows、Linux 文件系统备份，可在同一文件备份作业中采用多通道并发备份，提高备份和恢复的速度。</w:t>
            </w:r>
          </w:p>
        </w:tc>
      </w:tr>
      <w:tr w14:paraId="625CC56C">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137BEA0C">
            <w:r>
              <w:t>7</w:t>
            </w:r>
          </w:p>
        </w:tc>
        <w:tc>
          <w:tcPr>
            <w:tcW w:w="1801" w:type="dxa"/>
            <w:tcBorders>
              <w:top w:val="nil"/>
              <w:left w:val="nil"/>
              <w:bottom w:val="single" w:color="auto" w:sz="8" w:space="0"/>
              <w:right w:val="single" w:color="auto" w:sz="8" w:space="0"/>
            </w:tcBorders>
            <w:noWrap/>
            <w:vAlign w:val="center"/>
          </w:tcPr>
          <w:p w14:paraId="226A33A8">
            <w:r>
              <w:t>备份速度</w:t>
            </w:r>
          </w:p>
        </w:tc>
        <w:tc>
          <w:tcPr>
            <w:tcW w:w="6794" w:type="dxa"/>
            <w:tcBorders>
              <w:top w:val="nil"/>
              <w:left w:val="nil"/>
              <w:bottom w:val="single" w:color="auto" w:sz="8" w:space="0"/>
              <w:right w:val="single" w:color="auto" w:sz="8" w:space="0"/>
            </w:tcBorders>
            <w:vAlign w:val="center"/>
          </w:tcPr>
          <w:p w14:paraId="2AE1AEFE">
            <w:r>
              <w:t>支持基于数据块复制的备份能力，无需对数据类型、逻辑以及关联性解析，可实现千兆网络环境下平均备份速度140MB/s，万兆网络平均备份速度1100MB/s;</w:t>
            </w:r>
          </w:p>
        </w:tc>
      </w:tr>
      <w:tr w14:paraId="2682276C">
        <w:tblPrEx>
          <w:tblCellMar>
            <w:top w:w="0" w:type="dxa"/>
            <w:left w:w="108" w:type="dxa"/>
            <w:bottom w:w="0" w:type="dxa"/>
            <w:right w:w="108" w:type="dxa"/>
          </w:tblCellMar>
        </w:tblPrEx>
        <w:trPr>
          <w:trHeight w:val="638"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45280B08">
            <w:r>
              <w:t>8</w:t>
            </w:r>
          </w:p>
        </w:tc>
        <w:tc>
          <w:tcPr>
            <w:tcW w:w="1801" w:type="dxa"/>
            <w:vMerge w:val="restart"/>
            <w:tcBorders>
              <w:top w:val="nil"/>
              <w:left w:val="single" w:color="auto" w:sz="8" w:space="0"/>
              <w:bottom w:val="single" w:color="000000" w:sz="8" w:space="0"/>
              <w:right w:val="single" w:color="auto" w:sz="8" w:space="0"/>
            </w:tcBorders>
            <w:noWrap/>
            <w:vAlign w:val="center"/>
          </w:tcPr>
          <w:p w14:paraId="1EB40AC5">
            <w:r>
              <w:t>备份限速</w:t>
            </w:r>
          </w:p>
        </w:tc>
        <w:tc>
          <w:tcPr>
            <w:tcW w:w="6794" w:type="dxa"/>
            <w:tcBorders>
              <w:top w:val="nil"/>
              <w:left w:val="nil"/>
              <w:bottom w:val="single" w:color="auto" w:sz="8" w:space="0"/>
              <w:right w:val="single" w:color="auto" w:sz="8" w:space="0"/>
            </w:tcBorders>
            <w:vAlign w:val="center"/>
          </w:tcPr>
          <w:p w14:paraId="6931F625">
            <w:r>
              <w:t>支持备份时通过灾备系统进行网络带宽占用限速，以确保备份时对生产的网络影响小并且在可控范围内；</w:t>
            </w:r>
          </w:p>
        </w:tc>
      </w:tr>
      <w:tr w14:paraId="0EF4BE7C">
        <w:tblPrEx>
          <w:tblCellMar>
            <w:top w:w="0" w:type="dxa"/>
            <w:left w:w="108" w:type="dxa"/>
            <w:bottom w:w="0" w:type="dxa"/>
            <w:right w:w="108" w:type="dxa"/>
          </w:tblCellMar>
        </w:tblPrEx>
        <w:trPr>
          <w:trHeight w:val="63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79C5CD74"/>
        </w:tc>
        <w:tc>
          <w:tcPr>
            <w:tcW w:w="1801" w:type="dxa"/>
            <w:vMerge w:val="continue"/>
            <w:tcBorders>
              <w:top w:val="nil"/>
              <w:left w:val="single" w:color="auto" w:sz="8" w:space="0"/>
              <w:bottom w:val="single" w:color="000000" w:sz="8" w:space="0"/>
              <w:right w:val="single" w:color="auto" w:sz="8" w:space="0"/>
            </w:tcBorders>
            <w:vAlign w:val="center"/>
          </w:tcPr>
          <w:p w14:paraId="090C9CAA"/>
        </w:tc>
        <w:tc>
          <w:tcPr>
            <w:tcW w:w="6794" w:type="dxa"/>
            <w:tcBorders>
              <w:top w:val="nil"/>
              <w:left w:val="nil"/>
              <w:bottom w:val="single" w:color="auto" w:sz="8" w:space="0"/>
              <w:right w:val="single" w:color="auto" w:sz="8" w:space="0"/>
            </w:tcBorders>
            <w:vAlign w:val="center"/>
          </w:tcPr>
          <w:p w14:paraId="35139073">
            <w:r>
              <w:t>支持备份时通过灾备系统进行源机磁盘IO读写占用进行限速，限制客户端对源机磁盘IO读取性能，以确保备份时对生产主机的影响小并且在可控范围内；</w:t>
            </w:r>
          </w:p>
        </w:tc>
      </w:tr>
      <w:tr w14:paraId="42323F4D">
        <w:tblPrEx>
          <w:tblCellMar>
            <w:top w:w="0" w:type="dxa"/>
            <w:left w:w="108" w:type="dxa"/>
            <w:bottom w:w="0" w:type="dxa"/>
            <w:right w:w="108" w:type="dxa"/>
          </w:tblCellMar>
        </w:tblPrEx>
        <w:trPr>
          <w:trHeight w:val="323"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064BCCFE">
            <w:r>
              <w:t>9</w:t>
            </w:r>
          </w:p>
        </w:tc>
        <w:tc>
          <w:tcPr>
            <w:tcW w:w="1801" w:type="dxa"/>
            <w:vMerge w:val="restart"/>
            <w:tcBorders>
              <w:top w:val="nil"/>
              <w:left w:val="single" w:color="auto" w:sz="8" w:space="0"/>
              <w:bottom w:val="single" w:color="000000" w:sz="8" w:space="0"/>
              <w:right w:val="single" w:color="auto" w:sz="8" w:space="0"/>
            </w:tcBorders>
            <w:noWrap/>
            <w:vAlign w:val="center"/>
          </w:tcPr>
          <w:p w14:paraId="503C8F8D">
            <w:r>
              <w:t>备份兼容性</w:t>
            </w:r>
          </w:p>
        </w:tc>
        <w:tc>
          <w:tcPr>
            <w:tcW w:w="6794" w:type="dxa"/>
            <w:tcBorders>
              <w:top w:val="nil"/>
              <w:left w:val="nil"/>
              <w:bottom w:val="single" w:color="auto" w:sz="8" w:space="0"/>
              <w:right w:val="single" w:color="auto" w:sz="8" w:space="0"/>
            </w:tcBorders>
            <w:vAlign w:val="center"/>
          </w:tcPr>
          <w:p w14:paraId="794E68C7">
            <w:r>
              <w:t>提供对主流服务器的灾备保护功能，提供对主流操作系统的灾备保护功能；</w:t>
            </w:r>
          </w:p>
        </w:tc>
      </w:tr>
      <w:tr w14:paraId="6C57F65E">
        <w:tblPrEx>
          <w:tblCellMar>
            <w:top w:w="0" w:type="dxa"/>
            <w:left w:w="108" w:type="dxa"/>
            <w:bottom w:w="0" w:type="dxa"/>
            <w:right w:w="108" w:type="dxa"/>
          </w:tblCellMar>
        </w:tblPrEx>
        <w:trPr>
          <w:trHeight w:val="95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57CEE5EE"/>
        </w:tc>
        <w:tc>
          <w:tcPr>
            <w:tcW w:w="1801" w:type="dxa"/>
            <w:vMerge w:val="continue"/>
            <w:tcBorders>
              <w:top w:val="nil"/>
              <w:left w:val="single" w:color="auto" w:sz="8" w:space="0"/>
              <w:bottom w:val="single" w:color="000000" w:sz="8" w:space="0"/>
              <w:right w:val="single" w:color="auto" w:sz="8" w:space="0"/>
            </w:tcBorders>
            <w:vAlign w:val="center"/>
          </w:tcPr>
          <w:p w14:paraId="56F093F6"/>
        </w:tc>
        <w:tc>
          <w:tcPr>
            <w:tcW w:w="6794" w:type="dxa"/>
            <w:tcBorders>
              <w:top w:val="nil"/>
              <w:left w:val="nil"/>
              <w:bottom w:val="single" w:color="auto" w:sz="8" w:space="0"/>
              <w:right w:val="single" w:color="auto" w:sz="8" w:space="0"/>
            </w:tcBorders>
            <w:vAlign w:val="center"/>
          </w:tcPr>
          <w:p w14:paraId="6A8D4C63">
            <w:r>
              <w:t>支持主流数据库系统、配置、日志及数据实现整体、一致的定时，保证数据的完整性和一致性，无需掌握数据库的众多专业知识、RMAN命令、各种参数配置等，即可实现统一灾备管理，操作简单的特点；</w:t>
            </w:r>
          </w:p>
        </w:tc>
      </w:tr>
      <w:tr w14:paraId="76D84F5B">
        <w:tblPrEx>
          <w:tblCellMar>
            <w:top w:w="0" w:type="dxa"/>
            <w:left w:w="108" w:type="dxa"/>
            <w:bottom w:w="0" w:type="dxa"/>
            <w:right w:w="108" w:type="dxa"/>
          </w:tblCellMar>
        </w:tblPrEx>
        <w:trPr>
          <w:trHeight w:val="953"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4440BC49">
            <w:r>
              <w:rPr>
                <w:rFonts w:hint="eastAsia"/>
              </w:rPr>
              <w:t>1</w:t>
            </w:r>
            <w:r>
              <w:t>0</w:t>
            </w:r>
          </w:p>
        </w:tc>
        <w:tc>
          <w:tcPr>
            <w:tcW w:w="1801" w:type="dxa"/>
            <w:vMerge w:val="restart"/>
            <w:tcBorders>
              <w:top w:val="nil"/>
              <w:left w:val="single" w:color="auto" w:sz="8" w:space="0"/>
              <w:bottom w:val="single" w:color="000000" w:sz="8" w:space="0"/>
              <w:right w:val="single" w:color="auto" w:sz="8" w:space="0"/>
            </w:tcBorders>
            <w:noWrap/>
            <w:vAlign w:val="center"/>
          </w:tcPr>
          <w:p w14:paraId="3FFE2D2D">
            <w:r>
              <w:t>数据归档</w:t>
            </w:r>
          </w:p>
        </w:tc>
        <w:tc>
          <w:tcPr>
            <w:tcW w:w="6794" w:type="dxa"/>
            <w:tcBorders>
              <w:top w:val="nil"/>
              <w:left w:val="nil"/>
              <w:bottom w:val="single" w:color="auto" w:sz="8" w:space="0"/>
              <w:right w:val="single" w:color="auto" w:sz="8" w:space="0"/>
            </w:tcBorders>
            <w:vAlign w:val="center"/>
          </w:tcPr>
          <w:p w14:paraId="02E99A43">
            <w:r>
              <w:t>支持离线备份功能，将第三方存储设备或磁带设备识别为裸设备，直接将备份副本归档至裸设备上，实现数据永久性保留，满足信息化业务系统离线备份归档需求（提供产品操作截图证明，并加盖原厂公章）。</w:t>
            </w:r>
          </w:p>
        </w:tc>
      </w:tr>
      <w:tr w14:paraId="297A9E76">
        <w:tblPrEx>
          <w:tblCellMar>
            <w:top w:w="0" w:type="dxa"/>
            <w:left w:w="108" w:type="dxa"/>
            <w:bottom w:w="0" w:type="dxa"/>
            <w:right w:w="108" w:type="dxa"/>
          </w:tblCellMar>
        </w:tblPrEx>
        <w:trPr>
          <w:trHeight w:val="63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541132D9"/>
        </w:tc>
        <w:tc>
          <w:tcPr>
            <w:tcW w:w="1801" w:type="dxa"/>
            <w:vMerge w:val="continue"/>
            <w:tcBorders>
              <w:top w:val="nil"/>
              <w:left w:val="single" w:color="auto" w:sz="8" w:space="0"/>
              <w:bottom w:val="single" w:color="000000" w:sz="8" w:space="0"/>
              <w:right w:val="single" w:color="auto" w:sz="8" w:space="0"/>
            </w:tcBorders>
            <w:vAlign w:val="center"/>
          </w:tcPr>
          <w:p w14:paraId="45910810"/>
        </w:tc>
        <w:tc>
          <w:tcPr>
            <w:tcW w:w="6794" w:type="dxa"/>
            <w:tcBorders>
              <w:top w:val="nil"/>
              <w:left w:val="nil"/>
              <w:bottom w:val="single" w:color="auto" w:sz="8" w:space="0"/>
              <w:right w:val="single" w:color="auto" w:sz="8" w:space="0"/>
            </w:tcBorders>
            <w:vAlign w:val="center"/>
          </w:tcPr>
          <w:p w14:paraId="2E642F6B">
            <w:r>
              <w:t>当灾备系统中的此备份副本被删除后，需要查看或还原此备份副本时，可以将归档的备份副本导入灾备系统。</w:t>
            </w:r>
          </w:p>
        </w:tc>
      </w:tr>
      <w:tr w14:paraId="7294FE12">
        <w:tblPrEx>
          <w:tblCellMar>
            <w:top w:w="0" w:type="dxa"/>
            <w:left w:w="108" w:type="dxa"/>
            <w:bottom w:w="0" w:type="dxa"/>
            <w:right w:w="108" w:type="dxa"/>
          </w:tblCellMar>
        </w:tblPrEx>
        <w:trPr>
          <w:trHeight w:val="323" w:hRule="atLeast"/>
          <w:jc w:val="center"/>
        </w:trPr>
        <w:tc>
          <w:tcPr>
            <w:tcW w:w="457" w:type="dxa"/>
            <w:tcBorders>
              <w:top w:val="nil"/>
              <w:left w:val="single" w:color="auto" w:sz="8" w:space="0"/>
              <w:bottom w:val="single" w:color="auto" w:sz="8" w:space="0"/>
              <w:right w:val="single" w:color="auto" w:sz="8" w:space="0"/>
            </w:tcBorders>
            <w:vAlign w:val="center"/>
          </w:tcPr>
          <w:p w14:paraId="29C803AD">
            <w:r>
              <w:rPr>
                <w:rFonts w:hint="eastAsia"/>
              </w:rPr>
              <w:t>1</w:t>
            </w:r>
            <w:r>
              <w:t>1</w:t>
            </w:r>
          </w:p>
        </w:tc>
        <w:tc>
          <w:tcPr>
            <w:tcW w:w="1801" w:type="dxa"/>
            <w:tcBorders>
              <w:top w:val="nil"/>
              <w:left w:val="nil"/>
              <w:bottom w:val="single" w:color="auto" w:sz="8" w:space="0"/>
              <w:right w:val="single" w:color="auto" w:sz="8" w:space="0"/>
            </w:tcBorders>
            <w:noWrap/>
            <w:vAlign w:val="center"/>
          </w:tcPr>
          <w:p w14:paraId="54B43859">
            <w:r>
              <w:t>文件验证</w:t>
            </w:r>
          </w:p>
        </w:tc>
        <w:tc>
          <w:tcPr>
            <w:tcW w:w="6794" w:type="dxa"/>
            <w:tcBorders>
              <w:top w:val="nil"/>
              <w:left w:val="nil"/>
              <w:bottom w:val="single" w:color="auto" w:sz="8" w:space="0"/>
              <w:right w:val="single" w:color="auto" w:sz="8" w:space="0"/>
            </w:tcBorders>
            <w:vAlign w:val="center"/>
          </w:tcPr>
          <w:p w14:paraId="76FA8752">
            <w:r>
              <w:t>为验证备份文件的有效性，要求具备极简的文件验证功能。支持将备份副本加载为CIFS文件共享和网络共享路径，可直接在WEB浏览器中进行URL访问，快速查看备份副本的文件信息、目录信息。</w:t>
            </w:r>
          </w:p>
        </w:tc>
      </w:tr>
      <w:tr w14:paraId="22186F14">
        <w:tblPrEx>
          <w:tblCellMar>
            <w:top w:w="0" w:type="dxa"/>
            <w:left w:w="108" w:type="dxa"/>
            <w:bottom w:w="0" w:type="dxa"/>
            <w:right w:w="108" w:type="dxa"/>
          </w:tblCellMar>
        </w:tblPrEx>
        <w:trPr>
          <w:trHeight w:val="1268"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3AA479A2">
            <w:r>
              <w:rPr>
                <w:rFonts w:hint="eastAsia"/>
              </w:rPr>
              <w:t>1</w:t>
            </w:r>
            <w:r>
              <w:t>2</w:t>
            </w:r>
          </w:p>
        </w:tc>
        <w:tc>
          <w:tcPr>
            <w:tcW w:w="1801" w:type="dxa"/>
            <w:vMerge w:val="restart"/>
            <w:tcBorders>
              <w:top w:val="nil"/>
              <w:left w:val="single" w:color="auto" w:sz="8" w:space="0"/>
              <w:bottom w:val="single" w:color="000000" w:sz="8" w:space="0"/>
              <w:right w:val="single" w:color="auto" w:sz="8" w:space="0"/>
            </w:tcBorders>
            <w:noWrap/>
            <w:vAlign w:val="center"/>
          </w:tcPr>
          <w:p w14:paraId="69C561AF">
            <w:r>
              <w:t>快速验证</w:t>
            </w:r>
          </w:p>
        </w:tc>
        <w:tc>
          <w:tcPr>
            <w:tcW w:w="6794" w:type="dxa"/>
            <w:tcBorders>
              <w:top w:val="nil"/>
              <w:left w:val="nil"/>
              <w:bottom w:val="single" w:color="auto" w:sz="8" w:space="0"/>
              <w:right w:val="single" w:color="auto" w:sz="8" w:space="0"/>
            </w:tcBorders>
            <w:vAlign w:val="center"/>
          </w:tcPr>
          <w:p w14:paraId="1B779122">
            <w:r>
              <w:t>支持数据和业务的即时验证，无需准备第三方挂载环境，无需恢复数据，直接将备份副本拉起为运行在灾备系统上的验证虚拟机，即时验证备份数据的完整性、一致性和业务应用的可用性。（提供产品操作截图证明，并加盖原厂公章）</w:t>
            </w:r>
          </w:p>
        </w:tc>
      </w:tr>
      <w:tr w14:paraId="4EAECE44">
        <w:tblPrEx>
          <w:tblCellMar>
            <w:top w:w="0" w:type="dxa"/>
            <w:left w:w="108" w:type="dxa"/>
            <w:bottom w:w="0" w:type="dxa"/>
            <w:right w:w="108" w:type="dxa"/>
          </w:tblCellMar>
        </w:tblPrEx>
        <w:trPr>
          <w:trHeight w:val="126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0341993E"/>
        </w:tc>
        <w:tc>
          <w:tcPr>
            <w:tcW w:w="1801" w:type="dxa"/>
            <w:vMerge w:val="continue"/>
            <w:tcBorders>
              <w:top w:val="nil"/>
              <w:left w:val="single" w:color="auto" w:sz="8" w:space="0"/>
              <w:bottom w:val="single" w:color="000000" w:sz="8" w:space="0"/>
              <w:right w:val="single" w:color="auto" w:sz="8" w:space="0"/>
            </w:tcBorders>
            <w:vAlign w:val="center"/>
          </w:tcPr>
          <w:p w14:paraId="448F702D"/>
        </w:tc>
        <w:tc>
          <w:tcPr>
            <w:tcW w:w="6794" w:type="dxa"/>
            <w:tcBorders>
              <w:top w:val="nil"/>
              <w:left w:val="nil"/>
              <w:bottom w:val="single" w:color="auto" w:sz="8" w:space="0"/>
              <w:right w:val="single" w:color="auto" w:sz="8" w:space="0"/>
            </w:tcBorders>
            <w:vAlign w:val="center"/>
          </w:tcPr>
          <w:p w14:paraId="29491263">
            <w:r>
              <w:t>需支持同时对一个备份点自动化构建多个虚拟化验证主机用于验证，也可基于多个备份点按照同一时间构建多个虚拟机用于验证，以保证备份数据的完整性以及快速的找到可用于恢复的备份点。（提供产品操作截图证明，并加盖原厂公章）</w:t>
            </w:r>
          </w:p>
        </w:tc>
      </w:tr>
      <w:tr w14:paraId="57CE6BC5">
        <w:tblPrEx>
          <w:tblCellMar>
            <w:top w:w="0" w:type="dxa"/>
            <w:left w:w="108" w:type="dxa"/>
            <w:bottom w:w="0" w:type="dxa"/>
            <w:right w:w="108" w:type="dxa"/>
          </w:tblCellMar>
        </w:tblPrEx>
        <w:trPr>
          <w:trHeight w:val="953" w:hRule="atLeast"/>
          <w:jc w:val="center"/>
        </w:trPr>
        <w:tc>
          <w:tcPr>
            <w:tcW w:w="457" w:type="dxa"/>
            <w:vMerge w:val="restart"/>
            <w:tcBorders>
              <w:top w:val="nil"/>
              <w:left w:val="single" w:color="auto" w:sz="8" w:space="0"/>
              <w:bottom w:val="single" w:color="000000" w:sz="8" w:space="0"/>
              <w:right w:val="single" w:color="auto" w:sz="8" w:space="0"/>
            </w:tcBorders>
            <w:vAlign w:val="center"/>
          </w:tcPr>
          <w:p w14:paraId="7869EE63">
            <w:r>
              <w:rPr>
                <w:rFonts w:hint="eastAsia"/>
              </w:rPr>
              <w:t>1</w:t>
            </w:r>
            <w:r>
              <w:t>3</w:t>
            </w:r>
          </w:p>
        </w:tc>
        <w:tc>
          <w:tcPr>
            <w:tcW w:w="1801" w:type="dxa"/>
            <w:vMerge w:val="restart"/>
            <w:tcBorders>
              <w:top w:val="nil"/>
              <w:left w:val="single" w:color="auto" w:sz="8" w:space="0"/>
              <w:bottom w:val="single" w:color="000000" w:sz="8" w:space="0"/>
              <w:right w:val="single" w:color="auto" w:sz="8" w:space="0"/>
            </w:tcBorders>
            <w:noWrap/>
            <w:vAlign w:val="center"/>
          </w:tcPr>
          <w:p w14:paraId="4F8097AE">
            <w:r>
              <w:t>应急接管容灾</w:t>
            </w:r>
          </w:p>
        </w:tc>
        <w:tc>
          <w:tcPr>
            <w:tcW w:w="6794" w:type="dxa"/>
            <w:tcBorders>
              <w:top w:val="nil"/>
              <w:left w:val="nil"/>
              <w:bottom w:val="single" w:color="auto" w:sz="8" w:space="0"/>
              <w:right w:val="single" w:color="auto" w:sz="8" w:space="0"/>
            </w:tcBorders>
            <w:vAlign w:val="center"/>
          </w:tcPr>
          <w:p w14:paraId="41459884">
            <w:r>
              <w:t>具备源机故障时的接管容灾能力，无需集成、配置第三方虚拟化平台，无需恢复数据，直接将备份副本拉起为运行在灾备系统上的容灾虚拟机以接管源机业务。（提供产品操作截图证明，并加盖原厂公章）</w:t>
            </w:r>
          </w:p>
        </w:tc>
      </w:tr>
      <w:tr w14:paraId="119E3D47">
        <w:tblPrEx>
          <w:tblCellMar>
            <w:top w:w="0" w:type="dxa"/>
            <w:left w:w="108" w:type="dxa"/>
            <w:bottom w:w="0" w:type="dxa"/>
            <w:right w:w="108" w:type="dxa"/>
          </w:tblCellMar>
        </w:tblPrEx>
        <w:trPr>
          <w:trHeight w:val="158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30CDF7AE"/>
        </w:tc>
        <w:tc>
          <w:tcPr>
            <w:tcW w:w="1801" w:type="dxa"/>
            <w:vMerge w:val="continue"/>
            <w:tcBorders>
              <w:top w:val="nil"/>
              <w:left w:val="single" w:color="auto" w:sz="8" w:space="0"/>
              <w:bottom w:val="single" w:color="000000" w:sz="8" w:space="0"/>
              <w:right w:val="single" w:color="auto" w:sz="8" w:space="0"/>
            </w:tcBorders>
            <w:vAlign w:val="center"/>
          </w:tcPr>
          <w:p w14:paraId="33382065"/>
        </w:tc>
        <w:tc>
          <w:tcPr>
            <w:tcW w:w="6794" w:type="dxa"/>
            <w:tcBorders>
              <w:top w:val="nil"/>
              <w:left w:val="nil"/>
              <w:bottom w:val="single" w:color="auto" w:sz="8" w:space="0"/>
              <w:right w:val="single" w:color="auto" w:sz="8" w:space="0"/>
            </w:tcBorders>
            <w:vAlign w:val="center"/>
          </w:tcPr>
          <w:p w14:paraId="278CA752">
            <w:r>
              <w:t>应急接管容灾时，需支持同时对一个备份点自动化构建多个不同配置（内存大小、CPU个数、IP地址等）的虚拟化容灾主机，也可基于多个备份点按照同一时间构建多个虚拟机用于容灾，以便选择最佳时间点的备份副本，满足对副本使用、灾难应急等不同功能、性能需求。</w:t>
            </w:r>
          </w:p>
        </w:tc>
      </w:tr>
      <w:tr w14:paraId="27D9BB5A">
        <w:tblPrEx>
          <w:tblCellMar>
            <w:top w:w="0" w:type="dxa"/>
            <w:left w:w="108" w:type="dxa"/>
            <w:bottom w:w="0" w:type="dxa"/>
            <w:right w:w="108" w:type="dxa"/>
          </w:tblCellMar>
        </w:tblPrEx>
        <w:trPr>
          <w:trHeight w:val="95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023CC405"/>
        </w:tc>
        <w:tc>
          <w:tcPr>
            <w:tcW w:w="1801" w:type="dxa"/>
            <w:vMerge w:val="continue"/>
            <w:tcBorders>
              <w:top w:val="nil"/>
              <w:left w:val="single" w:color="auto" w:sz="8" w:space="0"/>
              <w:bottom w:val="single" w:color="000000" w:sz="8" w:space="0"/>
              <w:right w:val="single" w:color="auto" w:sz="8" w:space="0"/>
            </w:tcBorders>
            <w:vAlign w:val="center"/>
          </w:tcPr>
          <w:p w14:paraId="73E63784"/>
        </w:tc>
        <w:tc>
          <w:tcPr>
            <w:tcW w:w="6794" w:type="dxa"/>
            <w:tcBorders>
              <w:top w:val="nil"/>
              <w:left w:val="nil"/>
              <w:bottom w:val="single" w:color="auto" w:sz="8" w:space="0"/>
              <w:right w:val="single" w:color="auto" w:sz="8" w:space="0"/>
            </w:tcBorders>
            <w:vAlign w:val="center"/>
          </w:tcPr>
          <w:p w14:paraId="43EC3E08">
            <w:r>
              <w:t>为保护应急接管时的新增数据，要求支持对应急接管主机执行即刻开始的增量CDP持续数据保护，应急接管新增的数据会形成备份点可用于灾难恢复。</w:t>
            </w:r>
          </w:p>
        </w:tc>
      </w:tr>
      <w:tr w14:paraId="240B2F15">
        <w:tblPrEx>
          <w:tblCellMar>
            <w:top w:w="0" w:type="dxa"/>
            <w:left w:w="108" w:type="dxa"/>
            <w:bottom w:w="0" w:type="dxa"/>
            <w:right w:w="108" w:type="dxa"/>
          </w:tblCellMar>
        </w:tblPrEx>
        <w:trPr>
          <w:trHeight w:val="638"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36672CA7"/>
        </w:tc>
        <w:tc>
          <w:tcPr>
            <w:tcW w:w="1801" w:type="dxa"/>
            <w:vMerge w:val="continue"/>
            <w:tcBorders>
              <w:top w:val="nil"/>
              <w:left w:val="single" w:color="auto" w:sz="8" w:space="0"/>
              <w:bottom w:val="single" w:color="000000" w:sz="8" w:space="0"/>
              <w:right w:val="single" w:color="auto" w:sz="8" w:space="0"/>
            </w:tcBorders>
            <w:vAlign w:val="center"/>
          </w:tcPr>
          <w:p w14:paraId="58E344BD"/>
        </w:tc>
        <w:tc>
          <w:tcPr>
            <w:tcW w:w="6794" w:type="dxa"/>
            <w:tcBorders>
              <w:top w:val="nil"/>
              <w:left w:val="nil"/>
              <w:bottom w:val="single" w:color="auto" w:sz="8" w:space="0"/>
              <w:right w:val="single" w:color="auto" w:sz="8" w:space="0"/>
            </w:tcBorders>
            <w:vAlign w:val="center"/>
          </w:tcPr>
          <w:p w14:paraId="609937E9">
            <w:r>
              <w:t>支持为我院基于共享存储的集群数据库和应用（例如Oracle RAC）提供应急接管，自动化配置集群网卡、聚合网卡等参数</w:t>
            </w:r>
          </w:p>
        </w:tc>
      </w:tr>
      <w:tr w14:paraId="3107462F">
        <w:tblPrEx>
          <w:tblCellMar>
            <w:top w:w="0" w:type="dxa"/>
            <w:left w:w="108" w:type="dxa"/>
            <w:bottom w:w="0" w:type="dxa"/>
            <w:right w:w="108" w:type="dxa"/>
          </w:tblCellMar>
        </w:tblPrEx>
        <w:trPr>
          <w:trHeight w:val="953" w:hRule="atLeast"/>
          <w:jc w:val="center"/>
        </w:trPr>
        <w:tc>
          <w:tcPr>
            <w:tcW w:w="457" w:type="dxa"/>
            <w:vMerge w:val="continue"/>
            <w:tcBorders>
              <w:top w:val="nil"/>
              <w:left w:val="single" w:color="auto" w:sz="8" w:space="0"/>
              <w:bottom w:val="single" w:color="000000" w:sz="8" w:space="0"/>
              <w:right w:val="single" w:color="auto" w:sz="8" w:space="0"/>
            </w:tcBorders>
            <w:vAlign w:val="center"/>
          </w:tcPr>
          <w:p w14:paraId="76EC8FC9"/>
        </w:tc>
        <w:tc>
          <w:tcPr>
            <w:tcW w:w="1801" w:type="dxa"/>
            <w:vMerge w:val="continue"/>
            <w:tcBorders>
              <w:top w:val="nil"/>
              <w:left w:val="single" w:color="auto" w:sz="8" w:space="0"/>
              <w:bottom w:val="single" w:color="000000" w:sz="8" w:space="0"/>
              <w:right w:val="single" w:color="auto" w:sz="8" w:space="0"/>
            </w:tcBorders>
            <w:vAlign w:val="center"/>
          </w:tcPr>
          <w:p w14:paraId="6C989DC0"/>
        </w:tc>
        <w:tc>
          <w:tcPr>
            <w:tcW w:w="6794" w:type="dxa"/>
            <w:tcBorders>
              <w:top w:val="nil"/>
              <w:left w:val="nil"/>
              <w:bottom w:val="single" w:color="auto" w:sz="8" w:space="0"/>
              <w:right w:val="single" w:color="auto" w:sz="8" w:space="0"/>
            </w:tcBorders>
            <w:vAlign w:val="center"/>
          </w:tcPr>
          <w:p w14:paraId="2105DCF4">
            <w:r>
              <w:t xml:space="preserve">应急容灾时，可同时配置将容灾主机整机回迁至原生产环境的相关参数，应急容灾期间整机包含新增数据的无缝回迁至生产环境主机，应急容灾结束后择机可秒级回切至生产环境。 </w:t>
            </w:r>
          </w:p>
        </w:tc>
      </w:tr>
      <w:tr w14:paraId="65BBEE98">
        <w:tblPrEx>
          <w:tblCellMar>
            <w:top w:w="0" w:type="dxa"/>
            <w:left w:w="108" w:type="dxa"/>
            <w:bottom w:w="0" w:type="dxa"/>
            <w:right w:w="108" w:type="dxa"/>
          </w:tblCellMar>
        </w:tblPrEx>
        <w:trPr>
          <w:trHeight w:val="1268" w:hRule="atLeast"/>
          <w:jc w:val="center"/>
        </w:trPr>
        <w:tc>
          <w:tcPr>
            <w:tcW w:w="457" w:type="dxa"/>
            <w:tcBorders>
              <w:top w:val="nil"/>
              <w:left w:val="single" w:color="auto" w:sz="8" w:space="0"/>
              <w:bottom w:val="single" w:color="auto" w:sz="8" w:space="0"/>
              <w:right w:val="single" w:color="auto" w:sz="8" w:space="0"/>
            </w:tcBorders>
            <w:vAlign w:val="center"/>
          </w:tcPr>
          <w:p w14:paraId="1D58FF7D">
            <w:r>
              <w:rPr>
                <w:rFonts w:hint="eastAsia"/>
              </w:rPr>
              <w:t>1</w:t>
            </w:r>
            <w:r>
              <w:t>4</w:t>
            </w:r>
          </w:p>
        </w:tc>
        <w:tc>
          <w:tcPr>
            <w:tcW w:w="1801" w:type="dxa"/>
            <w:tcBorders>
              <w:top w:val="nil"/>
              <w:left w:val="nil"/>
              <w:bottom w:val="single" w:color="auto" w:sz="8" w:space="0"/>
              <w:right w:val="single" w:color="auto" w:sz="8" w:space="0"/>
            </w:tcBorders>
            <w:noWrap/>
            <w:vAlign w:val="center"/>
          </w:tcPr>
          <w:p w14:paraId="1DB6FB65">
            <w:r>
              <w:t>全场景重建恢复</w:t>
            </w:r>
          </w:p>
        </w:tc>
        <w:tc>
          <w:tcPr>
            <w:tcW w:w="6794" w:type="dxa"/>
            <w:tcBorders>
              <w:top w:val="nil"/>
              <w:left w:val="nil"/>
              <w:bottom w:val="single" w:color="auto" w:sz="8" w:space="0"/>
              <w:right w:val="single" w:color="auto" w:sz="8" w:space="0"/>
            </w:tcBorders>
            <w:vAlign w:val="center"/>
          </w:tcPr>
          <w:p w14:paraId="21C6BE46">
            <w:r>
              <w:t>业务恢复时无需预先配置恢复目标端环境（包括操作系统、应用、数据库等），在千兆网络环境下都可将任意数据量的备份副本在0.25小时内快速重建至目标主机，以非存储挂载的方式实现业务服务的迅速恢复。</w:t>
            </w:r>
          </w:p>
        </w:tc>
      </w:tr>
      <w:tr w14:paraId="67CAC438">
        <w:tblPrEx>
          <w:tblCellMar>
            <w:top w:w="0" w:type="dxa"/>
            <w:left w:w="108" w:type="dxa"/>
            <w:bottom w:w="0" w:type="dxa"/>
            <w:right w:w="108" w:type="dxa"/>
          </w:tblCellMar>
        </w:tblPrEx>
        <w:trPr>
          <w:trHeight w:val="953" w:hRule="atLeast"/>
          <w:jc w:val="center"/>
        </w:trPr>
        <w:tc>
          <w:tcPr>
            <w:tcW w:w="457" w:type="dxa"/>
            <w:tcBorders>
              <w:top w:val="nil"/>
              <w:left w:val="single" w:color="auto" w:sz="8" w:space="0"/>
              <w:bottom w:val="single" w:color="auto" w:sz="8" w:space="0"/>
              <w:right w:val="single" w:color="auto" w:sz="8" w:space="0"/>
            </w:tcBorders>
            <w:vAlign w:val="center"/>
          </w:tcPr>
          <w:p w14:paraId="17067B44">
            <w:r>
              <w:rPr>
                <w:rFonts w:hint="eastAsia"/>
              </w:rPr>
              <w:t>1</w:t>
            </w:r>
            <w:r>
              <w:t>5</w:t>
            </w:r>
          </w:p>
        </w:tc>
        <w:tc>
          <w:tcPr>
            <w:tcW w:w="1801" w:type="dxa"/>
            <w:tcBorders>
              <w:top w:val="nil"/>
              <w:left w:val="nil"/>
              <w:bottom w:val="single" w:color="auto" w:sz="8" w:space="0"/>
              <w:right w:val="single" w:color="auto" w:sz="8" w:space="0"/>
            </w:tcBorders>
            <w:noWrap/>
            <w:vAlign w:val="center"/>
          </w:tcPr>
          <w:p w14:paraId="10324A44">
            <w:r>
              <w:t>异构兼容</w:t>
            </w:r>
          </w:p>
        </w:tc>
        <w:tc>
          <w:tcPr>
            <w:tcW w:w="6794" w:type="dxa"/>
            <w:tcBorders>
              <w:top w:val="nil"/>
              <w:left w:val="nil"/>
              <w:bottom w:val="single" w:color="auto" w:sz="8" w:space="0"/>
              <w:right w:val="single" w:color="auto" w:sz="8" w:space="0"/>
            </w:tcBorders>
            <w:vAlign w:val="center"/>
          </w:tcPr>
          <w:p w14:paraId="65D1E985">
            <w:r>
              <w:t>同芯片架构下的任意源主机和异构目标机（物理机、虚拟机和云主机）灾难重建时自动完成适配驱动兼容适配，无需人工干预即可完成异构主机间灾难重建。</w:t>
            </w:r>
          </w:p>
        </w:tc>
      </w:tr>
      <w:tr w14:paraId="0BA0B8C3">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49A0F9B3">
            <w:r>
              <w:rPr>
                <w:rFonts w:hint="eastAsia"/>
              </w:rPr>
              <w:t>1</w:t>
            </w:r>
            <w:r>
              <w:t>6</w:t>
            </w:r>
          </w:p>
        </w:tc>
        <w:tc>
          <w:tcPr>
            <w:tcW w:w="1801" w:type="dxa"/>
            <w:tcBorders>
              <w:top w:val="nil"/>
              <w:left w:val="nil"/>
              <w:bottom w:val="single" w:color="auto" w:sz="8" w:space="0"/>
              <w:right w:val="single" w:color="auto" w:sz="8" w:space="0"/>
            </w:tcBorders>
            <w:noWrap/>
            <w:vAlign w:val="center"/>
          </w:tcPr>
          <w:p w14:paraId="430F7076">
            <w:r>
              <w:t>文件恢复</w:t>
            </w:r>
          </w:p>
        </w:tc>
        <w:tc>
          <w:tcPr>
            <w:tcW w:w="6794" w:type="dxa"/>
            <w:tcBorders>
              <w:top w:val="nil"/>
              <w:left w:val="nil"/>
              <w:bottom w:val="single" w:color="auto" w:sz="8" w:space="0"/>
              <w:right w:val="single" w:color="auto" w:sz="8" w:space="0"/>
            </w:tcBorders>
            <w:vAlign w:val="center"/>
          </w:tcPr>
          <w:p w14:paraId="5E372AF1">
            <w:r>
              <w:t>支持将备份副本加载为CIFS文件共享和网络共享路径，可直接在WEB浏览器中进行URL访问，快速恢复备份副本中的文件与文件夹。</w:t>
            </w:r>
          </w:p>
        </w:tc>
      </w:tr>
      <w:tr w14:paraId="0F932A7A">
        <w:tblPrEx>
          <w:tblCellMar>
            <w:top w:w="0" w:type="dxa"/>
            <w:left w:w="108" w:type="dxa"/>
            <w:bottom w:w="0" w:type="dxa"/>
            <w:right w:w="108" w:type="dxa"/>
          </w:tblCellMar>
        </w:tblPrEx>
        <w:trPr>
          <w:trHeight w:val="638" w:hRule="atLeast"/>
          <w:jc w:val="center"/>
        </w:trPr>
        <w:tc>
          <w:tcPr>
            <w:tcW w:w="457" w:type="dxa"/>
            <w:tcBorders>
              <w:top w:val="nil"/>
              <w:left w:val="single" w:color="auto" w:sz="8" w:space="0"/>
              <w:bottom w:val="single" w:color="auto" w:sz="8" w:space="0"/>
              <w:right w:val="single" w:color="auto" w:sz="8" w:space="0"/>
            </w:tcBorders>
            <w:vAlign w:val="center"/>
          </w:tcPr>
          <w:p w14:paraId="4A8DECFF">
            <w:r>
              <w:rPr>
                <w:rFonts w:hint="eastAsia"/>
              </w:rPr>
              <w:t>1</w:t>
            </w:r>
            <w:r>
              <w:t>7</w:t>
            </w:r>
          </w:p>
        </w:tc>
        <w:tc>
          <w:tcPr>
            <w:tcW w:w="1801" w:type="dxa"/>
            <w:tcBorders>
              <w:top w:val="nil"/>
              <w:left w:val="nil"/>
              <w:bottom w:val="single" w:color="auto" w:sz="8" w:space="0"/>
              <w:right w:val="single" w:color="auto" w:sz="8" w:space="0"/>
            </w:tcBorders>
            <w:noWrap/>
            <w:vAlign w:val="center"/>
          </w:tcPr>
          <w:p w14:paraId="67CDC81B">
            <w:r>
              <w:t>卷恢复</w:t>
            </w:r>
          </w:p>
        </w:tc>
        <w:tc>
          <w:tcPr>
            <w:tcW w:w="6794" w:type="dxa"/>
            <w:tcBorders>
              <w:top w:val="nil"/>
              <w:left w:val="nil"/>
              <w:bottom w:val="single" w:color="auto" w:sz="8" w:space="0"/>
              <w:right w:val="single" w:color="auto" w:sz="8" w:space="0"/>
            </w:tcBorders>
            <w:vAlign w:val="center"/>
          </w:tcPr>
          <w:p w14:paraId="31B8BBEF">
            <w:r>
              <w:t>当用户某个磁盘卷出现重大问题损坏时，支持选择对应的备份点进行卷恢复和磁盘恢复功能。</w:t>
            </w:r>
          </w:p>
        </w:tc>
      </w:tr>
    </w:tbl>
    <w:p w14:paraId="39091156"/>
    <w:p w14:paraId="61842702">
      <w:pPr>
        <w:pStyle w:val="2"/>
      </w:pPr>
      <w:bookmarkStart w:id="35" w:name="_Toc63785503"/>
      <w:r>
        <w:rPr>
          <w:rFonts w:hint="eastAsia"/>
        </w:rPr>
        <w:t>其他工作要求</w:t>
      </w:r>
      <w:bookmarkEnd w:id="35"/>
    </w:p>
    <w:p w14:paraId="0A874908">
      <w:pPr>
        <w:pStyle w:val="3"/>
      </w:pPr>
      <w:bookmarkStart w:id="36" w:name="_Toc63151871"/>
      <w:bookmarkEnd w:id="36"/>
      <w:bookmarkStart w:id="37" w:name="_Toc63585480"/>
      <w:bookmarkEnd w:id="37"/>
      <w:bookmarkStart w:id="38" w:name="_Toc63785504"/>
      <w:bookmarkEnd w:id="38"/>
      <w:bookmarkStart w:id="39" w:name="_Toc63785439"/>
      <w:bookmarkEnd w:id="39"/>
      <w:bookmarkStart w:id="40" w:name="_Toc62209488"/>
      <w:bookmarkEnd w:id="40"/>
      <w:bookmarkStart w:id="41" w:name="_Toc61968111"/>
      <w:bookmarkEnd w:id="41"/>
      <w:bookmarkStart w:id="42" w:name="_Toc63762370"/>
      <w:bookmarkEnd w:id="42"/>
      <w:bookmarkStart w:id="43" w:name="_Toc62219358"/>
      <w:bookmarkEnd w:id="43"/>
      <w:bookmarkStart w:id="44" w:name="_Toc63785505"/>
      <w:r>
        <w:rPr>
          <w:rFonts w:hint="eastAsia"/>
        </w:rPr>
        <w:t>售后服务要求</w:t>
      </w:r>
      <w:bookmarkEnd w:id="44"/>
    </w:p>
    <w:p w14:paraId="2C8D5679">
      <w:pPr>
        <w:pStyle w:val="26"/>
        <w:numPr>
          <w:ilvl w:val="0"/>
          <w:numId w:val="6"/>
        </w:numPr>
      </w:pPr>
      <w:r>
        <w:rPr>
          <w:rFonts w:hint="eastAsia"/>
        </w:rPr>
        <w:t>本项目从系统验收通过之日起3年内提供每周5天</w:t>
      </w:r>
      <w:r>
        <w:t>*</w:t>
      </w:r>
      <w:r>
        <w:rPr>
          <w:rFonts w:hint="eastAsia"/>
        </w:rPr>
        <w:t>8</w:t>
      </w:r>
      <w:r>
        <w:t>小时免费技术支持</w:t>
      </w:r>
      <w:r>
        <w:rPr>
          <w:rFonts w:hint="eastAsia"/>
        </w:rPr>
        <w:t>和售后服务，3年后进入有偿维护期。</w:t>
      </w:r>
    </w:p>
    <w:p w14:paraId="01868561">
      <w:pPr>
        <w:pStyle w:val="26"/>
        <w:numPr>
          <w:ilvl w:val="0"/>
          <w:numId w:val="6"/>
        </w:numPr>
      </w:pPr>
      <w:r>
        <w:rPr>
          <w:rFonts w:hint="eastAsia"/>
        </w:rPr>
        <w:t>在质量保证期内，供应商须按照售后服务的承诺提供保修和运行维护服务，如果厂商对系统建设中所需软、硬件产品中的部分保修期超过上述期限的，则按照厂商的规定进行免费保修。</w:t>
      </w:r>
    </w:p>
    <w:p w14:paraId="2E5F02C1">
      <w:pPr>
        <w:pStyle w:val="26"/>
        <w:numPr>
          <w:ilvl w:val="0"/>
          <w:numId w:val="6"/>
        </w:numPr>
      </w:pPr>
      <w:r>
        <w:rPr>
          <w:rFonts w:hint="eastAsia"/>
        </w:rPr>
        <w:t>在质量保证期内，供应商须负责信息系统的运行维护工作，确保信息服务系统安全、稳定、可靠地运行。本项目涉及的运行维护工作范围为：新建</w:t>
      </w:r>
      <w:r>
        <w:t>数据中心网络</w:t>
      </w:r>
      <w:r>
        <w:rPr>
          <w:rFonts w:hint="eastAsia"/>
        </w:rPr>
        <w:t>的稳定运行、备份容灾系统的稳定运行、</w:t>
      </w:r>
      <w:r>
        <w:t>应急时在黄浦院区拉起对应数据库业务进行接管</w:t>
      </w:r>
      <w:r>
        <w:rPr>
          <w:rFonts w:hint="eastAsia"/>
        </w:rPr>
        <w:t>，</w:t>
      </w:r>
      <w:r>
        <w:t>实现跨院区数据备份和重要业务应用容灾</w:t>
      </w:r>
      <w:r>
        <w:rPr>
          <w:rFonts w:hint="eastAsia"/>
        </w:rPr>
        <w:t>。</w:t>
      </w:r>
    </w:p>
    <w:p w14:paraId="5C63B092">
      <w:pPr>
        <w:pStyle w:val="3"/>
      </w:pPr>
      <w:bookmarkStart w:id="45" w:name="_Toc63785506"/>
      <w:r>
        <w:rPr>
          <w:rFonts w:hint="eastAsia"/>
        </w:rPr>
        <w:t>应急响应要求</w:t>
      </w:r>
      <w:bookmarkEnd w:id="45"/>
    </w:p>
    <w:p w14:paraId="37C85FD6">
      <w:r>
        <w:rPr>
          <w:rFonts w:hint="eastAsia"/>
        </w:rPr>
        <w:t>供应商对系统故障应实时响应，若系统发生故障，接到通知后</w:t>
      </w:r>
      <w:r>
        <w:t>30分钟之内响应，专业工程师2小时内到达现场</w:t>
      </w:r>
      <w:r>
        <w:rPr>
          <w:rFonts w:hint="eastAsia"/>
        </w:rPr>
        <w:t>。特殊故障与客户沟通协商后，按照协商的方式制定解决方案并进行处理。具体故障级别及对应的应急响应要求如下：</w:t>
      </w:r>
    </w:p>
    <w:p w14:paraId="4051D9D7">
      <w:r>
        <w:rPr>
          <w:rFonts w:hint="eastAsia"/>
        </w:rPr>
        <w:t>一级故障：在</w:t>
      </w:r>
      <w:r>
        <w:t>1小时内确诊，总故障解决时间不超过4小时。</w:t>
      </w:r>
    </w:p>
    <w:p w14:paraId="43AED7B9">
      <w:r>
        <w:rPr>
          <w:rFonts w:hint="eastAsia"/>
        </w:rPr>
        <w:t>二级故障：在</w:t>
      </w:r>
      <w:r>
        <w:t>2小时内确诊，并在4小时内由专家到达现场确诊并解决，总故障解决时间不超过8小时；</w:t>
      </w:r>
    </w:p>
    <w:p w14:paraId="7419AD42">
      <w:r>
        <w:rPr>
          <w:rFonts w:hint="eastAsia"/>
        </w:rPr>
        <w:t>三、四级故障：在</w:t>
      </w:r>
      <w:r>
        <w:t>4小时内确诊故障，总故障解决时间不超过16小时。</w:t>
      </w:r>
    </w:p>
    <w:p w14:paraId="441FA9DE">
      <w:pPr>
        <w:pStyle w:val="3"/>
      </w:pPr>
      <w:bookmarkStart w:id="46" w:name="_Toc63785507"/>
      <w:r>
        <w:rPr>
          <w:rFonts w:hint="eastAsia"/>
        </w:rPr>
        <w:t>培训要求</w:t>
      </w:r>
      <w:bookmarkEnd w:id="46"/>
    </w:p>
    <w:p w14:paraId="43849447">
      <w:r>
        <w:rPr>
          <w:rFonts w:hint="eastAsia"/>
        </w:rPr>
        <w:t>对系统使用单位提供业务操作培训，应提供详细培训方案。</w:t>
      </w:r>
    </w:p>
    <w:p w14:paraId="036981ED">
      <w:r>
        <w:rPr>
          <w:rFonts w:hint="eastAsia"/>
        </w:rPr>
        <w:t>(1)在36个月的质量保证期内，提供2次与项目相关的必要培训。</w:t>
      </w:r>
    </w:p>
    <w:p w14:paraId="34F50534">
      <w:r>
        <w:rPr>
          <w:rFonts w:hint="eastAsia"/>
        </w:rPr>
        <w:t>(2)供应商需要开展分层次的人员培训工作，每次培训后应对参加培训人员进行测试，评估培训成果。培训应具有培训教材、培训环境和高水平的培训讲师。</w:t>
      </w:r>
    </w:p>
    <w:p w14:paraId="51E38AE6">
      <w:pPr>
        <w:rPr>
          <w:strike/>
          <w:szCs w:val="21"/>
        </w:rPr>
      </w:pPr>
      <w:r>
        <w:rPr>
          <w:rFonts w:hint="eastAsia"/>
        </w:rPr>
        <w:t>(3)供应商应提供一般用户的基础操作培训和部门信息管理员的日常应用维护的培训，确保用户对象能够掌握对应的操作技能。</w:t>
      </w:r>
    </w:p>
    <w:p w14:paraId="6325F543">
      <w:pPr>
        <w:pStyle w:val="3"/>
      </w:pPr>
      <w:bookmarkStart w:id="47" w:name="_Toc63785509"/>
      <w:r>
        <w:rPr>
          <w:rFonts w:hint="eastAsia"/>
        </w:rPr>
        <w:t>进度要求</w:t>
      </w:r>
      <w:bookmarkEnd w:id="47"/>
    </w:p>
    <w:p w14:paraId="405B3783">
      <w:r>
        <w:rPr>
          <w:rFonts w:hint="eastAsia"/>
        </w:rPr>
        <w:t>投标人应根据建设内容，分阶段制定合理的时间进度，并且应根据招标方要求进行调整和细化。总建设周期为</w:t>
      </w:r>
      <w:r>
        <w:t>4</w:t>
      </w:r>
      <w:r>
        <w:rPr>
          <w:rFonts w:hint="eastAsia"/>
        </w:rPr>
        <w:t>个月，分为</w:t>
      </w:r>
      <w:r>
        <w:t>3</w:t>
      </w:r>
      <w:r>
        <w:rPr>
          <w:rFonts w:hint="eastAsia"/>
        </w:rPr>
        <w:t>个阶段。</w:t>
      </w:r>
    </w:p>
    <w:p w14:paraId="52174F60">
      <w:r>
        <w:rPr>
          <w:rFonts w:hint="eastAsia"/>
        </w:rPr>
        <w:t>第一阶段为1.5个月，完成数据中心网络建设。</w:t>
      </w:r>
    </w:p>
    <w:p w14:paraId="7E90DD69">
      <w:r>
        <w:rPr>
          <w:rFonts w:hint="eastAsia"/>
        </w:rPr>
        <w:t>第二阶段为1.5个月，完成数据备份容灾及应急演练。</w:t>
      </w:r>
    </w:p>
    <w:p w14:paraId="74283A66">
      <w:r>
        <w:rPr>
          <w:rFonts w:hint="eastAsia"/>
        </w:rPr>
        <w:t>第三阶段为1个月，完成项目验收。</w:t>
      </w:r>
    </w:p>
    <w:p w14:paraId="47A2761A">
      <w:pPr>
        <w:pStyle w:val="3"/>
      </w:pPr>
      <w:bookmarkStart w:id="48" w:name="_Toc63785510"/>
      <w:r>
        <w:rPr>
          <w:rFonts w:hint="eastAsia"/>
        </w:rPr>
        <w:t>项目团队及驻场人员要求</w:t>
      </w:r>
      <w:bookmarkEnd w:id="48"/>
    </w:p>
    <w:p w14:paraId="050C5DE7">
      <w:r>
        <w:t>1）投标人须具有稳定的在职技术保障力量，能够提供及时的技术支援或服务，应针对本项目提供不少于</w:t>
      </w:r>
      <w:r>
        <w:rPr>
          <w:rFonts w:hint="eastAsia"/>
        </w:rPr>
        <w:t>3</w:t>
      </w:r>
      <w:r>
        <w:t>人的项目服务团队（包括</w:t>
      </w:r>
      <w:r>
        <w:rPr>
          <w:rFonts w:hint="eastAsia"/>
        </w:rPr>
        <w:t>1名</w:t>
      </w:r>
      <w:r>
        <w:t>项目经理、</w:t>
      </w:r>
      <w:r>
        <w:rPr>
          <w:rFonts w:hint="eastAsia"/>
        </w:rPr>
        <w:t>1名</w:t>
      </w:r>
      <w:r>
        <w:t>技术负责人</w:t>
      </w:r>
      <w:r>
        <w:rPr>
          <w:rFonts w:hint="eastAsia"/>
        </w:rPr>
        <w:t>、1名技术工程师</w:t>
      </w:r>
      <w:r>
        <w:t>等），投标单位的相关服务人员需具备相应的服务能力，需提供相关证明。</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811"/>
        <w:gridCol w:w="1276"/>
        <w:gridCol w:w="2849"/>
        <w:gridCol w:w="1176"/>
      </w:tblGrid>
      <w:tr w14:paraId="602F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5FCE94C0">
            <w:r>
              <w:rPr>
                <w:rFonts w:hint="eastAsia"/>
              </w:rPr>
              <w:t>角色</w:t>
            </w:r>
          </w:p>
        </w:tc>
        <w:tc>
          <w:tcPr>
            <w:tcW w:w="1811" w:type="dxa"/>
            <w:noWrap/>
            <w:vAlign w:val="center"/>
          </w:tcPr>
          <w:p w14:paraId="125B8EDF">
            <w:r>
              <w:rPr>
                <w:rFonts w:hint="eastAsia"/>
              </w:rPr>
              <w:t>主要职责</w:t>
            </w:r>
          </w:p>
        </w:tc>
        <w:tc>
          <w:tcPr>
            <w:tcW w:w="1276" w:type="dxa"/>
            <w:noWrap/>
            <w:vAlign w:val="center"/>
          </w:tcPr>
          <w:p w14:paraId="35F23344">
            <w:r>
              <w:rPr>
                <w:rFonts w:hint="eastAsia"/>
              </w:rPr>
              <w:t>人员数量</w:t>
            </w:r>
          </w:p>
        </w:tc>
        <w:tc>
          <w:tcPr>
            <w:tcW w:w="2849" w:type="dxa"/>
            <w:vAlign w:val="center"/>
          </w:tcPr>
          <w:p w14:paraId="0CE9A508">
            <w:r>
              <w:rPr>
                <w:rFonts w:hint="eastAsia"/>
              </w:rPr>
              <w:t>人员要求</w:t>
            </w:r>
          </w:p>
        </w:tc>
        <w:tc>
          <w:tcPr>
            <w:tcW w:w="0" w:type="auto"/>
            <w:noWrap/>
            <w:vAlign w:val="center"/>
          </w:tcPr>
          <w:p w14:paraId="7107A41E">
            <w:r>
              <w:rPr>
                <w:rFonts w:hint="eastAsia"/>
              </w:rPr>
              <w:t>驻场要求</w:t>
            </w:r>
          </w:p>
        </w:tc>
      </w:tr>
      <w:tr w14:paraId="57FB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5AD910EA">
            <w:r>
              <w:rPr>
                <w:rFonts w:hint="eastAsia"/>
              </w:rPr>
              <w:t>项目经理</w:t>
            </w:r>
          </w:p>
        </w:tc>
        <w:tc>
          <w:tcPr>
            <w:tcW w:w="1811" w:type="dxa"/>
            <w:vAlign w:val="center"/>
          </w:tcPr>
          <w:p w14:paraId="438F5AA5">
            <w:r>
              <w:rPr>
                <w:rFonts w:hint="eastAsia"/>
              </w:rPr>
              <w:t>负责项目质量和进度控制</w:t>
            </w:r>
          </w:p>
        </w:tc>
        <w:tc>
          <w:tcPr>
            <w:tcW w:w="1276" w:type="dxa"/>
            <w:noWrap/>
            <w:vAlign w:val="center"/>
          </w:tcPr>
          <w:p w14:paraId="638A3325">
            <w:r>
              <w:rPr>
                <w:rFonts w:hint="eastAsia"/>
              </w:rPr>
              <w:t>1人</w:t>
            </w:r>
          </w:p>
        </w:tc>
        <w:tc>
          <w:tcPr>
            <w:tcW w:w="2849" w:type="dxa"/>
            <w:vAlign w:val="center"/>
          </w:tcPr>
          <w:p w14:paraId="327198F4">
            <w:r>
              <w:t>CISP注册信息安全工程师证书、信息系统项目管理师证书</w:t>
            </w:r>
          </w:p>
        </w:tc>
        <w:tc>
          <w:tcPr>
            <w:tcW w:w="0" w:type="auto"/>
            <w:noWrap/>
            <w:vAlign w:val="center"/>
          </w:tcPr>
          <w:p w14:paraId="722D54B2">
            <w:r>
              <w:rPr>
                <w:rFonts w:hint="eastAsia"/>
              </w:rPr>
              <w:t>不驻场</w:t>
            </w:r>
          </w:p>
        </w:tc>
      </w:tr>
      <w:tr w14:paraId="0232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06591764">
            <w:r>
              <w:rPr>
                <w:rFonts w:hint="eastAsia"/>
              </w:rPr>
              <w:t>技术负责人</w:t>
            </w:r>
          </w:p>
        </w:tc>
        <w:tc>
          <w:tcPr>
            <w:tcW w:w="1811" w:type="dxa"/>
            <w:vAlign w:val="center"/>
          </w:tcPr>
          <w:p w14:paraId="1866492E">
            <w:r>
              <w:rPr>
                <w:rFonts w:hint="eastAsia"/>
              </w:rPr>
              <w:t>负责项目需求评估</w:t>
            </w:r>
          </w:p>
        </w:tc>
        <w:tc>
          <w:tcPr>
            <w:tcW w:w="1276" w:type="dxa"/>
            <w:noWrap/>
            <w:vAlign w:val="center"/>
          </w:tcPr>
          <w:p w14:paraId="138A8A90">
            <w:r>
              <w:rPr>
                <w:rFonts w:hint="eastAsia"/>
              </w:rPr>
              <w:t>1人</w:t>
            </w:r>
          </w:p>
        </w:tc>
        <w:tc>
          <w:tcPr>
            <w:tcW w:w="2849" w:type="dxa"/>
            <w:vAlign w:val="center"/>
          </w:tcPr>
          <w:p w14:paraId="63E98ACB">
            <w:pPr>
              <w:pStyle w:val="11"/>
            </w:pPr>
            <w:r>
              <w:rPr>
                <w:rFonts w:hint="eastAsia"/>
              </w:rPr>
              <w:t>系统集成项目管理工程师证书</w:t>
            </w:r>
          </w:p>
        </w:tc>
        <w:tc>
          <w:tcPr>
            <w:tcW w:w="0" w:type="auto"/>
            <w:noWrap/>
            <w:vAlign w:val="center"/>
          </w:tcPr>
          <w:p w14:paraId="33B6214D">
            <w:r>
              <w:rPr>
                <w:rFonts w:hint="eastAsia"/>
              </w:rPr>
              <w:t>不驻场</w:t>
            </w:r>
          </w:p>
        </w:tc>
      </w:tr>
      <w:tr w14:paraId="0343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62861E1F">
            <w:r>
              <w:rPr>
                <w:rFonts w:hint="eastAsia"/>
              </w:rPr>
              <w:t>技术工程师</w:t>
            </w:r>
          </w:p>
        </w:tc>
        <w:tc>
          <w:tcPr>
            <w:tcW w:w="1811" w:type="dxa"/>
            <w:noWrap/>
            <w:vAlign w:val="center"/>
          </w:tcPr>
          <w:p w14:paraId="0D432610">
            <w:r>
              <w:rPr>
                <w:rFonts w:hint="eastAsia"/>
              </w:rPr>
              <w:t>负责项目具体实施</w:t>
            </w:r>
          </w:p>
        </w:tc>
        <w:tc>
          <w:tcPr>
            <w:tcW w:w="1276" w:type="dxa"/>
            <w:noWrap/>
            <w:vAlign w:val="center"/>
          </w:tcPr>
          <w:p w14:paraId="26A7CCF1">
            <w:r>
              <w:rPr>
                <w:rFonts w:hint="eastAsia"/>
              </w:rPr>
              <w:t>1人</w:t>
            </w:r>
          </w:p>
        </w:tc>
        <w:tc>
          <w:tcPr>
            <w:tcW w:w="2849" w:type="dxa"/>
            <w:vAlign w:val="center"/>
          </w:tcPr>
          <w:p w14:paraId="50BBCC5C">
            <w:r>
              <w:t>CISP注册信息安全工程师证书、计算机技术与软件专业技术资格（信息安全工程师</w:t>
            </w:r>
            <w:r>
              <w:rPr>
                <w:rFonts w:hint="eastAsia"/>
              </w:rPr>
              <w:t>）</w:t>
            </w:r>
            <w:r>
              <w:t>证书</w:t>
            </w:r>
          </w:p>
        </w:tc>
        <w:tc>
          <w:tcPr>
            <w:tcW w:w="0" w:type="auto"/>
            <w:noWrap/>
            <w:vAlign w:val="center"/>
          </w:tcPr>
          <w:p w14:paraId="22D78947">
            <w:r>
              <w:rPr>
                <w:rFonts w:hint="eastAsia"/>
              </w:rPr>
              <w:t>不驻场</w:t>
            </w:r>
          </w:p>
        </w:tc>
      </w:tr>
    </w:tbl>
    <w:p w14:paraId="09994981">
      <w:r>
        <w:t>2）投标人应针对本项目提供不少于</w:t>
      </w:r>
      <w:r>
        <w:rPr>
          <w:rFonts w:hint="eastAsia"/>
        </w:rPr>
        <w:t>2</w:t>
      </w:r>
      <w:r>
        <w:t>人的质保期间支撑团队（其中技术</w:t>
      </w:r>
      <w:r>
        <w:rPr>
          <w:rFonts w:hint="eastAsia"/>
        </w:rPr>
        <w:t>负责1</w:t>
      </w:r>
      <w:r>
        <w:t>人</w:t>
      </w:r>
      <w:r>
        <w:rPr>
          <w:rFonts w:hint="eastAsia"/>
        </w:rPr>
        <w:t>，</w:t>
      </w:r>
      <w:r>
        <w:t>技术工程师不少于</w:t>
      </w:r>
      <w:r>
        <w:rPr>
          <w:rFonts w:hint="eastAsia"/>
        </w:rPr>
        <w:t>1</w:t>
      </w:r>
      <w:r>
        <w:t>人）；投标人的相关服务人员需提供有效证书扫描件，并提供证书持有者</w:t>
      </w:r>
      <w:r>
        <w:rPr>
          <w:rFonts w:hint="eastAsia"/>
        </w:rPr>
        <w:t>开标前</w:t>
      </w:r>
      <w:r>
        <w:t>3个月</w:t>
      </w:r>
      <w:r>
        <w:rPr>
          <w:rFonts w:hint="eastAsia"/>
        </w:rPr>
        <w:t>任意一个月</w:t>
      </w:r>
      <w:r>
        <w:t>社保证明。</w:t>
      </w:r>
    </w:p>
    <w:p w14:paraId="7A48E707">
      <w:pPr>
        <w:pStyle w:val="3"/>
      </w:pPr>
      <w:bookmarkStart w:id="49" w:name="_Toc63785512"/>
      <w:r>
        <w:rPr>
          <w:rFonts w:hint="eastAsia"/>
        </w:rPr>
        <w:t>技术文件要求</w:t>
      </w:r>
    </w:p>
    <w:p w14:paraId="1BEC182C">
      <w:r>
        <w:rPr>
          <w:rFonts w:hint="eastAsia"/>
        </w:rPr>
        <w:t>投标人提供的书面技术资料应能确保系统正常运行所需的管理、运营及维护有关的全套文件。技术文件应该全面、完整、详细。投标人提供的技术文件至少应包括：</w:t>
      </w:r>
    </w:p>
    <w:p w14:paraId="1448E850">
      <w:r>
        <w:rPr>
          <w:rFonts w:hint="eastAsia"/>
        </w:rPr>
        <w:t>－</w:t>
      </w:r>
      <w:r>
        <w:t xml:space="preserve"> 系统说明文件； </w:t>
      </w:r>
    </w:p>
    <w:p w14:paraId="2F251D8B">
      <w:r>
        <w:rPr>
          <w:rFonts w:hint="eastAsia"/>
        </w:rPr>
        <w:t>－</w:t>
      </w:r>
      <w:r>
        <w:t xml:space="preserve"> 技术手册(安装、测试、操作、维护、故障排除等)； </w:t>
      </w:r>
    </w:p>
    <w:p w14:paraId="2FD73844">
      <w:r>
        <w:rPr>
          <w:rFonts w:hint="eastAsia"/>
        </w:rPr>
        <w:t>－</w:t>
      </w:r>
      <w:r>
        <w:t xml:space="preserve"> 项目文档</w:t>
      </w:r>
      <w:r>
        <w:rPr>
          <w:rFonts w:hint="eastAsia"/>
        </w:rPr>
        <w:t>（需求分析、实施方案、兼容性测试报告、系统试运行报告、应急演练方案和记录、验收文档）</w:t>
      </w:r>
    </w:p>
    <w:bookmarkEnd w:id="49"/>
    <w:p w14:paraId="14D71B18"/>
    <w:sectPr>
      <w:footerReference r:id="rId5" w:type="first"/>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Arial">
    <w:altName w:val="DejaVu Sans"/>
    <w:panose1 w:val="020B0604020202020204"/>
    <w:charset w:val="00"/>
    <w:family w:val="swiss"/>
    <w:pitch w:val="default"/>
    <w:sig w:usb0="00000000" w:usb1="00000000" w:usb2="00000009" w:usb3="00000000" w:csb0="000001FF" w:csb1="00000000"/>
  </w:font>
  <w:font w:name="CESI黑体-GB13000">
    <w:panose1 w:val="02000500000000000000"/>
    <w:charset w:val="86"/>
    <w:family w:val="auto"/>
    <w:pitch w:val="default"/>
    <w:sig w:usb0="800002BF" w:usb1="38CF7CF8" w:usb2="00000016" w:usb3="00000000" w:csb0="0004000F" w:csb1="00000000"/>
  </w:font>
  <w:font w:name="Calibri Light">
    <w:altName w:val="DejaVu Sans"/>
    <w:panose1 w:val="020F030202020403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004BC">
    <w:pPr>
      <w:rPr>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004AE9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DE34E2"/>
    <w:multiLevelType w:val="singleLevel"/>
    <w:tmpl w:val="BEDE34E2"/>
    <w:lvl w:ilvl="0" w:tentative="0">
      <w:start w:val="1"/>
      <w:numFmt w:val="bullet"/>
      <w:lvlText w:val=""/>
      <w:lvlJc w:val="left"/>
      <w:pPr>
        <w:ind w:left="440" w:hanging="440"/>
      </w:pPr>
      <w:rPr>
        <w:rFonts w:hint="default" w:ascii="Wingdings" w:hAnsi="Wingdings"/>
      </w:rPr>
    </w:lvl>
  </w:abstractNum>
  <w:abstractNum w:abstractNumId="1">
    <w:nsid w:val="00100EBC"/>
    <w:multiLevelType w:val="multilevel"/>
    <w:tmpl w:val="00100EB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00D40233"/>
    <w:multiLevelType w:val="multilevel"/>
    <w:tmpl w:val="00D40233"/>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3">
    <w:nsid w:val="31AF4509"/>
    <w:multiLevelType w:val="multilevel"/>
    <w:tmpl w:val="31AF4509"/>
    <w:lvl w:ilvl="0" w:tentative="0">
      <w:start w:val="1"/>
      <w:numFmt w:val="decimal"/>
      <w:lvlText w:val="%1）"/>
      <w:lvlJc w:val="left"/>
      <w:pPr>
        <w:ind w:left="860" w:hanging="440"/>
      </w:pPr>
      <w:rPr>
        <w:rFonts w:hint="eastAsia"/>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4BAA7D48"/>
    <w:multiLevelType w:val="multilevel"/>
    <w:tmpl w:val="4BAA7D48"/>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5F702689"/>
    <w:multiLevelType w:val="multilevel"/>
    <w:tmpl w:val="5F702689"/>
    <w:lvl w:ilvl="0" w:tentative="0">
      <w:start w:val="1"/>
      <w:numFmt w:val="decimal"/>
      <w:lvlText w:val="%1."/>
      <w:lvlJc w:val="left"/>
      <w:pPr>
        <w:ind w:left="360" w:hanging="360"/>
      </w:pPr>
      <w:rPr>
        <w:rFonts w:hint="default"/>
      </w:rPr>
    </w:lvl>
    <w:lvl w:ilvl="1" w:tentative="0">
      <w:start w:val="0"/>
      <w:numFmt w:val="bullet"/>
      <w:lvlText w:val="•"/>
      <w:lvlJc w:val="left"/>
      <w:pPr>
        <w:ind w:left="780" w:hanging="360"/>
      </w:pPr>
      <w:rPr>
        <w:rFonts w:hint="eastAsia" w:ascii="宋体" w:hAnsi="宋体" w:eastAsia="宋体" w:cs="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1135" w:hanging="567"/>
      </w:pPr>
    </w:lvl>
    <w:lvl w:ilvl="2" w:tentative="0">
      <w:start w:val="1"/>
      <w:numFmt w:val="decimal"/>
      <w:isLgl/>
      <w:suff w:val="nothing"/>
      <w:lvlText w:val="%1.%2.%3、"/>
      <w:lvlJc w:val="left"/>
      <w:pPr>
        <w:ind w:left="1069" w:hanging="1069"/>
      </w:pPr>
      <w:rPr>
        <w:rFonts w:hint="default" w:ascii="宋体" w:hAnsi="宋体" w:eastAsia="宋体" w:cs="Arial"/>
      </w:rPr>
    </w:lvl>
    <w:lvl w:ilvl="3" w:tentative="0">
      <w:start w:val="1"/>
      <w:numFmt w:val="decimal"/>
      <w:isLgl/>
      <w:suff w:val="nothing"/>
      <w:lvlText w:val="%1.%2.%3.%4、"/>
      <w:lvlJc w:val="left"/>
      <w:pPr>
        <w:ind w:left="3403" w:hanging="851"/>
      </w:pPr>
    </w:lvl>
    <w:lvl w:ilvl="4" w:tentative="0">
      <w:start w:val="1"/>
      <w:numFmt w:val="decimal"/>
      <w:isLgl/>
      <w:suff w:val="nothing"/>
      <w:lvlText w:val="%1.%2.%3.%4.%5、"/>
      <w:lvlJc w:val="left"/>
      <w:pPr>
        <w:ind w:left="3544"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abstractNum w:abstractNumId="7">
    <w:nsid w:val="76FC6168"/>
    <w:multiLevelType w:val="multilevel"/>
    <w:tmpl w:val="76FC6168"/>
    <w:lvl w:ilvl="0" w:tentative="0">
      <w:start w:val="1"/>
      <w:numFmt w:val="decimal"/>
      <w:lvlText w:val="%1."/>
      <w:lvlJc w:val="left"/>
      <w:pPr>
        <w:ind w:left="360" w:hanging="360"/>
      </w:pPr>
      <w:rPr>
        <w:rFonts w:hint="default"/>
      </w:rPr>
    </w:lvl>
    <w:lvl w:ilvl="1" w:tentative="0">
      <w:start w:val="0"/>
      <w:numFmt w:val="bullet"/>
      <w:lvlText w:val="•"/>
      <w:lvlJc w:val="left"/>
      <w:pPr>
        <w:ind w:left="780" w:hanging="360"/>
      </w:pPr>
      <w:rPr>
        <w:rFonts w:hint="eastAsia" w:ascii="宋体" w:hAnsi="宋体" w:eastAsia="宋体" w:cs="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2"/>
  </w:num>
  <w:num w:numId="3">
    <w:abstractNumId w:val="1"/>
  </w:num>
  <w:num w:numId="4">
    <w:abstractNumId w:val="5"/>
  </w:num>
  <w:num w:numId="5">
    <w:abstractNumId w:val="7"/>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1OTMyYmVkNDBiZGZjOTJjNzg0ZTljMGM2NGM1NWEifQ=="/>
  </w:docVars>
  <w:rsids>
    <w:rsidRoot w:val="00B76DBD"/>
    <w:rsid w:val="00043B9F"/>
    <w:rsid w:val="00046087"/>
    <w:rsid w:val="000D48D2"/>
    <w:rsid w:val="001647F5"/>
    <w:rsid w:val="00191A8C"/>
    <w:rsid w:val="001927B9"/>
    <w:rsid w:val="001C6FE5"/>
    <w:rsid w:val="00214324"/>
    <w:rsid w:val="00232911"/>
    <w:rsid w:val="00251A33"/>
    <w:rsid w:val="00260E9D"/>
    <w:rsid w:val="00286EE4"/>
    <w:rsid w:val="003110A9"/>
    <w:rsid w:val="00337559"/>
    <w:rsid w:val="003646B5"/>
    <w:rsid w:val="00393C9F"/>
    <w:rsid w:val="00423953"/>
    <w:rsid w:val="0049081B"/>
    <w:rsid w:val="004C6A49"/>
    <w:rsid w:val="004E017F"/>
    <w:rsid w:val="005518DC"/>
    <w:rsid w:val="0056466C"/>
    <w:rsid w:val="005C71CD"/>
    <w:rsid w:val="00630392"/>
    <w:rsid w:val="006643AD"/>
    <w:rsid w:val="00701B4E"/>
    <w:rsid w:val="00712D08"/>
    <w:rsid w:val="007139FE"/>
    <w:rsid w:val="00747047"/>
    <w:rsid w:val="00785F6F"/>
    <w:rsid w:val="007E0F0C"/>
    <w:rsid w:val="008E27C5"/>
    <w:rsid w:val="008E6E9C"/>
    <w:rsid w:val="009E393E"/>
    <w:rsid w:val="00A101CC"/>
    <w:rsid w:val="00A16FBC"/>
    <w:rsid w:val="00A65875"/>
    <w:rsid w:val="00AA6787"/>
    <w:rsid w:val="00AF66C6"/>
    <w:rsid w:val="00B45BBE"/>
    <w:rsid w:val="00B76DBD"/>
    <w:rsid w:val="00BD5D92"/>
    <w:rsid w:val="00C5413D"/>
    <w:rsid w:val="00C73DCC"/>
    <w:rsid w:val="00C802C8"/>
    <w:rsid w:val="00C91148"/>
    <w:rsid w:val="00C958C0"/>
    <w:rsid w:val="00CD1E75"/>
    <w:rsid w:val="00D02C4E"/>
    <w:rsid w:val="00DC1B8C"/>
    <w:rsid w:val="00DD10E3"/>
    <w:rsid w:val="00E06E06"/>
    <w:rsid w:val="00E10425"/>
    <w:rsid w:val="00E6480C"/>
    <w:rsid w:val="00EA4890"/>
    <w:rsid w:val="00EE5C46"/>
    <w:rsid w:val="00FA7A45"/>
    <w:rsid w:val="177948E7"/>
    <w:rsid w:val="1A9DB2F5"/>
    <w:rsid w:val="2DFA2D0E"/>
    <w:rsid w:val="2FDEDAA4"/>
    <w:rsid w:val="37FFDD0B"/>
    <w:rsid w:val="3FB7D809"/>
    <w:rsid w:val="5A9E81DE"/>
    <w:rsid w:val="5BFB94B4"/>
    <w:rsid w:val="5DEB84C9"/>
    <w:rsid w:val="5E1FB01D"/>
    <w:rsid w:val="5EFD5AC7"/>
    <w:rsid w:val="5F7F7FC7"/>
    <w:rsid w:val="5FBF0644"/>
    <w:rsid w:val="5FE9E2AB"/>
    <w:rsid w:val="5FFE1FB1"/>
    <w:rsid w:val="61FF20C0"/>
    <w:rsid w:val="645D785C"/>
    <w:rsid w:val="69B7037B"/>
    <w:rsid w:val="6FDFE284"/>
    <w:rsid w:val="7410298D"/>
    <w:rsid w:val="77EFC7A8"/>
    <w:rsid w:val="7BFF7BFF"/>
    <w:rsid w:val="7CFE2AF6"/>
    <w:rsid w:val="7D7F5DC7"/>
    <w:rsid w:val="7DD3443C"/>
    <w:rsid w:val="7DFFC025"/>
    <w:rsid w:val="7EFD15A6"/>
    <w:rsid w:val="7F9CFFF2"/>
    <w:rsid w:val="9F7A1D54"/>
    <w:rsid w:val="A59DB696"/>
    <w:rsid w:val="BAFFA9D2"/>
    <w:rsid w:val="BB7E7921"/>
    <w:rsid w:val="BD5F8F8E"/>
    <w:rsid w:val="BFB72542"/>
    <w:rsid w:val="CAFF59E6"/>
    <w:rsid w:val="D3DA31F4"/>
    <w:rsid w:val="DFAC7752"/>
    <w:rsid w:val="F3F283C9"/>
    <w:rsid w:val="F5EF3F03"/>
    <w:rsid w:val="F7DF5B7B"/>
    <w:rsid w:val="F7FC8745"/>
    <w:rsid w:val="F9774C73"/>
    <w:rsid w:val="FBD69F84"/>
    <w:rsid w:val="FBFF472E"/>
    <w:rsid w:val="FEDDAC94"/>
    <w:rsid w:val="FEF5D05A"/>
    <w:rsid w:val="FEFDFBBB"/>
    <w:rsid w:val="FFD125AB"/>
    <w:rsid w:val="FFD37D47"/>
    <w:rsid w:val="FFDF5E34"/>
    <w:rsid w:val="FFF7C927"/>
    <w:rsid w:val="FFFDC88C"/>
    <w:rsid w:val="FFFEA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napToGrid w:val="0"/>
      <w:spacing w:line="440" w:lineRule="exact"/>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outlineLvl w:val="0"/>
    </w:pPr>
    <w:rPr>
      <w:rFonts w:eastAsia="黑体"/>
      <w:b/>
      <w:bCs/>
      <w:kern w:val="44"/>
      <w:sz w:val="32"/>
      <w:szCs w:val="28"/>
    </w:rPr>
  </w:style>
  <w:style w:type="paragraph" w:styleId="3">
    <w:name w:val="heading 2"/>
    <w:basedOn w:val="1"/>
    <w:next w:val="1"/>
    <w:link w:val="34"/>
    <w:qFormat/>
    <w:uiPriority w:val="0"/>
    <w:pPr>
      <w:keepNext/>
      <w:keepLines/>
      <w:numPr>
        <w:ilvl w:val="1"/>
        <w:numId w:val="1"/>
      </w:numPr>
      <w:spacing w:before="120" w:after="120"/>
      <w:outlineLvl w:val="1"/>
    </w:pPr>
    <w:rPr>
      <w:b/>
      <w:bCs/>
      <w:sz w:val="30"/>
      <w:szCs w:val="32"/>
    </w:rPr>
  </w:style>
  <w:style w:type="paragraph" w:styleId="4">
    <w:name w:val="heading 3"/>
    <w:basedOn w:val="1"/>
    <w:next w:val="1"/>
    <w:link w:val="2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8"/>
    <w:unhideWhenUsed/>
    <w:qFormat/>
    <w:uiPriority w:val="0"/>
    <w:pPr>
      <w:keepNext/>
      <w:keepLines/>
      <w:tabs>
        <w:tab w:val="left" w:pos="0"/>
      </w:tabs>
      <w:outlineLvl w:val="3"/>
    </w:pPr>
    <w:rPr>
      <w:rFonts w:cs="宋体"/>
      <w:b/>
    </w:rPr>
  </w:style>
  <w:style w:type="paragraph" w:styleId="6">
    <w:name w:val="heading 5"/>
    <w:basedOn w:val="1"/>
    <w:next w:val="1"/>
    <w:link w:val="29"/>
    <w:unhideWhenUsed/>
    <w:qFormat/>
    <w:uiPriority w:val="0"/>
    <w:pPr>
      <w:keepNext/>
      <w:keepLines/>
      <w:tabs>
        <w:tab w:val="left" w:pos="0"/>
      </w:tabs>
      <w:adjustRightInd w:val="0"/>
      <w:outlineLvl w:val="4"/>
    </w:pPr>
    <w:rPr>
      <w:rFonts w:cs="宋体"/>
      <w:b/>
    </w:rPr>
  </w:style>
  <w:style w:type="paragraph" w:styleId="7">
    <w:name w:val="heading 6"/>
    <w:basedOn w:val="1"/>
    <w:next w:val="1"/>
    <w:link w:val="30"/>
    <w:unhideWhenUsed/>
    <w:qFormat/>
    <w:uiPriority w:val="0"/>
    <w:pPr>
      <w:keepNext/>
      <w:keepLines/>
      <w:ind w:hanging="1151"/>
      <w:outlineLvl w:val="5"/>
    </w:pPr>
    <w:rPr>
      <w:rFonts w:ascii="Arial" w:hAnsi="Arial" w:cs="宋体"/>
      <w:b/>
    </w:rPr>
  </w:style>
  <w:style w:type="paragraph" w:styleId="8">
    <w:name w:val="heading 7"/>
    <w:basedOn w:val="1"/>
    <w:next w:val="1"/>
    <w:link w:val="31"/>
    <w:semiHidden/>
    <w:unhideWhenUsed/>
    <w:qFormat/>
    <w:uiPriority w:val="0"/>
    <w:pPr>
      <w:keepNext/>
      <w:keepLines/>
      <w:spacing w:before="240" w:after="64" w:line="317" w:lineRule="auto"/>
      <w:ind w:left="1296" w:hanging="1296"/>
      <w:outlineLvl w:val="6"/>
    </w:pPr>
    <w:rPr>
      <w:rFonts w:cs="宋体"/>
      <w:b/>
    </w:rPr>
  </w:style>
  <w:style w:type="paragraph" w:styleId="9">
    <w:name w:val="heading 8"/>
    <w:basedOn w:val="1"/>
    <w:next w:val="1"/>
    <w:link w:val="32"/>
    <w:semiHidden/>
    <w:unhideWhenUsed/>
    <w:qFormat/>
    <w:uiPriority w:val="0"/>
    <w:pPr>
      <w:keepNext/>
      <w:keepLines/>
      <w:spacing w:before="240" w:after="64" w:line="317" w:lineRule="auto"/>
      <w:ind w:left="1440" w:hanging="1440"/>
      <w:outlineLvl w:val="7"/>
    </w:pPr>
    <w:rPr>
      <w:rFonts w:ascii="Arial" w:hAnsi="Arial" w:eastAsia="黑体" w:cs="宋体"/>
    </w:rPr>
  </w:style>
  <w:style w:type="paragraph" w:styleId="10">
    <w:name w:val="heading 9"/>
    <w:basedOn w:val="1"/>
    <w:next w:val="1"/>
    <w:link w:val="33"/>
    <w:semiHidden/>
    <w:unhideWhenUsed/>
    <w:qFormat/>
    <w:uiPriority w:val="0"/>
    <w:pPr>
      <w:keepNext/>
      <w:keepLines/>
      <w:spacing w:before="240" w:after="64" w:line="317" w:lineRule="auto"/>
      <w:ind w:left="1583" w:hanging="1583"/>
      <w:outlineLvl w:val="8"/>
    </w:pPr>
    <w:rPr>
      <w:rFonts w:ascii="Arial" w:hAnsi="Arial" w:eastAsia="黑体" w:cs="宋体"/>
      <w:sz w:val="21"/>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8"/>
    <w:qFormat/>
    <w:uiPriority w:val="0"/>
  </w:style>
  <w:style w:type="paragraph" w:styleId="12">
    <w:name w:val="Body Text"/>
    <w:basedOn w:val="1"/>
    <w:link w:val="24"/>
    <w:unhideWhenUsed/>
    <w:qFormat/>
    <w:uiPriority w:val="99"/>
    <w:pPr>
      <w:spacing w:after="120"/>
    </w:pPr>
    <w:rPr>
      <w:rFonts w:cs="宋体"/>
    </w:rPr>
  </w:style>
  <w:style w:type="paragraph" w:styleId="13">
    <w:name w:val="Balloon Text"/>
    <w:basedOn w:val="1"/>
    <w:link w:val="37"/>
    <w:qFormat/>
    <w:uiPriority w:val="0"/>
    <w:pPr>
      <w:spacing w:line="240" w:lineRule="auto"/>
    </w:pPr>
    <w:rPr>
      <w:sz w:val="18"/>
      <w:szCs w:val="18"/>
    </w:rPr>
  </w:style>
  <w:style w:type="paragraph" w:styleId="14">
    <w:name w:val="footer"/>
    <w:basedOn w:val="1"/>
    <w:link w:val="23"/>
    <w:qFormat/>
    <w:uiPriority w:val="0"/>
    <w:pPr>
      <w:tabs>
        <w:tab w:val="center" w:pos="4153"/>
        <w:tab w:val="right" w:pos="8306"/>
      </w:tabs>
      <w:spacing w:line="240" w:lineRule="auto"/>
    </w:pPr>
    <w:rPr>
      <w:sz w:val="18"/>
      <w:szCs w:val="18"/>
    </w:rPr>
  </w:style>
  <w:style w:type="paragraph" w:styleId="15">
    <w:name w:val="header"/>
    <w:basedOn w:val="1"/>
    <w:qFormat/>
    <w:uiPriority w:val="99"/>
    <w:pPr>
      <w:pBdr>
        <w:bottom w:val="single" w:color="auto" w:sz="4" w:space="0"/>
      </w:pBdr>
      <w:tabs>
        <w:tab w:val="center" w:pos="4153"/>
        <w:tab w:val="right" w:pos="8306"/>
      </w:tabs>
      <w:jc w:val="center"/>
    </w:pPr>
    <w:rPr>
      <w:rFonts w:ascii="Times New Roman" w:hAnsi="Times New Roman"/>
      <w:sz w:val="18"/>
      <w:szCs w:val="18"/>
    </w:rPr>
  </w:style>
  <w:style w:type="paragraph" w:styleId="16">
    <w:name w:val="Title"/>
    <w:basedOn w:val="1"/>
    <w:next w:val="1"/>
    <w:link w:val="35"/>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11"/>
    <w:next w:val="11"/>
    <w:link w:val="39"/>
    <w:qFormat/>
    <w:uiPriority w:val="0"/>
    <w:rPr>
      <w:b/>
      <w:bCs/>
    </w:rPr>
  </w:style>
  <w:style w:type="character" w:styleId="20">
    <w:name w:val="annotation reference"/>
    <w:basedOn w:val="19"/>
    <w:qFormat/>
    <w:uiPriority w:val="0"/>
    <w:rPr>
      <w:sz w:val="21"/>
      <w:szCs w:val="21"/>
    </w:rPr>
  </w:style>
  <w:style w:type="paragraph" w:customStyle="1" w:styleId="21">
    <w:name w:val="正文缩进1"/>
    <w:basedOn w:val="1"/>
    <w:autoRedefine/>
    <w:qFormat/>
    <w:uiPriority w:val="0"/>
    <w:pPr>
      <w:spacing w:line="240" w:lineRule="auto"/>
      <w:ind w:firstLine="420"/>
    </w:pPr>
    <w:rPr>
      <w:rFonts w:ascii="Times New Roman" w:hAnsi="Times New Roman"/>
      <w:sz w:val="21"/>
      <w:szCs w:val="20"/>
    </w:rPr>
  </w:style>
  <w:style w:type="paragraph" w:customStyle="1" w:styleId="22">
    <w:name w:val="正文正文2"/>
    <w:basedOn w:val="1"/>
    <w:autoRedefine/>
    <w:qFormat/>
    <w:uiPriority w:val="0"/>
    <w:pPr>
      <w:ind w:firstLine="460"/>
    </w:pPr>
    <w:rPr>
      <w:sz w:val="21"/>
      <w:szCs w:val="21"/>
    </w:rPr>
  </w:style>
  <w:style w:type="character" w:customStyle="1" w:styleId="23">
    <w:name w:val="页脚 字符"/>
    <w:basedOn w:val="19"/>
    <w:link w:val="14"/>
    <w:qFormat/>
    <w:uiPriority w:val="0"/>
    <w:rPr>
      <w:rFonts w:ascii="宋体" w:hAnsi="宋体" w:eastAsia="宋体" w:cs="Times New Roman"/>
      <w:kern w:val="2"/>
      <w:sz w:val="18"/>
      <w:szCs w:val="18"/>
    </w:rPr>
  </w:style>
  <w:style w:type="character" w:customStyle="1" w:styleId="24">
    <w:name w:val="正文文本 字符"/>
    <w:basedOn w:val="19"/>
    <w:link w:val="12"/>
    <w:qFormat/>
    <w:uiPriority w:val="99"/>
    <w:rPr>
      <w:rFonts w:ascii="宋体" w:hAnsi="宋体" w:eastAsia="宋体" w:cs="宋体"/>
      <w:kern w:val="2"/>
      <w:sz w:val="24"/>
      <w:szCs w:val="24"/>
    </w:rPr>
  </w:style>
  <w:style w:type="character" w:customStyle="1" w:styleId="25">
    <w:name w:val="标题 3 字符"/>
    <w:basedOn w:val="19"/>
    <w:link w:val="4"/>
    <w:qFormat/>
    <w:uiPriority w:val="0"/>
    <w:rPr>
      <w:rFonts w:ascii="宋体" w:hAnsi="宋体" w:eastAsia="宋体" w:cs="Times New Roman"/>
      <w:b/>
      <w:bCs/>
      <w:kern w:val="2"/>
      <w:sz w:val="32"/>
      <w:szCs w:val="32"/>
    </w:rPr>
  </w:style>
  <w:style w:type="paragraph" w:styleId="26">
    <w:name w:val="List Paragraph"/>
    <w:basedOn w:val="1"/>
    <w:link w:val="27"/>
    <w:qFormat/>
    <w:uiPriority w:val="34"/>
    <w:pPr>
      <w:ind w:firstLine="420"/>
    </w:pPr>
    <w:rPr>
      <w:rFonts w:cs="宋体"/>
    </w:rPr>
  </w:style>
  <w:style w:type="character" w:customStyle="1" w:styleId="27">
    <w:name w:val="列表段落 字符"/>
    <w:link w:val="26"/>
    <w:qFormat/>
    <w:uiPriority w:val="34"/>
    <w:rPr>
      <w:rFonts w:ascii="宋体" w:hAnsi="宋体" w:eastAsia="宋体" w:cs="宋体"/>
      <w:kern w:val="2"/>
      <w:sz w:val="24"/>
      <w:szCs w:val="24"/>
    </w:rPr>
  </w:style>
  <w:style w:type="character" w:customStyle="1" w:styleId="28">
    <w:name w:val="标题 4 字符"/>
    <w:basedOn w:val="19"/>
    <w:link w:val="5"/>
    <w:qFormat/>
    <w:uiPriority w:val="0"/>
    <w:rPr>
      <w:rFonts w:ascii="宋体" w:hAnsi="宋体" w:eastAsia="宋体" w:cs="宋体"/>
      <w:b/>
      <w:kern w:val="2"/>
      <w:sz w:val="24"/>
      <w:szCs w:val="24"/>
    </w:rPr>
  </w:style>
  <w:style w:type="character" w:customStyle="1" w:styleId="29">
    <w:name w:val="标题 5 字符"/>
    <w:basedOn w:val="19"/>
    <w:link w:val="6"/>
    <w:qFormat/>
    <w:uiPriority w:val="0"/>
    <w:rPr>
      <w:rFonts w:ascii="宋体" w:hAnsi="宋体" w:eastAsia="宋体" w:cs="宋体"/>
      <w:b/>
      <w:kern w:val="2"/>
      <w:sz w:val="24"/>
      <w:szCs w:val="24"/>
    </w:rPr>
  </w:style>
  <w:style w:type="character" w:customStyle="1" w:styleId="30">
    <w:name w:val="标题 6 字符"/>
    <w:basedOn w:val="19"/>
    <w:link w:val="7"/>
    <w:qFormat/>
    <w:uiPriority w:val="0"/>
    <w:rPr>
      <w:rFonts w:ascii="Arial" w:hAnsi="Arial" w:eastAsia="宋体" w:cs="宋体"/>
      <w:b/>
      <w:kern w:val="2"/>
      <w:sz w:val="24"/>
      <w:szCs w:val="24"/>
    </w:rPr>
  </w:style>
  <w:style w:type="character" w:customStyle="1" w:styleId="31">
    <w:name w:val="标题 7 字符"/>
    <w:basedOn w:val="19"/>
    <w:link w:val="8"/>
    <w:semiHidden/>
    <w:qFormat/>
    <w:uiPriority w:val="0"/>
    <w:rPr>
      <w:rFonts w:ascii="宋体" w:hAnsi="宋体" w:eastAsia="宋体" w:cs="宋体"/>
      <w:b/>
      <w:kern w:val="2"/>
      <w:sz w:val="24"/>
      <w:szCs w:val="24"/>
    </w:rPr>
  </w:style>
  <w:style w:type="character" w:customStyle="1" w:styleId="32">
    <w:name w:val="标题 8 字符"/>
    <w:basedOn w:val="19"/>
    <w:link w:val="9"/>
    <w:semiHidden/>
    <w:qFormat/>
    <w:uiPriority w:val="0"/>
    <w:rPr>
      <w:rFonts w:ascii="Arial" w:hAnsi="Arial" w:eastAsia="黑体" w:cs="宋体"/>
      <w:kern w:val="2"/>
      <w:sz w:val="24"/>
      <w:szCs w:val="24"/>
    </w:rPr>
  </w:style>
  <w:style w:type="character" w:customStyle="1" w:styleId="33">
    <w:name w:val="标题 9 字符"/>
    <w:basedOn w:val="19"/>
    <w:link w:val="10"/>
    <w:semiHidden/>
    <w:qFormat/>
    <w:uiPriority w:val="0"/>
    <w:rPr>
      <w:rFonts w:ascii="Arial" w:hAnsi="Arial" w:eastAsia="黑体" w:cs="宋体"/>
      <w:kern w:val="2"/>
      <w:sz w:val="21"/>
      <w:szCs w:val="24"/>
    </w:rPr>
  </w:style>
  <w:style w:type="character" w:customStyle="1" w:styleId="34">
    <w:name w:val="标题 2 字符"/>
    <w:basedOn w:val="19"/>
    <w:link w:val="3"/>
    <w:qFormat/>
    <w:uiPriority w:val="0"/>
    <w:rPr>
      <w:rFonts w:ascii="宋体" w:hAnsi="宋体" w:eastAsia="宋体" w:cs="Times New Roman"/>
      <w:b/>
      <w:bCs/>
      <w:kern w:val="2"/>
      <w:sz w:val="30"/>
      <w:szCs w:val="32"/>
    </w:rPr>
  </w:style>
  <w:style w:type="character" w:customStyle="1" w:styleId="35">
    <w:name w:val="标题 字符"/>
    <w:basedOn w:val="19"/>
    <w:link w:val="16"/>
    <w:qFormat/>
    <w:uiPriority w:val="0"/>
    <w:rPr>
      <w:rFonts w:asciiTheme="majorHAnsi" w:hAnsiTheme="majorHAnsi" w:eastAsiaTheme="majorEastAsia" w:cstheme="majorBidi"/>
      <w:b/>
      <w:bCs/>
      <w:kern w:val="2"/>
      <w:sz w:val="32"/>
      <w:szCs w:val="32"/>
    </w:rPr>
  </w:style>
  <w:style w:type="paragraph" w:customStyle="1" w:styleId="36">
    <w:name w:val="修订1"/>
    <w:hidden/>
    <w:unhideWhenUsed/>
    <w:qFormat/>
    <w:uiPriority w:val="99"/>
    <w:rPr>
      <w:rFonts w:ascii="宋体" w:hAnsi="宋体" w:eastAsia="宋体" w:cs="Times New Roman"/>
      <w:kern w:val="2"/>
      <w:sz w:val="24"/>
      <w:szCs w:val="24"/>
      <w:lang w:val="en-US" w:eastAsia="zh-CN" w:bidi="ar-SA"/>
    </w:rPr>
  </w:style>
  <w:style w:type="character" w:customStyle="1" w:styleId="37">
    <w:name w:val="批注框文本 字符"/>
    <w:basedOn w:val="19"/>
    <w:link w:val="13"/>
    <w:qFormat/>
    <w:uiPriority w:val="0"/>
    <w:rPr>
      <w:rFonts w:ascii="宋体" w:hAnsi="宋体" w:eastAsia="宋体" w:cs="Times New Roman"/>
      <w:kern w:val="2"/>
      <w:sz w:val="18"/>
      <w:szCs w:val="18"/>
    </w:rPr>
  </w:style>
  <w:style w:type="character" w:customStyle="1" w:styleId="38">
    <w:name w:val="批注文字 字符"/>
    <w:basedOn w:val="19"/>
    <w:link w:val="11"/>
    <w:qFormat/>
    <w:uiPriority w:val="0"/>
    <w:rPr>
      <w:rFonts w:ascii="宋体" w:hAnsi="宋体" w:eastAsia="宋体" w:cs="Times New Roman"/>
      <w:kern w:val="2"/>
      <w:sz w:val="24"/>
      <w:szCs w:val="24"/>
    </w:rPr>
  </w:style>
  <w:style w:type="character" w:customStyle="1" w:styleId="39">
    <w:name w:val="批注主题 字符"/>
    <w:basedOn w:val="38"/>
    <w:link w:val="17"/>
    <w:qFormat/>
    <w:uiPriority w:val="0"/>
    <w:rPr>
      <w:rFonts w:ascii="宋体" w:hAnsi="宋体" w:eastAsia="宋体" w:cs="Times New Roman"/>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4CA8B8B2-CEFC-479B-86F0-610285BE75D0}">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1603</Words>
  <Characters>9143</Characters>
  <Lines>76</Lines>
  <Paragraphs>21</Paragraphs>
  <TotalTime>160</TotalTime>
  <ScaleCrop>false</ScaleCrop>
  <LinksUpToDate>false</LinksUpToDate>
  <CharactersWithSpaces>10725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2026-07-06T13:50:00Z</dcterms:created>
  <dc:creator>user</dc:creator>
  <cp:lastModifiedBy>李修辞</cp:lastModifiedBy>
  <dcterms:modified xsi:type="dcterms:W3CDTF">2026-09-28T11:05:39Z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C0333D9C9EDC434881011F08177B8D11_12</vt:lpwstr>
  </property>
</Properties>
</file>