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C7585">
      <w:pPr>
        <w:pStyle w:val="2"/>
        <w:spacing w:line="360" w:lineRule="auto"/>
        <w:rPr>
          <w:rFonts w:asciiTheme="minorEastAsia" w:hAnsiTheme="minorEastAsia" w:eastAsiaTheme="minorEastAsia"/>
        </w:rPr>
      </w:pPr>
      <w:bookmarkStart w:id="32" w:name="_GoBack"/>
      <w:r>
        <w:rPr>
          <w:rFonts w:hint="eastAsia" w:asciiTheme="minorEastAsia" w:hAnsiTheme="minorEastAsia" w:eastAsiaTheme="minorEastAsia"/>
        </w:rPr>
        <w:t>项目名称：上海市口腔医院电子病历五级建设项目技术参数</w:t>
      </w:r>
    </w:p>
    <w:p w14:paraId="1B19562C">
      <w:pPr>
        <w:pStyle w:val="29"/>
        <w:spacing w:line="360" w:lineRule="auto"/>
        <w:ind w:left="420" w:firstLine="0" w:firstLineChars="0"/>
        <w:rPr>
          <w:rFonts w:asciiTheme="minorEastAsia" w:hAnsiTheme="minorEastAsia" w:eastAsiaTheme="minorEastAsia"/>
          <w:sz w:val="24"/>
          <w:szCs w:val="24"/>
        </w:rPr>
      </w:pPr>
    </w:p>
    <w:p w14:paraId="7BDB6333">
      <w:pPr>
        <w:pStyle w:val="2"/>
        <w:spacing w:line="360" w:lineRule="auto"/>
        <w:rPr>
          <w:rFonts w:asciiTheme="minorEastAsia" w:hAnsiTheme="minorEastAsia" w:eastAsiaTheme="minorEastAsia"/>
        </w:rPr>
      </w:pPr>
      <w:r>
        <w:rPr>
          <w:rFonts w:hint="eastAsia" w:asciiTheme="minorEastAsia" w:hAnsiTheme="minorEastAsia" w:eastAsiaTheme="minorEastAsia"/>
        </w:rPr>
        <w:t>一、招标要求</w:t>
      </w:r>
    </w:p>
    <w:p w14:paraId="3E2A7C07">
      <w:pPr>
        <w:pStyle w:val="3"/>
        <w:numPr>
          <w:ilvl w:val="0"/>
          <w:numId w:val="1"/>
        </w:numPr>
        <w:spacing w:line="360" w:lineRule="auto"/>
        <w:ind w:left="420"/>
        <w:textAlignment w:val="baseline"/>
        <w:rPr>
          <w:rFonts w:asciiTheme="minorEastAsia" w:hAnsiTheme="minorEastAsia" w:eastAsiaTheme="minorEastAsia"/>
          <w:sz w:val="24"/>
          <w:szCs w:val="24"/>
        </w:rPr>
      </w:pPr>
      <w:bookmarkStart w:id="0" w:name="_Toc3420"/>
      <w:bookmarkStart w:id="1" w:name="_Toc73086506"/>
      <w:r>
        <w:rPr>
          <w:rFonts w:hint="eastAsia" w:asciiTheme="minorEastAsia" w:hAnsiTheme="minorEastAsia" w:eastAsiaTheme="minorEastAsia"/>
          <w:sz w:val="24"/>
          <w:szCs w:val="24"/>
        </w:rPr>
        <w:t>项目背景</w:t>
      </w:r>
      <w:bookmarkEnd w:id="0"/>
      <w:bookmarkEnd w:id="1"/>
      <w:bookmarkStart w:id="2" w:name="_Toc386137895"/>
      <w:bookmarkStart w:id="3" w:name="_Toc321257474"/>
      <w:bookmarkStart w:id="4" w:name="_Toc386229114"/>
      <w:bookmarkStart w:id="5" w:name="_Toc386229322"/>
      <w:bookmarkStart w:id="6" w:name="_Toc382080664"/>
    </w:p>
    <w:p w14:paraId="43F259C5">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上海市口腔医院成立于1946年，前身是上海市立牙病中心防治所，隶属于上海申康医院发展中心。是一所集医疗、教学、科研、预防为一体，以医防融合为特色的三级口腔专科医院。自上世纪50年代起，受上海市卫生健康委员会的委托，指导全市口腔疾病防控工作，拥有全国最完整的口腔公共卫生三级防治网络。现设有北京东路院区、复兴中路院区、浦锦院区、</w:t>
      </w:r>
      <w:r>
        <w:rPr>
          <w:rFonts w:hint="eastAsia" w:asciiTheme="minorEastAsia" w:hAnsiTheme="minorEastAsia" w:eastAsiaTheme="minorEastAsia"/>
          <w:sz w:val="24"/>
        </w:rPr>
        <w:t>闵行院区、</w:t>
      </w:r>
      <w:r>
        <w:rPr>
          <w:rFonts w:asciiTheme="minorEastAsia" w:hAnsiTheme="minorEastAsia" w:eastAsiaTheme="minorEastAsia"/>
          <w:sz w:val="24"/>
        </w:rPr>
        <w:t>永嘉路门诊部为居民提供口腔健康服务，着力改善群众口腔健康水平，提高生活品质。</w:t>
      </w:r>
      <w:r>
        <w:rPr>
          <w:rFonts w:hint="eastAsia" w:asciiTheme="minorEastAsia" w:hAnsiTheme="minorEastAsia" w:eastAsiaTheme="minorEastAsia"/>
          <w:sz w:val="24"/>
        </w:rPr>
        <w:t>在上海市卫生健康委员会、上海申康医院发展中心和复旦大学的领导下，医院将在更高的起点上，向建设中国特色世界顶尖大学附属口腔医院暨口腔医学院奋进。</w:t>
      </w:r>
    </w:p>
    <w:p w14:paraId="5E327226">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为推动上海市口腔医院高质量发展，有必要强化信息化支撑作用，推进电子病历、智慧服务、智慧管理“三位一体”智慧医院建设，参照2018年发布的《电子病历系统应用水平分级评价标准（试行）》相关测评标准具体要求进行差距分析和必要的改造和升级，进一步梳理现有各个临床系统和信息化流程，持续提高临床工作效率和医疗服务质量。</w:t>
      </w:r>
    </w:p>
    <w:p w14:paraId="7858177B">
      <w:pPr>
        <w:pStyle w:val="3"/>
        <w:numPr>
          <w:ilvl w:val="0"/>
          <w:numId w:val="1"/>
        </w:numPr>
        <w:spacing w:line="360" w:lineRule="auto"/>
        <w:ind w:left="420"/>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本期建设具体实现目标</w:t>
      </w:r>
    </w:p>
    <w:p w14:paraId="2DC9E85B">
      <w:pPr>
        <w:numPr>
          <w:ilvl w:val="0"/>
          <w:numId w:val="2"/>
        </w:num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遵循国家医改总体部署及卫生改革政策的总体规划，从医院自身发展需求出发，制定前瞻性的信息化规划，本着继承、发展、新建的精神，开展以电子病历应用水平五级为主要目标的信息化建设项目，以评促建，整体提升医院的信息化水平。以病人为中心，改善患者就医体验；以电子病历为核心，全面推进电子病历应用水平提高；</w:t>
      </w:r>
      <w:r>
        <w:rPr>
          <w:rFonts w:hint="eastAsia" w:asciiTheme="minorEastAsia" w:hAnsiTheme="minorEastAsia" w:eastAsiaTheme="minorEastAsia"/>
          <w:sz w:val="28"/>
          <w:szCs w:val="28"/>
        </w:rPr>
        <w:t>加</w:t>
      </w:r>
      <w:r>
        <w:rPr>
          <w:rFonts w:hint="eastAsia" w:asciiTheme="minorEastAsia" w:hAnsiTheme="minorEastAsia" w:eastAsiaTheme="minorEastAsia"/>
          <w:sz w:val="24"/>
        </w:rPr>
        <w:t>强业务系统数据互通，实现医疗信息的实时共享与深度整合，大幅提升诊疗效率与安全性</w:t>
      </w:r>
      <w:bookmarkEnd w:id="2"/>
      <w:bookmarkEnd w:id="3"/>
      <w:bookmarkEnd w:id="4"/>
      <w:bookmarkEnd w:id="5"/>
      <w:bookmarkEnd w:id="6"/>
      <w:bookmarkStart w:id="7" w:name="_Toc386137955"/>
      <w:bookmarkStart w:id="8" w:name="_Toc445306828"/>
      <w:bookmarkStart w:id="9" w:name="_Toc382080739"/>
      <w:bookmarkStart w:id="10" w:name="_Toc386229382"/>
      <w:bookmarkStart w:id="11" w:name="_Toc386229174"/>
      <w:r>
        <w:rPr>
          <w:rFonts w:hint="eastAsia" w:asciiTheme="minorEastAsia" w:hAnsiTheme="minorEastAsia" w:eastAsiaTheme="minorEastAsia"/>
          <w:sz w:val="24"/>
        </w:rPr>
        <w:t>。</w:t>
      </w:r>
    </w:p>
    <w:bookmarkEnd w:id="7"/>
    <w:bookmarkEnd w:id="8"/>
    <w:bookmarkEnd w:id="9"/>
    <w:bookmarkEnd w:id="10"/>
    <w:bookmarkEnd w:id="11"/>
    <w:p w14:paraId="2CFE86E6">
      <w:pPr>
        <w:pStyle w:val="3"/>
        <w:numPr>
          <w:ilvl w:val="0"/>
          <w:numId w:val="1"/>
        </w:numPr>
        <w:spacing w:before="312" w:after="312" w:afterAutospacing="1" w:line="360" w:lineRule="auto"/>
        <w:ind w:left="420"/>
        <w:textAlignment w:val="baseline"/>
        <w:rPr>
          <w:rFonts w:asciiTheme="minorEastAsia" w:hAnsiTheme="minorEastAsia" w:eastAsiaTheme="minorEastAsia"/>
          <w:sz w:val="24"/>
          <w:szCs w:val="24"/>
        </w:rPr>
      </w:pPr>
      <w:bookmarkStart w:id="12" w:name="_Toc73086511"/>
      <w:r>
        <w:rPr>
          <w:rFonts w:hint="eastAsia" w:asciiTheme="minorEastAsia" w:hAnsiTheme="minorEastAsia" w:eastAsiaTheme="minorEastAsia"/>
          <w:sz w:val="24"/>
          <w:szCs w:val="24"/>
        </w:rPr>
        <w:t>应用系统功能要求</w:t>
      </w:r>
      <w:bookmarkEnd w:id="12"/>
    </w:p>
    <w:p w14:paraId="0D68A58A">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投标方应基于医疗机构现有信息化基础设施及系统架构现状，严格参照《电子病历系统应用水平分级评价标准（试行）》技术规范要求，编制系统性升级改造实施方案，确保各业务系统功能模块全面符合电子病历五级评价维度与技术指标并配合评级相关工作，具体改造工程包含但不限于本招标文件所列示的项目建设清单要求，涵盖功能优化、系统适配、数据整合等关键环节，并提供完整的标准对标分析、实施路径规划及验收保障机制，投标人应承诺，配合医院后续</w:t>
      </w:r>
      <w:r>
        <w:rPr>
          <w:rFonts w:asciiTheme="minorEastAsia" w:hAnsiTheme="minorEastAsia" w:eastAsiaTheme="minorEastAsia"/>
          <w:sz w:val="24"/>
        </w:rPr>
        <w:t>CDSS临床知识库系统建设对接，投标人应配合医院系统对接工作开展，详细工作内容双方友好协商。投标人应承诺，截止投标时间，所投软件应能满足现行《电子病历系统应用水平分级评价标准（试行）》五级对本项目所投软件的功能要求，如后续因国家政策变更为其他评级或被其他评级替代，投标人应需继续履行此次项目招标内容，并配合医院评估新标评级差距。</w:t>
      </w:r>
    </w:p>
    <w:p w14:paraId="0D74B0B4">
      <w:pPr>
        <w:pStyle w:val="4"/>
        <w:numPr>
          <w:ilvl w:val="1"/>
          <w:numId w:val="1"/>
        </w:numPr>
        <w:spacing w:before="312" w:after="312" w:afterAutospacing="1" w:line="360" w:lineRule="auto"/>
        <w:textAlignment w:val="baseline"/>
        <w:rPr>
          <w:rFonts w:asciiTheme="minorEastAsia" w:hAnsiTheme="minorEastAsia" w:eastAsiaTheme="minorEastAsia"/>
          <w:szCs w:val="24"/>
        </w:rPr>
      </w:pPr>
      <w:bookmarkStart w:id="13" w:name="_Toc14720"/>
      <w:bookmarkStart w:id="14" w:name="_Toc44516269"/>
      <w:bookmarkStart w:id="15" w:name="_Toc44516108"/>
      <w:r>
        <w:rPr>
          <w:rFonts w:hint="eastAsia" w:asciiTheme="minorEastAsia" w:hAnsiTheme="minorEastAsia" w:eastAsiaTheme="minorEastAsia"/>
          <w:szCs w:val="24"/>
        </w:rPr>
        <w:t>项目招标清单</w:t>
      </w:r>
      <w:bookmarkEnd w:id="13"/>
      <w:bookmarkEnd w:id="14"/>
      <w:bookmarkEnd w:id="15"/>
    </w:p>
    <w:p w14:paraId="33B437EE">
      <w:pPr>
        <w:pStyle w:val="46"/>
        <w:ind w:firstLineChars="0"/>
        <w:textAlignment w:val="baseline"/>
        <w:rPr>
          <w:rFonts w:asciiTheme="minorEastAsia" w:hAnsiTheme="minorEastAsia" w:eastAsiaTheme="minorEastAsia"/>
          <w:szCs w:val="24"/>
        </w:rPr>
      </w:pPr>
      <w:r>
        <w:rPr>
          <w:rFonts w:hint="eastAsia" w:asciiTheme="minorEastAsia" w:hAnsiTheme="minorEastAsia" w:eastAsiaTheme="minorEastAsia"/>
          <w:szCs w:val="24"/>
        </w:rPr>
        <w:t>依据医院业务的实际需求，具体建设清单如下表所示，要求包括以下功能模块：</w:t>
      </w:r>
    </w:p>
    <w:tbl>
      <w:tblPr>
        <w:tblStyle w:val="22"/>
        <w:tblW w:w="8320" w:type="dxa"/>
        <w:tblInd w:w="100" w:type="dxa"/>
        <w:tblLayout w:type="fixed"/>
        <w:tblCellMar>
          <w:top w:w="0" w:type="dxa"/>
          <w:left w:w="108" w:type="dxa"/>
          <w:bottom w:w="0" w:type="dxa"/>
          <w:right w:w="108" w:type="dxa"/>
        </w:tblCellMar>
      </w:tblPr>
      <w:tblGrid>
        <w:gridCol w:w="1019"/>
        <w:gridCol w:w="1428"/>
        <w:gridCol w:w="1545"/>
        <w:gridCol w:w="4328"/>
      </w:tblGrid>
      <w:tr w14:paraId="11A26679">
        <w:tblPrEx>
          <w:tblCellMar>
            <w:top w:w="0" w:type="dxa"/>
            <w:left w:w="108" w:type="dxa"/>
            <w:bottom w:w="0" w:type="dxa"/>
            <w:right w:w="108" w:type="dxa"/>
          </w:tblCellMar>
        </w:tblPrEx>
        <w:trPr>
          <w:trHeight w:val="63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2263">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855B">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0BF3">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功能模块</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5D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功能模块明细</w:t>
            </w:r>
          </w:p>
        </w:tc>
      </w:tr>
      <w:tr w14:paraId="62515DCE">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6B28">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C9173">
            <w:pPr>
              <w:widowControl/>
              <w:jc w:val="center"/>
              <w:textAlignment w:val="center"/>
              <w:rPr>
                <w:rFonts w:ascii="宋体" w:hAnsi="宋体" w:cs="宋体"/>
                <w:color w:val="000000"/>
                <w:sz w:val="24"/>
              </w:rPr>
            </w:pPr>
            <w:r>
              <w:rPr>
                <w:rFonts w:hint="eastAsia" w:ascii="宋体" w:hAnsi="宋体" w:cs="宋体"/>
                <w:color w:val="000000"/>
                <w:kern w:val="0"/>
                <w:sz w:val="24"/>
                <w:lang w:bidi="ar"/>
              </w:rPr>
              <w:t>护理病历信息系统</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A9344">
            <w:pPr>
              <w:widowControl/>
              <w:jc w:val="center"/>
              <w:textAlignment w:val="center"/>
              <w:rPr>
                <w:rFonts w:ascii="宋体" w:hAnsi="宋体" w:cs="宋体"/>
                <w:color w:val="000000"/>
                <w:sz w:val="24"/>
              </w:rPr>
            </w:pPr>
            <w:r>
              <w:rPr>
                <w:rFonts w:hint="eastAsia" w:ascii="宋体" w:hAnsi="宋体" w:cs="宋体"/>
                <w:color w:val="000000"/>
                <w:kern w:val="0"/>
                <w:sz w:val="24"/>
                <w:lang w:bidi="ar"/>
              </w:rPr>
              <w:t>护理计划</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A8B1">
            <w:pPr>
              <w:widowControl/>
              <w:jc w:val="left"/>
              <w:textAlignment w:val="center"/>
              <w:rPr>
                <w:rFonts w:ascii="宋体" w:hAnsi="宋体" w:cs="宋体"/>
                <w:color w:val="000000"/>
                <w:sz w:val="24"/>
              </w:rPr>
            </w:pPr>
            <w:r>
              <w:rPr>
                <w:rFonts w:hint="eastAsia" w:ascii="宋体" w:hAnsi="宋体" w:cs="宋体"/>
                <w:color w:val="000000"/>
                <w:kern w:val="0"/>
                <w:sz w:val="24"/>
                <w:lang w:bidi="ar"/>
              </w:rPr>
              <w:t>护理计划管理</w:t>
            </w:r>
          </w:p>
        </w:tc>
      </w:tr>
      <w:tr w14:paraId="74FC3D56">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1D5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9A84">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59BED">
            <w:pPr>
              <w:jc w:val="center"/>
              <w:rPr>
                <w:rFonts w:ascii="宋体" w:hAnsi="宋体" w:cs="宋体"/>
                <w:color w:val="000000"/>
                <w:sz w:val="24"/>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9ECE">
            <w:pPr>
              <w:widowControl/>
              <w:jc w:val="left"/>
              <w:textAlignment w:val="center"/>
              <w:rPr>
                <w:rFonts w:ascii="宋体" w:hAnsi="宋体" w:cs="宋体"/>
                <w:color w:val="000000"/>
                <w:sz w:val="24"/>
              </w:rPr>
            </w:pPr>
            <w:r>
              <w:rPr>
                <w:rFonts w:hint="eastAsia" w:ascii="宋体" w:hAnsi="宋体" w:cs="宋体"/>
                <w:color w:val="000000"/>
                <w:kern w:val="0"/>
                <w:sz w:val="24"/>
                <w:lang w:bidi="ar"/>
              </w:rPr>
              <w:t>护理计划联动规则管理</w:t>
            </w:r>
          </w:p>
        </w:tc>
      </w:tr>
      <w:tr w14:paraId="7F38914B">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AA47">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CD83">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9240">
            <w:pPr>
              <w:jc w:val="center"/>
              <w:rPr>
                <w:rFonts w:ascii="宋体" w:hAnsi="宋体" w:cs="宋体"/>
                <w:color w:val="000000"/>
                <w:sz w:val="24"/>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71DD">
            <w:pPr>
              <w:widowControl/>
              <w:jc w:val="left"/>
              <w:textAlignment w:val="center"/>
              <w:rPr>
                <w:rFonts w:ascii="宋体" w:hAnsi="宋体" w:cs="宋体"/>
                <w:color w:val="000000"/>
                <w:sz w:val="24"/>
              </w:rPr>
            </w:pPr>
            <w:r>
              <w:rPr>
                <w:rFonts w:hint="eastAsia" w:ascii="宋体" w:hAnsi="宋体" w:cs="宋体"/>
                <w:color w:val="000000"/>
                <w:kern w:val="0"/>
                <w:sz w:val="24"/>
                <w:lang w:bidi="ar"/>
              </w:rPr>
              <w:t>护理计划统计分析</w:t>
            </w:r>
          </w:p>
        </w:tc>
      </w:tr>
      <w:tr w14:paraId="7D931DFF">
        <w:tblPrEx>
          <w:tblCellMar>
            <w:top w:w="0" w:type="dxa"/>
            <w:left w:w="108" w:type="dxa"/>
            <w:bottom w:w="0" w:type="dxa"/>
            <w:right w:w="108" w:type="dxa"/>
          </w:tblCellMar>
        </w:tblPrEx>
        <w:trPr>
          <w:trHeight w:val="63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6162">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31FF4">
            <w:pPr>
              <w:widowControl/>
              <w:jc w:val="center"/>
              <w:textAlignment w:val="center"/>
              <w:rPr>
                <w:rFonts w:ascii="宋体" w:hAnsi="宋体" w:cs="宋体"/>
                <w:color w:val="000000"/>
                <w:sz w:val="24"/>
              </w:rPr>
            </w:pPr>
            <w:r>
              <w:rPr>
                <w:rFonts w:hint="eastAsia" w:ascii="宋体" w:hAnsi="宋体" w:cs="宋体"/>
                <w:color w:val="000000"/>
                <w:kern w:val="0"/>
                <w:sz w:val="24"/>
                <w:lang w:bidi="ar"/>
              </w:rPr>
              <w:t>治疗管理信息系统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8FA6">
            <w:pPr>
              <w:widowControl/>
              <w:jc w:val="center"/>
              <w:textAlignment w:val="center"/>
              <w:rPr>
                <w:rFonts w:ascii="宋体" w:hAnsi="宋体" w:cs="宋体"/>
                <w:color w:val="000000"/>
                <w:sz w:val="24"/>
              </w:rPr>
            </w:pPr>
            <w:r>
              <w:rPr>
                <w:rFonts w:hint="eastAsia" w:ascii="宋体" w:hAnsi="宋体" w:cs="宋体"/>
                <w:color w:val="000000"/>
                <w:kern w:val="0"/>
                <w:sz w:val="24"/>
                <w:lang w:bidi="ar"/>
              </w:rPr>
              <w:t>治疗项目管理</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508D">
            <w:pPr>
              <w:widowControl/>
              <w:jc w:val="left"/>
              <w:textAlignment w:val="center"/>
              <w:rPr>
                <w:rFonts w:ascii="宋体" w:hAnsi="宋体" w:cs="宋体"/>
                <w:color w:val="000000"/>
                <w:sz w:val="24"/>
              </w:rPr>
            </w:pPr>
            <w:r>
              <w:rPr>
                <w:rFonts w:hint="eastAsia" w:ascii="宋体" w:hAnsi="宋体" w:cs="宋体"/>
                <w:color w:val="000000"/>
                <w:kern w:val="0"/>
                <w:sz w:val="24"/>
                <w:lang w:bidi="ar"/>
              </w:rPr>
              <w:t>治疗项目管理</w:t>
            </w:r>
          </w:p>
        </w:tc>
      </w:tr>
      <w:tr w14:paraId="34A3BD55">
        <w:tblPrEx>
          <w:tblCellMar>
            <w:top w:w="0" w:type="dxa"/>
            <w:left w:w="108" w:type="dxa"/>
            <w:bottom w:w="0" w:type="dxa"/>
            <w:right w:w="108" w:type="dxa"/>
          </w:tblCellMar>
        </w:tblPrEx>
        <w:trPr>
          <w:trHeight w:val="63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E735">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7301">
            <w:pPr>
              <w:jc w:val="center"/>
              <w:rPr>
                <w:rFonts w:ascii="宋体" w:hAnsi="宋体" w:cs="宋体"/>
                <w:color w:val="000000"/>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29BC">
            <w:pPr>
              <w:widowControl/>
              <w:jc w:val="center"/>
              <w:textAlignment w:val="center"/>
              <w:rPr>
                <w:rFonts w:ascii="宋体" w:hAnsi="宋体" w:cs="宋体"/>
                <w:color w:val="000000"/>
                <w:sz w:val="24"/>
              </w:rPr>
            </w:pPr>
            <w:r>
              <w:rPr>
                <w:rFonts w:hint="eastAsia" w:ascii="宋体" w:hAnsi="宋体" w:cs="宋体"/>
                <w:color w:val="000000"/>
                <w:kern w:val="0"/>
                <w:sz w:val="24"/>
                <w:lang w:bidi="ar"/>
              </w:rPr>
              <w:t>治疗记录</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4A96">
            <w:pPr>
              <w:widowControl/>
              <w:jc w:val="left"/>
              <w:textAlignment w:val="center"/>
              <w:rPr>
                <w:rFonts w:ascii="宋体" w:hAnsi="宋体" w:cs="宋体"/>
                <w:color w:val="000000"/>
                <w:sz w:val="24"/>
              </w:rPr>
            </w:pPr>
            <w:r>
              <w:rPr>
                <w:rFonts w:hint="eastAsia" w:ascii="宋体" w:hAnsi="宋体" w:cs="宋体"/>
                <w:color w:val="000000"/>
                <w:kern w:val="0"/>
                <w:sz w:val="24"/>
                <w:lang w:bidi="ar"/>
              </w:rPr>
              <w:t>治疗记录</w:t>
            </w:r>
          </w:p>
        </w:tc>
      </w:tr>
      <w:tr w14:paraId="2815DF90">
        <w:tblPrEx>
          <w:tblCellMar>
            <w:top w:w="0" w:type="dxa"/>
            <w:left w:w="108" w:type="dxa"/>
            <w:bottom w:w="0" w:type="dxa"/>
            <w:right w:w="108" w:type="dxa"/>
          </w:tblCellMar>
        </w:tblPrEx>
        <w:trPr>
          <w:trHeight w:val="63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9032">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76C3D">
            <w:pPr>
              <w:jc w:val="center"/>
              <w:rPr>
                <w:rFonts w:ascii="宋体" w:hAnsi="宋体" w:cs="宋体"/>
                <w:color w:val="000000"/>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074B">
            <w:pPr>
              <w:widowControl/>
              <w:jc w:val="center"/>
              <w:textAlignment w:val="center"/>
              <w:rPr>
                <w:rFonts w:ascii="宋体" w:hAnsi="宋体" w:cs="宋体"/>
                <w:color w:val="000000"/>
                <w:sz w:val="24"/>
              </w:rPr>
            </w:pPr>
            <w:r>
              <w:rPr>
                <w:rFonts w:hint="eastAsia" w:ascii="宋体" w:hAnsi="宋体" w:cs="宋体"/>
                <w:color w:val="000000"/>
                <w:kern w:val="0"/>
                <w:sz w:val="24"/>
                <w:lang w:bidi="ar"/>
              </w:rPr>
              <w:t>治疗单划价</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15FE">
            <w:pPr>
              <w:widowControl/>
              <w:jc w:val="left"/>
              <w:textAlignment w:val="center"/>
              <w:rPr>
                <w:rFonts w:ascii="宋体" w:hAnsi="宋体" w:cs="宋体"/>
                <w:color w:val="000000"/>
                <w:sz w:val="24"/>
              </w:rPr>
            </w:pPr>
            <w:r>
              <w:rPr>
                <w:rFonts w:hint="eastAsia" w:ascii="宋体" w:hAnsi="宋体" w:cs="宋体"/>
                <w:color w:val="000000"/>
                <w:kern w:val="0"/>
                <w:sz w:val="24"/>
                <w:lang w:bidi="ar"/>
              </w:rPr>
              <w:t>治疗单划价</w:t>
            </w:r>
          </w:p>
        </w:tc>
      </w:tr>
      <w:tr w14:paraId="21F85601">
        <w:tblPrEx>
          <w:tblCellMar>
            <w:top w:w="0" w:type="dxa"/>
            <w:left w:w="108" w:type="dxa"/>
            <w:bottom w:w="0" w:type="dxa"/>
            <w:right w:w="108" w:type="dxa"/>
          </w:tblCellMar>
        </w:tblPrEx>
        <w:trPr>
          <w:trHeight w:val="63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007C">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FA6D">
            <w:pPr>
              <w:jc w:val="center"/>
              <w:rPr>
                <w:rFonts w:ascii="宋体" w:hAnsi="宋体" w:cs="宋体"/>
                <w:color w:val="000000"/>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5D11">
            <w:pPr>
              <w:widowControl/>
              <w:jc w:val="center"/>
              <w:textAlignment w:val="center"/>
              <w:rPr>
                <w:rFonts w:ascii="宋体" w:hAnsi="宋体" w:cs="宋体"/>
                <w:color w:val="000000"/>
                <w:sz w:val="24"/>
              </w:rPr>
            </w:pPr>
            <w:r>
              <w:rPr>
                <w:rFonts w:hint="eastAsia" w:ascii="宋体" w:hAnsi="宋体" w:cs="宋体"/>
                <w:color w:val="000000"/>
                <w:kern w:val="0"/>
                <w:sz w:val="24"/>
                <w:lang w:bidi="ar"/>
              </w:rPr>
              <w:t>治疗预约管理</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79F1">
            <w:pPr>
              <w:widowControl/>
              <w:jc w:val="left"/>
              <w:textAlignment w:val="center"/>
              <w:rPr>
                <w:rFonts w:ascii="宋体" w:hAnsi="宋体" w:cs="宋体"/>
                <w:color w:val="000000"/>
                <w:sz w:val="24"/>
              </w:rPr>
            </w:pPr>
            <w:r>
              <w:rPr>
                <w:rFonts w:hint="eastAsia" w:ascii="宋体" w:hAnsi="宋体" w:cs="宋体"/>
                <w:color w:val="000000"/>
                <w:kern w:val="0"/>
                <w:sz w:val="24"/>
                <w:lang w:bidi="ar"/>
              </w:rPr>
              <w:t>治疗预约管理</w:t>
            </w:r>
          </w:p>
        </w:tc>
      </w:tr>
      <w:tr w14:paraId="0AADED26">
        <w:tblPrEx>
          <w:tblCellMar>
            <w:top w:w="0" w:type="dxa"/>
            <w:left w:w="108" w:type="dxa"/>
            <w:bottom w:w="0" w:type="dxa"/>
            <w:right w:w="108" w:type="dxa"/>
          </w:tblCellMar>
        </w:tblPrEx>
        <w:trPr>
          <w:trHeight w:val="63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576D">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CBF0">
            <w:pPr>
              <w:jc w:val="center"/>
              <w:rPr>
                <w:rFonts w:ascii="宋体" w:hAnsi="宋体" w:cs="宋体"/>
                <w:color w:val="000000"/>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3683">
            <w:pPr>
              <w:widowControl/>
              <w:jc w:val="center"/>
              <w:textAlignment w:val="center"/>
              <w:rPr>
                <w:rFonts w:ascii="宋体" w:hAnsi="宋体" w:cs="宋体"/>
                <w:color w:val="000000"/>
                <w:sz w:val="24"/>
              </w:rPr>
            </w:pPr>
            <w:r>
              <w:rPr>
                <w:rFonts w:hint="eastAsia" w:ascii="宋体" w:hAnsi="宋体" w:cs="宋体"/>
                <w:color w:val="000000"/>
                <w:kern w:val="0"/>
                <w:sz w:val="24"/>
                <w:lang w:bidi="ar"/>
              </w:rPr>
              <w:t>治疗评估</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D0E8">
            <w:pPr>
              <w:widowControl/>
              <w:jc w:val="left"/>
              <w:textAlignment w:val="center"/>
              <w:rPr>
                <w:rFonts w:ascii="宋体" w:hAnsi="宋体" w:cs="宋体"/>
                <w:color w:val="000000"/>
                <w:sz w:val="24"/>
              </w:rPr>
            </w:pPr>
            <w:r>
              <w:rPr>
                <w:rFonts w:hint="eastAsia" w:ascii="宋体" w:hAnsi="宋体" w:cs="宋体"/>
                <w:color w:val="000000"/>
                <w:kern w:val="0"/>
                <w:sz w:val="24"/>
                <w:lang w:bidi="ar"/>
              </w:rPr>
              <w:t>治疗评估</w:t>
            </w:r>
          </w:p>
        </w:tc>
      </w:tr>
      <w:tr w14:paraId="2C825C07">
        <w:tblPrEx>
          <w:tblCellMar>
            <w:top w:w="0" w:type="dxa"/>
            <w:left w:w="108" w:type="dxa"/>
            <w:bottom w:w="0" w:type="dxa"/>
            <w:right w:w="108" w:type="dxa"/>
          </w:tblCellMar>
        </w:tblPrEx>
        <w:trPr>
          <w:trHeight w:val="63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8CF4">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2E4C">
            <w:pPr>
              <w:jc w:val="center"/>
              <w:rPr>
                <w:rFonts w:ascii="宋体" w:hAnsi="宋体" w:cs="宋体"/>
                <w:color w:val="000000"/>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0B77">
            <w:pPr>
              <w:widowControl/>
              <w:jc w:val="center"/>
              <w:textAlignment w:val="center"/>
              <w:rPr>
                <w:rFonts w:ascii="宋体" w:hAnsi="宋体" w:cs="宋体"/>
                <w:color w:val="000000"/>
                <w:sz w:val="24"/>
              </w:rPr>
            </w:pPr>
            <w:r>
              <w:rPr>
                <w:rFonts w:hint="eastAsia" w:ascii="宋体" w:hAnsi="宋体" w:cs="宋体"/>
                <w:color w:val="000000"/>
                <w:kern w:val="0"/>
                <w:sz w:val="24"/>
                <w:lang w:bidi="ar"/>
              </w:rPr>
              <w:t>治疗文书</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6358">
            <w:pPr>
              <w:widowControl/>
              <w:jc w:val="left"/>
              <w:textAlignment w:val="center"/>
              <w:rPr>
                <w:rFonts w:ascii="宋体" w:hAnsi="宋体" w:cs="宋体"/>
                <w:color w:val="000000"/>
                <w:sz w:val="24"/>
              </w:rPr>
            </w:pPr>
            <w:r>
              <w:rPr>
                <w:rFonts w:hint="eastAsia" w:ascii="宋体" w:hAnsi="宋体" w:cs="宋体"/>
                <w:color w:val="000000"/>
                <w:kern w:val="0"/>
                <w:sz w:val="24"/>
                <w:lang w:bidi="ar"/>
              </w:rPr>
              <w:t>治疗文书</w:t>
            </w:r>
          </w:p>
        </w:tc>
      </w:tr>
      <w:tr w14:paraId="3ABEA780">
        <w:tblPrEx>
          <w:tblCellMar>
            <w:top w:w="0" w:type="dxa"/>
            <w:left w:w="108" w:type="dxa"/>
            <w:bottom w:w="0" w:type="dxa"/>
            <w:right w:w="108" w:type="dxa"/>
          </w:tblCellMar>
        </w:tblPrEx>
        <w:trPr>
          <w:trHeight w:val="94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2B37">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4BBB">
            <w:pPr>
              <w:widowControl/>
              <w:jc w:val="center"/>
              <w:textAlignment w:val="center"/>
              <w:rPr>
                <w:rFonts w:ascii="宋体" w:hAnsi="宋体" w:cs="宋体"/>
                <w:color w:val="000000"/>
                <w:sz w:val="24"/>
              </w:rPr>
            </w:pPr>
            <w:r>
              <w:rPr>
                <w:rFonts w:hint="eastAsia" w:ascii="宋体" w:hAnsi="宋体" w:cs="宋体"/>
                <w:color w:val="000000"/>
                <w:kern w:val="0"/>
                <w:sz w:val="24"/>
                <w:lang w:bidi="ar"/>
              </w:rPr>
              <w:t>平台危急值管理系统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2E4B">
            <w:pPr>
              <w:widowControl/>
              <w:jc w:val="center"/>
              <w:textAlignment w:val="center"/>
              <w:rPr>
                <w:rFonts w:ascii="宋体" w:hAnsi="宋体" w:cs="宋体"/>
                <w:color w:val="000000"/>
                <w:sz w:val="24"/>
              </w:rPr>
            </w:pPr>
            <w:r>
              <w:rPr>
                <w:rFonts w:hint="eastAsia" w:ascii="宋体" w:hAnsi="宋体" w:cs="宋体"/>
                <w:color w:val="000000"/>
                <w:kern w:val="0"/>
                <w:sz w:val="24"/>
                <w:lang w:bidi="ar"/>
              </w:rPr>
              <w:t>平台危急值交互服务</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3D07">
            <w:pPr>
              <w:widowControl/>
              <w:jc w:val="left"/>
              <w:textAlignment w:val="center"/>
              <w:rPr>
                <w:rFonts w:ascii="宋体" w:hAnsi="宋体" w:cs="宋体"/>
                <w:color w:val="000000"/>
                <w:sz w:val="24"/>
              </w:rPr>
            </w:pPr>
            <w:r>
              <w:rPr>
                <w:rFonts w:hint="eastAsia" w:ascii="宋体" w:hAnsi="宋体" w:cs="宋体"/>
                <w:color w:val="000000"/>
                <w:kern w:val="0"/>
                <w:sz w:val="24"/>
                <w:lang w:bidi="ar"/>
              </w:rPr>
              <w:t>平台危急值交互服务</w:t>
            </w:r>
          </w:p>
        </w:tc>
      </w:tr>
      <w:tr w14:paraId="3BE91FFD">
        <w:tblPrEx>
          <w:tblCellMar>
            <w:top w:w="0" w:type="dxa"/>
            <w:left w:w="108" w:type="dxa"/>
            <w:bottom w:w="0" w:type="dxa"/>
            <w:right w:w="108" w:type="dxa"/>
          </w:tblCellMar>
        </w:tblPrEx>
        <w:trPr>
          <w:trHeight w:val="94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D5B1">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C6FCD">
            <w:pPr>
              <w:widowControl/>
              <w:jc w:val="center"/>
              <w:textAlignment w:val="center"/>
              <w:rPr>
                <w:rFonts w:ascii="宋体" w:hAnsi="宋体" w:cs="宋体"/>
                <w:color w:val="000000"/>
                <w:sz w:val="24"/>
              </w:rPr>
            </w:pPr>
            <w:r>
              <w:rPr>
                <w:rFonts w:hint="eastAsia" w:ascii="宋体" w:hAnsi="宋体" w:cs="宋体"/>
                <w:color w:val="000000"/>
                <w:kern w:val="0"/>
                <w:sz w:val="24"/>
                <w:lang w:bidi="ar"/>
              </w:rPr>
              <w:t>医技质控管理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140F">
            <w:pPr>
              <w:widowControl/>
              <w:jc w:val="center"/>
              <w:textAlignment w:val="center"/>
              <w:rPr>
                <w:rFonts w:ascii="宋体" w:hAnsi="宋体" w:cs="宋体"/>
                <w:color w:val="000000"/>
                <w:sz w:val="24"/>
              </w:rPr>
            </w:pPr>
            <w:r>
              <w:rPr>
                <w:rFonts w:hint="eastAsia" w:ascii="宋体" w:hAnsi="宋体" w:cs="宋体"/>
                <w:color w:val="000000"/>
                <w:kern w:val="0"/>
                <w:sz w:val="24"/>
                <w:lang w:bidi="ar"/>
              </w:rPr>
              <w:t>超声系统质控管理</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386B">
            <w:pPr>
              <w:widowControl/>
              <w:jc w:val="left"/>
              <w:textAlignment w:val="center"/>
              <w:rPr>
                <w:rFonts w:ascii="宋体" w:hAnsi="宋体" w:cs="宋体"/>
                <w:color w:val="000000"/>
                <w:sz w:val="24"/>
              </w:rPr>
            </w:pPr>
            <w:r>
              <w:rPr>
                <w:rFonts w:hint="eastAsia" w:ascii="宋体" w:hAnsi="宋体" w:cs="宋体"/>
                <w:color w:val="000000"/>
                <w:kern w:val="0"/>
                <w:sz w:val="24"/>
                <w:lang w:bidi="ar"/>
              </w:rPr>
              <w:t>超声系统质控管理</w:t>
            </w:r>
          </w:p>
        </w:tc>
      </w:tr>
      <w:tr w14:paraId="20E104ED">
        <w:tblPrEx>
          <w:tblCellMar>
            <w:top w:w="0" w:type="dxa"/>
            <w:left w:w="108" w:type="dxa"/>
            <w:bottom w:w="0" w:type="dxa"/>
            <w:right w:w="108" w:type="dxa"/>
          </w:tblCellMar>
        </w:tblPrEx>
        <w:trPr>
          <w:trHeight w:val="94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DD83">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9CE2">
            <w:pPr>
              <w:jc w:val="center"/>
              <w:rPr>
                <w:rFonts w:ascii="宋体" w:hAnsi="宋体" w:cs="宋体"/>
                <w:color w:val="000000"/>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98C4">
            <w:pPr>
              <w:widowControl/>
              <w:jc w:val="center"/>
              <w:textAlignment w:val="center"/>
              <w:rPr>
                <w:rFonts w:ascii="宋体" w:hAnsi="宋体" w:cs="宋体"/>
                <w:color w:val="000000"/>
                <w:sz w:val="24"/>
              </w:rPr>
            </w:pPr>
            <w:r>
              <w:rPr>
                <w:rFonts w:hint="eastAsia" w:ascii="宋体" w:hAnsi="宋体" w:cs="宋体"/>
                <w:color w:val="000000"/>
                <w:kern w:val="0"/>
                <w:sz w:val="24"/>
                <w:lang w:bidi="ar"/>
              </w:rPr>
              <w:t>内窥镜系统质控管理</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5B5B">
            <w:pPr>
              <w:widowControl/>
              <w:jc w:val="left"/>
              <w:textAlignment w:val="center"/>
              <w:rPr>
                <w:rFonts w:ascii="宋体" w:hAnsi="宋体" w:cs="宋体"/>
                <w:color w:val="000000"/>
                <w:sz w:val="24"/>
              </w:rPr>
            </w:pPr>
            <w:r>
              <w:rPr>
                <w:rFonts w:hint="eastAsia" w:ascii="宋体" w:hAnsi="宋体" w:cs="宋体"/>
                <w:color w:val="000000"/>
                <w:kern w:val="0"/>
                <w:sz w:val="24"/>
                <w:lang w:bidi="ar"/>
              </w:rPr>
              <w:t>内窥镜系统质控管理</w:t>
            </w:r>
          </w:p>
        </w:tc>
      </w:tr>
      <w:tr w14:paraId="6DD3EBA3">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9C7C">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1F8C1">
            <w:pPr>
              <w:widowControl/>
              <w:jc w:val="center"/>
              <w:textAlignment w:val="center"/>
              <w:rPr>
                <w:rFonts w:ascii="宋体" w:hAnsi="宋体" w:cs="宋体"/>
                <w:color w:val="000000"/>
                <w:sz w:val="24"/>
              </w:rPr>
            </w:pPr>
            <w:r>
              <w:rPr>
                <w:rFonts w:hint="eastAsia" w:ascii="宋体" w:hAnsi="宋体" w:cs="宋体"/>
                <w:color w:val="000000"/>
                <w:kern w:val="0"/>
                <w:sz w:val="24"/>
                <w:lang w:bidi="ar"/>
              </w:rPr>
              <w:t>闭环管理系统</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06B68">
            <w:pPr>
              <w:widowControl/>
              <w:jc w:val="center"/>
              <w:textAlignment w:val="center"/>
              <w:rPr>
                <w:rFonts w:ascii="宋体" w:hAnsi="宋体" w:cs="宋体"/>
                <w:color w:val="000000"/>
                <w:sz w:val="24"/>
              </w:rPr>
            </w:pPr>
            <w:r>
              <w:rPr>
                <w:rFonts w:hint="eastAsia" w:ascii="宋体" w:hAnsi="宋体" w:cs="宋体"/>
                <w:color w:val="000000"/>
                <w:kern w:val="0"/>
                <w:sz w:val="24"/>
                <w:lang w:bidi="ar"/>
              </w:rPr>
              <w:t>闭环展示</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B1D8">
            <w:pPr>
              <w:widowControl/>
              <w:jc w:val="left"/>
              <w:textAlignment w:val="center"/>
              <w:rPr>
                <w:rFonts w:ascii="宋体" w:hAnsi="宋体" w:cs="宋体"/>
                <w:color w:val="000000"/>
                <w:sz w:val="24"/>
              </w:rPr>
            </w:pPr>
            <w:r>
              <w:rPr>
                <w:rFonts w:hint="eastAsia" w:ascii="宋体" w:hAnsi="宋体" w:cs="宋体"/>
                <w:color w:val="000000"/>
                <w:kern w:val="0"/>
                <w:sz w:val="24"/>
                <w:lang w:bidi="ar"/>
              </w:rPr>
              <w:t>住院输血医嘱闭环</w:t>
            </w:r>
          </w:p>
        </w:tc>
      </w:tr>
      <w:tr w14:paraId="08E9D08B">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F19D">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872A">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CF84">
            <w:pPr>
              <w:jc w:val="center"/>
              <w:rPr>
                <w:rFonts w:ascii="宋体" w:hAnsi="宋体" w:cs="宋体"/>
                <w:color w:val="000000"/>
                <w:sz w:val="24"/>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9208">
            <w:pPr>
              <w:widowControl/>
              <w:jc w:val="left"/>
              <w:textAlignment w:val="center"/>
              <w:rPr>
                <w:rFonts w:ascii="宋体" w:hAnsi="宋体" w:cs="宋体"/>
                <w:color w:val="000000"/>
                <w:sz w:val="24"/>
              </w:rPr>
            </w:pPr>
            <w:r>
              <w:rPr>
                <w:rFonts w:hint="eastAsia" w:ascii="宋体" w:hAnsi="宋体" w:cs="宋体"/>
                <w:color w:val="000000"/>
                <w:kern w:val="0"/>
                <w:sz w:val="24"/>
                <w:lang w:bidi="ar"/>
              </w:rPr>
              <w:t>住院输液医嘱闭环</w:t>
            </w:r>
          </w:p>
        </w:tc>
      </w:tr>
      <w:tr w14:paraId="346989C9">
        <w:tblPrEx>
          <w:tblCellMar>
            <w:top w:w="0" w:type="dxa"/>
            <w:left w:w="108" w:type="dxa"/>
            <w:bottom w:w="0" w:type="dxa"/>
            <w:right w:w="108" w:type="dxa"/>
          </w:tblCellMar>
        </w:tblPrEx>
        <w:trPr>
          <w:trHeight w:val="189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0E4C">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65726">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电子病历五级系统改造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D7BA">
            <w:pPr>
              <w:widowControl/>
              <w:jc w:val="center"/>
              <w:textAlignment w:val="center"/>
              <w:rPr>
                <w:rFonts w:ascii="宋体" w:hAnsi="宋体" w:cs="宋体"/>
                <w:color w:val="000000"/>
                <w:sz w:val="24"/>
              </w:rPr>
            </w:pPr>
            <w:r>
              <w:rPr>
                <w:rFonts w:hint="eastAsia" w:ascii="宋体" w:hAnsi="宋体" w:cs="宋体"/>
                <w:color w:val="000000"/>
                <w:kern w:val="0"/>
                <w:sz w:val="24"/>
                <w:lang w:bidi="ar"/>
              </w:rPr>
              <w:t>住院医生站/住院结构化病历分级访问控制</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9D45">
            <w:pPr>
              <w:widowControl/>
              <w:jc w:val="left"/>
              <w:textAlignment w:val="center"/>
              <w:rPr>
                <w:rFonts w:ascii="宋体" w:hAnsi="宋体" w:cs="宋体"/>
                <w:color w:val="000000"/>
                <w:sz w:val="24"/>
              </w:rPr>
            </w:pPr>
            <w:r>
              <w:rPr>
                <w:rFonts w:hint="eastAsia" w:ascii="宋体" w:hAnsi="宋体" w:cs="宋体"/>
                <w:color w:val="000000"/>
                <w:kern w:val="0"/>
                <w:sz w:val="24"/>
                <w:lang w:bidi="ar"/>
              </w:rPr>
              <w:t>住院医生站/住院结构化病历分级访问控制</w:t>
            </w:r>
          </w:p>
        </w:tc>
      </w:tr>
      <w:tr w14:paraId="734FE35C">
        <w:tblPrEx>
          <w:tblCellMar>
            <w:top w:w="0" w:type="dxa"/>
            <w:left w:w="108" w:type="dxa"/>
            <w:bottom w:w="0" w:type="dxa"/>
            <w:right w:w="108" w:type="dxa"/>
          </w:tblCellMar>
        </w:tblPrEx>
        <w:trPr>
          <w:trHeight w:val="15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909C">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6C9CD">
            <w:pPr>
              <w:jc w:val="center"/>
              <w:rPr>
                <w:rFonts w:ascii="宋体" w:hAnsi="宋体" w:cs="宋体"/>
                <w:color w:val="000000"/>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17A">
            <w:pPr>
              <w:widowControl/>
              <w:jc w:val="center"/>
              <w:textAlignment w:val="center"/>
              <w:rPr>
                <w:rFonts w:ascii="宋体" w:hAnsi="宋体" w:cs="宋体"/>
                <w:color w:val="000000"/>
                <w:sz w:val="24"/>
              </w:rPr>
            </w:pPr>
            <w:r>
              <w:rPr>
                <w:rFonts w:hint="eastAsia" w:ascii="宋体" w:hAnsi="宋体" w:cs="宋体"/>
                <w:color w:val="000000"/>
                <w:kern w:val="0"/>
                <w:sz w:val="24"/>
                <w:lang w:bidi="ar"/>
              </w:rPr>
              <w:t>住院结构化病历智能病历模板推荐</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458B">
            <w:pPr>
              <w:widowControl/>
              <w:jc w:val="left"/>
              <w:textAlignment w:val="center"/>
              <w:rPr>
                <w:rFonts w:ascii="宋体" w:hAnsi="宋体" w:cs="宋体"/>
                <w:color w:val="000000"/>
                <w:sz w:val="24"/>
              </w:rPr>
            </w:pPr>
            <w:r>
              <w:rPr>
                <w:rFonts w:hint="eastAsia" w:ascii="宋体" w:hAnsi="宋体" w:cs="宋体"/>
                <w:color w:val="000000"/>
                <w:kern w:val="0"/>
                <w:sz w:val="24"/>
                <w:lang w:bidi="ar"/>
              </w:rPr>
              <w:t>住院结构化病历智能病历模板推荐</w:t>
            </w:r>
          </w:p>
        </w:tc>
      </w:tr>
      <w:tr w14:paraId="4AA9AC0D">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8C36">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52A6B">
            <w:pPr>
              <w:jc w:val="center"/>
              <w:rPr>
                <w:rFonts w:ascii="宋体" w:hAnsi="宋体" w:cs="宋体"/>
                <w:color w:val="000000"/>
                <w:sz w:val="24"/>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C7871">
            <w:pPr>
              <w:widowControl/>
              <w:jc w:val="center"/>
              <w:textAlignment w:val="center"/>
              <w:rPr>
                <w:rFonts w:ascii="宋体" w:hAnsi="宋体" w:cs="宋体"/>
                <w:color w:val="000000"/>
                <w:sz w:val="24"/>
              </w:rPr>
            </w:pPr>
            <w:r>
              <w:rPr>
                <w:rFonts w:hint="eastAsia" w:ascii="宋体" w:hAnsi="宋体" w:cs="宋体"/>
                <w:color w:val="000000"/>
                <w:kern w:val="0"/>
                <w:sz w:val="24"/>
                <w:lang w:bidi="ar"/>
              </w:rPr>
              <w:t>过敏源管理改造</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C216">
            <w:pPr>
              <w:widowControl/>
              <w:jc w:val="left"/>
              <w:textAlignment w:val="center"/>
              <w:rPr>
                <w:rFonts w:ascii="宋体" w:hAnsi="宋体" w:cs="宋体"/>
                <w:color w:val="000000"/>
                <w:sz w:val="24"/>
              </w:rPr>
            </w:pPr>
            <w:r>
              <w:rPr>
                <w:rFonts w:hint="eastAsia" w:ascii="宋体" w:hAnsi="宋体" w:cs="宋体"/>
                <w:color w:val="000000"/>
                <w:kern w:val="0"/>
                <w:sz w:val="24"/>
                <w:lang w:bidi="ar"/>
              </w:rPr>
              <w:t>门诊医生站过敏源管理</w:t>
            </w:r>
          </w:p>
        </w:tc>
      </w:tr>
      <w:tr w14:paraId="33410382">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1D62">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C3DC">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7BB2">
            <w:pPr>
              <w:jc w:val="center"/>
              <w:rPr>
                <w:rFonts w:ascii="宋体" w:hAnsi="宋体" w:cs="宋体"/>
                <w:color w:val="000000"/>
                <w:sz w:val="24"/>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7C64">
            <w:pPr>
              <w:widowControl/>
              <w:jc w:val="left"/>
              <w:textAlignment w:val="center"/>
              <w:rPr>
                <w:rFonts w:ascii="宋体" w:hAnsi="宋体" w:cs="宋体"/>
                <w:color w:val="000000"/>
                <w:sz w:val="24"/>
              </w:rPr>
            </w:pPr>
            <w:r>
              <w:rPr>
                <w:rFonts w:hint="eastAsia" w:ascii="宋体" w:hAnsi="宋体" w:cs="宋体"/>
                <w:color w:val="000000"/>
                <w:kern w:val="0"/>
                <w:sz w:val="24"/>
                <w:lang w:bidi="ar"/>
              </w:rPr>
              <w:t>住院医生站过敏源管理</w:t>
            </w:r>
          </w:p>
        </w:tc>
      </w:tr>
      <w:tr w14:paraId="2BEAE0E1">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5EFE">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7A7B1">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3CC2">
            <w:pPr>
              <w:jc w:val="center"/>
              <w:rPr>
                <w:rFonts w:ascii="宋体" w:hAnsi="宋体" w:cs="宋体"/>
                <w:color w:val="000000"/>
                <w:sz w:val="24"/>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6CF8">
            <w:pPr>
              <w:widowControl/>
              <w:jc w:val="left"/>
              <w:textAlignment w:val="center"/>
              <w:rPr>
                <w:rFonts w:ascii="宋体" w:hAnsi="宋体" w:cs="宋体"/>
                <w:color w:val="000000"/>
                <w:sz w:val="24"/>
              </w:rPr>
            </w:pPr>
            <w:r>
              <w:rPr>
                <w:rFonts w:hint="eastAsia" w:ascii="宋体" w:hAnsi="宋体" w:cs="宋体"/>
                <w:color w:val="000000"/>
                <w:kern w:val="0"/>
                <w:sz w:val="24"/>
                <w:lang w:bidi="ar"/>
              </w:rPr>
              <w:t>放射科信息系统过敏源管理</w:t>
            </w:r>
          </w:p>
        </w:tc>
      </w:tr>
      <w:tr w14:paraId="726244F3">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B66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8778">
            <w:pPr>
              <w:jc w:val="center"/>
              <w:rPr>
                <w:rFonts w:ascii="宋体" w:hAnsi="宋体" w:cs="宋体"/>
                <w:color w:val="000000"/>
                <w:sz w:val="24"/>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85F65">
            <w:pPr>
              <w:widowControl/>
              <w:jc w:val="center"/>
              <w:textAlignment w:val="center"/>
              <w:rPr>
                <w:rFonts w:ascii="宋体" w:hAnsi="宋体" w:cs="宋体"/>
                <w:color w:val="000000"/>
                <w:sz w:val="24"/>
              </w:rPr>
            </w:pPr>
            <w:r>
              <w:rPr>
                <w:rFonts w:hint="eastAsia" w:ascii="宋体" w:hAnsi="宋体" w:cs="宋体"/>
                <w:color w:val="000000"/>
                <w:kern w:val="0"/>
                <w:sz w:val="24"/>
                <w:lang w:bidi="ar"/>
              </w:rPr>
              <w:t>危急值方案管理</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41DC">
            <w:pPr>
              <w:widowControl/>
              <w:jc w:val="left"/>
              <w:textAlignment w:val="center"/>
              <w:rPr>
                <w:rFonts w:ascii="宋体" w:hAnsi="宋体" w:cs="宋体"/>
                <w:color w:val="000000"/>
                <w:sz w:val="24"/>
              </w:rPr>
            </w:pPr>
            <w:r>
              <w:rPr>
                <w:rFonts w:hint="eastAsia" w:ascii="宋体" w:hAnsi="宋体" w:cs="宋体"/>
                <w:color w:val="000000"/>
                <w:kern w:val="0"/>
                <w:sz w:val="24"/>
                <w:lang w:bidi="ar"/>
              </w:rPr>
              <w:t>门诊医生危急值应用</w:t>
            </w:r>
          </w:p>
        </w:tc>
      </w:tr>
      <w:tr w14:paraId="780F6E99">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AAE4">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7C5F1">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871B">
            <w:pPr>
              <w:jc w:val="center"/>
              <w:rPr>
                <w:rFonts w:ascii="宋体" w:hAnsi="宋体" w:cs="宋体"/>
                <w:color w:val="000000"/>
                <w:sz w:val="24"/>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4FB4">
            <w:pPr>
              <w:widowControl/>
              <w:jc w:val="left"/>
              <w:textAlignment w:val="center"/>
              <w:rPr>
                <w:rFonts w:ascii="宋体" w:hAnsi="宋体" w:cs="宋体"/>
                <w:color w:val="000000"/>
                <w:sz w:val="24"/>
              </w:rPr>
            </w:pPr>
            <w:r>
              <w:rPr>
                <w:rFonts w:hint="eastAsia" w:ascii="宋体" w:hAnsi="宋体" w:cs="宋体"/>
                <w:color w:val="000000"/>
                <w:kern w:val="0"/>
                <w:sz w:val="24"/>
                <w:lang w:bidi="ar"/>
              </w:rPr>
              <w:t>住院医生危急值应用</w:t>
            </w:r>
          </w:p>
        </w:tc>
      </w:tr>
      <w:tr w14:paraId="290836C4">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EAF2">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81240">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B3FB">
            <w:pPr>
              <w:jc w:val="center"/>
              <w:rPr>
                <w:rFonts w:ascii="宋体" w:hAnsi="宋体" w:cs="宋体"/>
                <w:color w:val="000000"/>
                <w:sz w:val="24"/>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3A9C">
            <w:pPr>
              <w:widowControl/>
              <w:jc w:val="left"/>
              <w:textAlignment w:val="center"/>
              <w:rPr>
                <w:rFonts w:ascii="宋体" w:hAnsi="宋体" w:cs="宋体"/>
                <w:color w:val="000000"/>
                <w:sz w:val="24"/>
              </w:rPr>
            </w:pPr>
            <w:r>
              <w:rPr>
                <w:rFonts w:hint="eastAsia" w:ascii="宋体" w:hAnsi="宋体" w:cs="宋体"/>
                <w:color w:val="000000"/>
                <w:kern w:val="0"/>
                <w:sz w:val="24"/>
                <w:lang w:bidi="ar"/>
              </w:rPr>
              <w:t>住院医生站危急值方案管理</w:t>
            </w:r>
          </w:p>
        </w:tc>
      </w:tr>
      <w:tr w14:paraId="2CC0531E">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DB3">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F1C2">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44F7">
            <w:pPr>
              <w:jc w:val="center"/>
              <w:rPr>
                <w:rFonts w:ascii="宋体" w:hAnsi="宋体" w:cs="宋体"/>
                <w:color w:val="000000"/>
                <w:sz w:val="24"/>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C6C4">
            <w:pPr>
              <w:widowControl/>
              <w:jc w:val="left"/>
              <w:textAlignment w:val="center"/>
              <w:rPr>
                <w:rFonts w:ascii="宋体" w:hAnsi="宋体" w:cs="宋体"/>
                <w:color w:val="000000"/>
                <w:sz w:val="24"/>
              </w:rPr>
            </w:pPr>
            <w:r>
              <w:rPr>
                <w:rFonts w:hint="eastAsia" w:ascii="宋体" w:hAnsi="宋体" w:cs="宋体"/>
                <w:color w:val="000000"/>
                <w:kern w:val="0"/>
                <w:sz w:val="24"/>
                <w:lang w:bidi="ar"/>
              </w:rPr>
              <w:t>住院护士危急值预警提醒</w:t>
            </w:r>
          </w:p>
        </w:tc>
      </w:tr>
      <w:tr w14:paraId="11C5D989">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AA3F">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D370">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7014">
            <w:pPr>
              <w:jc w:val="center"/>
              <w:rPr>
                <w:rFonts w:ascii="宋体" w:hAnsi="宋体" w:cs="宋体"/>
                <w:color w:val="000000"/>
                <w:sz w:val="24"/>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4683">
            <w:pPr>
              <w:widowControl/>
              <w:jc w:val="left"/>
              <w:textAlignment w:val="center"/>
              <w:rPr>
                <w:rFonts w:ascii="宋体" w:hAnsi="宋体" w:cs="宋体"/>
                <w:color w:val="000000"/>
                <w:sz w:val="24"/>
              </w:rPr>
            </w:pPr>
            <w:r>
              <w:rPr>
                <w:rFonts w:hint="eastAsia" w:ascii="宋体" w:hAnsi="宋体" w:cs="宋体"/>
                <w:color w:val="000000"/>
                <w:kern w:val="0"/>
                <w:sz w:val="24"/>
                <w:lang w:bidi="ar"/>
              </w:rPr>
              <w:t>医技危急值推送服务</w:t>
            </w:r>
          </w:p>
        </w:tc>
      </w:tr>
      <w:tr w14:paraId="062E3F4E">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22D8">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6E61">
            <w:pPr>
              <w:jc w:val="center"/>
              <w:rPr>
                <w:rFonts w:ascii="宋体" w:hAnsi="宋体" w:cs="宋体"/>
                <w:color w:val="000000"/>
                <w:sz w:val="24"/>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0A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门诊病历</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608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门诊病历检索</w:t>
            </w:r>
          </w:p>
        </w:tc>
      </w:tr>
      <w:tr w14:paraId="6C193CB5">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3E65">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9883">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E3F3">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BE5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门诊病历痕迹</w:t>
            </w:r>
          </w:p>
        </w:tc>
      </w:tr>
      <w:tr w14:paraId="4545FCEC">
        <w:tblPrEx>
          <w:tblCellMar>
            <w:top w:w="0" w:type="dxa"/>
            <w:left w:w="108" w:type="dxa"/>
            <w:bottom w:w="0" w:type="dxa"/>
            <w:right w:w="108" w:type="dxa"/>
          </w:tblCellMar>
        </w:tblPrEx>
        <w:trPr>
          <w:trHeight w:val="31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B67C">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4AC1B">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D9F5">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FE4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门诊病历信息上传</w:t>
            </w:r>
          </w:p>
        </w:tc>
      </w:tr>
      <w:tr w14:paraId="5B4F945F">
        <w:tblPrEx>
          <w:tblCellMar>
            <w:top w:w="0" w:type="dxa"/>
            <w:left w:w="108" w:type="dxa"/>
            <w:bottom w:w="0" w:type="dxa"/>
            <w:right w:w="108" w:type="dxa"/>
          </w:tblCellMar>
        </w:tblPrEx>
        <w:trPr>
          <w:trHeight w:val="81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7C86">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F26E">
            <w:pPr>
              <w:jc w:val="center"/>
              <w:rPr>
                <w:rFonts w:ascii="宋体" w:hAnsi="宋体" w:cs="宋体"/>
                <w:color w:val="000000"/>
                <w:sz w:val="24"/>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35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手术麻醉</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2BC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手术数据协同管理</w:t>
            </w:r>
          </w:p>
        </w:tc>
      </w:tr>
      <w:tr w14:paraId="20A49C7D">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F552">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69C0">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6497">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7D4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患者信息智能标识</w:t>
            </w:r>
          </w:p>
        </w:tc>
      </w:tr>
      <w:tr w14:paraId="6924A7C0">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CBFE">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A29D">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2A76">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4F5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手术分级权限管控</w:t>
            </w:r>
          </w:p>
        </w:tc>
      </w:tr>
      <w:tr w14:paraId="381DA61E">
        <w:tblPrEx>
          <w:tblCellMar>
            <w:top w:w="0" w:type="dxa"/>
            <w:left w:w="108" w:type="dxa"/>
            <w:bottom w:w="0" w:type="dxa"/>
            <w:right w:w="108" w:type="dxa"/>
          </w:tblCellMar>
        </w:tblPrEx>
        <w:trPr>
          <w:trHeight w:val="81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678D">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E14C">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79F7">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B7B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麻醉记录数据整合</w:t>
            </w:r>
          </w:p>
        </w:tc>
      </w:tr>
      <w:tr w14:paraId="5A4B667F">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E03A">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8684">
            <w:pPr>
              <w:jc w:val="center"/>
              <w:rPr>
                <w:rFonts w:ascii="宋体" w:hAnsi="宋体" w:cs="宋体"/>
                <w:color w:val="000000"/>
                <w:sz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3101">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697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麻醉异常参数智能监测</w:t>
            </w:r>
          </w:p>
        </w:tc>
      </w:tr>
      <w:tr w14:paraId="04CBF91C">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F81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283D">
            <w:pPr>
              <w:jc w:val="center"/>
              <w:rPr>
                <w:rFonts w:ascii="宋体" w:hAnsi="宋体" w:cs="宋体"/>
                <w:color w:val="000000"/>
                <w:sz w:val="24"/>
              </w:rPr>
            </w:pPr>
            <w:r>
              <w:rPr>
                <w:rFonts w:hint="eastAsia" w:ascii="宋体" w:hAnsi="宋体" w:cs="宋体"/>
                <w:color w:val="000000"/>
                <w:sz w:val="24"/>
              </w:rPr>
              <w:t>系统实施</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C4D7">
            <w:pPr>
              <w:jc w:val="center"/>
              <w:rPr>
                <w:rFonts w:ascii="宋体" w:hAnsi="宋体" w:cs="宋体"/>
                <w:color w:val="000000"/>
                <w:sz w:val="22"/>
                <w:szCs w:val="22"/>
              </w:rPr>
            </w:pPr>
            <w:r>
              <w:rPr>
                <w:rFonts w:hint="eastAsia" w:ascii="宋体" w:hAnsi="宋体" w:cs="宋体"/>
                <w:color w:val="000000"/>
                <w:sz w:val="22"/>
                <w:szCs w:val="22"/>
              </w:rPr>
              <w:t>系统实施</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E2A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信息系统实施</w:t>
            </w:r>
          </w:p>
        </w:tc>
      </w:tr>
      <w:tr w14:paraId="6E294A1F">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19E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w:t>
            </w:r>
          </w:p>
        </w:tc>
        <w:tc>
          <w:tcPr>
            <w:tcW w:w="1428" w:type="dxa"/>
            <w:vMerge w:val="restart"/>
            <w:tcBorders>
              <w:top w:val="single" w:color="000000" w:sz="4" w:space="0"/>
              <w:left w:val="single" w:color="000000" w:sz="4" w:space="0"/>
              <w:right w:val="single" w:color="000000" w:sz="4" w:space="0"/>
            </w:tcBorders>
            <w:shd w:val="clear" w:color="auto" w:fill="auto"/>
            <w:vAlign w:val="center"/>
          </w:tcPr>
          <w:p w14:paraId="4926712A">
            <w:pPr>
              <w:jc w:val="center"/>
              <w:rPr>
                <w:rFonts w:ascii="宋体" w:hAnsi="宋体" w:cs="宋体"/>
                <w:color w:val="000000"/>
                <w:sz w:val="24"/>
              </w:rPr>
            </w:pPr>
            <w:r>
              <w:rPr>
                <w:rFonts w:hint="eastAsia" w:ascii="宋体" w:hAnsi="宋体" w:cs="宋体"/>
                <w:color w:val="000000"/>
                <w:sz w:val="24"/>
              </w:rPr>
              <w:t>电子病历五级评审支持服务</w:t>
            </w:r>
          </w:p>
        </w:tc>
        <w:tc>
          <w:tcPr>
            <w:tcW w:w="1545" w:type="dxa"/>
            <w:vMerge w:val="restart"/>
            <w:tcBorders>
              <w:top w:val="single" w:color="000000" w:sz="4" w:space="0"/>
              <w:left w:val="single" w:color="000000" w:sz="4" w:space="0"/>
              <w:right w:val="single" w:color="000000" w:sz="4" w:space="0"/>
            </w:tcBorders>
            <w:shd w:val="clear" w:color="auto" w:fill="auto"/>
            <w:noWrap/>
            <w:vAlign w:val="center"/>
          </w:tcPr>
          <w:p w14:paraId="0FF47918">
            <w:pPr>
              <w:jc w:val="center"/>
              <w:rPr>
                <w:rFonts w:ascii="宋体" w:hAnsi="宋体" w:cs="宋体"/>
                <w:color w:val="000000"/>
                <w:sz w:val="22"/>
                <w:szCs w:val="22"/>
              </w:rPr>
            </w:pPr>
            <w:r>
              <w:rPr>
                <w:rFonts w:hint="eastAsia" w:ascii="宋体" w:hAnsi="宋体" w:cs="宋体"/>
                <w:color w:val="000000"/>
                <w:sz w:val="22"/>
                <w:szCs w:val="22"/>
              </w:rPr>
              <w:t>系统评估</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6DE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评审咨询</w:t>
            </w:r>
          </w:p>
        </w:tc>
      </w:tr>
      <w:tr w14:paraId="36F70AB1">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643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w:t>
            </w:r>
          </w:p>
        </w:tc>
        <w:tc>
          <w:tcPr>
            <w:tcW w:w="1428" w:type="dxa"/>
            <w:vMerge w:val="continue"/>
            <w:tcBorders>
              <w:left w:val="single" w:color="000000" w:sz="4" w:space="0"/>
              <w:right w:val="single" w:color="000000" w:sz="4" w:space="0"/>
            </w:tcBorders>
            <w:shd w:val="clear" w:color="auto" w:fill="auto"/>
            <w:vAlign w:val="center"/>
          </w:tcPr>
          <w:p w14:paraId="2D8CA08C">
            <w:pPr>
              <w:jc w:val="center"/>
              <w:rPr>
                <w:rFonts w:ascii="宋体" w:hAnsi="宋体" w:cs="宋体"/>
                <w:color w:val="000000"/>
                <w:sz w:val="24"/>
              </w:rPr>
            </w:pPr>
          </w:p>
        </w:tc>
        <w:tc>
          <w:tcPr>
            <w:tcW w:w="1545" w:type="dxa"/>
            <w:vMerge w:val="continue"/>
            <w:tcBorders>
              <w:left w:val="single" w:color="000000" w:sz="4" w:space="0"/>
              <w:right w:val="single" w:color="000000" w:sz="4" w:space="0"/>
            </w:tcBorders>
            <w:shd w:val="clear" w:color="auto" w:fill="auto"/>
            <w:noWrap/>
            <w:vAlign w:val="center"/>
          </w:tcPr>
          <w:p w14:paraId="6E57C34E">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054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项目自评</w:t>
            </w:r>
          </w:p>
        </w:tc>
      </w:tr>
      <w:tr w14:paraId="40124399">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982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w:t>
            </w:r>
          </w:p>
        </w:tc>
        <w:tc>
          <w:tcPr>
            <w:tcW w:w="1428" w:type="dxa"/>
            <w:vMerge w:val="continue"/>
            <w:tcBorders>
              <w:left w:val="single" w:color="000000" w:sz="4" w:space="0"/>
              <w:right w:val="single" w:color="000000" w:sz="4" w:space="0"/>
            </w:tcBorders>
            <w:shd w:val="clear" w:color="auto" w:fill="auto"/>
            <w:vAlign w:val="center"/>
          </w:tcPr>
          <w:p w14:paraId="521C6E53">
            <w:pPr>
              <w:jc w:val="center"/>
              <w:rPr>
                <w:rFonts w:ascii="宋体" w:hAnsi="宋体" w:cs="宋体"/>
                <w:color w:val="000000"/>
                <w:sz w:val="24"/>
              </w:rPr>
            </w:pPr>
          </w:p>
        </w:tc>
        <w:tc>
          <w:tcPr>
            <w:tcW w:w="1545" w:type="dxa"/>
            <w:vMerge w:val="continue"/>
            <w:tcBorders>
              <w:left w:val="single" w:color="000000" w:sz="4" w:space="0"/>
              <w:bottom w:val="single" w:color="000000" w:sz="4" w:space="0"/>
              <w:right w:val="single" w:color="000000" w:sz="4" w:space="0"/>
            </w:tcBorders>
            <w:shd w:val="clear" w:color="auto" w:fill="auto"/>
            <w:noWrap/>
            <w:vAlign w:val="center"/>
          </w:tcPr>
          <w:p w14:paraId="353C62FF">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C0A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内评演示</w:t>
            </w:r>
          </w:p>
        </w:tc>
      </w:tr>
      <w:tr w14:paraId="55DFFC85">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987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w:t>
            </w:r>
          </w:p>
        </w:tc>
        <w:tc>
          <w:tcPr>
            <w:tcW w:w="1428" w:type="dxa"/>
            <w:vMerge w:val="continue"/>
            <w:tcBorders>
              <w:left w:val="single" w:color="000000" w:sz="4" w:space="0"/>
              <w:right w:val="single" w:color="000000" w:sz="4" w:space="0"/>
            </w:tcBorders>
            <w:shd w:val="clear" w:color="auto" w:fill="auto"/>
            <w:vAlign w:val="center"/>
          </w:tcPr>
          <w:p w14:paraId="384AB04D">
            <w:pPr>
              <w:jc w:val="center"/>
              <w:rPr>
                <w:rFonts w:ascii="宋体" w:hAnsi="宋体" w:cs="宋体"/>
                <w:color w:val="000000"/>
                <w:sz w:val="24"/>
              </w:rPr>
            </w:pPr>
          </w:p>
        </w:tc>
        <w:tc>
          <w:tcPr>
            <w:tcW w:w="1545" w:type="dxa"/>
            <w:vMerge w:val="restart"/>
            <w:tcBorders>
              <w:top w:val="single" w:color="000000" w:sz="4" w:space="0"/>
              <w:left w:val="single" w:color="000000" w:sz="4" w:space="0"/>
              <w:right w:val="single" w:color="000000" w:sz="4" w:space="0"/>
            </w:tcBorders>
            <w:shd w:val="clear" w:color="auto" w:fill="auto"/>
            <w:noWrap/>
            <w:vAlign w:val="center"/>
          </w:tcPr>
          <w:p w14:paraId="50E0F5D0">
            <w:pPr>
              <w:jc w:val="center"/>
              <w:rPr>
                <w:rFonts w:ascii="宋体" w:hAnsi="宋体" w:cs="宋体"/>
                <w:color w:val="000000"/>
                <w:sz w:val="22"/>
                <w:szCs w:val="22"/>
              </w:rPr>
            </w:pPr>
            <w:r>
              <w:rPr>
                <w:rFonts w:hint="eastAsia" w:ascii="宋体" w:hAnsi="宋体" w:cs="宋体"/>
                <w:color w:val="000000"/>
                <w:sz w:val="22"/>
                <w:szCs w:val="22"/>
              </w:rPr>
              <w:t>评审材料准备</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0FC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网站填报</w:t>
            </w:r>
          </w:p>
        </w:tc>
      </w:tr>
      <w:tr w14:paraId="5595DC39">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71B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w:t>
            </w:r>
          </w:p>
        </w:tc>
        <w:tc>
          <w:tcPr>
            <w:tcW w:w="1428" w:type="dxa"/>
            <w:vMerge w:val="continue"/>
            <w:tcBorders>
              <w:left w:val="single" w:color="000000" w:sz="4" w:space="0"/>
              <w:right w:val="single" w:color="000000" w:sz="4" w:space="0"/>
            </w:tcBorders>
            <w:shd w:val="clear" w:color="auto" w:fill="auto"/>
            <w:vAlign w:val="center"/>
          </w:tcPr>
          <w:p w14:paraId="6069ED87">
            <w:pPr>
              <w:jc w:val="center"/>
              <w:rPr>
                <w:rFonts w:ascii="宋体" w:hAnsi="宋体" w:cs="宋体"/>
                <w:color w:val="000000"/>
                <w:sz w:val="24"/>
              </w:rPr>
            </w:pPr>
          </w:p>
        </w:tc>
        <w:tc>
          <w:tcPr>
            <w:tcW w:w="1545" w:type="dxa"/>
            <w:vMerge w:val="continue"/>
            <w:tcBorders>
              <w:left w:val="single" w:color="000000" w:sz="4" w:space="0"/>
              <w:right w:val="single" w:color="000000" w:sz="4" w:space="0"/>
            </w:tcBorders>
            <w:shd w:val="clear" w:color="auto" w:fill="auto"/>
            <w:noWrap/>
            <w:vAlign w:val="center"/>
          </w:tcPr>
          <w:p w14:paraId="5A7FC906">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75F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实证材料</w:t>
            </w:r>
          </w:p>
        </w:tc>
      </w:tr>
      <w:tr w14:paraId="7A4CCC29">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C74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w:t>
            </w:r>
          </w:p>
        </w:tc>
        <w:tc>
          <w:tcPr>
            <w:tcW w:w="1428" w:type="dxa"/>
            <w:vMerge w:val="continue"/>
            <w:tcBorders>
              <w:left w:val="single" w:color="000000" w:sz="4" w:space="0"/>
              <w:right w:val="single" w:color="000000" w:sz="4" w:space="0"/>
            </w:tcBorders>
            <w:shd w:val="clear" w:color="auto" w:fill="auto"/>
            <w:vAlign w:val="center"/>
          </w:tcPr>
          <w:p w14:paraId="72D82203">
            <w:pPr>
              <w:jc w:val="center"/>
              <w:rPr>
                <w:rFonts w:ascii="宋体" w:hAnsi="宋体" w:cs="宋体"/>
                <w:color w:val="000000"/>
                <w:sz w:val="24"/>
              </w:rPr>
            </w:pPr>
          </w:p>
        </w:tc>
        <w:tc>
          <w:tcPr>
            <w:tcW w:w="1545" w:type="dxa"/>
            <w:vMerge w:val="continue"/>
            <w:tcBorders>
              <w:left w:val="single" w:color="000000" w:sz="4" w:space="0"/>
              <w:bottom w:val="single" w:color="000000" w:sz="4" w:space="0"/>
              <w:right w:val="single" w:color="000000" w:sz="4" w:space="0"/>
            </w:tcBorders>
            <w:shd w:val="clear" w:color="auto" w:fill="auto"/>
            <w:noWrap/>
            <w:vAlign w:val="center"/>
          </w:tcPr>
          <w:p w14:paraId="5305EF5A">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4B3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汇报PPT</w:t>
            </w:r>
          </w:p>
        </w:tc>
      </w:tr>
      <w:tr w14:paraId="79EBB1A8">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722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w:t>
            </w:r>
          </w:p>
        </w:tc>
        <w:tc>
          <w:tcPr>
            <w:tcW w:w="1428" w:type="dxa"/>
            <w:vMerge w:val="continue"/>
            <w:tcBorders>
              <w:left w:val="single" w:color="000000" w:sz="4" w:space="0"/>
              <w:right w:val="single" w:color="000000" w:sz="4" w:space="0"/>
            </w:tcBorders>
            <w:shd w:val="clear" w:color="auto" w:fill="auto"/>
            <w:vAlign w:val="center"/>
          </w:tcPr>
          <w:p w14:paraId="1CC446ED">
            <w:pPr>
              <w:jc w:val="center"/>
              <w:rPr>
                <w:rFonts w:ascii="宋体" w:hAnsi="宋体" w:cs="宋体"/>
                <w:color w:val="000000"/>
                <w:sz w:val="24"/>
              </w:rPr>
            </w:pPr>
          </w:p>
        </w:tc>
        <w:tc>
          <w:tcPr>
            <w:tcW w:w="1545" w:type="dxa"/>
            <w:vMerge w:val="restart"/>
            <w:tcBorders>
              <w:top w:val="single" w:color="000000" w:sz="4" w:space="0"/>
              <w:left w:val="single" w:color="000000" w:sz="4" w:space="0"/>
              <w:right w:val="single" w:color="000000" w:sz="4" w:space="0"/>
            </w:tcBorders>
            <w:shd w:val="clear" w:color="auto" w:fill="auto"/>
            <w:noWrap/>
            <w:vAlign w:val="center"/>
          </w:tcPr>
          <w:p w14:paraId="6655A85E">
            <w:pPr>
              <w:jc w:val="center"/>
              <w:rPr>
                <w:rFonts w:ascii="宋体" w:hAnsi="宋体" w:cs="宋体"/>
                <w:color w:val="000000"/>
                <w:sz w:val="22"/>
                <w:szCs w:val="22"/>
              </w:rPr>
            </w:pPr>
            <w:r>
              <w:rPr>
                <w:rFonts w:hint="eastAsia" w:ascii="宋体" w:hAnsi="宋体" w:cs="宋体"/>
                <w:color w:val="000000"/>
                <w:sz w:val="22"/>
                <w:szCs w:val="22"/>
              </w:rPr>
              <w:t>迎评指导</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81C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材料制作</w:t>
            </w:r>
          </w:p>
        </w:tc>
      </w:tr>
      <w:tr w14:paraId="600611D5">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DA4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41</w:t>
            </w:r>
          </w:p>
        </w:tc>
        <w:tc>
          <w:tcPr>
            <w:tcW w:w="1428" w:type="dxa"/>
            <w:vMerge w:val="continue"/>
            <w:tcBorders>
              <w:left w:val="single" w:color="000000" w:sz="4" w:space="0"/>
              <w:right w:val="single" w:color="000000" w:sz="4" w:space="0"/>
            </w:tcBorders>
            <w:shd w:val="clear" w:color="auto" w:fill="auto"/>
            <w:vAlign w:val="center"/>
          </w:tcPr>
          <w:p w14:paraId="3D26C3C2">
            <w:pPr>
              <w:jc w:val="center"/>
              <w:rPr>
                <w:rFonts w:ascii="宋体" w:hAnsi="宋体" w:cs="宋体"/>
                <w:color w:val="000000"/>
                <w:sz w:val="24"/>
              </w:rPr>
            </w:pPr>
          </w:p>
        </w:tc>
        <w:tc>
          <w:tcPr>
            <w:tcW w:w="1545" w:type="dxa"/>
            <w:vMerge w:val="continue"/>
            <w:tcBorders>
              <w:left w:val="single" w:color="000000" w:sz="4" w:space="0"/>
              <w:right w:val="single" w:color="000000" w:sz="4" w:space="0"/>
            </w:tcBorders>
            <w:shd w:val="clear" w:color="auto" w:fill="auto"/>
            <w:noWrap/>
            <w:vAlign w:val="center"/>
          </w:tcPr>
          <w:p w14:paraId="0401D0DD">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89F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培训</w:t>
            </w:r>
          </w:p>
        </w:tc>
      </w:tr>
      <w:tr w14:paraId="4AD4025E">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526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42</w:t>
            </w:r>
          </w:p>
        </w:tc>
        <w:tc>
          <w:tcPr>
            <w:tcW w:w="1428" w:type="dxa"/>
            <w:vMerge w:val="continue"/>
            <w:tcBorders>
              <w:left w:val="single" w:color="000000" w:sz="4" w:space="0"/>
              <w:right w:val="single" w:color="000000" w:sz="4" w:space="0"/>
            </w:tcBorders>
            <w:shd w:val="clear" w:color="auto" w:fill="auto"/>
            <w:vAlign w:val="center"/>
          </w:tcPr>
          <w:p w14:paraId="77A7F32F">
            <w:pPr>
              <w:jc w:val="center"/>
              <w:rPr>
                <w:rFonts w:ascii="宋体" w:hAnsi="宋体" w:cs="宋体"/>
                <w:color w:val="000000"/>
                <w:sz w:val="24"/>
              </w:rPr>
            </w:pPr>
          </w:p>
        </w:tc>
        <w:tc>
          <w:tcPr>
            <w:tcW w:w="1545" w:type="dxa"/>
            <w:vMerge w:val="continue"/>
            <w:tcBorders>
              <w:left w:val="single" w:color="000000" w:sz="4" w:space="0"/>
              <w:right w:val="single" w:color="000000" w:sz="4" w:space="0"/>
            </w:tcBorders>
            <w:shd w:val="clear" w:color="auto" w:fill="auto"/>
            <w:noWrap/>
            <w:vAlign w:val="center"/>
          </w:tcPr>
          <w:p w14:paraId="3B1E3709">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FAC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迎评模拟演练</w:t>
            </w:r>
          </w:p>
        </w:tc>
      </w:tr>
      <w:tr w14:paraId="334FCF35">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3B1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43</w:t>
            </w:r>
          </w:p>
        </w:tc>
        <w:tc>
          <w:tcPr>
            <w:tcW w:w="1428" w:type="dxa"/>
            <w:vMerge w:val="continue"/>
            <w:tcBorders>
              <w:left w:val="single" w:color="000000" w:sz="4" w:space="0"/>
              <w:right w:val="single" w:color="000000" w:sz="4" w:space="0"/>
            </w:tcBorders>
            <w:shd w:val="clear" w:color="auto" w:fill="auto"/>
            <w:vAlign w:val="center"/>
          </w:tcPr>
          <w:p w14:paraId="6C2F1699">
            <w:pPr>
              <w:jc w:val="center"/>
              <w:rPr>
                <w:rFonts w:ascii="宋体" w:hAnsi="宋体" w:cs="宋体"/>
                <w:color w:val="000000"/>
                <w:sz w:val="24"/>
              </w:rPr>
            </w:pPr>
          </w:p>
        </w:tc>
        <w:tc>
          <w:tcPr>
            <w:tcW w:w="1545" w:type="dxa"/>
            <w:vMerge w:val="continue"/>
            <w:tcBorders>
              <w:left w:val="single" w:color="000000" w:sz="4" w:space="0"/>
              <w:bottom w:val="single" w:color="000000" w:sz="4" w:space="0"/>
              <w:right w:val="single" w:color="000000" w:sz="4" w:space="0"/>
            </w:tcBorders>
            <w:shd w:val="clear" w:color="auto" w:fill="auto"/>
            <w:noWrap/>
            <w:vAlign w:val="center"/>
          </w:tcPr>
          <w:p w14:paraId="3B2D33A4">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F7E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迎评模拟演练</w:t>
            </w:r>
          </w:p>
        </w:tc>
      </w:tr>
      <w:tr w14:paraId="09DF0315">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B19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w:t>
            </w:r>
          </w:p>
        </w:tc>
        <w:tc>
          <w:tcPr>
            <w:tcW w:w="1428" w:type="dxa"/>
            <w:vMerge w:val="continue"/>
            <w:tcBorders>
              <w:left w:val="single" w:color="000000" w:sz="4" w:space="0"/>
              <w:right w:val="single" w:color="000000" w:sz="4" w:space="0"/>
            </w:tcBorders>
            <w:shd w:val="clear" w:color="auto" w:fill="auto"/>
            <w:vAlign w:val="center"/>
          </w:tcPr>
          <w:p w14:paraId="1387F753">
            <w:pPr>
              <w:jc w:val="center"/>
              <w:rPr>
                <w:rFonts w:ascii="宋体" w:hAnsi="宋体" w:cs="宋体"/>
                <w:color w:val="000000"/>
                <w:sz w:val="24"/>
              </w:rPr>
            </w:pPr>
          </w:p>
        </w:tc>
        <w:tc>
          <w:tcPr>
            <w:tcW w:w="1545" w:type="dxa"/>
            <w:vMerge w:val="restart"/>
            <w:tcBorders>
              <w:top w:val="single" w:color="000000" w:sz="4" w:space="0"/>
              <w:left w:val="single" w:color="000000" w:sz="4" w:space="0"/>
              <w:right w:val="single" w:color="000000" w:sz="4" w:space="0"/>
            </w:tcBorders>
            <w:shd w:val="clear" w:color="auto" w:fill="auto"/>
            <w:noWrap/>
            <w:vAlign w:val="center"/>
          </w:tcPr>
          <w:p w14:paraId="50C5D49C">
            <w:pPr>
              <w:jc w:val="center"/>
              <w:rPr>
                <w:rFonts w:ascii="宋体" w:hAnsi="宋体" w:cs="宋体"/>
                <w:color w:val="000000"/>
                <w:sz w:val="22"/>
                <w:szCs w:val="22"/>
              </w:rPr>
            </w:pPr>
            <w:r>
              <w:rPr>
                <w:rFonts w:hint="eastAsia" w:ascii="宋体" w:hAnsi="宋体" w:cs="宋体"/>
                <w:color w:val="000000"/>
                <w:sz w:val="22"/>
                <w:szCs w:val="22"/>
              </w:rPr>
              <w:t>专家评审</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2C3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迎评路线</w:t>
            </w:r>
          </w:p>
        </w:tc>
      </w:tr>
      <w:tr w14:paraId="230E014A">
        <w:tblPrEx>
          <w:tblCellMar>
            <w:top w:w="0" w:type="dxa"/>
            <w:left w:w="108" w:type="dxa"/>
            <w:bottom w:w="0" w:type="dxa"/>
            <w:right w:w="108" w:type="dxa"/>
          </w:tblCellMar>
        </w:tblPrEx>
        <w:trPr>
          <w:trHeight w:val="5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87E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w:t>
            </w:r>
          </w:p>
        </w:tc>
        <w:tc>
          <w:tcPr>
            <w:tcW w:w="1428" w:type="dxa"/>
            <w:vMerge w:val="continue"/>
            <w:tcBorders>
              <w:left w:val="single" w:color="000000" w:sz="4" w:space="0"/>
              <w:bottom w:val="single" w:color="000000" w:sz="4" w:space="0"/>
              <w:right w:val="single" w:color="000000" w:sz="4" w:space="0"/>
            </w:tcBorders>
            <w:shd w:val="clear" w:color="auto" w:fill="auto"/>
            <w:vAlign w:val="center"/>
          </w:tcPr>
          <w:p w14:paraId="6861140F">
            <w:pPr>
              <w:jc w:val="center"/>
              <w:rPr>
                <w:rFonts w:ascii="宋体" w:hAnsi="宋体" w:cs="宋体"/>
                <w:color w:val="000000"/>
                <w:sz w:val="24"/>
              </w:rPr>
            </w:pPr>
          </w:p>
        </w:tc>
        <w:tc>
          <w:tcPr>
            <w:tcW w:w="1545" w:type="dxa"/>
            <w:vMerge w:val="continue"/>
            <w:tcBorders>
              <w:left w:val="single" w:color="000000" w:sz="4" w:space="0"/>
              <w:bottom w:val="single" w:color="000000" w:sz="4" w:space="0"/>
              <w:right w:val="single" w:color="000000" w:sz="4" w:space="0"/>
            </w:tcBorders>
            <w:shd w:val="clear" w:color="auto" w:fill="auto"/>
            <w:noWrap/>
            <w:vAlign w:val="center"/>
          </w:tcPr>
          <w:p w14:paraId="15D0A529">
            <w:pPr>
              <w:jc w:val="center"/>
              <w:rPr>
                <w:rFonts w:ascii="宋体" w:hAnsi="宋体" w:cs="宋体"/>
                <w:color w:val="000000"/>
                <w:sz w:val="22"/>
                <w:szCs w:val="22"/>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E40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迎评技巧</w:t>
            </w:r>
          </w:p>
        </w:tc>
      </w:tr>
    </w:tbl>
    <w:p w14:paraId="5AED3311">
      <w:pPr>
        <w:pStyle w:val="46"/>
        <w:ind w:firstLineChars="0"/>
        <w:textAlignment w:val="baseline"/>
        <w:rPr>
          <w:rFonts w:asciiTheme="minorEastAsia" w:hAnsiTheme="minorEastAsia" w:eastAsiaTheme="minorEastAsia"/>
          <w:szCs w:val="24"/>
        </w:rPr>
      </w:pPr>
    </w:p>
    <w:p w14:paraId="4A26EB1D">
      <w:pPr>
        <w:pStyle w:val="4"/>
        <w:numPr>
          <w:ilvl w:val="1"/>
          <w:numId w:val="1"/>
        </w:numPr>
        <w:spacing w:before="312" w:after="312" w:afterAutospacing="1" w:line="360" w:lineRule="auto"/>
        <w:textAlignment w:val="baseline"/>
        <w:rPr>
          <w:rFonts w:asciiTheme="minorEastAsia" w:hAnsiTheme="minorEastAsia" w:eastAsiaTheme="minorEastAsia"/>
          <w:szCs w:val="24"/>
        </w:rPr>
      </w:pPr>
      <w:bookmarkStart w:id="16" w:name="_Toc38033810"/>
      <w:bookmarkEnd w:id="16"/>
      <w:bookmarkStart w:id="17" w:name="_Toc38033633"/>
      <w:bookmarkEnd w:id="17"/>
      <w:bookmarkStart w:id="18" w:name="_Toc48046178"/>
      <w:bookmarkEnd w:id="18"/>
      <w:bookmarkStart w:id="19" w:name="_Toc38034291"/>
      <w:bookmarkEnd w:id="19"/>
      <w:bookmarkStart w:id="20" w:name="_Toc38034242"/>
      <w:bookmarkEnd w:id="20"/>
      <w:bookmarkStart w:id="21" w:name="_Toc38037735"/>
      <w:bookmarkEnd w:id="21"/>
      <w:r>
        <w:rPr>
          <w:rFonts w:hint="eastAsia" w:asciiTheme="minorEastAsia" w:hAnsiTheme="minorEastAsia" w:eastAsiaTheme="minorEastAsia"/>
          <w:szCs w:val="24"/>
        </w:rPr>
        <w:t>详细技术参数</w:t>
      </w:r>
    </w:p>
    <w:p w14:paraId="0E87C5A3">
      <w:pPr>
        <w:pStyle w:val="5"/>
        <w:spacing w:before="0" w:after="0" w:line="360" w:lineRule="auto"/>
        <w:ind w:left="1327" w:hanging="901"/>
        <w:rPr>
          <w:rFonts w:ascii="Times New Roman" w:hAnsi="Times New Roman"/>
          <w:lang w:eastAsia="zh-TW"/>
        </w:rPr>
      </w:pPr>
      <w:r>
        <w:rPr>
          <w:rFonts w:hint="eastAsia" w:ascii="Times New Roman" w:hAnsi="Times New Roman"/>
        </w:rPr>
        <w:t xml:space="preserve">3.2.1 </w:t>
      </w:r>
      <w:r>
        <w:rPr>
          <w:rFonts w:hint="eastAsia" w:ascii="Times New Roman" w:hAnsi="Times New Roman"/>
          <w:lang w:eastAsia="zh-TW"/>
        </w:rPr>
        <w:t>护理病历信息系统</w:t>
      </w:r>
    </w:p>
    <w:p w14:paraId="2767FE2C">
      <w:pPr>
        <w:pStyle w:val="6"/>
        <w:spacing w:before="0" w:after="0" w:line="360" w:lineRule="auto"/>
        <w:ind w:left="1327" w:hanging="901"/>
        <w:rPr>
          <w:b w:val="0"/>
          <w:bCs w:val="0"/>
          <w:lang w:eastAsia="zh-TW"/>
        </w:rPr>
      </w:pPr>
      <w:r>
        <w:rPr>
          <w:rFonts w:hint="eastAsia"/>
          <w:b w:val="0"/>
          <w:bCs w:val="0"/>
        </w:rPr>
        <w:t xml:space="preserve">3.2.1.1 </w:t>
      </w:r>
      <w:r>
        <w:rPr>
          <w:rFonts w:hint="eastAsia"/>
          <w:b w:val="0"/>
          <w:bCs w:val="0"/>
          <w:lang w:eastAsia="zh-TW"/>
        </w:rPr>
        <w:t>护理计划管理</w:t>
      </w:r>
    </w:p>
    <w:p w14:paraId="1E51D0BF">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具备护理计划的执行、停止、评价、取消评价、作废功能。</w:t>
      </w:r>
    </w:p>
    <w:p w14:paraId="75AFAC76">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具备根据评估结果推荐护理问题功能。</w:t>
      </w:r>
    </w:p>
    <w:p w14:paraId="24D63DD3">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具备根据护理问题，联动生成护理目标、措施，在护理计划列表中展示，护理措施由体征测量、护理评估、健康宣教、护理措施组成。</w:t>
      </w:r>
    </w:p>
    <w:p w14:paraId="537A3BE6">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具备对护理计划单进行打印、预览功能。</w:t>
      </w:r>
    </w:p>
    <w:p w14:paraId="5015B10A">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具备护理计划模板设置，包括：护理问题、护理目标、护理措施。</w:t>
      </w:r>
    </w:p>
    <w:p w14:paraId="41FB12BA">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具备设置风险评估、体温、入区、医嘱触发护理计划规则功能。</w:t>
      </w:r>
    </w:p>
    <w:p w14:paraId="16D3A829">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eastAsia="zh-TW"/>
        </w:rPr>
        <w:t>具备护理评估标准设定功能</w:t>
      </w:r>
      <w:r>
        <w:rPr>
          <w:rFonts w:hint="eastAsia" w:asciiTheme="minorEastAsia" w:hAnsiTheme="minorEastAsia" w:eastAsiaTheme="minorEastAsia"/>
        </w:rPr>
        <w:t>。</w:t>
      </w:r>
    </w:p>
    <w:p w14:paraId="73B54774">
      <w:pPr>
        <w:pStyle w:val="6"/>
        <w:spacing w:before="0" w:after="0" w:line="360" w:lineRule="auto"/>
        <w:ind w:left="1327" w:hanging="901"/>
        <w:rPr>
          <w:b w:val="0"/>
          <w:bCs w:val="0"/>
          <w:lang w:eastAsia="zh-TW"/>
        </w:rPr>
      </w:pPr>
      <w:r>
        <w:rPr>
          <w:rFonts w:hint="eastAsia"/>
          <w:b w:val="0"/>
          <w:bCs w:val="0"/>
        </w:rPr>
        <w:t xml:space="preserve">3.2.1.2 </w:t>
      </w:r>
      <w:r>
        <w:rPr>
          <w:rFonts w:hint="eastAsia"/>
          <w:b w:val="0"/>
          <w:bCs w:val="0"/>
          <w:lang w:eastAsia="zh-TW"/>
        </w:rPr>
        <w:t>护理计划联动规则管理</w:t>
      </w:r>
    </w:p>
    <w:p w14:paraId="088C92A5">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具备通过入院评估和风险评估，智能提示建议护理问题，护士根据病人病情选择护理问题，生成到护理计划中功能。</w:t>
      </w:r>
    </w:p>
    <w:p w14:paraId="0B28D94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具备风险评估趋势图展示功能。</w:t>
      </w:r>
    </w:p>
    <w:p w14:paraId="248FB69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具备高危压疮可以触发护理计划功能。</w:t>
      </w:r>
    </w:p>
    <w:p w14:paraId="75F20AFF">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eastAsia="zh-TW"/>
        </w:rPr>
        <w:t>具备高危跌倒可以触发护理计划功能。</w:t>
      </w:r>
    </w:p>
    <w:p w14:paraId="360A759D">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具备高危自理能力可以触发护理计划功能。</w:t>
      </w:r>
    </w:p>
    <w:p w14:paraId="66E4B2DC">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具备高危管道滑脱可以触发护理计划功能。</w:t>
      </w:r>
    </w:p>
    <w:p w14:paraId="0D75973D">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eastAsia="zh-TW"/>
        </w:rPr>
        <w:t>具备体温大于38度可以触发护理计划功能</w:t>
      </w:r>
      <w:r>
        <w:rPr>
          <w:rFonts w:hint="eastAsia" w:asciiTheme="minorEastAsia" w:hAnsiTheme="minorEastAsia" w:eastAsiaTheme="minorEastAsia"/>
        </w:rPr>
        <w:t>。</w:t>
      </w:r>
    </w:p>
    <w:p w14:paraId="27CBC4CE">
      <w:pPr>
        <w:pStyle w:val="6"/>
        <w:spacing w:before="0" w:after="0" w:line="360" w:lineRule="auto"/>
        <w:ind w:left="1327" w:hanging="901"/>
        <w:rPr>
          <w:b w:val="0"/>
          <w:bCs w:val="0"/>
          <w:lang w:eastAsia="zh-TW"/>
        </w:rPr>
      </w:pPr>
      <w:r>
        <w:rPr>
          <w:rFonts w:hint="eastAsia"/>
          <w:b w:val="0"/>
          <w:bCs w:val="0"/>
        </w:rPr>
        <w:t xml:space="preserve">3.2.1.3 </w:t>
      </w:r>
      <w:r>
        <w:rPr>
          <w:rFonts w:hint="eastAsia"/>
          <w:b w:val="0"/>
          <w:bCs w:val="0"/>
          <w:lang w:eastAsia="zh-TW"/>
        </w:rPr>
        <w:t>护理计划统计分析</w:t>
      </w:r>
    </w:p>
    <w:p w14:paraId="1E2CAC77">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具备科室常见护理诊断统计查询功能。</w:t>
      </w:r>
    </w:p>
    <w:p w14:paraId="621270AC">
      <w:pPr>
        <w:pStyle w:val="13"/>
        <w:spacing w:line="360" w:lineRule="auto"/>
        <w:ind w:firstLine="480" w:firstLineChars="200"/>
        <w:rPr>
          <w:rFonts w:ascii="Times New Roman" w:hAnsi="Times New Roman"/>
          <w:color w:val="000000"/>
        </w:rPr>
      </w:pPr>
      <w:r>
        <w:rPr>
          <w:rFonts w:hint="eastAsia" w:asciiTheme="minorEastAsia" w:hAnsiTheme="minorEastAsia" w:eastAsiaTheme="minorEastAsia"/>
          <w:lang w:eastAsia="zh-TW"/>
        </w:rPr>
        <w:t>具备护理计划执行情况统计查询功能</w:t>
      </w:r>
      <w:r>
        <w:rPr>
          <w:rFonts w:hint="eastAsia" w:asciiTheme="minorEastAsia" w:hAnsiTheme="minorEastAsia" w:eastAsiaTheme="minorEastAsia"/>
        </w:rPr>
        <w:t>。</w:t>
      </w:r>
    </w:p>
    <w:p w14:paraId="40C8CD12">
      <w:pPr>
        <w:pStyle w:val="5"/>
        <w:spacing w:before="0" w:after="0" w:line="360" w:lineRule="auto"/>
        <w:ind w:left="1327" w:hanging="901"/>
        <w:rPr>
          <w:rFonts w:ascii="Times New Roman" w:hAnsi="Times New Roman"/>
          <w:lang w:eastAsia="zh-TW"/>
        </w:rPr>
      </w:pPr>
      <w:r>
        <w:rPr>
          <w:rFonts w:hint="eastAsia" w:ascii="Times New Roman" w:hAnsi="Times New Roman"/>
        </w:rPr>
        <w:t xml:space="preserve">3.2.2 </w:t>
      </w:r>
      <w:r>
        <w:rPr>
          <w:rFonts w:hint="eastAsia" w:ascii="Times New Roman" w:hAnsi="Times New Roman"/>
          <w:lang w:eastAsia="zh-TW"/>
        </w:rPr>
        <w:t>治疗管理信息系统</w:t>
      </w:r>
    </w:p>
    <w:p w14:paraId="11E1DD21">
      <w:pPr>
        <w:pStyle w:val="6"/>
        <w:spacing w:before="0" w:after="0" w:line="360" w:lineRule="auto"/>
        <w:ind w:left="1327" w:hanging="901"/>
        <w:rPr>
          <w:b w:val="0"/>
          <w:bCs w:val="0"/>
          <w:lang w:eastAsia="zh-TW"/>
        </w:rPr>
      </w:pPr>
      <w:r>
        <w:rPr>
          <w:rFonts w:hint="eastAsia"/>
          <w:b w:val="0"/>
          <w:bCs w:val="0"/>
        </w:rPr>
        <w:t xml:space="preserve">3.2.2.1 </w:t>
      </w:r>
      <w:r>
        <w:rPr>
          <w:rFonts w:hint="eastAsia"/>
          <w:b w:val="0"/>
          <w:bCs w:val="0"/>
          <w:lang w:eastAsia="zh-TW"/>
        </w:rPr>
        <w:t>治疗项目管理</w:t>
      </w:r>
    </w:p>
    <w:p w14:paraId="38E167C8">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基本信息查看</w:t>
      </w:r>
    </w:p>
    <w:p w14:paraId="3EA233EC">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支持与临床系统对接，查看开设治疗项目的门诊患者、住院患者基本信息功能，包括患者姓名、性别、年龄、病历号、住院号、床位号、诊断。</w:t>
      </w:r>
    </w:p>
    <w:p w14:paraId="6D051FBC">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具备根据患者类型、姓名、卡号、开方日期查找患者功能。</w:t>
      </w:r>
    </w:p>
    <w:p w14:paraId="6EBBA900">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治疗项目管理</w:t>
      </w:r>
    </w:p>
    <w:p w14:paraId="28B86B1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支持与临床系统对接，查看患者治疗师开方项目信息，包括门诊临时处方项目、住院长期处方项目。查看患者处方详情，包括：项目名称、项目总数量、项目剩余数量、单价、项目频次、开方医生、开方时间。</w:t>
      </w:r>
    </w:p>
    <w:p w14:paraId="09A68DDB">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具备单项目确费、多项目批量确费、取消门诊项目功能。</w:t>
      </w:r>
    </w:p>
    <w:p w14:paraId="43F80BF0">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具备门诊/住院项目确费功能，设置确费治疗师、本次确费数量。</w:t>
      </w:r>
    </w:p>
    <w:p w14:paraId="695CDEEF">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支持项目费用状态同步至医院信息系统。</w:t>
      </w:r>
    </w:p>
    <w:p w14:paraId="1628463E">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治疗项目明细</w:t>
      </w:r>
    </w:p>
    <w:p w14:paraId="1B949048">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具备查看患者处方项目确费明细功能，包含项目名称、项目数量、确认时间、操作人员、项目状态信息。</w:t>
      </w:r>
    </w:p>
    <w:p w14:paraId="25BBE3DC">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具备批量撤销已确费项目、已取消项目功能。</w:t>
      </w:r>
    </w:p>
    <w:p w14:paraId="1EC29DED">
      <w:pPr>
        <w:pStyle w:val="13"/>
        <w:spacing w:line="360" w:lineRule="auto"/>
        <w:ind w:firstLine="480" w:firstLineChars="200"/>
        <w:rPr>
          <w:lang w:eastAsia="zh-TW"/>
        </w:rPr>
      </w:pPr>
      <w:r>
        <w:rPr>
          <w:rFonts w:hint="eastAsia" w:asciiTheme="minorEastAsia" w:hAnsiTheme="minorEastAsia" w:eastAsiaTheme="minorEastAsia"/>
          <w:lang w:eastAsia="zh-TW"/>
        </w:rPr>
        <w:t>具备打印确费明细功能。</w:t>
      </w:r>
    </w:p>
    <w:p w14:paraId="69635F10">
      <w:pPr>
        <w:pStyle w:val="6"/>
        <w:spacing w:before="0" w:after="0" w:line="360" w:lineRule="auto"/>
        <w:ind w:left="1327" w:hanging="901"/>
        <w:rPr>
          <w:b w:val="0"/>
          <w:bCs w:val="0"/>
          <w:lang w:eastAsia="zh-TW"/>
        </w:rPr>
      </w:pPr>
      <w:r>
        <w:rPr>
          <w:rFonts w:hint="eastAsia"/>
          <w:b w:val="0"/>
          <w:bCs w:val="0"/>
        </w:rPr>
        <w:t xml:space="preserve">3.2.2.2 </w:t>
      </w:r>
      <w:r>
        <w:rPr>
          <w:rFonts w:hint="eastAsia"/>
          <w:b w:val="0"/>
          <w:bCs w:val="0"/>
          <w:lang w:eastAsia="zh-TW"/>
        </w:rPr>
        <w:t>治疗记录</w:t>
      </w:r>
    </w:p>
    <w:p w14:paraId="3DE8C276">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治疗项目记录</w:t>
      </w:r>
    </w:p>
    <w:p w14:paraId="09ACFDB8">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具备查看患者已治疗项目记录数据功能，包含项目名称、治疗部位、治疗方法、治疗反应、治疗频次、治疗时间段、治疗小结、记录状态。</w:t>
      </w:r>
    </w:p>
    <w:p w14:paraId="6554D41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具备根据确费日期、已治疗项目记录状态查找项目功能。</w:t>
      </w:r>
    </w:p>
    <w:p w14:paraId="7184711F">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具备选择患者已治疗项目批量记录治疗情况功能。</w:t>
      </w:r>
    </w:p>
    <w:p w14:paraId="2484F996">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具备打印患者已治疗项目功能。</w:t>
      </w:r>
    </w:p>
    <w:p w14:paraId="5515A989">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治疗记录模板</w:t>
      </w:r>
    </w:p>
    <w:p w14:paraId="5D0CA5A2">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具备治疗师添加、删除治疗记录模板功能。</w:t>
      </w:r>
    </w:p>
    <w:p w14:paraId="0EC2ADEA">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具备保存治疗记录为个人模板、科室模板、全院模板功能。</w:t>
      </w:r>
    </w:p>
    <w:p w14:paraId="6AF3ADE1">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具备填写治疗记录时引用已维护模板功能，直接带入模板数据。</w:t>
      </w:r>
    </w:p>
    <w:p w14:paraId="1E8314B5">
      <w:pPr>
        <w:pStyle w:val="6"/>
        <w:spacing w:before="0" w:after="0" w:line="360" w:lineRule="auto"/>
        <w:ind w:left="1327" w:hanging="901"/>
        <w:rPr>
          <w:b w:val="0"/>
          <w:bCs w:val="0"/>
          <w:lang w:eastAsia="zh-TW"/>
        </w:rPr>
      </w:pPr>
      <w:r>
        <w:rPr>
          <w:rFonts w:hint="eastAsia"/>
          <w:b w:val="0"/>
          <w:bCs w:val="0"/>
        </w:rPr>
        <w:t xml:space="preserve">3.2.2.3 </w:t>
      </w:r>
      <w:r>
        <w:rPr>
          <w:rFonts w:hint="eastAsia"/>
          <w:b w:val="0"/>
          <w:bCs w:val="0"/>
          <w:lang w:eastAsia="zh-TW"/>
        </w:rPr>
        <w:t>治疗单划价</w:t>
      </w:r>
    </w:p>
    <w:p w14:paraId="1E1D0C0F">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治疗单划价</w:t>
      </w:r>
    </w:p>
    <w:p w14:paraId="6FB91B80">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具备查看患者历史划价项目功能，包含项目名称、项目数量、申请日期、划价医生、费用状态数据。</w:t>
      </w:r>
    </w:p>
    <w:p w14:paraId="0BB288F7">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支持与医院信息系统对接，实现划价项目添加选择收费小项目、临床项目、药品功能，可设置项目数量。治疗师收费划价项目、作废划价项目。</w:t>
      </w:r>
    </w:p>
    <w:p w14:paraId="24A8077C">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治疗单划价项目组套</w:t>
      </w:r>
    </w:p>
    <w:p w14:paraId="57C1C63B">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具备选择多个项目组成套餐功能。</w:t>
      </w:r>
    </w:p>
    <w:p w14:paraId="07808E28">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具备治疗单划价添加个人组套、科室组套、全院组套项目功能。</w:t>
      </w:r>
    </w:p>
    <w:p w14:paraId="1C187B16">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具备管理个人组套项目功能。</w:t>
      </w:r>
    </w:p>
    <w:p w14:paraId="623D373D">
      <w:pPr>
        <w:pStyle w:val="6"/>
        <w:spacing w:before="0" w:after="0" w:line="360" w:lineRule="auto"/>
        <w:ind w:left="1327" w:hanging="901"/>
        <w:rPr>
          <w:b w:val="0"/>
          <w:bCs w:val="0"/>
          <w:lang w:eastAsia="zh-TW"/>
        </w:rPr>
      </w:pPr>
      <w:r>
        <w:rPr>
          <w:rFonts w:hint="eastAsia"/>
          <w:b w:val="0"/>
          <w:bCs w:val="0"/>
        </w:rPr>
        <w:t xml:space="preserve">3.2.2.4 </w:t>
      </w:r>
      <w:r>
        <w:rPr>
          <w:rFonts w:hint="eastAsia"/>
          <w:b w:val="0"/>
          <w:bCs w:val="0"/>
          <w:lang w:eastAsia="zh-TW"/>
        </w:rPr>
        <w:t>治疗预约管理</w:t>
      </w:r>
    </w:p>
    <w:p w14:paraId="674C5D99">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科室分类预约</w:t>
      </w:r>
    </w:p>
    <w:p w14:paraId="7A8ECAB9">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具备按科室分类模式预约功能，选择分类排班时间点预约。</w:t>
      </w:r>
    </w:p>
    <w:p w14:paraId="58376FF6">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具备按周次查看分类排班信息功能，包含预约时间段、预约状态（可约/不可约）。</w:t>
      </w:r>
    </w:p>
    <w:p w14:paraId="4593172E">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具备单个预约、批量预约功能。</w:t>
      </w:r>
    </w:p>
    <w:p w14:paraId="29E0486E">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具备治疗师按预约日期查询全部预约患者信息功能。</w:t>
      </w:r>
    </w:p>
    <w:p w14:paraId="035788E9">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具备预约批量撤销预约功能。</w:t>
      </w:r>
    </w:p>
    <w:p w14:paraId="20768B93">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rPr>
        <w:t>科室</w:t>
      </w:r>
      <w:r>
        <w:rPr>
          <w:rFonts w:hint="eastAsia" w:asciiTheme="minorEastAsia" w:hAnsiTheme="minorEastAsia" w:eastAsiaTheme="minorEastAsia"/>
          <w:b/>
          <w:bCs/>
          <w:lang w:eastAsia="zh-TW"/>
        </w:rPr>
        <w:t>治疗师预约</w:t>
      </w:r>
    </w:p>
    <w:p w14:paraId="5D15F80A">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具备按科室治疗师模式预约功能，选择治疗师排班时间点预约。</w:t>
      </w:r>
    </w:p>
    <w:p w14:paraId="78A696F3">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具备按日期、按治疗师查看排班信息功能，包含预约时间段、预约状态（可约/不可约）。</w:t>
      </w:r>
    </w:p>
    <w:p w14:paraId="719C1CB3">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具备单个预约、批量预约功能。</w:t>
      </w:r>
    </w:p>
    <w:p w14:paraId="5A413DD9">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具备治疗师按预约日期查询全部预约患者信息功能。</w:t>
      </w:r>
    </w:p>
    <w:p w14:paraId="3093D2C3">
      <w:pPr>
        <w:pStyle w:val="6"/>
        <w:spacing w:before="0" w:after="0" w:line="360" w:lineRule="auto"/>
        <w:ind w:left="1327" w:hanging="901"/>
        <w:rPr>
          <w:b w:val="0"/>
          <w:bCs w:val="0"/>
          <w:lang w:eastAsia="zh-TW"/>
        </w:rPr>
      </w:pPr>
      <w:r>
        <w:rPr>
          <w:rFonts w:hint="eastAsia"/>
          <w:b w:val="0"/>
          <w:bCs w:val="0"/>
        </w:rPr>
        <w:t xml:space="preserve">3.2.2.5 </w:t>
      </w:r>
      <w:r>
        <w:rPr>
          <w:rFonts w:hint="eastAsia"/>
          <w:b w:val="0"/>
          <w:bCs w:val="0"/>
          <w:lang w:eastAsia="zh-TW"/>
        </w:rPr>
        <w:t>治疗评估</w:t>
      </w:r>
    </w:p>
    <w:p w14:paraId="7A45EF2C">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治疗评估</w:t>
      </w:r>
    </w:p>
    <w:p w14:paraId="1C898005">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具备治疗师添加评估功能，自主选择评定量表、设置评估阶段进行患者评估。</w:t>
      </w:r>
    </w:p>
    <w:p w14:paraId="0F1D0D0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具备评定报告管理功能，包含新增、删除、预览。</w:t>
      </w:r>
    </w:p>
    <w:p w14:paraId="3DB5CCFA">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具备历史评定项目查询、打印功能。</w:t>
      </w:r>
    </w:p>
    <w:p w14:paraId="2E66AC12">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治疗评估模板</w:t>
      </w:r>
    </w:p>
    <w:p w14:paraId="0D3C45CA">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具备医院自定义维护评定量表模板功能。</w:t>
      </w:r>
    </w:p>
    <w:p w14:paraId="3F10690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具备5份评定表定制功能。</w:t>
      </w:r>
    </w:p>
    <w:p w14:paraId="4A7CCD80">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具备自定义维护评估量表评估项以及评估内容功能。</w:t>
      </w:r>
    </w:p>
    <w:p w14:paraId="285241B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具备模板自主添加/删除文本、下拉框、单选框、多选框、时间范围控件功能。</w:t>
      </w:r>
    </w:p>
    <w:p w14:paraId="6B427FCF">
      <w:pPr>
        <w:pStyle w:val="13"/>
        <w:spacing w:line="360" w:lineRule="auto"/>
        <w:ind w:firstLine="480" w:firstLineChars="200"/>
        <w:rPr>
          <w:lang w:eastAsia="zh-TW"/>
        </w:rPr>
      </w:pPr>
      <w:r>
        <w:rPr>
          <w:rFonts w:hint="eastAsia" w:asciiTheme="minorEastAsia" w:hAnsiTheme="minorEastAsia" w:eastAsiaTheme="minorEastAsia"/>
          <w:lang w:eastAsia="zh-TW"/>
        </w:rPr>
        <w:t>具备禁用/启用、编辑评定量表功能。</w:t>
      </w:r>
    </w:p>
    <w:p w14:paraId="302ACE27">
      <w:pPr>
        <w:pStyle w:val="6"/>
        <w:spacing w:before="0" w:after="0" w:line="360" w:lineRule="auto"/>
        <w:ind w:left="1327" w:hanging="901"/>
        <w:rPr>
          <w:b w:val="0"/>
          <w:bCs w:val="0"/>
          <w:lang w:eastAsia="zh-TW"/>
        </w:rPr>
      </w:pPr>
      <w:r>
        <w:rPr>
          <w:rFonts w:hint="eastAsia"/>
          <w:b w:val="0"/>
          <w:bCs w:val="0"/>
        </w:rPr>
        <w:t xml:space="preserve">3.2.2.6 </w:t>
      </w:r>
      <w:r>
        <w:rPr>
          <w:rFonts w:hint="eastAsia"/>
          <w:b w:val="0"/>
          <w:bCs w:val="0"/>
          <w:lang w:eastAsia="zh-TW"/>
        </w:rPr>
        <w:t>治疗文书</w:t>
      </w:r>
    </w:p>
    <w:p w14:paraId="5A6B7082">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治疗文书</w:t>
      </w:r>
    </w:p>
    <w:p w14:paraId="45935855">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具备治疗师添加文书功能，自主选择文书模板记录患者信息。</w:t>
      </w:r>
    </w:p>
    <w:p w14:paraId="23A35CEB">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具备治疗文书管理功能，包含新增、删除、预览。</w:t>
      </w:r>
    </w:p>
    <w:p w14:paraId="2256758A">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具备历史治疗文书查询、打印功能。</w:t>
      </w:r>
    </w:p>
    <w:p w14:paraId="4C3239A1">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治疗文书模板</w:t>
      </w:r>
    </w:p>
    <w:p w14:paraId="2C4A5A75">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具备医院自定义治疗文书模板功能。</w:t>
      </w:r>
    </w:p>
    <w:p w14:paraId="04009B5B">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具备5份治疗文书定制功能。</w:t>
      </w:r>
    </w:p>
    <w:p w14:paraId="07EC72CF">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具备自定义维护治疗文书记录项功能，如主诉、既往史、现病史信息。</w:t>
      </w:r>
    </w:p>
    <w:p w14:paraId="58CB87F1">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具备模板自主添加/删除文本、下拉框、单选框、多选框、时间范围控件功能。</w:t>
      </w:r>
    </w:p>
    <w:p w14:paraId="168F2E11">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具备禁用/启用、编辑量表文书功能。</w:t>
      </w:r>
    </w:p>
    <w:p w14:paraId="6AB7A596">
      <w:pPr>
        <w:pStyle w:val="5"/>
        <w:spacing w:before="0" w:after="0" w:line="360" w:lineRule="auto"/>
        <w:ind w:left="1327" w:hanging="901"/>
        <w:rPr>
          <w:rFonts w:ascii="Times New Roman" w:hAnsi="Times New Roman"/>
          <w:lang w:eastAsia="zh-TW"/>
        </w:rPr>
      </w:pPr>
      <w:r>
        <w:rPr>
          <w:rFonts w:hint="eastAsia" w:ascii="Times New Roman" w:hAnsi="Times New Roman"/>
        </w:rPr>
        <w:t xml:space="preserve">3.2.3 </w:t>
      </w:r>
      <w:r>
        <w:rPr>
          <w:rFonts w:hint="eastAsia" w:ascii="Times New Roman" w:hAnsi="Times New Roman"/>
          <w:lang w:eastAsia="zh-TW"/>
        </w:rPr>
        <w:t>平台危急值管理系统</w:t>
      </w:r>
    </w:p>
    <w:p w14:paraId="5D7E9FBD">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支持与医技系统、临床系统对接，将医技系统产生的危急值推送到临床系统，并进行提醒。临床系统处理后把处理结果推送到医技系统。</w:t>
      </w:r>
    </w:p>
    <w:p w14:paraId="0F91411C">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在</w:t>
      </w:r>
      <w:r>
        <w:rPr>
          <w:rFonts w:hint="eastAsia" w:asciiTheme="minorEastAsia" w:hAnsiTheme="minorEastAsia" w:eastAsiaTheme="minorEastAsia"/>
        </w:rPr>
        <w:t>与</w:t>
      </w:r>
      <w:r>
        <w:rPr>
          <w:rFonts w:hint="eastAsia" w:asciiTheme="minorEastAsia" w:hAnsiTheme="minorEastAsia" w:eastAsiaTheme="minorEastAsia"/>
          <w:lang w:eastAsia="zh-TW"/>
        </w:rPr>
        <w:t>短信平台或微信公众号对接的情况下，危急值以微信、短信的形式推送。</w:t>
      </w:r>
    </w:p>
    <w:p w14:paraId="2F26F8A0">
      <w:pPr>
        <w:pStyle w:val="5"/>
        <w:spacing w:before="0" w:after="0" w:line="360" w:lineRule="auto"/>
        <w:ind w:left="1327" w:hanging="901"/>
        <w:rPr>
          <w:rFonts w:ascii="Times New Roman" w:hAnsi="Times New Roman"/>
          <w:lang w:eastAsia="zh-TW"/>
        </w:rPr>
      </w:pPr>
      <w:r>
        <w:rPr>
          <w:rFonts w:hint="eastAsia" w:ascii="Times New Roman" w:hAnsi="Times New Roman"/>
        </w:rPr>
        <w:t xml:space="preserve">3.2.4 </w:t>
      </w:r>
      <w:r>
        <w:rPr>
          <w:rFonts w:hint="eastAsia" w:ascii="Times New Roman" w:hAnsi="Times New Roman"/>
          <w:lang w:eastAsia="zh-TW"/>
        </w:rPr>
        <w:t>医技质控管理</w:t>
      </w:r>
    </w:p>
    <w:p w14:paraId="3FC5256D">
      <w:pPr>
        <w:pStyle w:val="6"/>
        <w:spacing w:before="0" w:after="0" w:line="360" w:lineRule="auto"/>
        <w:ind w:left="1327" w:hanging="901"/>
        <w:rPr>
          <w:b w:val="0"/>
          <w:bCs w:val="0"/>
          <w:lang w:eastAsia="zh-TW"/>
        </w:rPr>
      </w:pPr>
      <w:r>
        <w:rPr>
          <w:rFonts w:hint="eastAsia"/>
          <w:b w:val="0"/>
          <w:bCs w:val="0"/>
        </w:rPr>
        <w:t xml:space="preserve">3.2.4.1 </w:t>
      </w:r>
      <w:r>
        <w:rPr>
          <w:rFonts w:hint="eastAsia"/>
          <w:b w:val="0"/>
          <w:bCs w:val="0"/>
          <w:lang w:eastAsia="zh-TW"/>
        </w:rPr>
        <w:t>超声系统质控管理</w:t>
      </w:r>
    </w:p>
    <w:p w14:paraId="3C939347">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具备对超声报告的质量控制功能：针对报告，系统提供一套专业的报告质控模块，对医生写的报告进行质控，包括报告书写的规范性、诊断结论的准确性等的评分。</w:t>
      </w:r>
    </w:p>
    <w:p w14:paraId="57DA1A41">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具备对影像数据质量控制功能，可为拍的影像数据进行甲、乙、丙、废评分。</w:t>
      </w:r>
    </w:p>
    <w:p w14:paraId="761F5849">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具备质控结果查询与统计功能。</w:t>
      </w:r>
    </w:p>
    <w:p w14:paraId="3EF5639F">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具备按照质控管理规范要求对数据</w:t>
      </w:r>
      <w:r>
        <w:rPr>
          <w:rFonts w:hint="eastAsia" w:asciiTheme="minorEastAsia" w:hAnsiTheme="minorEastAsia" w:eastAsiaTheme="minorEastAsia"/>
        </w:rPr>
        <w:t>库</w:t>
      </w:r>
      <w:r>
        <w:rPr>
          <w:rFonts w:hint="eastAsia" w:asciiTheme="minorEastAsia" w:hAnsiTheme="minorEastAsia" w:eastAsiaTheme="minorEastAsia"/>
          <w:lang w:eastAsia="zh-TW"/>
        </w:rPr>
        <w:t>进行综合质控（报告、影像、统计）功能。</w:t>
      </w:r>
    </w:p>
    <w:p w14:paraId="30FC1C86">
      <w:pPr>
        <w:pStyle w:val="6"/>
        <w:spacing w:before="0" w:after="0" w:line="360" w:lineRule="auto"/>
        <w:ind w:left="1327" w:hanging="901"/>
        <w:rPr>
          <w:b w:val="0"/>
          <w:bCs w:val="0"/>
          <w:lang w:eastAsia="zh-TW"/>
        </w:rPr>
      </w:pPr>
      <w:r>
        <w:rPr>
          <w:rFonts w:hint="eastAsia"/>
          <w:b w:val="0"/>
          <w:bCs w:val="0"/>
        </w:rPr>
        <w:t xml:space="preserve">3.2.4.2 </w:t>
      </w:r>
      <w:r>
        <w:rPr>
          <w:rFonts w:hint="eastAsia"/>
          <w:b w:val="0"/>
          <w:bCs w:val="0"/>
          <w:lang w:eastAsia="zh-TW"/>
        </w:rPr>
        <w:t>内窥镜系统质控管理</w:t>
      </w:r>
    </w:p>
    <w:p w14:paraId="17CF824F">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具备对内镜报告的质量控制功能：对医生写的报告进行质控，包括报告书写的规范性、诊断结论的准确性评分。</w:t>
      </w:r>
    </w:p>
    <w:p w14:paraId="11676A3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具备对影像数据质量控制功能，可为拍的影像数据进行甲、乙、丙、废进行评分。</w:t>
      </w:r>
    </w:p>
    <w:p w14:paraId="7376167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具备质控结果查询与统计功能。</w:t>
      </w:r>
    </w:p>
    <w:p w14:paraId="32F7C77E">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具备按照质控管理规范要求对数据</w:t>
      </w:r>
      <w:r>
        <w:rPr>
          <w:rFonts w:hint="eastAsia" w:asciiTheme="minorEastAsia" w:hAnsiTheme="minorEastAsia" w:eastAsiaTheme="minorEastAsia"/>
        </w:rPr>
        <w:t>库</w:t>
      </w:r>
      <w:r>
        <w:rPr>
          <w:rFonts w:hint="eastAsia" w:asciiTheme="minorEastAsia" w:hAnsiTheme="minorEastAsia" w:eastAsiaTheme="minorEastAsia"/>
          <w:lang w:eastAsia="zh-TW"/>
        </w:rPr>
        <w:t>进行综合质控（报告、影像、统计）功能。</w:t>
      </w:r>
    </w:p>
    <w:p w14:paraId="1D9EBE73">
      <w:pPr>
        <w:pStyle w:val="5"/>
        <w:spacing w:before="0" w:after="0" w:line="360" w:lineRule="auto"/>
        <w:ind w:left="1327" w:hanging="901"/>
        <w:rPr>
          <w:rFonts w:ascii="Times New Roman" w:hAnsi="Times New Roman"/>
          <w:lang w:eastAsia="zh-TW"/>
        </w:rPr>
      </w:pPr>
      <w:r>
        <w:rPr>
          <w:rFonts w:hint="eastAsia" w:ascii="Times New Roman" w:hAnsi="Times New Roman"/>
        </w:rPr>
        <w:t xml:space="preserve">3.2.5 </w:t>
      </w:r>
      <w:r>
        <w:rPr>
          <w:rFonts w:hint="eastAsia" w:ascii="Times New Roman" w:hAnsi="Times New Roman"/>
          <w:lang w:eastAsia="zh-TW"/>
        </w:rPr>
        <w:t>闭环管理系统</w:t>
      </w:r>
    </w:p>
    <w:p w14:paraId="102F0DFC">
      <w:pPr>
        <w:pStyle w:val="6"/>
        <w:spacing w:before="0" w:after="0" w:line="360" w:lineRule="auto"/>
        <w:ind w:left="1327" w:hanging="901"/>
        <w:rPr>
          <w:b w:val="0"/>
          <w:bCs w:val="0"/>
          <w:lang w:eastAsia="zh-TW"/>
        </w:rPr>
      </w:pPr>
      <w:r>
        <w:rPr>
          <w:rFonts w:hint="eastAsia"/>
          <w:b w:val="0"/>
          <w:bCs w:val="0"/>
        </w:rPr>
        <w:t xml:space="preserve">3.2.5.1 </w:t>
      </w:r>
      <w:r>
        <w:rPr>
          <w:rFonts w:hint="eastAsia"/>
          <w:b w:val="0"/>
          <w:bCs w:val="0"/>
          <w:lang w:eastAsia="zh-TW"/>
        </w:rPr>
        <w:t>住院输血医嘱闭环</w:t>
      </w:r>
    </w:p>
    <w:p w14:paraId="54132ECA">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支持患者输血医嘱在各个医疗服务点上的人员、时间和状态的集中采集，节点包含 ：输血申请、上级医生审核、上级医生审核不通过、科主任审核、科主任审核不通过、医务科审核、医务科审核不通过、医嘱审核、医嘱作废、医嘱执行、标本签收</w:t>
      </w:r>
      <w:r>
        <w:rPr>
          <w:rFonts w:hint="eastAsia" w:asciiTheme="minorEastAsia" w:hAnsiTheme="minorEastAsia" w:eastAsiaTheme="minorEastAsia"/>
        </w:rPr>
        <w:t>与申请单核对</w:t>
      </w:r>
      <w:r>
        <w:rPr>
          <w:rFonts w:hint="eastAsia" w:asciiTheme="minorEastAsia" w:hAnsiTheme="minorEastAsia" w:eastAsiaTheme="minorEastAsia"/>
          <w:lang w:eastAsia="zh-TW"/>
        </w:rPr>
        <w:t>、交叉配血</w:t>
      </w:r>
      <w:r>
        <w:rPr>
          <w:rFonts w:hint="eastAsia" w:asciiTheme="minorEastAsia" w:hAnsiTheme="minorEastAsia" w:eastAsiaTheme="minorEastAsia"/>
        </w:rPr>
        <w:t>完成</w:t>
      </w:r>
      <w:r>
        <w:rPr>
          <w:rFonts w:hint="eastAsia" w:asciiTheme="minorEastAsia" w:hAnsiTheme="minorEastAsia" w:eastAsiaTheme="minorEastAsia"/>
          <w:lang w:eastAsia="zh-TW"/>
        </w:rPr>
        <w:t>、</w:t>
      </w:r>
      <w:r>
        <w:rPr>
          <w:rFonts w:hint="eastAsia" w:asciiTheme="minorEastAsia" w:hAnsiTheme="minorEastAsia" w:eastAsiaTheme="minorEastAsia"/>
        </w:rPr>
        <w:t>护士申请领血</w:t>
      </w:r>
      <w:r>
        <w:rPr>
          <w:rFonts w:hint="eastAsia" w:asciiTheme="minorEastAsia" w:hAnsiTheme="minorEastAsia" w:eastAsiaTheme="minorEastAsia"/>
          <w:lang w:eastAsia="zh-TW"/>
        </w:rPr>
        <w:t>、</w:t>
      </w:r>
      <w:r>
        <w:rPr>
          <w:rFonts w:hint="eastAsia" w:asciiTheme="minorEastAsia" w:hAnsiTheme="minorEastAsia" w:eastAsiaTheme="minorEastAsia"/>
        </w:rPr>
        <w:t>血库</w:t>
      </w:r>
      <w:r>
        <w:rPr>
          <w:rFonts w:hint="eastAsia" w:asciiTheme="minorEastAsia" w:hAnsiTheme="minorEastAsia" w:eastAsiaTheme="minorEastAsia"/>
          <w:lang w:eastAsia="zh-TW"/>
        </w:rPr>
        <w:t>发血、</w:t>
      </w:r>
      <w:r>
        <w:rPr>
          <w:rFonts w:hint="eastAsia" w:asciiTheme="minorEastAsia" w:hAnsiTheme="minorEastAsia" w:eastAsiaTheme="minorEastAsia"/>
        </w:rPr>
        <w:t>护士</w:t>
      </w:r>
      <w:r>
        <w:rPr>
          <w:rFonts w:hint="eastAsia" w:asciiTheme="minorEastAsia" w:hAnsiTheme="minorEastAsia" w:eastAsiaTheme="minorEastAsia"/>
          <w:lang w:eastAsia="zh-TW"/>
        </w:rPr>
        <w:t>领血</w:t>
      </w:r>
      <w:r>
        <w:rPr>
          <w:rFonts w:hint="eastAsia" w:asciiTheme="minorEastAsia" w:hAnsiTheme="minorEastAsia" w:eastAsiaTheme="minorEastAsia"/>
        </w:rPr>
        <w:t>接收</w:t>
      </w:r>
      <w:r>
        <w:rPr>
          <w:rFonts w:hint="eastAsia" w:asciiTheme="minorEastAsia" w:hAnsiTheme="minorEastAsia" w:eastAsiaTheme="minorEastAsia"/>
          <w:lang w:eastAsia="zh-TW"/>
        </w:rPr>
        <w:t>、</w:t>
      </w:r>
      <w:r>
        <w:rPr>
          <w:rFonts w:hint="eastAsia" w:asciiTheme="minorEastAsia" w:hAnsiTheme="minorEastAsia" w:eastAsiaTheme="minorEastAsia"/>
        </w:rPr>
        <w:t>输注开始（双人核对）</w:t>
      </w:r>
      <w:r>
        <w:rPr>
          <w:rFonts w:hint="eastAsia" w:asciiTheme="minorEastAsia" w:hAnsiTheme="minorEastAsia" w:eastAsiaTheme="minorEastAsia"/>
          <w:lang w:eastAsia="zh-TW"/>
        </w:rPr>
        <w:t>、</w:t>
      </w:r>
      <w:r>
        <w:rPr>
          <w:rFonts w:hint="eastAsia" w:asciiTheme="minorEastAsia" w:hAnsiTheme="minorEastAsia" w:eastAsiaTheme="minorEastAsia"/>
        </w:rPr>
        <w:t>输血</w:t>
      </w:r>
      <w:r>
        <w:rPr>
          <w:rFonts w:hint="eastAsia" w:asciiTheme="minorEastAsia" w:hAnsiTheme="minorEastAsia" w:eastAsiaTheme="minorEastAsia"/>
          <w:lang w:eastAsia="zh-TW"/>
        </w:rPr>
        <w:t>巡视、</w:t>
      </w:r>
      <w:r>
        <w:rPr>
          <w:rFonts w:hint="eastAsia" w:asciiTheme="minorEastAsia" w:hAnsiTheme="minorEastAsia" w:eastAsiaTheme="minorEastAsia"/>
        </w:rPr>
        <w:t>输血终止、</w:t>
      </w:r>
      <w:r>
        <w:rPr>
          <w:rFonts w:hint="eastAsia" w:asciiTheme="minorEastAsia" w:hAnsiTheme="minorEastAsia" w:eastAsiaTheme="minorEastAsia"/>
          <w:lang w:eastAsia="zh-TW"/>
        </w:rPr>
        <w:t>输血结束、</w:t>
      </w:r>
      <w:r>
        <w:rPr>
          <w:rFonts w:hint="eastAsia" w:asciiTheme="minorEastAsia" w:hAnsiTheme="minorEastAsia" w:eastAsiaTheme="minorEastAsia"/>
        </w:rPr>
        <w:t>病区</w:t>
      </w:r>
      <w:r>
        <w:rPr>
          <w:rFonts w:hint="eastAsia" w:asciiTheme="minorEastAsia" w:hAnsiTheme="minorEastAsia" w:eastAsiaTheme="minorEastAsia"/>
          <w:lang w:eastAsia="zh-TW"/>
        </w:rPr>
        <w:t>空血袋回收、</w:t>
      </w:r>
      <w:r>
        <w:rPr>
          <w:rFonts w:hint="eastAsia" w:asciiTheme="minorEastAsia" w:hAnsiTheme="minorEastAsia" w:eastAsiaTheme="minorEastAsia"/>
        </w:rPr>
        <w:t>血袋回收登记、血袋销毁</w:t>
      </w:r>
      <w:r>
        <w:rPr>
          <w:rFonts w:hint="eastAsia" w:asciiTheme="minorEastAsia" w:hAnsiTheme="minorEastAsia" w:eastAsiaTheme="minorEastAsia"/>
          <w:lang w:eastAsia="zh-TW"/>
        </w:rPr>
        <w:t>。</w:t>
      </w:r>
    </w:p>
    <w:p w14:paraId="5BA80976">
      <w:pPr>
        <w:pStyle w:val="6"/>
        <w:spacing w:before="0" w:after="0" w:line="360" w:lineRule="auto"/>
        <w:ind w:left="1327" w:hanging="901"/>
        <w:rPr>
          <w:b w:val="0"/>
          <w:bCs w:val="0"/>
          <w:lang w:eastAsia="zh-TW"/>
        </w:rPr>
      </w:pPr>
      <w:r>
        <w:rPr>
          <w:rFonts w:hint="eastAsia"/>
          <w:b w:val="0"/>
          <w:bCs w:val="0"/>
        </w:rPr>
        <w:t xml:space="preserve">3.2.5.2 </w:t>
      </w:r>
      <w:r>
        <w:rPr>
          <w:rFonts w:hint="eastAsia"/>
          <w:b w:val="0"/>
          <w:bCs w:val="0"/>
          <w:lang w:eastAsia="zh-TW"/>
        </w:rPr>
        <w:t>住院输液医嘱闭环</w:t>
      </w:r>
    </w:p>
    <w:p w14:paraId="328AECB4">
      <w:pPr>
        <w:pStyle w:val="13"/>
        <w:spacing w:line="360" w:lineRule="auto"/>
        <w:ind w:firstLine="480" w:firstLineChars="200"/>
        <w:rPr>
          <w:lang w:eastAsia="zh-TW"/>
        </w:rPr>
      </w:pPr>
      <w:r>
        <w:rPr>
          <w:rFonts w:hint="eastAsia" w:asciiTheme="minorEastAsia" w:hAnsiTheme="minorEastAsia" w:eastAsiaTheme="minorEastAsia"/>
          <w:lang w:eastAsia="zh-TW"/>
        </w:rPr>
        <w:t>支持患者输液医嘱的在各个医疗服务点上的人员、时间和状态的集中采集，节点包含：医嘱下达、医嘱作废（DC）、医嘱审核、医嘱执行、药师自动</w:t>
      </w:r>
      <w:r>
        <w:rPr>
          <w:rFonts w:hint="eastAsia" w:asciiTheme="minorEastAsia" w:hAnsiTheme="minorEastAsia" w:eastAsiaTheme="minorEastAsia"/>
        </w:rPr>
        <w:t>审方</w:t>
      </w:r>
      <w:r>
        <w:rPr>
          <w:rFonts w:hint="eastAsia" w:asciiTheme="minorEastAsia" w:hAnsiTheme="minorEastAsia" w:eastAsiaTheme="minorEastAsia"/>
          <w:lang w:eastAsia="zh-TW"/>
        </w:rPr>
        <w:t>通过</w:t>
      </w:r>
      <w:r>
        <w:rPr>
          <w:rFonts w:hint="eastAsia" w:asciiTheme="minorEastAsia" w:hAnsiTheme="minorEastAsia" w:eastAsiaTheme="minorEastAsia"/>
        </w:rPr>
        <w:t>（不通过）</w:t>
      </w:r>
      <w:r>
        <w:rPr>
          <w:rFonts w:hint="eastAsia" w:asciiTheme="minorEastAsia" w:hAnsiTheme="minorEastAsia" w:eastAsiaTheme="minorEastAsia"/>
          <w:lang w:eastAsia="zh-TW"/>
        </w:rPr>
        <w:t>、药师人工审</w:t>
      </w:r>
      <w:r>
        <w:rPr>
          <w:rFonts w:hint="eastAsia" w:asciiTheme="minorEastAsia" w:hAnsiTheme="minorEastAsia" w:eastAsiaTheme="minorEastAsia"/>
        </w:rPr>
        <w:t>方</w:t>
      </w:r>
      <w:r>
        <w:rPr>
          <w:rFonts w:hint="eastAsia" w:asciiTheme="minorEastAsia" w:hAnsiTheme="minorEastAsia" w:eastAsiaTheme="minorEastAsia"/>
          <w:lang w:eastAsia="zh-TW"/>
        </w:rPr>
        <w:t>通过</w:t>
      </w:r>
      <w:r>
        <w:rPr>
          <w:rFonts w:hint="eastAsia" w:asciiTheme="minorEastAsia" w:hAnsiTheme="minorEastAsia" w:eastAsiaTheme="minorEastAsia"/>
        </w:rPr>
        <w:t>（不通过）</w:t>
      </w:r>
      <w:r>
        <w:rPr>
          <w:rFonts w:hint="eastAsia" w:asciiTheme="minorEastAsia" w:hAnsiTheme="minorEastAsia" w:eastAsiaTheme="minorEastAsia"/>
          <w:lang w:eastAsia="zh-TW"/>
        </w:rPr>
        <w:t>、住院药房发药、</w:t>
      </w:r>
      <w:r>
        <w:rPr>
          <w:rFonts w:hint="eastAsia" w:asciiTheme="minorEastAsia" w:hAnsiTheme="minorEastAsia" w:eastAsiaTheme="minorEastAsia"/>
        </w:rPr>
        <w:t>摆药核对、入仓</w:t>
      </w:r>
      <w:r>
        <w:rPr>
          <w:rFonts w:hint="eastAsia" w:asciiTheme="minorEastAsia" w:hAnsiTheme="minorEastAsia" w:eastAsiaTheme="minorEastAsia"/>
          <w:lang w:eastAsia="zh-TW"/>
        </w:rPr>
        <w:t>冲配、</w:t>
      </w:r>
      <w:r>
        <w:rPr>
          <w:rFonts w:hint="eastAsia" w:asciiTheme="minorEastAsia" w:hAnsiTheme="minorEastAsia" w:eastAsiaTheme="minorEastAsia"/>
        </w:rPr>
        <w:t>装箱转运</w:t>
      </w:r>
      <w:r>
        <w:rPr>
          <w:rFonts w:hint="eastAsia" w:asciiTheme="minorEastAsia" w:hAnsiTheme="minorEastAsia" w:eastAsiaTheme="minorEastAsia"/>
          <w:lang w:eastAsia="zh-TW"/>
        </w:rPr>
        <w:t>、配送签收、皮试</w:t>
      </w:r>
      <w:r>
        <w:rPr>
          <w:rFonts w:hint="eastAsia" w:asciiTheme="minorEastAsia" w:hAnsiTheme="minorEastAsia" w:eastAsiaTheme="minorEastAsia"/>
        </w:rPr>
        <w:t>结果录入</w:t>
      </w:r>
      <w:r>
        <w:rPr>
          <w:rFonts w:hint="eastAsia" w:asciiTheme="minorEastAsia" w:hAnsiTheme="minorEastAsia" w:eastAsiaTheme="minorEastAsia"/>
          <w:lang w:eastAsia="zh-TW"/>
        </w:rPr>
        <w:t>、输液执行、输液巡视、输液停止、输液执行完毕、停止医嘱。</w:t>
      </w:r>
    </w:p>
    <w:p w14:paraId="38A73E99">
      <w:pPr>
        <w:pStyle w:val="5"/>
        <w:spacing w:before="0" w:after="0" w:line="360" w:lineRule="auto"/>
        <w:ind w:left="1327" w:hanging="901"/>
        <w:rPr>
          <w:rFonts w:ascii="Times New Roman" w:hAnsi="Times New Roman"/>
          <w:lang w:eastAsia="zh-TW"/>
        </w:rPr>
      </w:pPr>
      <w:r>
        <w:rPr>
          <w:rFonts w:hint="eastAsia" w:ascii="Times New Roman" w:hAnsi="Times New Roman"/>
        </w:rPr>
        <w:t xml:space="preserve">3.2.6 </w:t>
      </w:r>
      <w:r>
        <w:rPr>
          <w:rFonts w:hint="eastAsia" w:ascii="Times New Roman" w:hAnsi="Times New Roman"/>
          <w:lang w:eastAsia="zh-TW"/>
        </w:rPr>
        <w:t>电子病历五级</w:t>
      </w:r>
      <w:r>
        <w:rPr>
          <w:rFonts w:hint="eastAsia"/>
        </w:rPr>
        <w:t>系统</w:t>
      </w:r>
      <w:r>
        <w:rPr>
          <w:rFonts w:hint="eastAsia" w:ascii="Times New Roman" w:hAnsi="Times New Roman"/>
        </w:rPr>
        <w:t>改造</w:t>
      </w:r>
    </w:p>
    <w:p w14:paraId="3B0ABB69">
      <w:pPr>
        <w:pStyle w:val="6"/>
        <w:spacing w:before="0" w:after="0" w:line="360" w:lineRule="auto"/>
        <w:ind w:left="1327" w:hanging="901"/>
        <w:rPr>
          <w:b w:val="0"/>
          <w:bCs w:val="0"/>
          <w:lang w:eastAsia="zh-TW"/>
        </w:rPr>
      </w:pPr>
      <w:r>
        <w:rPr>
          <w:rFonts w:hint="eastAsia"/>
          <w:b w:val="0"/>
          <w:bCs w:val="0"/>
        </w:rPr>
        <w:t xml:space="preserve">3.2.6.1 </w:t>
      </w:r>
      <w:r>
        <w:rPr>
          <w:rFonts w:hint="eastAsia"/>
          <w:b w:val="0"/>
          <w:bCs w:val="0"/>
          <w:lang w:eastAsia="zh-TW"/>
        </w:rPr>
        <w:t>住院医生站/住院结构化病历分级访问控制</w:t>
      </w:r>
    </w:p>
    <w:p w14:paraId="652B9B76">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支持患者保密级别控制，支持设置患者保密级别和医生查看相应保密级别的患者的权限。</w:t>
      </w:r>
    </w:p>
    <w:p w14:paraId="44404198">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支持病历临时授权控制，例如系统可将需要会诊的患者的病历或医嘱的查询读写权限分别分配给某会诊医生在授权的时间段内访问。</w:t>
      </w:r>
    </w:p>
    <w:p w14:paraId="2B2DE0F7">
      <w:pPr>
        <w:pStyle w:val="6"/>
        <w:spacing w:before="0" w:after="0" w:line="360" w:lineRule="auto"/>
        <w:ind w:left="1327" w:hanging="901"/>
        <w:rPr>
          <w:b w:val="0"/>
          <w:bCs w:val="0"/>
          <w:lang w:eastAsia="zh-TW"/>
        </w:rPr>
      </w:pPr>
      <w:r>
        <w:rPr>
          <w:rFonts w:hint="eastAsia"/>
          <w:b w:val="0"/>
          <w:bCs w:val="0"/>
        </w:rPr>
        <w:t xml:space="preserve">3.2.6.2 </w:t>
      </w:r>
      <w:r>
        <w:rPr>
          <w:rFonts w:hint="eastAsia"/>
          <w:b w:val="0"/>
          <w:bCs w:val="0"/>
          <w:lang w:eastAsia="zh-TW"/>
        </w:rPr>
        <w:t>住院结构化病历智能病历模板推荐</w:t>
      </w:r>
    </w:p>
    <w:p w14:paraId="3D788CA3">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病历内容书写时可以根据性别、诊断等自动选择模板。</w:t>
      </w:r>
    </w:p>
    <w:p w14:paraId="372359E5">
      <w:pPr>
        <w:pStyle w:val="6"/>
        <w:spacing w:before="0" w:after="0" w:line="360" w:lineRule="auto"/>
        <w:ind w:left="1327" w:hanging="901"/>
        <w:rPr>
          <w:b w:val="0"/>
          <w:bCs w:val="0"/>
        </w:rPr>
      </w:pPr>
      <w:r>
        <w:rPr>
          <w:rFonts w:hint="eastAsia"/>
          <w:b w:val="0"/>
          <w:bCs w:val="0"/>
        </w:rPr>
        <w:t>3.2.6.3 过敏源管理改造</w:t>
      </w:r>
    </w:p>
    <w:p w14:paraId="2C0F64CC">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门诊医生站过敏源管理</w:t>
      </w:r>
    </w:p>
    <w:p w14:paraId="255D8B22">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支持在门诊结构化电子病历中维护患者的其他过敏源。</w:t>
      </w:r>
    </w:p>
    <w:p w14:paraId="0DF76D02">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支持门诊处方录入时获取病历中维护的其他过敏源。</w:t>
      </w:r>
    </w:p>
    <w:p w14:paraId="641AF89C">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支持处方录入时结合其他过敏源进行合理用药核查。</w:t>
      </w:r>
    </w:p>
    <w:p w14:paraId="5E552857">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住院医生站过敏源管理</w:t>
      </w:r>
    </w:p>
    <w:p w14:paraId="35F4886B">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支持在住院结构化电子病历中维护患者的其他过敏源。</w:t>
      </w:r>
    </w:p>
    <w:p w14:paraId="5B0BE03B">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支持住院医嘱录入时获取病历中维护的其他过敏源。</w:t>
      </w:r>
    </w:p>
    <w:p w14:paraId="306F2F26">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支持医嘱录入时结合其他过敏源进行合理用药核查。</w:t>
      </w:r>
    </w:p>
    <w:p w14:paraId="7406D01C">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放射科信息系统过敏源管理</w:t>
      </w:r>
    </w:p>
    <w:p w14:paraId="61760122">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支持在检查系统中维护造影剂。</w:t>
      </w:r>
    </w:p>
    <w:p w14:paraId="4F24A2DE">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支持造影剂过敏记录回传至临床。</w:t>
      </w:r>
    </w:p>
    <w:p w14:paraId="6F3CFE0F">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支持检查登记时，获取患者的造影剂过敏信息。</w:t>
      </w:r>
    </w:p>
    <w:p w14:paraId="4F012F9A">
      <w:pPr>
        <w:pStyle w:val="6"/>
        <w:spacing w:before="0" w:after="0" w:line="360" w:lineRule="auto"/>
        <w:ind w:left="1327" w:hanging="901"/>
        <w:rPr>
          <w:b w:val="0"/>
          <w:bCs w:val="0"/>
          <w:lang w:eastAsia="zh-TW"/>
        </w:rPr>
      </w:pPr>
      <w:r>
        <w:rPr>
          <w:rFonts w:hint="eastAsia"/>
          <w:b w:val="0"/>
          <w:bCs w:val="0"/>
        </w:rPr>
        <w:t xml:space="preserve">3.2.6.4 </w:t>
      </w:r>
      <w:r>
        <w:rPr>
          <w:rFonts w:hint="eastAsia"/>
          <w:b w:val="0"/>
          <w:bCs w:val="0"/>
          <w:lang w:eastAsia="zh-TW"/>
        </w:rPr>
        <w:t>危急值方案管理</w:t>
      </w:r>
    </w:p>
    <w:p w14:paraId="249870EC">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rPr>
        <w:t>门诊医生危急值应用</w:t>
      </w:r>
    </w:p>
    <w:p w14:paraId="4E74EBFD">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支持与医技危急值发布平台对接，实现医技危急值临床提醒功能，提醒信息包括危急值患者姓名、就诊序号、报告日期、报告结果。</w:t>
      </w:r>
    </w:p>
    <w:p w14:paraId="1DCB9B60">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具备危急值处理意见维护功能，可根据“危急值”种类设置对应的处理意见。</w:t>
      </w:r>
    </w:p>
    <w:p w14:paraId="30407F27">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具备个人、科室、全院“危急值”治疗方案维护的功能，可根据“危急值”种类设置对应治疗方案。</w:t>
      </w:r>
    </w:p>
    <w:p w14:paraId="7B55BEE1">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具备记录“危急值”确认应答时间和处理结果功能。</w:t>
      </w:r>
    </w:p>
    <w:p w14:paraId="04779152">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具备录入危急值处理意见功能，可根据“危急值”结果关联相应的“危急值”诊疗方案，通过勾选自动生成“危急值”处理医嘱。</w:t>
      </w:r>
    </w:p>
    <w:p w14:paraId="111EA81D">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具备危急值病历文书生成功能，可将临床医生处理的“危急值”时间及处理内容一键引入危急值病历文书中，包括但不限于危急值接收时间、危急值内容、处置时间、具体措施。</w:t>
      </w:r>
    </w:p>
    <w:p w14:paraId="7C6AF7B3">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具备消息时限监控功能，可查询危急值处理时限，查看按时处理、未及时处理的“危急值”报告。</w:t>
      </w:r>
    </w:p>
    <w:p w14:paraId="76E941CC">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rPr>
        <w:t>住院医生危急值应用</w:t>
      </w:r>
    </w:p>
    <w:p w14:paraId="58329319">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rPr>
        <w:t>支持通过医技接口</w:t>
      </w:r>
      <w:r>
        <w:rPr>
          <w:rFonts w:hint="eastAsia" w:asciiTheme="minorEastAsia" w:hAnsiTheme="minorEastAsia" w:eastAsiaTheme="minorEastAsia"/>
          <w:lang w:eastAsia="zh-TW"/>
        </w:rPr>
        <w:t>接收</w:t>
      </w:r>
      <w:r>
        <w:rPr>
          <w:rFonts w:hint="eastAsia" w:asciiTheme="minorEastAsia" w:hAnsiTheme="minorEastAsia" w:eastAsiaTheme="minorEastAsia"/>
        </w:rPr>
        <w:t>医技系统</w:t>
      </w:r>
      <w:r>
        <w:rPr>
          <w:rFonts w:hint="eastAsia" w:asciiTheme="minorEastAsia" w:hAnsiTheme="minorEastAsia" w:eastAsiaTheme="minorEastAsia"/>
          <w:lang w:eastAsia="zh-TW"/>
        </w:rPr>
        <w:t>下发的危急值信息</w:t>
      </w:r>
      <w:r>
        <w:rPr>
          <w:rFonts w:hint="eastAsia" w:asciiTheme="minorEastAsia" w:hAnsiTheme="minorEastAsia" w:eastAsiaTheme="minorEastAsia"/>
        </w:rPr>
        <w:t>，并</w:t>
      </w:r>
      <w:r>
        <w:rPr>
          <w:rFonts w:hint="eastAsia" w:asciiTheme="minorEastAsia" w:hAnsiTheme="minorEastAsia" w:eastAsiaTheme="minorEastAsia"/>
          <w:lang w:eastAsia="zh-TW"/>
        </w:rPr>
        <w:t>及时消息提醒范围内的医生。</w:t>
      </w:r>
    </w:p>
    <w:p w14:paraId="003011B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具备危急值不处理，消息一直提醒干预</w:t>
      </w:r>
      <w:r>
        <w:rPr>
          <w:rFonts w:hint="eastAsia" w:asciiTheme="minorEastAsia" w:hAnsiTheme="minorEastAsia" w:eastAsiaTheme="minorEastAsia"/>
        </w:rPr>
        <w:t>功能。</w:t>
      </w:r>
    </w:p>
    <w:p w14:paraId="3DC0BD25">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具备危急值方案维护，医生可以采用危急值方案进行处理。</w:t>
      </w:r>
    </w:p>
    <w:p w14:paraId="52A71792">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具备危急值处理所使用的医嘱，建立与危急值关联。</w:t>
      </w:r>
    </w:p>
    <w:p w14:paraId="608FC22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具备危急值处理情况，自动生成危急值病程记录。</w:t>
      </w:r>
    </w:p>
    <w:p w14:paraId="3DF5F556">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支持与医技系统对接，将危急值接收、处理信息返回医技科室。</w:t>
      </w:r>
    </w:p>
    <w:p w14:paraId="3BFFF891">
      <w:pPr>
        <w:pStyle w:val="13"/>
        <w:spacing w:line="360" w:lineRule="auto"/>
        <w:ind w:firstLine="480" w:firstLineChars="200"/>
        <w:rPr>
          <w:lang w:eastAsia="zh-TW"/>
        </w:rPr>
      </w:pPr>
      <w:r>
        <w:rPr>
          <w:rFonts w:hint="eastAsia" w:asciiTheme="minorEastAsia" w:hAnsiTheme="minorEastAsia" w:eastAsiaTheme="minorEastAsia"/>
          <w:lang w:eastAsia="zh-TW"/>
        </w:rPr>
        <w:t>具备危急值查询功能，实时查询危急值内容信息和处理进展。</w:t>
      </w:r>
    </w:p>
    <w:p w14:paraId="1882FB0E">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住院医生站危急值方案管理</w:t>
      </w:r>
    </w:p>
    <w:p w14:paraId="2ADE8A4B">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eastAsia="zh-TW"/>
        </w:rPr>
        <w:t>支持危急值处理套餐维护并引用。</w:t>
      </w:r>
    </w:p>
    <w:p w14:paraId="5B070364">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住院护士</w:t>
      </w:r>
      <w:r>
        <w:rPr>
          <w:rFonts w:hint="eastAsia" w:asciiTheme="minorEastAsia" w:hAnsiTheme="minorEastAsia" w:eastAsiaTheme="minorEastAsia"/>
          <w:b/>
          <w:bCs/>
        </w:rPr>
        <w:t>危急值预警提醒</w:t>
      </w:r>
    </w:p>
    <w:p w14:paraId="391890D7">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具备危急值信息的接收与反馈，并能记录具体接收的时间和操作员信息。</w:t>
      </w:r>
    </w:p>
    <w:p w14:paraId="729B0B78">
      <w:pPr>
        <w:pStyle w:val="13"/>
        <w:spacing w:line="360" w:lineRule="auto"/>
        <w:ind w:firstLine="480" w:firstLineChars="200"/>
        <w:rPr>
          <w:rFonts w:ascii="Times New Roman" w:hAnsi="Times New Roman"/>
          <w:sz w:val="28"/>
          <w:szCs w:val="28"/>
        </w:rPr>
      </w:pPr>
      <w:r>
        <w:rPr>
          <w:rFonts w:hint="eastAsia" w:asciiTheme="minorEastAsia" w:hAnsiTheme="minorEastAsia" w:eastAsiaTheme="minorEastAsia"/>
          <w:lang w:eastAsia="zh-TW"/>
        </w:rPr>
        <w:t>具备危急值信息的汇总查询，并能按照单病人、单个发布医生和时间段进行查询相应的危急值信息</w:t>
      </w:r>
      <w:r>
        <w:rPr>
          <w:rFonts w:hint="eastAsia" w:asciiTheme="minorEastAsia" w:hAnsiTheme="minorEastAsia" w:eastAsiaTheme="minorEastAsia"/>
        </w:rPr>
        <w:t>。</w:t>
      </w:r>
    </w:p>
    <w:p w14:paraId="308BE8F2">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lang w:eastAsia="zh-TW"/>
        </w:rPr>
        <w:t>医技危急值推送</w:t>
      </w:r>
      <w:r>
        <w:rPr>
          <w:rFonts w:hint="eastAsia" w:asciiTheme="minorEastAsia" w:hAnsiTheme="minorEastAsia" w:eastAsiaTheme="minorEastAsia"/>
          <w:b/>
          <w:bCs/>
        </w:rPr>
        <w:t>服务</w:t>
      </w:r>
    </w:p>
    <w:p w14:paraId="3DBD693F">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支持放射系统、超声系统、内窥镜系统与临床工作站做系统对接，实时将危急值推送给临床，并返回接收反馈。</w:t>
      </w:r>
    </w:p>
    <w:p w14:paraId="279105E3">
      <w:pPr>
        <w:pStyle w:val="6"/>
        <w:spacing w:before="0" w:after="0"/>
        <w:ind w:left="1327" w:hanging="901"/>
      </w:pPr>
      <w:r>
        <w:rPr>
          <w:rFonts w:hint="eastAsia"/>
          <w:b w:val="0"/>
          <w:bCs w:val="0"/>
        </w:rPr>
        <w:t>3.2.6.5门诊病历</w:t>
      </w:r>
    </w:p>
    <w:p w14:paraId="56F43659">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门诊病历检索</w:t>
      </w:r>
    </w:p>
    <w:p w14:paraId="44EDF7A0">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对门诊病历内容检索，通过任意关键字查询出符合该内容的病历记录并支持查询浏览。</w:t>
      </w:r>
    </w:p>
    <w:p w14:paraId="3895E4C4">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门诊病历痕迹</w:t>
      </w:r>
    </w:p>
    <w:p w14:paraId="4A04F243">
      <w:pPr>
        <w:pStyle w:val="13"/>
        <w:spacing w:line="360" w:lineRule="auto"/>
        <w:ind w:firstLine="480" w:firstLineChars="200"/>
        <w:rPr>
          <w:rFonts w:asciiTheme="minorEastAsia" w:hAnsiTheme="minorEastAsia" w:eastAsiaTheme="minorEastAsia"/>
        </w:rPr>
      </w:pPr>
      <w:r>
        <w:rPr>
          <w:rFonts w:asciiTheme="minorEastAsia" w:hAnsiTheme="minorEastAsia" w:eastAsiaTheme="minorEastAsia"/>
        </w:rPr>
        <w:t>对于已提交的病历能自动记录、保存病历记录所有修改的痕迹</w:t>
      </w:r>
    </w:p>
    <w:p w14:paraId="56E8ABF6">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门诊病历信息上传</w:t>
      </w:r>
    </w:p>
    <w:p w14:paraId="6E14C143">
      <w:pPr>
        <w:pStyle w:val="13"/>
        <w:spacing w:line="360" w:lineRule="auto"/>
        <w:ind w:firstLine="480" w:firstLineChars="200"/>
        <w:rPr>
          <w:rFonts w:asciiTheme="minorEastAsia" w:hAnsiTheme="minorEastAsia" w:eastAsiaTheme="minorEastAsia"/>
        </w:rPr>
      </w:pPr>
      <w:r>
        <w:rPr>
          <w:rFonts w:asciiTheme="minorEastAsia" w:hAnsiTheme="minorEastAsia" w:eastAsiaTheme="minorEastAsia"/>
        </w:rPr>
        <w:t>门诊病案首页信息上传</w:t>
      </w:r>
    </w:p>
    <w:p w14:paraId="67624B91">
      <w:pPr>
        <w:pStyle w:val="6"/>
        <w:spacing w:after="0"/>
        <w:ind w:left="1327" w:hanging="901"/>
        <w:rPr>
          <w:rFonts w:asciiTheme="minorEastAsia" w:hAnsiTheme="minorEastAsia" w:eastAsiaTheme="minorEastAsia"/>
        </w:rPr>
      </w:pPr>
      <w:r>
        <w:rPr>
          <w:rFonts w:asciiTheme="minorEastAsia" w:hAnsiTheme="minorEastAsia" w:eastAsiaTheme="minorEastAsia"/>
          <w:b w:val="0"/>
          <w:bCs w:val="0"/>
        </w:rPr>
        <w:t>3.2.6.6</w:t>
      </w:r>
      <w:r>
        <w:rPr>
          <w:rFonts w:hint="eastAsia" w:asciiTheme="minorEastAsia" w:hAnsiTheme="minorEastAsia" w:eastAsiaTheme="minorEastAsia"/>
          <w:b w:val="0"/>
          <w:bCs w:val="0"/>
        </w:rPr>
        <w:t>手术麻醉</w:t>
      </w:r>
    </w:p>
    <w:p w14:paraId="2710CA03">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手术数据协同管理</w:t>
      </w:r>
    </w:p>
    <w:p w14:paraId="4D38D3DB">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实现手术记录数据与手术安排的紧密衔接，使其融入医院统一的医疗记录管理体系。确保手术安排能够获取手术申请信息，方便在临床操作中进行统一调阅。</w:t>
      </w:r>
    </w:p>
    <w:p w14:paraId="52D03564">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患者信息智能标识</w:t>
      </w:r>
    </w:p>
    <w:p w14:paraId="47BDEE6C">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提供机器可读的方式来标识病人，同时清晰提示手术部位、术式以及麻醉方式等关键信息。</w:t>
      </w:r>
    </w:p>
    <w:p w14:paraId="7D054690">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手术分级权限管控</w:t>
      </w:r>
    </w:p>
    <w:p w14:paraId="4F1CD36B">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构建手术分级管理机制，并针对手术医师设置权限控制，保障手术操作的规范性与安全性。</w:t>
      </w:r>
    </w:p>
    <w:p w14:paraId="0CC5812C">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麻醉记录数据整合</w:t>
      </w:r>
    </w:p>
    <w:p w14:paraId="2EB141E0">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rPr>
        <w:t>将麻醉记录相关数据全面纳入医院整体医疗记录范畴，涵盖麻醉记录单、麻醉术前访视记录、术后访视记录、手术安全核查表以及手术风险评估表等。</w:t>
      </w:r>
    </w:p>
    <w:p w14:paraId="1C4DA88A">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lang w:eastAsia="zh-TW"/>
        </w:rPr>
        <w:t>麻醉异常参数智能监测</w:t>
      </w:r>
    </w:p>
    <w:p w14:paraId="1BE3FDCB">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具备对麻醉过程中异常监测参数的判断能力，并在麻醉记录单及相关图表中进行清晰显示。</w:t>
      </w:r>
    </w:p>
    <w:p w14:paraId="2FA41CCB">
      <w:pPr>
        <w:pStyle w:val="5"/>
        <w:spacing w:before="0" w:after="0" w:line="360" w:lineRule="auto"/>
        <w:ind w:left="1327" w:hanging="901"/>
        <w:rPr>
          <w:rFonts w:ascii="Times New Roman" w:hAnsi="Times New Roman"/>
        </w:rPr>
      </w:pPr>
      <w:r>
        <w:rPr>
          <w:rFonts w:hint="eastAsia" w:ascii="Times New Roman" w:hAnsi="Times New Roman"/>
        </w:rPr>
        <w:t>3.2.7 系统实施</w:t>
      </w:r>
    </w:p>
    <w:p w14:paraId="430493E6">
      <w:pPr>
        <w:pStyle w:val="6"/>
        <w:spacing w:before="0" w:after="0" w:line="360" w:lineRule="auto"/>
        <w:ind w:left="1327" w:hanging="901"/>
        <w:rPr>
          <w:b w:val="0"/>
          <w:bCs w:val="0"/>
        </w:rPr>
      </w:pPr>
      <w:r>
        <w:rPr>
          <w:rFonts w:hint="eastAsia"/>
          <w:b w:val="0"/>
          <w:bCs w:val="0"/>
        </w:rPr>
        <w:t>3.2.7.1 信息系统实施</w:t>
      </w:r>
    </w:p>
    <w:p w14:paraId="46AD1893">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承担本项目系统开发与集成工作，具体涵盖：</w:t>
      </w:r>
    </w:p>
    <w:p w14:paraId="5FD1E5B8">
      <w:pPr>
        <w:pStyle w:val="13"/>
        <w:spacing w:line="360" w:lineRule="auto"/>
        <w:ind w:firstLine="482" w:firstLineChars="200"/>
        <w:rPr>
          <w:rFonts w:asciiTheme="minorEastAsia" w:hAnsiTheme="minorEastAsia" w:eastAsiaTheme="minorEastAsia"/>
          <w:lang w:eastAsia="zh-TW"/>
        </w:rPr>
      </w:pPr>
      <w:r>
        <w:rPr>
          <w:rFonts w:hint="eastAsia" w:asciiTheme="minorEastAsia" w:hAnsiTheme="minorEastAsia" w:eastAsiaTheme="minorEastAsia"/>
          <w:b/>
          <w:bCs/>
          <w:lang w:eastAsia="zh-TW"/>
        </w:rPr>
        <w:t>全栈系统开发与实现：</w:t>
      </w:r>
      <w:r>
        <w:rPr>
          <w:rFonts w:hint="eastAsia" w:asciiTheme="minorEastAsia" w:hAnsiTheme="minorEastAsia" w:eastAsiaTheme="minorEastAsia"/>
          <w:lang w:eastAsia="zh-TW"/>
        </w:rPr>
        <w:t>依据需求规格及设计方案，高质量完成核心业务模块的代码编写、单元测试与集成测试，确保系统功能完整、性能达标。</w:t>
      </w:r>
    </w:p>
    <w:p w14:paraId="6ABE5674">
      <w:pPr>
        <w:pStyle w:val="13"/>
        <w:spacing w:line="360" w:lineRule="auto"/>
        <w:ind w:firstLine="482" w:firstLineChars="200"/>
        <w:rPr>
          <w:rFonts w:asciiTheme="minorEastAsia" w:hAnsiTheme="minorEastAsia" w:eastAsiaTheme="minorEastAsia"/>
          <w:lang w:eastAsia="zh-TW"/>
        </w:rPr>
      </w:pPr>
      <w:r>
        <w:rPr>
          <w:rFonts w:hint="eastAsia" w:asciiTheme="minorEastAsia" w:hAnsiTheme="minorEastAsia" w:eastAsiaTheme="minorEastAsia"/>
          <w:b/>
          <w:bCs/>
          <w:lang w:eastAsia="zh-TW"/>
        </w:rPr>
        <w:t>异构系统无缝集成：</w:t>
      </w:r>
      <w:r>
        <w:rPr>
          <w:rFonts w:hint="eastAsia" w:asciiTheme="minorEastAsia" w:hAnsiTheme="minorEastAsia" w:eastAsiaTheme="minorEastAsia"/>
          <w:lang w:eastAsia="zh-TW"/>
        </w:rPr>
        <w:t>实现新建系统与医院现有相关信息系统（如HIS、LIS、PACS等）的标准化、高可靠集成，保障数据流、业务流跨系统实时、准确、高效交互。</w:t>
      </w:r>
    </w:p>
    <w:p w14:paraId="407435C1">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项目交付须严格满足国家《电子病历系统应用水平分级评价标准（试行）》五级（EMR-5级）认证要求，确保系统整体架构、功能实现、数据质量及应用深度逐条款符合五级评审标准，并通过内部预评及最终评审。</w:t>
      </w:r>
    </w:p>
    <w:p w14:paraId="0117243E">
      <w:pPr>
        <w:pStyle w:val="5"/>
        <w:spacing w:before="0" w:after="0" w:line="360" w:lineRule="auto"/>
        <w:ind w:left="1327" w:hanging="901"/>
        <w:rPr>
          <w:rFonts w:ascii="Times New Roman" w:hAnsi="Times New Roman"/>
        </w:rPr>
      </w:pPr>
      <w:r>
        <w:rPr>
          <w:rFonts w:hint="eastAsia" w:ascii="Times New Roman" w:hAnsi="Times New Roman"/>
        </w:rPr>
        <w:t>3.2.8 电子病历五级评审支持服务</w:t>
      </w:r>
    </w:p>
    <w:p w14:paraId="07E343EB">
      <w:pPr>
        <w:pStyle w:val="6"/>
        <w:spacing w:before="0" w:after="0" w:line="360" w:lineRule="auto"/>
        <w:ind w:left="1327" w:hanging="901"/>
        <w:rPr>
          <w:b w:val="0"/>
          <w:bCs w:val="0"/>
        </w:rPr>
      </w:pPr>
      <w:r>
        <w:rPr>
          <w:rFonts w:hint="eastAsia"/>
          <w:b w:val="0"/>
          <w:bCs w:val="0"/>
        </w:rPr>
        <w:t>3.2.8.1 系统评估</w:t>
      </w:r>
    </w:p>
    <w:p w14:paraId="6D77ABD4">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rPr>
        <w:t>1）</w:t>
      </w:r>
      <w:r>
        <w:rPr>
          <w:rFonts w:hint="eastAsia" w:asciiTheme="minorEastAsia" w:hAnsiTheme="minorEastAsia" w:eastAsiaTheme="minorEastAsia"/>
          <w:b/>
          <w:bCs/>
          <w:lang w:eastAsia="zh-TW"/>
        </w:rPr>
        <w:t>评审咨询：</w:t>
      </w:r>
    </w:p>
    <w:p w14:paraId="7C5E2C85">
      <w:pPr>
        <w:pStyle w:val="13"/>
        <w:spacing w:line="360" w:lineRule="auto"/>
        <w:ind w:firstLine="482" w:firstLineChars="200"/>
        <w:rPr>
          <w:rFonts w:asciiTheme="minorEastAsia" w:hAnsiTheme="minorEastAsia" w:eastAsiaTheme="minorEastAsia"/>
          <w:lang w:eastAsia="zh-TW"/>
        </w:rPr>
      </w:pPr>
      <w:r>
        <w:rPr>
          <w:rFonts w:hint="eastAsia" w:asciiTheme="minorEastAsia" w:hAnsiTheme="minorEastAsia" w:eastAsiaTheme="minorEastAsia"/>
          <w:b/>
          <w:bCs/>
          <w:lang w:eastAsia="zh-TW"/>
        </w:rPr>
        <w:t>评审标准解读与合规性咨询：</w:t>
      </w:r>
      <w:r>
        <w:rPr>
          <w:rFonts w:hint="eastAsia" w:asciiTheme="minorEastAsia" w:hAnsiTheme="minorEastAsia" w:eastAsiaTheme="minorEastAsia"/>
          <w:lang w:eastAsia="zh-TW"/>
        </w:rPr>
        <w:t>针对国家/地方电子病历五级评审标准的核心条款与达标要求，提供权威、精准的解读，并就具体实施方案提供专业化的合规性指导与建设性咨询意见，确保项目建设方向与评审要求高度契合。</w:t>
      </w:r>
    </w:p>
    <w:p w14:paraId="084ABCEF">
      <w:pPr>
        <w:pStyle w:val="13"/>
        <w:spacing w:line="360" w:lineRule="auto"/>
        <w:ind w:firstLine="482" w:firstLineChars="200"/>
        <w:rPr>
          <w:rFonts w:asciiTheme="minorEastAsia" w:hAnsiTheme="minorEastAsia" w:eastAsiaTheme="minorEastAsia"/>
          <w:lang w:eastAsia="zh-TW"/>
        </w:rPr>
      </w:pPr>
      <w:r>
        <w:rPr>
          <w:rFonts w:hint="eastAsia" w:asciiTheme="minorEastAsia" w:hAnsiTheme="minorEastAsia" w:eastAsiaTheme="minorEastAsia"/>
          <w:b/>
          <w:bCs/>
          <w:lang w:eastAsia="zh-TW"/>
        </w:rPr>
        <w:t>建设过程评估与效果预判：</w:t>
      </w:r>
      <w:r>
        <w:rPr>
          <w:rFonts w:hint="eastAsia" w:asciiTheme="minorEastAsia" w:hAnsiTheme="minorEastAsia" w:eastAsiaTheme="minorEastAsia"/>
          <w:lang w:eastAsia="zh-TW"/>
        </w:rPr>
        <w:t>在关键建设节点，对项目进展、改造方案及阶段性成果进行系统性评估，分析其与五级评审目标的符合度，预判潜在风险并提出优化建议。</w:t>
      </w:r>
    </w:p>
    <w:p w14:paraId="5BD70A6A">
      <w:pPr>
        <w:pStyle w:val="13"/>
        <w:spacing w:line="360" w:lineRule="auto"/>
        <w:ind w:firstLine="482" w:firstLineChars="200"/>
        <w:rPr>
          <w:rFonts w:asciiTheme="minorEastAsia" w:hAnsiTheme="minorEastAsia" w:eastAsiaTheme="minorEastAsia"/>
          <w:lang w:eastAsia="zh-TW"/>
        </w:rPr>
      </w:pPr>
      <w:r>
        <w:rPr>
          <w:rFonts w:hint="eastAsia" w:asciiTheme="minorEastAsia" w:hAnsiTheme="minorEastAsia" w:eastAsiaTheme="minorEastAsia"/>
          <w:b/>
          <w:bCs/>
          <w:lang w:eastAsia="zh-TW"/>
        </w:rPr>
        <w:t>改造效果验证与达标评估：</w:t>
      </w:r>
      <w:r>
        <w:rPr>
          <w:rFonts w:hint="eastAsia" w:asciiTheme="minorEastAsia" w:hAnsiTheme="minorEastAsia" w:eastAsiaTheme="minorEastAsia"/>
          <w:lang w:eastAsia="zh-TW"/>
        </w:rPr>
        <w:t>在改造实施完成后，运用科学的方法论和评价指标，对系统功能、数据质量、应用成效等改造效果进行客观、量化的验证与评估，出具符合性评估报告，明确其满足五级评审标准的程度，为正式评审提供有力支撑。</w:t>
      </w:r>
    </w:p>
    <w:p w14:paraId="01679D2F">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rPr>
        <w:t>2）项目自评</w:t>
      </w:r>
      <w:r>
        <w:rPr>
          <w:rFonts w:hint="eastAsia" w:asciiTheme="minorEastAsia" w:hAnsiTheme="minorEastAsia" w:eastAsiaTheme="minorEastAsia"/>
          <w:b/>
          <w:bCs/>
          <w:lang w:eastAsia="zh-TW"/>
        </w:rPr>
        <w:t>：</w:t>
      </w:r>
    </w:p>
    <w:p w14:paraId="54C158D6">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eastAsia="zh-TW"/>
        </w:rPr>
        <w:t>承建方需依据国家卫生健康委员会《电子病历系统应用水平分级评价标准（试行）》及相关评审路径要求，组织并执行系统性、结构化的项目自评工作。对于满足95%的指标达标时，申请评审部测评</w:t>
      </w:r>
      <w:r>
        <w:rPr>
          <w:rFonts w:hint="eastAsia" w:asciiTheme="minorEastAsia" w:hAnsiTheme="minorEastAsia" w:eastAsiaTheme="minorEastAsia"/>
        </w:rPr>
        <w:t>。</w:t>
      </w:r>
    </w:p>
    <w:p w14:paraId="13416674">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3）内评演示：</w:t>
      </w:r>
    </w:p>
    <w:p w14:paraId="64A74FA4">
      <w:pPr>
        <w:pStyle w:val="13"/>
        <w:spacing w:line="360" w:lineRule="auto"/>
        <w:ind w:firstLine="482" w:firstLineChars="200"/>
        <w:rPr>
          <w:rFonts w:asciiTheme="minorEastAsia" w:hAnsiTheme="minorEastAsia" w:eastAsiaTheme="minorEastAsia"/>
        </w:rPr>
      </w:pPr>
      <w:r>
        <w:rPr>
          <w:rFonts w:asciiTheme="minorEastAsia" w:hAnsiTheme="minorEastAsia" w:eastAsiaTheme="minorEastAsia"/>
          <w:b/>
          <w:bCs/>
        </w:rPr>
        <w:t>评测环境就绪保障：</w:t>
      </w:r>
      <w:r>
        <w:rPr>
          <w:rFonts w:asciiTheme="minorEastAsia" w:hAnsiTheme="minorEastAsia" w:eastAsiaTheme="minorEastAsia"/>
        </w:rPr>
        <w:t>依据评审标准部署并验证所需的软硬件评测环境，确保其稳定、可用且真实反映系统状态。</w:t>
      </w:r>
    </w:p>
    <w:p w14:paraId="6004D67F">
      <w:pPr>
        <w:pStyle w:val="13"/>
        <w:spacing w:line="360" w:lineRule="auto"/>
        <w:ind w:firstLine="482" w:firstLineChars="200"/>
        <w:rPr>
          <w:rFonts w:asciiTheme="minorEastAsia" w:hAnsiTheme="minorEastAsia" w:eastAsiaTheme="minorEastAsia"/>
        </w:rPr>
      </w:pPr>
      <w:r>
        <w:rPr>
          <w:rFonts w:asciiTheme="minorEastAsia" w:hAnsiTheme="minorEastAsia" w:eastAsiaTheme="minorEastAsia"/>
          <w:b/>
          <w:bCs/>
        </w:rPr>
        <w:t>评审项功能验证演示：</w:t>
      </w:r>
      <w:r>
        <w:rPr>
          <w:rFonts w:asciiTheme="minorEastAsia" w:hAnsiTheme="minorEastAsia" w:eastAsiaTheme="minorEastAsia"/>
        </w:rPr>
        <w:t>紧密配合评审部，针对评审项清单，清晰、准确地执行预设业务场景的功能点演示，逐项验证达标情况，支撑评测结论形成。</w:t>
      </w:r>
    </w:p>
    <w:p w14:paraId="235A7278">
      <w:pPr>
        <w:pStyle w:val="6"/>
        <w:spacing w:before="0" w:after="0" w:line="360" w:lineRule="auto"/>
        <w:ind w:left="1327" w:hanging="901"/>
        <w:rPr>
          <w:b w:val="0"/>
          <w:bCs w:val="0"/>
        </w:rPr>
      </w:pPr>
      <w:r>
        <w:rPr>
          <w:rFonts w:hint="eastAsia"/>
          <w:b w:val="0"/>
          <w:bCs w:val="0"/>
        </w:rPr>
        <w:t>3.2.8.2 评审材料准备</w:t>
      </w:r>
    </w:p>
    <w:p w14:paraId="28CF12F7">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1）网站填报</w:t>
      </w:r>
    </w:p>
    <w:p w14:paraId="51253A38">
      <w:pPr>
        <w:pStyle w:val="13"/>
        <w:spacing w:line="360" w:lineRule="auto"/>
        <w:ind w:firstLine="482" w:firstLineChars="200"/>
        <w:rPr>
          <w:rFonts w:asciiTheme="minorEastAsia" w:hAnsiTheme="minorEastAsia" w:eastAsiaTheme="minorEastAsia"/>
        </w:rPr>
      </w:pPr>
      <w:r>
        <w:rPr>
          <w:rFonts w:hint="eastAsia" w:asciiTheme="minorEastAsia" w:hAnsiTheme="minorEastAsia" w:eastAsiaTheme="minorEastAsia"/>
          <w:b/>
          <w:bCs/>
        </w:rPr>
        <w:t>省卫健委网站填报：</w:t>
      </w:r>
      <w:r>
        <w:rPr>
          <w:rFonts w:hint="eastAsia" w:asciiTheme="minorEastAsia" w:hAnsiTheme="minorEastAsia" w:eastAsiaTheme="minorEastAsia"/>
        </w:rPr>
        <w:t>配合统计首页数据、按评审要求填报需评审达标项</w:t>
      </w:r>
    </w:p>
    <w:p w14:paraId="797C03F4">
      <w:pPr>
        <w:pStyle w:val="13"/>
        <w:spacing w:line="360" w:lineRule="auto"/>
        <w:ind w:firstLine="482" w:firstLineChars="200"/>
        <w:rPr>
          <w:rFonts w:asciiTheme="minorEastAsia" w:hAnsiTheme="minorEastAsia" w:eastAsiaTheme="minorEastAsia"/>
        </w:rPr>
      </w:pPr>
      <w:r>
        <w:rPr>
          <w:rFonts w:hint="eastAsia" w:asciiTheme="minorEastAsia" w:hAnsiTheme="minorEastAsia" w:eastAsiaTheme="minorEastAsia"/>
          <w:b/>
          <w:bCs/>
        </w:rPr>
        <w:t>国家卫健委网站填报：</w:t>
      </w:r>
      <w:r>
        <w:rPr>
          <w:rFonts w:hint="eastAsia" w:asciiTheme="minorEastAsia" w:hAnsiTheme="minorEastAsia" w:eastAsiaTheme="minorEastAsia"/>
        </w:rPr>
        <w:t>配合统计首页数据、按评审要求填报需评审达标项</w:t>
      </w:r>
    </w:p>
    <w:p w14:paraId="1ECA556A">
      <w:pPr>
        <w:pStyle w:val="13"/>
        <w:spacing w:line="360" w:lineRule="auto"/>
        <w:ind w:firstLine="482" w:firstLineChars="200"/>
        <w:rPr>
          <w:rFonts w:asciiTheme="minorEastAsia" w:hAnsiTheme="minorEastAsia" w:eastAsiaTheme="minorEastAsia"/>
        </w:rPr>
      </w:pPr>
      <w:r>
        <w:rPr>
          <w:rFonts w:hint="eastAsia" w:asciiTheme="minorEastAsia" w:hAnsiTheme="minorEastAsia" w:eastAsiaTheme="minorEastAsia"/>
          <w:b/>
          <w:bCs/>
        </w:rPr>
        <w:t>填报咨询：</w:t>
      </w:r>
      <w:r>
        <w:rPr>
          <w:rFonts w:hint="eastAsia" w:asciiTheme="minorEastAsia" w:hAnsiTheme="minorEastAsia" w:eastAsiaTheme="minorEastAsia"/>
        </w:rPr>
        <w:t>提供网站填报问题咨询，通知并跟进填报进度，与评审相关部门沟通</w:t>
      </w:r>
    </w:p>
    <w:p w14:paraId="0F66659C">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2）实证材料</w:t>
      </w:r>
    </w:p>
    <w:p w14:paraId="6749245C">
      <w:pPr>
        <w:pStyle w:val="13"/>
        <w:spacing w:line="360" w:lineRule="auto"/>
        <w:ind w:firstLine="482" w:firstLineChars="200"/>
        <w:rPr>
          <w:rFonts w:asciiTheme="minorEastAsia" w:hAnsiTheme="minorEastAsia" w:eastAsiaTheme="minorEastAsia"/>
        </w:rPr>
      </w:pPr>
      <w:r>
        <w:rPr>
          <w:rFonts w:hint="eastAsia" w:asciiTheme="minorEastAsia" w:hAnsiTheme="minorEastAsia" w:eastAsiaTheme="minorEastAsia"/>
          <w:b/>
          <w:bCs/>
        </w:rPr>
        <w:t>实证材料截图：</w:t>
      </w:r>
      <w:r>
        <w:rPr>
          <w:rFonts w:hint="eastAsia" w:asciiTheme="minorEastAsia" w:hAnsiTheme="minorEastAsia" w:eastAsiaTheme="minorEastAsia"/>
        </w:rPr>
        <w:t>配合医院提供实证材料中要求提供的系统截图。</w:t>
      </w:r>
    </w:p>
    <w:p w14:paraId="3E7C8C2D">
      <w:pPr>
        <w:pStyle w:val="13"/>
        <w:spacing w:line="360" w:lineRule="auto"/>
        <w:ind w:firstLine="482" w:firstLineChars="200"/>
        <w:rPr>
          <w:rFonts w:asciiTheme="minorEastAsia" w:hAnsiTheme="minorEastAsia" w:eastAsiaTheme="minorEastAsia"/>
        </w:rPr>
      </w:pPr>
      <w:r>
        <w:rPr>
          <w:rFonts w:hint="eastAsia" w:asciiTheme="minorEastAsia" w:hAnsiTheme="minorEastAsia" w:eastAsiaTheme="minorEastAsia"/>
          <w:b/>
          <w:bCs/>
        </w:rPr>
        <w:t>实证材料校验：</w:t>
      </w:r>
      <w:r>
        <w:rPr>
          <w:rFonts w:hint="eastAsia" w:asciiTheme="minorEastAsia" w:hAnsiTheme="minorEastAsia" w:eastAsiaTheme="minorEastAsia"/>
        </w:rPr>
        <w:t>根据实证材料要求，对医院书写的实证材料进行核查并提出整改要求</w:t>
      </w:r>
    </w:p>
    <w:p w14:paraId="3EE28879">
      <w:pPr>
        <w:pStyle w:val="13"/>
        <w:spacing w:line="360" w:lineRule="auto"/>
        <w:ind w:firstLine="482" w:firstLineChars="200"/>
        <w:rPr>
          <w:rFonts w:asciiTheme="minorEastAsia" w:hAnsiTheme="minorEastAsia" w:eastAsiaTheme="minorEastAsia"/>
        </w:rPr>
      </w:pPr>
      <w:r>
        <w:rPr>
          <w:rFonts w:hint="eastAsia" w:asciiTheme="minorEastAsia" w:hAnsiTheme="minorEastAsia" w:eastAsiaTheme="minorEastAsia"/>
          <w:b/>
          <w:bCs/>
        </w:rPr>
        <w:t>实证材料完整版：</w:t>
      </w:r>
      <w:r>
        <w:rPr>
          <w:rFonts w:hint="eastAsia" w:asciiTheme="minorEastAsia" w:hAnsiTheme="minorEastAsia" w:eastAsiaTheme="minorEastAsia"/>
        </w:rPr>
        <w:t>完成医院实证材料，并对专家评审意见进行修改并配合医院再次提交。</w:t>
      </w:r>
    </w:p>
    <w:p w14:paraId="64610F12">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3）汇报PPT</w:t>
      </w:r>
    </w:p>
    <w:p w14:paraId="2300BDE3">
      <w:pPr>
        <w:pStyle w:val="13"/>
        <w:spacing w:line="360" w:lineRule="auto"/>
        <w:ind w:firstLine="482" w:firstLineChars="200"/>
        <w:rPr>
          <w:rFonts w:asciiTheme="minorEastAsia" w:hAnsiTheme="minorEastAsia" w:eastAsiaTheme="minorEastAsia"/>
        </w:rPr>
      </w:pPr>
      <w:r>
        <w:rPr>
          <w:rFonts w:asciiTheme="minorEastAsia" w:hAnsiTheme="minorEastAsia" w:eastAsiaTheme="minorEastAsia"/>
          <w:b/>
          <w:bCs/>
        </w:rPr>
        <w:t>样例资料</w:t>
      </w:r>
      <w:r>
        <w:rPr>
          <w:rFonts w:hint="eastAsia" w:asciiTheme="minorEastAsia" w:hAnsiTheme="minorEastAsia" w:eastAsiaTheme="minorEastAsia"/>
          <w:b/>
          <w:bCs/>
        </w:rPr>
        <w:t>：</w:t>
      </w:r>
      <w:r>
        <w:rPr>
          <w:rFonts w:hint="eastAsia" w:asciiTheme="minorEastAsia" w:hAnsiTheme="minorEastAsia" w:eastAsiaTheme="minorEastAsia"/>
        </w:rPr>
        <w:t>提供历次EMR-5级评审汇报PPT样例，数量不少于6份。</w:t>
      </w:r>
    </w:p>
    <w:p w14:paraId="61CCD93D">
      <w:pPr>
        <w:pStyle w:val="13"/>
        <w:spacing w:line="360" w:lineRule="auto"/>
        <w:ind w:firstLine="482" w:firstLineChars="200"/>
        <w:rPr>
          <w:rFonts w:asciiTheme="minorEastAsia" w:hAnsiTheme="minorEastAsia" w:eastAsiaTheme="minorEastAsia"/>
        </w:rPr>
      </w:pPr>
      <w:r>
        <w:rPr>
          <w:rFonts w:asciiTheme="minorEastAsia" w:hAnsiTheme="minorEastAsia" w:eastAsiaTheme="minorEastAsia"/>
          <w:b/>
          <w:bCs/>
        </w:rPr>
        <w:t>PPT内容提供</w:t>
      </w:r>
      <w:r>
        <w:rPr>
          <w:rFonts w:hint="eastAsia" w:asciiTheme="minorEastAsia" w:hAnsiTheme="minorEastAsia" w:eastAsiaTheme="minorEastAsia"/>
          <w:b/>
          <w:bCs/>
        </w:rPr>
        <w:t>：</w:t>
      </w:r>
      <w:r>
        <w:rPr>
          <w:rFonts w:hint="eastAsia" w:asciiTheme="minorEastAsia" w:hAnsiTheme="minorEastAsia" w:eastAsiaTheme="minorEastAsia"/>
        </w:rPr>
        <w:t>配合院方汇报人员提供汇报PPT中的数据统计、程序截图、资料搜集。</w:t>
      </w:r>
    </w:p>
    <w:p w14:paraId="3EB14BA0">
      <w:pPr>
        <w:pStyle w:val="13"/>
        <w:spacing w:line="360" w:lineRule="auto"/>
        <w:ind w:firstLine="482" w:firstLineChars="200"/>
        <w:rPr>
          <w:rFonts w:asciiTheme="minorEastAsia" w:hAnsiTheme="minorEastAsia" w:eastAsiaTheme="minorEastAsia"/>
        </w:rPr>
      </w:pPr>
      <w:r>
        <w:rPr>
          <w:rFonts w:asciiTheme="minorEastAsia" w:hAnsiTheme="minorEastAsia" w:eastAsiaTheme="minorEastAsia"/>
          <w:b/>
          <w:bCs/>
        </w:rPr>
        <w:t>PPT内容审核</w:t>
      </w:r>
      <w:r>
        <w:rPr>
          <w:rFonts w:hint="eastAsia" w:asciiTheme="minorEastAsia" w:hAnsiTheme="minorEastAsia" w:eastAsiaTheme="minorEastAsia"/>
          <w:b/>
          <w:bCs/>
        </w:rPr>
        <w:t>：</w:t>
      </w:r>
      <w:r>
        <w:rPr>
          <w:rFonts w:hint="eastAsia" w:asciiTheme="minorEastAsia" w:hAnsiTheme="minorEastAsia" w:eastAsiaTheme="minorEastAsia"/>
        </w:rPr>
        <w:t>对医院的汇报PPT格式、内容审核，以保证符合EMR-5级评审要求。</w:t>
      </w:r>
    </w:p>
    <w:p w14:paraId="00F867EA">
      <w:pPr>
        <w:pStyle w:val="13"/>
        <w:spacing w:line="360" w:lineRule="auto"/>
        <w:ind w:firstLine="482" w:firstLineChars="200"/>
        <w:rPr>
          <w:rFonts w:asciiTheme="minorEastAsia" w:hAnsiTheme="minorEastAsia" w:eastAsiaTheme="minorEastAsia"/>
        </w:rPr>
      </w:pPr>
      <w:r>
        <w:rPr>
          <w:rFonts w:asciiTheme="minorEastAsia" w:hAnsiTheme="minorEastAsia" w:eastAsiaTheme="minorEastAsia"/>
          <w:b/>
          <w:bCs/>
        </w:rPr>
        <w:t>PPT试讲审核</w:t>
      </w:r>
      <w:r>
        <w:rPr>
          <w:rFonts w:hint="eastAsia" w:asciiTheme="minorEastAsia" w:hAnsiTheme="minorEastAsia" w:eastAsiaTheme="minorEastAsia"/>
          <w:b/>
          <w:bCs/>
        </w:rPr>
        <w:t>：</w:t>
      </w:r>
      <w:r>
        <w:rPr>
          <w:rFonts w:hint="eastAsia" w:asciiTheme="minorEastAsia" w:hAnsiTheme="minorEastAsia" w:eastAsiaTheme="minorEastAsia"/>
        </w:rPr>
        <w:t>配合指导院方汇报人员试讲、演练，基于《分级评价标准》核心条款及卫健委问询逻辑，定制结构化汇报框架；通过模拟答辩，逐环节修正表达精准度、证据链完整性与应答合规性。开展评审答辩能力成熟度评估工作，确保终审答辩零关键项遗漏、零证据链断裂。</w:t>
      </w:r>
    </w:p>
    <w:p w14:paraId="7F745E77">
      <w:pPr>
        <w:pStyle w:val="6"/>
        <w:spacing w:before="0" w:after="0" w:line="360" w:lineRule="auto"/>
        <w:ind w:left="1327" w:hanging="901"/>
        <w:rPr>
          <w:b w:val="0"/>
          <w:bCs w:val="0"/>
        </w:rPr>
      </w:pPr>
      <w:r>
        <w:rPr>
          <w:rFonts w:hint="eastAsia"/>
          <w:b w:val="0"/>
          <w:bCs w:val="0"/>
        </w:rPr>
        <w:t>3.2.8.3 迎评指导</w:t>
      </w:r>
    </w:p>
    <w:p w14:paraId="2E2561F6">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1）材料制作</w:t>
      </w:r>
    </w:p>
    <w:p w14:paraId="27D05D59">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根据历次评审经验并结合医院实际情况，制作迎评培训资料。如功能点演示要点，知识库案例，患者用例等。</w:t>
      </w:r>
    </w:p>
    <w:p w14:paraId="1B2D4F68">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2）培训</w:t>
      </w:r>
    </w:p>
    <w:p w14:paraId="4E67F21D">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对参与测评的科室和医务工作人员进行培训，使其可准确理解专家问卷含义并准确演示。</w:t>
      </w:r>
    </w:p>
    <w:p w14:paraId="0A3AC524">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3）场景模拟</w:t>
      </w:r>
    </w:p>
    <w:p w14:paraId="4DD4CE70">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按评审真实环境准备演示机器、演示人员、演示场地。</w:t>
      </w:r>
    </w:p>
    <w:p w14:paraId="34E62F6F">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4）模拟演练</w:t>
      </w:r>
    </w:p>
    <w:p w14:paraId="6813643D">
      <w:pPr>
        <w:pStyle w:val="13"/>
        <w:spacing w:line="360" w:lineRule="auto"/>
        <w:ind w:firstLine="480" w:firstLineChars="200"/>
        <w:rPr>
          <w:rFonts w:asciiTheme="minorEastAsia" w:hAnsiTheme="minorEastAsia" w:eastAsiaTheme="minorEastAsia"/>
        </w:rPr>
      </w:pPr>
      <w:r>
        <w:rPr>
          <w:rFonts w:asciiTheme="minorEastAsia" w:hAnsiTheme="minorEastAsia" w:eastAsiaTheme="minorEastAsia"/>
        </w:rPr>
        <w:t>模拟评审真实场景对参与演示的医务人员演示要点点评</w:t>
      </w:r>
      <w:r>
        <w:rPr>
          <w:rFonts w:hint="eastAsia" w:asciiTheme="minorEastAsia" w:hAnsiTheme="minorEastAsia" w:eastAsiaTheme="minorEastAsia"/>
        </w:rPr>
        <w:t>，并提供书面点评报告。</w:t>
      </w:r>
    </w:p>
    <w:p w14:paraId="47485AF1">
      <w:pPr>
        <w:pStyle w:val="6"/>
        <w:spacing w:before="0" w:after="0" w:line="360" w:lineRule="auto"/>
        <w:ind w:left="1327" w:hanging="901"/>
        <w:rPr>
          <w:b w:val="0"/>
          <w:bCs w:val="0"/>
        </w:rPr>
      </w:pPr>
      <w:r>
        <w:rPr>
          <w:rFonts w:hint="eastAsia"/>
          <w:b w:val="0"/>
          <w:bCs w:val="0"/>
        </w:rPr>
        <w:t>3.2.8.4 专家评审</w:t>
      </w:r>
    </w:p>
    <w:p w14:paraId="22F2B8F0">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1）迎评路线</w:t>
      </w:r>
    </w:p>
    <w:p w14:paraId="721DB471">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指导医院规划专家评审路线，并提供书面建议书。</w:t>
      </w:r>
    </w:p>
    <w:p w14:paraId="55F2F37E">
      <w:pPr>
        <w:pStyle w:val="13"/>
        <w:spacing w:line="360" w:lineRule="auto"/>
        <w:ind w:firstLine="482" w:firstLineChars="200"/>
        <w:rPr>
          <w:rFonts w:asciiTheme="minorEastAsia" w:hAnsiTheme="minorEastAsia" w:eastAsiaTheme="minorEastAsia"/>
          <w:b/>
          <w:bCs/>
        </w:rPr>
      </w:pPr>
      <w:r>
        <w:rPr>
          <w:rFonts w:hint="eastAsia" w:asciiTheme="minorEastAsia" w:hAnsiTheme="minorEastAsia" w:eastAsiaTheme="minorEastAsia"/>
          <w:b/>
          <w:bCs/>
        </w:rPr>
        <w:t>2）迎评技巧</w:t>
      </w:r>
    </w:p>
    <w:p w14:paraId="5B53F040">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编制</w:t>
      </w:r>
      <w:r>
        <w:rPr>
          <w:rFonts w:asciiTheme="minorEastAsia" w:hAnsiTheme="minorEastAsia" w:eastAsiaTheme="minorEastAsia"/>
        </w:rPr>
        <w:t>迎评说明书，如迎评技巧</w:t>
      </w:r>
      <w:r>
        <w:rPr>
          <w:rFonts w:hint="eastAsia" w:asciiTheme="minorEastAsia" w:hAnsiTheme="minorEastAsia" w:eastAsiaTheme="minorEastAsia"/>
        </w:rPr>
        <w:t>等。并对参评人员开展针对性培训。</w:t>
      </w:r>
    </w:p>
    <w:p w14:paraId="484A5144">
      <w:pPr>
        <w:pStyle w:val="2"/>
        <w:spacing w:line="360" w:lineRule="auto"/>
        <w:rPr>
          <w:rFonts w:asciiTheme="minorEastAsia" w:hAnsiTheme="minorEastAsia" w:eastAsiaTheme="minorEastAsia"/>
        </w:rPr>
      </w:pPr>
      <w:bookmarkStart w:id="22" w:name="_Toc73086580"/>
      <w:r>
        <w:rPr>
          <w:rFonts w:hint="eastAsia" w:asciiTheme="minorEastAsia" w:hAnsiTheme="minorEastAsia" w:eastAsiaTheme="minorEastAsia"/>
        </w:rPr>
        <w:t>二、系统测试、验收、服务要求</w:t>
      </w:r>
      <w:bookmarkEnd w:id="22"/>
    </w:p>
    <w:p w14:paraId="76A4B73E">
      <w:pPr>
        <w:pStyle w:val="13"/>
        <w:spacing w:line="360" w:lineRule="auto"/>
        <w:ind w:firstLine="480" w:firstLineChars="200"/>
        <w:rPr>
          <w:rFonts w:asciiTheme="minorEastAsia" w:hAnsiTheme="minorEastAsia" w:eastAsiaTheme="minorEastAsia"/>
          <w:lang w:eastAsia="zh-TW"/>
        </w:rPr>
      </w:pPr>
      <w:bookmarkStart w:id="23" w:name="_Toc227122394"/>
      <w:bookmarkStart w:id="24" w:name="_Toc323201209"/>
      <w:r>
        <w:rPr>
          <w:rFonts w:hint="eastAsia" w:asciiTheme="minorEastAsia" w:hAnsiTheme="minorEastAsia" w:eastAsiaTheme="minorEastAsia"/>
          <w:lang w:eastAsia="zh-TW"/>
        </w:rPr>
        <w:t>系统测试：每个子系统上线前，应在测试环境中分别经过项目组、系统使用人员测试；BUG更改或个性化功能改造后，应经过开发组测试、项目组测试和系统使用人员测试。测试人员均应签名，便于追溯。各系统正式上线前，应选择合适的试点科室试用。试用最少2～3天，无故障后，方可正式上线。</w:t>
      </w:r>
    </w:p>
    <w:p w14:paraId="691B5C00">
      <w:pPr>
        <w:pStyle w:val="4"/>
        <w:spacing w:before="312" w:after="312" w:afterAutospacing="1" w:line="360" w:lineRule="auto"/>
        <w:ind w:left="426"/>
        <w:textAlignment w:val="baseline"/>
        <w:rPr>
          <w:rFonts w:hint="eastAsia" w:asciiTheme="minorEastAsia" w:hAnsiTheme="minorEastAsia" w:eastAsiaTheme="minorEastAsia"/>
          <w:lang w:val="en-US" w:eastAsia="zh-CN"/>
        </w:rPr>
      </w:pPr>
      <w:bookmarkStart w:id="25" w:name="_Toc73086581"/>
      <w:r>
        <w:rPr>
          <w:rFonts w:hint="eastAsia" w:asciiTheme="minorEastAsia" w:hAnsiTheme="minorEastAsia" w:eastAsiaTheme="minorEastAsia"/>
        </w:rPr>
        <w:t>1、验收和交付</w:t>
      </w:r>
      <w:bookmarkEnd w:id="23"/>
      <w:bookmarkEnd w:id="24"/>
      <w:bookmarkEnd w:id="25"/>
      <w:r>
        <w:rPr>
          <w:rFonts w:hint="default" w:asciiTheme="minorEastAsia" w:hAnsiTheme="minorEastAsia" w:eastAsiaTheme="minorEastAsia"/>
          <w:lang w:val="en-US"/>
        </w:rPr>
        <w:t>、付款方式</w:t>
      </w:r>
    </w:p>
    <w:p w14:paraId="0FAB6292">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（1）投标厂商需要根据项目建设内容和进度需要，</w:t>
      </w:r>
      <w:r>
        <w:rPr>
          <w:rFonts w:hint="eastAsia" w:asciiTheme="minorEastAsia" w:hAnsiTheme="minorEastAsia" w:eastAsiaTheme="minorEastAsia"/>
        </w:rPr>
        <w:t>组建</w:t>
      </w:r>
      <w:r>
        <w:rPr>
          <w:rFonts w:hint="eastAsia" w:asciiTheme="minorEastAsia" w:hAnsiTheme="minorEastAsia" w:eastAsiaTheme="minorEastAsia"/>
          <w:lang w:eastAsia="zh-TW"/>
        </w:rPr>
        <w:t>项目小组对本项目进行实施及服务。</w:t>
      </w:r>
    </w:p>
    <w:p w14:paraId="11E33987">
      <w:pPr>
        <w:pStyle w:val="13"/>
        <w:spacing w:line="360" w:lineRule="auto"/>
        <w:ind w:firstLine="480" w:firstLineChars="200"/>
      </w:pPr>
      <w:r>
        <w:rPr>
          <w:rFonts w:hint="eastAsia" w:asciiTheme="minorEastAsia" w:hAnsiTheme="minorEastAsia" w:eastAsiaTheme="minorEastAsia"/>
          <w:lang w:eastAsia="zh-TW"/>
        </w:rPr>
        <w:t>（2）验收标准：本项目投标人须合同签订后12个月内完成系统安装、调试及上线运行工作。</w:t>
      </w:r>
      <w:r>
        <w:rPr>
          <w:rFonts w:hint="eastAsia" w:asciiTheme="minorEastAsia" w:hAnsiTheme="minorEastAsia" w:eastAsiaTheme="minorEastAsia"/>
        </w:rPr>
        <w:t>功能点达到</w:t>
      </w:r>
      <w:r>
        <w:rPr>
          <w:rFonts w:hint="eastAsia" w:asciiTheme="minorEastAsia" w:hAnsiTheme="minorEastAsia" w:eastAsiaTheme="minorEastAsia"/>
          <w:lang w:eastAsia="zh-TW"/>
        </w:rPr>
        <w:t>《电子病历系统应用水平分级评价标准（试行）》五级技术规范</w:t>
      </w:r>
      <w:r>
        <w:rPr>
          <w:rFonts w:hint="eastAsia" w:asciiTheme="minorEastAsia" w:hAnsiTheme="minorEastAsia" w:eastAsiaTheme="minorEastAsia"/>
        </w:rPr>
        <w:t>要求并通过软测且配合医院提交实证材料。</w:t>
      </w:r>
    </w:p>
    <w:p w14:paraId="74456FE8">
      <w:pPr>
        <w:pStyle w:val="13"/>
        <w:spacing w:line="360" w:lineRule="auto"/>
        <w:ind w:firstLine="480" w:firstLineChars="200"/>
        <w:rPr>
          <w:rFonts w:eastAsia="PMingLiU" w:asciiTheme="minorEastAsia" w:hAnsiTheme="minorEastAsia"/>
          <w:lang w:eastAsia="zh-TW"/>
        </w:rPr>
      </w:pPr>
      <w:r>
        <w:rPr>
          <w:rFonts w:hint="eastAsia" w:asciiTheme="minorEastAsia" w:hAnsiTheme="minorEastAsia" w:eastAsiaTheme="minorEastAsia"/>
          <w:lang w:eastAsia="zh-TW"/>
        </w:rPr>
        <w:t>（</w:t>
      </w:r>
      <w:r>
        <w:rPr>
          <w:rFonts w:asciiTheme="minorEastAsia" w:hAnsiTheme="minorEastAsia" w:eastAsiaTheme="minorEastAsia"/>
          <w:lang w:eastAsia="zh-TW"/>
        </w:rPr>
        <w:t>3</w:t>
      </w:r>
      <w:r>
        <w:rPr>
          <w:rFonts w:hint="eastAsia" w:asciiTheme="minorEastAsia" w:hAnsiTheme="minorEastAsia" w:eastAsiaTheme="minorEastAsia"/>
          <w:lang w:eastAsia="zh-TW"/>
        </w:rPr>
        <w:t>）付款方式：第一笔-预付款（40%）：合同签订</w:t>
      </w:r>
      <w:r>
        <w:rPr>
          <w:rFonts w:hint="eastAsia" w:asciiTheme="minorEastAsia" w:hAnsiTheme="minorEastAsia" w:eastAsiaTheme="minorEastAsia"/>
          <w:lang w:eastAsia="zh-CN"/>
        </w:rPr>
        <w:t>且</w:t>
      </w:r>
      <w:r>
        <w:rPr>
          <w:rFonts w:hint="eastAsia" w:asciiTheme="minorEastAsia" w:hAnsiTheme="minorEastAsia" w:eastAsiaTheme="minorEastAsia"/>
          <w:lang w:eastAsia="zh-TW"/>
        </w:rPr>
        <w:t>采购人收到有效发票后</w:t>
      </w:r>
      <w:r>
        <w:rPr>
          <w:rFonts w:hint="eastAsia" w:asciiTheme="minorEastAsia" w:hAnsiTheme="minorEastAsia" w:eastAsiaTheme="minorEastAsia"/>
          <w:lang w:eastAsia="zh-CN"/>
        </w:rPr>
        <w:t>十个工作日</w:t>
      </w:r>
      <w:r>
        <w:rPr>
          <w:rFonts w:hint="eastAsia" w:asciiTheme="minorEastAsia" w:hAnsiTheme="minorEastAsia" w:eastAsiaTheme="minorEastAsia"/>
          <w:lang w:eastAsia="zh-TW"/>
        </w:rPr>
        <w:t>内支付第一笔合同款；第二笔-付款（60%），项目完成合同内容的软件功能调试工作，确保各业务系统功能模块符合《电子病历系统应用水平分级评价标准（试行）》五级技术规范要求且通过验收后，采购人收到有效发票后</w:t>
      </w:r>
      <w:r>
        <w:rPr>
          <w:rFonts w:hint="eastAsia" w:asciiTheme="minorEastAsia" w:hAnsiTheme="minorEastAsia" w:eastAsiaTheme="minorEastAsia"/>
          <w:lang w:eastAsia="zh-CN"/>
        </w:rPr>
        <w:t>十个工作</w:t>
      </w:r>
      <w:r>
        <w:rPr>
          <w:rFonts w:hint="eastAsia" w:asciiTheme="minorEastAsia" w:hAnsiTheme="minorEastAsia" w:eastAsiaTheme="minorEastAsia"/>
          <w:lang w:eastAsia="zh-TW"/>
        </w:rPr>
        <w:t>日内，支付第二笔合同款。</w:t>
      </w:r>
    </w:p>
    <w:p w14:paraId="18313178">
      <w:pPr>
        <w:pStyle w:val="4"/>
        <w:spacing w:before="312" w:after="312" w:afterAutospacing="1" w:line="360" w:lineRule="auto"/>
        <w:ind w:left="426"/>
        <w:textAlignment w:val="baseline"/>
        <w:rPr>
          <w:rFonts w:asciiTheme="minorEastAsia" w:hAnsiTheme="minorEastAsia" w:eastAsiaTheme="minorEastAsia"/>
        </w:rPr>
      </w:pPr>
      <w:bookmarkStart w:id="26" w:name="_Toc323201210"/>
      <w:bookmarkStart w:id="27" w:name="_Toc73086582"/>
      <w:bookmarkStart w:id="28" w:name="_Toc227122395"/>
      <w:r>
        <w:rPr>
          <w:rFonts w:hint="eastAsia" w:asciiTheme="minorEastAsia" w:hAnsiTheme="minorEastAsia" w:eastAsiaTheme="minorEastAsia"/>
        </w:rPr>
        <w:t>2、培训要求</w:t>
      </w:r>
      <w:bookmarkEnd w:id="26"/>
      <w:bookmarkEnd w:id="27"/>
      <w:bookmarkEnd w:id="28"/>
    </w:p>
    <w:p w14:paraId="469F247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（1）投标人须向业主方提供免费培训，培训方式应包括理论培训和现场培训。供应商须针对不同的培训对象，在投标文件中提出全面、详细的培训计划，包括但不限于培训内容、培训时间、地点、授课老师等。</w:t>
      </w:r>
    </w:p>
    <w:p w14:paraId="3B90A56C">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2）投标人派出的培训教员应具备丰富的相同课程教学经验，所有的培训教员必须中文授课，投标人必须为所有被培训人员提供培训用文字资料和讲义等相关用品。所提供的培训资料必须与实际交付的软件功能对应。对操作复杂、后台维护类的软件，应提供视频培训资料。</w:t>
      </w:r>
    </w:p>
    <w:p w14:paraId="3ABFD95B">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（3）投标人应按业主方约定合理地安排培训时间。</w:t>
      </w:r>
    </w:p>
    <w:p w14:paraId="5F245218">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（4）培训包括科室试用、上线前全面培训、上线2周收集问题后重点培训、岗位操作考核。</w:t>
      </w:r>
    </w:p>
    <w:p w14:paraId="1A6F6A16">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投标人应按业主方约定合理地安排培训时间。</w:t>
      </w:r>
    </w:p>
    <w:p w14:paraId="6F659558">
      <w:pPr>
        <w:pStyle w:val="4"/>
        <w:numPr>
          <w:ilvl w:val="0"/>
          <w:numId w:val="3"/>
        </w:numPr>
        <w:spacing w:before="312" w:after="312" w:afterAutospacing="1" w:line="360" w:lineRule="auto"/>
        <w:ind w:left="426"/>
        <w:textAlignment w:val="baseline"/>
        <w:rPr>
          <w:rFonts w:asciiTheme="minorEastAsia" w:hAnsiTheme="minorEastAsia" w:eastAsiaTheme="minorEastAsia"/>
        </w:rPr>
      </w:pPr>
      <w:bookmarkStart w:id="29" w:name="_Toc73086583"/>
      <w:bookmarkStart w:id="30" w:name="_Toc323201211"/>
      <w:bookmarkStart w:id="31" w:name="_Toc227122396"/>
      <w:r>
        <w:rPr>
          <w:rFonts w:hint="eastAsia" w:asciiTheme="minorEastAsia" w:hAnsiTheme="minorEastAsia" w:eastAsiaTheme="minorEastAsia"/>
        </w:rPr>
        <w:t>项目实施要求</w:t>
      </w:r>
    </w:p>
    <w:p w14:paraId="2B2F4A1D">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投标人应提供电子病历测评配套的咨询服务，包括：</w:t>
      </w:r>
    </w:p>
    <w:p w14:paraId="018787D2">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rPr>
        <w:t>（1）</w:t>
      </w:r>
      <w:r>
        <w:rPr>
          <w:rFonts w:hint="eastAsia" w:asciiTheme="minorEastAsia" w:hAnsiTheme="minorEastAsia" w:eastAsiaTheme="minorEastAsia"/>
          <w:b/>
          <w:bCs/>
          <w:lang w:eastAsia="zh-TW"/>
        </w:rPr>
        <w:t>售前咨询</w:t>
      </w:r>
    </w:p>
    <w:p w14:paraId="6B637417">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eastAsia="zh-TW"/>
        </w:rPr>
        <w:t>提供评审流程咨询</w:t>
      </w:r>
      <w:r>
        <w:rPr>
          <w:rFonts w:hint="eastAsia" w:asciiTheme="minorEastAsia" w:hAnsiTheme="minorEastAsia" w:eastAsiaTheme="minorEastAsia"/>
        </w:rPr>
        <w:t>服务</w:t>
      </w:r>
      <w:r>
        <w:rPr>
          <w:rFonts w:hint="eastAsia" w:asciiTheme="minorEastAsia" w:hAnsiTheme="minorEastAsia" w:eastAsiaTheme="minorEastAsia"/>
          <w:lang w:eastAsia="zh-TW"/>
        </w:rPr>
        <w:t>，结合评审要求，对医院现有软硬件情况进行调研，对于不达标功能给出解决方案，出具详细的改造方案</w:t>
      </w:r>
      <w:r>
        <w:rPr>
          <w:rFonts w:hint="eastAsia" w:asciiTheme="minorEastAsia" w:hAnsiTheme="minorEastAsia" w:eastAsiaTheme="minorEastAsia"/>
        </w:rPr>
        <w:t>。</w:t>
      </w:r>
    </w:p>
    <w:p w14:paraId="2B54C812">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rPr>
        <w:t>（2）</w:t>
      </w:r>
      <w:r>
        <w:rPr>
          <w:rFonts w:hint="eastAsia" w:asciiTheme="minorEastAsia" w:hAnsiTheme="minorEastAsia" w:eastAsiaTheme="minorEastAsia"/>
          <w:b/>
          <w:bCs/>
          <w:lang w:eastAsia="zh-TW"/>
        </w:rPr>
        <w:t>项目推进</w:t>
      </w:r>
    </w:p>
    <w:p w14:paraId="63F8E97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对不达标功能进行调试、升级、流程调研。</w:t>
      </w:r>
    </w:p>
    <w:p w14:paraId="65EE83A8">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eastAsia="zh-TW"/>
        </w:rPr>
        <w:t>在项目建设过程中，对评审中要求的达标项提供解读和咨询服务，对改造效果进行评估、验证。第三方改造咨询。</w:t>
      </w:r>
      <w:r>
        <w:rPr>
          <w:rFonts w:hint="eastAsia" w:asciiTheme="minorEastAsia" w:hAnsiTheme="minorEastAsia" w:eastAsiaTheme="minorEastAsia"/>
        </w:rPr>
        <w:t>协助医院对系统改造和应用推广的监管。</w:t>
      </w:r>
    </w:p>
    <w:p w14:paraId="682BB128">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rPr>
        <w:t>（3）</w:t>
      </w:r>
      <w:r>
        <w:rPr>
          <w:rFonts w:hint="eastAsia" w:asciiTheme="minorEastAsia" w:hAnsiTheme="minorEastAsia" w:eastAsiaTheme="minorEastAsia"/>
          <w:b/>
          <w:bCs/>
          <w:lang w:eastAsia="zh-TW"/>
        </w:rPr>
        <w:t>材料准备</w:t>
      </w:r>
    </w:p>
    <w:p w14:paraId="1FC9F7F8">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配合医院</w:t>
      </w:r>
      <w:r>
        <w:rPr>
          <w:rFonts w:hint="eastAsia" w:asciiTheme="minorEastAsia" w:hAnsiTheme="minorEastAsia" w:eastAsiaTheme="minorEastAsia"/>
        </w:rPr>
        <w:t>完成</w:t>
      </w:r>
      <w:r>
        <w:rPr>
          <w:rFonts w:hint="eastAsia" w:asciiTheme="minorEastAsia" w:hAnsiTheme="minorEastAsia" w:eastAsiaTheme="minorEastAsia"/>
          <w:lang w:eastAsia="zh-TW"/>
        </w:rPr>
        <w:t>实证材料准备。包括：</w:t>
      </w:r>
      <w:r>
        <w:rPr>
          <w:rFonts w:hint="eastAsia" w:asciiTheme="minorEastAsia" w:hAnsiTheme="minorEastAsia" w:eastAsiaTheme="minorEastAsia"/>
          <w:lang w:eastAsia="zh-TW"/>
        </w:rPr>
        <w:tab/>
      </w:r>
    </w:p>
    <w:p w14:paraId="7111E8F7">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rPr>
        <w:t>根据评级要求，配合医院提供电子病历评级要求的系统截图。</w:t>
      </w:r>
    </w:p>
    <w:p w14:paraId="03E4EE6D">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rPr>
        <w:t>根据实证材料要求，对医院书写的实证材料进行核查并提出整改意见。</w:t>
      </w:r>
    </w:p>
    <w:p w14:paraId="2F4E07C0">
      <w:pPr>
        <w:pStyle w:val="13"/>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完成医院实证材料，并对专家评审意见进行修改并配合医院再次提交。</w:t>
      </w:r>
    </w:p>
    <w:p w14:paraId="009B4BDB">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rPr>
        <w:t>（4）</w:t>
      </w:r>
      <w:r>
        <w:rPr>
          <w:rFonts w:hint="eastAsia" w:asciiTheme="minorEastAsia" w:hAnsiTheme="minorEastAsia" w:eastAsiaTheme="minorEastAsia"/>
          <w:b/>
          <w:bCs/>
          <w:lang w:eastAsia="zh-TW"/>
        </w:rPr>
        <w:t>迎评指导</w:t>
      </w:r>
    </w:p>
    <w:p w14:paraId="5DAFC69F">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提供历次评审汇报PPT样例。</w:t>
      </w:r>
    </w:p>
    <w:p w14:paraId="570D7B8C">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配合汇报人员提供汇报PPT中的数据统计、程序截图、资料搜集。</w:t>
      </w:r>
    </w:p>
    <w:p w14:paraId="222329F1">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对医院汇报的PPT格式、内容进行审核，以符合评审要求。</w:t>
      </w:r>
    </w:p>
    <w:p w14:paraId="6B0AEF12">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配合指定汇报人员试讲、演练，指导其改进。</w:t>
      </w:r>
    </w:p>
    <w:p w14:paraId="290FADB4">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根据历次评审经验并结合医院实际情况，制作迎评培训资料。如功能点演示要点，知识库案例，患者用例。</w:t>
      </w:r>
    </w:p>
    <w:p w14:paraId="3817E00D">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对全院系统操作人员针对评审指标演示要求进行多轮培训。</w:t>
      </w:r>
    </w:p>
    <w:p w14:paraId="516FE799">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对预估参与测评的科室和医务人员进行多轮重点培训，使其可准确理解专家问题含义并准确解答与演示。</w:t>
      </w:r>
    </w:p>
    <w:p w14:paraId="7E5D0396">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按评审真实环境准备演示机器、演示人员、演示场地。</w:t>
      </w:r>
    </w:p>
    <w:p w14:paraId="05C2F838">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模拟评审真实场景对参与演示的医务人员演示要点点评。</w:t>
      </w:r>
    </w:p>
    <w:p w14:paraId="20A2B137">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指导医院规划专家评审路线。</w:t>
      </w:r>
    </w:p>
    <w:p w14:paraId="0C507F53">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培训参评人员迎评说明书，如迎评技巧等</w:t>
      </w:r>
    </w:p>
    <w:p w14:paraId="500385CA">
      <w:pPr>
        <w:pStyle w:val="13"/>
        <w:spacing w:line="360" w:lineRule="auto"/>
        <w:ind w:firstLine="482" w:firstLineChars="200"/>
        <w:rPr>
          <w:rFonts w:asciiTheme="minorEastAsia" w:hAnsiTheme="minorEastAsia" w:eastAsiaTheme="minorEastAsia"/>
          <w:b/>
          <w:bCs/>
          <w:lang w:eastAsia="zh-TW"/>
        </w:rPr>
      </w:pPr>
      <w:r>
        <w:rPr>
          <w:rFonts w:hint="eastAsia" w:asciiTheme="minorEastAsia" w:hAnsiTheme="minorEastAsia" w:eastAsiaTheme="minorEastAsia"/>
          <w:b/>
          <w:bCs/>
        </w:rPr>
        <w:t>（5）</w:t>
      </w:r>
      <w:r>
        <w:rPr>
          <w:rFonts w:hint="eastAsia" w:asciiTheme="minorEastAsia" w:hAnsiTheme="minorEastAsia" w:eastAsiaTheme="minorEastAsia"/>
          <w:b/>
          <w:bCs/>
          <w:lang w:eastAsia="zh-TW"/>
        </w:rPr>
        <w:t>专家评审</w:t>
      </w:r>
    </w:p>
    <w:p w14:paraId="193E97D8">
      <w:pPr>
        <w:pStyle w:val="13"/>
        <w:spacing w:line="360" w:lineRule="auto"/>
        <w:ind w:firstLine="480" w:firstLineChars="200"/>
        <w:rPr>
          <w:rFonts w:asciiTheme="minorEastAsia" w:hAnsiTheme="minorEastAsia" w:eastAsiaTheme="minorEastAsia"/>
          <w:lang w:eastAsia="zh-TW"/>
        </w:rPr>
      </w:pPr>
      <w:r>
        <w:rPr>
          <w:rFonts w:hint="eastAsia" w:asciiTheme="minorEastAsia" w:hAnsiTheme="minorEastAsia" w:eastAsiaTheme="minorEastAsia"/>
          <w:lang w:eastAsia="zh-TW"/>
        </w:rPr>
        <w:t>指导医院规划专家评审路线。</w:t>
      </w:r>
    </w:p>
    <w:p w14:paraId="02CFA484">
      <w:pPr>
        <w:pStyle w:val="13"/>
        <w:spacing w:line="360" w:lineRule="auto"/>
        <w:ind w:firstLine="480" w:firstLineChars="200"/>
      </w:pPr>
      <w:r>
        <w:rPr>
          <w:rFonts w:hint="eastAsia" w:asciiTheme="minorEastAsia" w:hAnsiTheme="minorEastAsia" w:eastAsiaTheme="minorEastAsia"/>
        </w:rPr>
        <w:t>现场评审工程师支持现场评审。</w:t>
      </w:r>
    </w:p>
    <w:p w14:paraId="450C0B74">
      <w:pPr>
        <w:pStyle w:val="4"/>
        <w:spacing w:before="312" w:after="312" w:afterAutospacing="1" w:line="360" w:lineRule="auto"/>
        <w:ind w:left="426"/>
        <w:textAlignment w:val="baseline"/>
        <w:rPr>
          <w:rFonts w:asciiTheme="minorEastAsia" w:hAnsiTheme="minorEastAsia" w:eastAsiaTheme="minorEastAsia"/>
        </w:rPr>
      </w:pPr>
      <w:r>
        <w:rPr>
          <w:rFonts w:hint="eastAsia" w:asciiTheme="minorEastAsia" w:hAnsiTheme="minorEastAsia" w:eastAsiaTheme="minorEastAsia"/>
        </w:rPr>
        <w:t>4、售后服务要求</w:t>
      </w:r>
      <w:bookmarkEnd w:id="29"/>
      <w:bookmarkEnd w:id="30"/>
      <w:bookmarkEnd w:id="31"/>
    </w:p>
    <w:p w14:paraId="7B215A2B">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（1）所有软件产品的质保期自本项目终验合格书签订之日起开始计算。对于应用系统开发，投标人应提供软件壹年免费维护。软件产品7×24小时软件工程师远程维护。</w:t>
      </w:r>
    </w:p>
    <w:p w14:paraId="088CDADB">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lang w:eastAsia="zh-CN"/>
        </w:rPr>
        <w:t>质保期内</w:t>
      </w:r>
      <w:r>
        <w:rPr>
          <w:rFonts w:hint="eastAsia" w:asciiTheme="minorEastAsia" w:hAnsiTheme="minorEastAsia" w:eastAsiaTheme="minorEastAsia"/>
          <w:color w:val="000000"/>
          <w:sz w:val="24"/>
        </w:rPr>
        <w:t>所有售后服务，包括软件维护、软件同版本升级所产生的费用均由投标人承担。</w:t>
      </w:r>
    </w:p>
    <w:p w14:paraId="2F3BBAB2">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rPr>
        <w:t>）投标人作为服务方，应提供应用软件维保期内的7</w:t>
      </w:r>
      <w:r>
        <w:rPr>
          <w:rFonts w:asciiTheme="minorEastAsia" w:hAnsiTheme="minorEastAsia" w:eastAsiaTheme="minorEastAsia"/>
          <w:color w:val="000000"/>
          <w:sz w:val="24"/>
        </w:rPr>
        <w:t>*24</w:t>
      </w:r>
      <w:r>
        <w:rPr>
          <w:rFonts w:hint="eastAsia" w:asciiTheme="minorEastAsia" w:hAnsiTheme="minorEastAsia" w:eastAsiaTheme="minorEastAsia"/>
          <w:color w:val="000000"/>
          <w:sz w:val="24"/>
        </w:rPr>
        <w:t>小时免费服务，医院工作日白天（8：00-17：00）故障响应时间20分钟。非工作日及夜间故障响应时间为1小时。2小时内到达现场，一般问题3小时内修复。免费期内对系统优化和常规安全检查。定时维护服务：每季度1次。</w:t>
      </w:r>
    </w:p>
    <w:p w14:paraId="090973B2">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4</w:t>
      </w:r>
      <w:r>
        <w:rPr>
          <w:rFonts w:hint="eastAsia" w:asciiTheme="minorEastAsia" w:hAnsiTheme="minorEastAsia" w:eastAsiaTheme="minorEastAsia"/>
          <w:color w:val="000000"/>
          <w:sz w:val="24"/>
        </w:rPr>
        <w:t>）针对本次项目，投标人做</w:t>
      </w:r>
      <w:r>
        <w:rPr>
          <w:rFonts w:asciiTheme="minorEastAsia" w:hAnsiTheme="minorEastAsia" w:eastAsiaTheme="minorEastAsia"/>
          <w:color w:val="000000"/>
          <w:sz w:val="24"/>
        </w:rPr>
        <w:t>出无推诿承诺。即提供特殊措施，无论由于哪一方产生的问题而使系统发生不正常情况时，在得到</w:t>
      </w:r>
      <w:r>
        <w:rPr>
          <w:rFonts w:hint="eastAsia" w:asciiTheme="minorEastAsia" w:hAnsiTheme="minorEastAsia" w:eastAsiaTheme="minorEastAsia"/>
          <w:color w:val="000000"/>
          <w:sz w:val="24"/>
        </w:rPr>
        <w:t>医院（</w:t>
      </w:r>
      <w:r>
        <w:rPr>
          <w:rFonts w:asciiTheme="minorEastAsia" w:hAnsiTheme="minorEastAsia" w:eastAsiaTheme="minorEastAsia"/>
          <w:color w:val="000000"/>
          <w:sz w:val="24"/>
        </w:rPr>
        <w:t>或使用方）通知后，须立即派工程师</w:t>
      </w:r>
      <w:r>
        <w:rPr>
          <w:rFonts w:hint="eastAsia" w:asciiTheme="minorEastAsia" w:hAnsiTheme="minorEastAsia" w:eastAsiaTheme="minorEastAsia"/>
          <w:color w:val="000000"/>
          <w:sz w:val="24"/>
        </w:rPr>
        <w:t>进行对接调试</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如必要须到现场支持，</w:t>
      </w:r>
      <w:r>
        <w:rPr>
          <w:rFonts w:asciiTheme="minorEastAsia" w:hAnsiTheme="minorEastAsia" w:eastAsiaTheme="minorEastAsia"/>
          <w:color w:val="000000"/>
          <w:sz w:val="24"/>
        </w:rPr>
        <w:t>全力协助其他供应商，使系统尽快恢复正常。</w:t>
      </w:r>
    </w:p>
    <w:p w14:paraId="2498D9E9">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5</w:t>
      </w:r>
      <w:r>
        <w:rPr>
          <w:rFonts w:hint="eastAsia" w:asciiTheme="minorEastAsia" w:hAnsiTheme="minorEastAsia" w:eastAsiaTheme="minorEastAsia"/>
          <w:color w:val="000000"/>
          <w:sz w:val="24"/>
        </w:rPr>
        <w:t>）投标人承诺</w:t>
      </w:r>
      <w:r>
        <w:rPr>
          <w:rFonts w:asciiTheme="minorEastAsia" w:hAnsiTheme="minorEastAsia" w:eastAsiaTheme="minorEastAsia"/>
          <w:color w:val="000000"/>
          <w:sz w:val="24"/>
        </w:rPr>
        <w:t>保证所提供的所有产品皆不侵犯任何第三方的版权、知识产权和其他合法权利。</w:t>
      </w:r>
    </w:p>
    <w:p w14:paraId="4766234A">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）承诺可以为本项目设立技术中心，为用户提供全面专业的技术支持，为用户提供</w:t>
      </w:r>
      <w:r>
        <w:rPr>
          <w:rFonts w:asciiTheme="minorEastAsia" w:hAnsiTheme="minorEastAsia" w:eastAsiaTheme="minorEastAsia"/>
          <w:color w:val="000000"/>
          <w:sz w:val="24"/>
        </w:rPr>
        <w:t>中文电话免费咨询服务</w:t>
      </w:r>
      <w:r>
        <w:rPr>
          <w:rFonts w:hint="eastAsia" w:asciiTheme="minorEastAsia" w:hAnsiTheme="minorEastAsia" w:eastAsiaTheme="minorEastAsia"/>
          <w:color w:val="000000"/>
          <w:sz w:val="24"/>
        </w:rPr>
        <w:t>。</w:t>
      </w:r>
    </w:p>
    <w:p w14:paraId="6637286B">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7</w:t>
      </w:r>
      <w:r>
        <w:rPr>
          <w:rFonts w:hint="eastAsia" w:asciiTheme="minorEastAsia" w:hAnsiTheme="minorEastAsia" w:eastAsiaTheme="minorEastAsia"/>
          <w:color w:val="000000"/>
          <w:sz w:val="24"/>
        </w:rPr>
        <w:t>）投标人在每一维护周期结束后提供维护报告。</w:t>
      </w:r>
    </w:p>
    <w:p w14:paraId="416BE630">
      <w:pPr>
        <w:spacing w:line="360" w:lineRule="auto"/>
        <w:ind w:firstLine="439"/>
        <w:textAlignment w:val="baseline"/>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val="en-US" w:eastAsia="zh-CN"/>
        </w:rPr>
        <w:t>8</w:t>
      </w:r>
      <w:r>
        <w:rPr>
          <w:rFonts w:hint="eastAsia" w:asciiTheme="minorEastAsia" w:hAnsiTheme="minorEastAsia" w:eastAsiaTheme="minorEastAsia"/>
          <w:color w:val="000000"/>
          <w:sz w:val="24"/>
        </w:rPr>
        <w:t>）投标人承诺为本次项目</w:t>
      </w:r>
      <w:r>
        <w:rPr>
          <w:rFonts w:asciiTheme="minorEastAsia" w:hAnsiTheme="minorEastAsia" w:eastAsiaTheme="minorEastAsia"/>
          <w:color w:val="000000"/>
          <w:sz w:val="24"/>
        </w:rPr>
        <w:t>提供优质的整体</w:t>
      </w:r>
      <w:r>
        <w:rPr>
          <w:rFonts w:hint="eastAsia" w:asciiTheme="minorEastAsia" w:hAnsiTheme="minorEastAsia" w:eastAsiaTheme="minorEastAsia"/>
          <w:color w:val="000000"/>
          <w:sz w:val="24"/>
        </w:rPr>
        <w:t>培训</w:t>
      </w:r>
      <w:r>
        <w:rPr>
          <w:rFonts w:asciiTheme="minorEastAsia" w:hAnsiTheme="minorEastAsia" w:eastAsiaTheme="minorEastAsia"/>
          <w:color w:val="000000"/>
          <w:sz w:val="24"/>
        </w:rPr>
        <w:t>服务，培训</w:t>
      </w:r>
      <w:r>
        <w:rPr>
          <w:rFonts w:hint="eastAsia" w:asciiTheme="minorEastAsia" w:hAnsiTheme="minorEastAsia" w:eastAsiaTheme="minorEastAsia"/>
          <w:color w:val="000000"/>
          <w:sz w:val="24"/>
        </w:rPr>
        <w:t>内容</w:t>
      </w:r>
      <w:r>
        <w:rPr>
          <w:rFonts w:asciiTheme="minorEastAsia" w:hAnsiTheme="minorEastAsia" w:eastAsiaTheme="minorEastAsia"/>
          <w:color w:val="000000"/>
          <w:sz w:val="24"/>
        </w:rPr>
        <w:t>包括对</w:t>
      </w:r>
      <w:r>
        <w:rPr>
          <w:rFonts w:hint="eastAsia" w:asciiTheme="minorEastAsia" w:hAnsiTheme="minorEastAsia" w:eastAsiaTheme="minorEastAsia"/>
          <w:color w:val="000000"/>
          <w:sz w:val="24"/>
        </w:rPr>
        <w:t>系统软件的</w:t>
      </w:r>
      <w:r>
        <w:rPr>
          <w:rFonts w:asciiTheme="minorEastAsia" w:hAnsiTheme="minorEastAsia" w:eastAsiaTheme="minorEastAsia"/>
          <w:color w:val="000000"/>
          <w:sz w:val="24"/>
        </w:rPr>
        <w:t>技术培训，以及对应用功能的操作培训</w:t>
      </w:r>
      <w:r>
        <w:rPr>
          <w:rFonts w:hint="eastAsia" w:asciiTheme="minorEastAsia" w:hAnsiTheme="minorEastAsia" w:eastAsiaTheme="minorEastAsia"/>
          <w:color w:val="000000"/>
          <w:sz w:val="24"/>
        </w:rPr>
        <w:t>，以</w:t>
      </w:r>
      <w:r>
        <w:rPr>
          <w:rFonts w:asciiTheme="minorEastAsia" w:hAnsiTheme="minorEastAsia" w:eastAsiaTheme="minorEastAsia"/>
          <w:color w:val="000000"/>
          <w:sz w:val="24"/>
        </w:rPr>
        <w:t>保障工程的整体质量。</w:t>
      </w:r>
    </w:p>
    <w:p w14:paraId="35EC72D7">
      <w:pPr>
        <w:pStyle w:val="4"/>
        <w:spacing w:before="312" w:after="312" w:afterAutospacing="1" w:line="360" w:lineRule="auto"/>
        <w:ind w:left="426"/>
        <w:textAlignment w:val="baseline"/>
        <w:rPr>
          <w:rFonts w:asciiTheme="minorEastAsia" w:hAnsiTheme="minorEastAsia" w:eastAsiaTheme="minorEastAsia"/>
        </w:rPr>
      </w:pPr>
      <w:r>
        <w:rPr>
          <w:rFonts w:hint="eastAsia" w:asciiTheme="minorEastAsia" w:hAnsiTheme="minorEastAsia" w:eastAsiaTheme="minorEastAsia"/>
          <w:lang w:val="en-US" w:eastAsia="zh-CN"/>
        </w:rPr>
        <w:t>5</w:t>
      </w:r>
      <w:r>
        <w:rPr>
          <w:rFonts w:hint="eastAsia" w:asciiTheme="minorEastAsia" w:hAnsiTheme="minorEastAsia" w:eastAsiaTheme="minorEastAsia"/>
        </w:rPr>
        <w:t>、</w:t>
      </w:r>
      <w:r>
        <w:rPr>
          <w:rFonts w:hint="eastAsia" w:asciiTheme="minorEastAsia" w:hAnsiTheme="minorEastAsia" w:eastAsiaTheme="minorEastAsia"/>
          <w:lang w:eastAsia="zh-CN"/>
        </w:rPr>
        <w:t>团队</w:t>
      </w:r>
      <w:r>
        <w:rPr>
          <w:rFonts w:hint="eastAsia" w:asciiTheme="minorEastAsia" w:hAnsiTheme="minorEastAsia" w:eastAsiaTheme="minorEastAsia"/>
        </w:rPr>
        <w:t>要求</w:t>
      </w:r>
    </w:p>
    <w:p w14:paraId="248FE5AD">
      <w:pPr>
        <w:spacing w:line="360" w:lineRule="auto"/>
        <w:ind w:firstLine="439"/>
        <w:textAlignment w:val="baseline"/>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lang w:eastAsia="zh-CN"/>
        </w:rPr>
        <w:t>项目团队总人数不少于</w:t>
      </w:r>
      <w:r>
        <w:rPr>
          <w:rFonts w:hint="eastAsia" w:asciiTheme="minorEastAsia" w:hAnsiTheme="minorEastAsia" w:eastAsiaTheme="minorEastAsia"/>
          <w:color w:val="000000"/>
          <w:sz w:val="24"/>
          <w:lang w:val="en-US" w:eastAsia="zh-CN"/>
        </w:rPr>
        <w:t>10人（含售后技术支持人员），</w:t>
      </w:r>
      <w:r>
        <w:rPr>
          <w:rFonts w:hint="eastAsia" w:asciiTheme="minorEastAsia" w:hAnsiTheme="minorEastAsia" w:eastAsiaTheme="minorEastAsia"/>
          <w:color w:val="000000"/>
          <w:sz w:val="24"/>
        </w:rPr>
        <w:t>项目实施阶段人员</w:t>
      </w:r>
      <w:r>
        <w:rPr>
          <w:rFonts w:hint="eastAsia" w:asciiTheme="minorEastAsia" w:hAnsiTheme="minorEastAsia" w:eastAsiaTheme="minorEastAsia"/>
          <w:color w:val="000000"/>
          <w:sz w:val="24"/>
          <w:lang w:eastAsia="zh-CN"/>
        </w:rPr>
        <w:t>不少于</w:t>
      </w:r>
      <w:r>
        <w:rPr>
          <w:rFonts w:hint="eastAsia" w:asciiTheme="minorEastAsia" w:hAnsiTheme="minorEastAsia" w:eastAsiaTheme="minorEastAsia"/>
          <w:color w:val="000000"/>
          <w:sz w:val="24"/>
          <w:lang w:val="en-US" w:eastAsia="zh-CN"/>
        </w:rPr>
        <w:t>8人</w:t>
      </w:r>
      <w:r>
        <w:rPr>
          <w:rFonts w:hint="eastAsia" w:asciiTheme="minorEastAsia" w:hAnsiTheme="minorEastAsia" w:eastAsiaTheme="minorEastAsia"/>
          <w:color w:val="000000"/>
          <w:sz w:val="24"/>
        </w:rPr>
        <w:t>(包括项目负责人、核心技术负责人)</w:t>
      </w:r>
      <w:r>
        <w:rPr>
          <w:rFonts w:hint="eastAsia" w:asciiTheme="minorEastAsia" w:hAnsiTheme="minorEastAsia" w:eastAsiaTheme="minorEastAsia"/>
          <w:color w:val="000000"/>
          <w:sz w:val="24"/>
          <w:lang w:val="en-US" w:eastAsia="zh-CN"/>
        </w:rPr>
        <w:t>，</w:t>
      </w:r>
      <w:r>
        <w:rPr>
          <w:rFonts w:hint="eastAsia" w:asciiTheme="minorEastAsia" w:hAnsiTheme="minorEastAsia" w:eastAsiaTheme="minorEastAsia"/>
          <w:color w:val="000000"/>
          <w:sz w:val="24"/>
        </w:rPr>
        <w:t>投标人应派遣专业项目管理人员、软件开发人员、系统测试人员等参与本项目。</w:t>
      </w:r>
    </w:p>
    <w:p w14:paraId="1ABAC60C">
      <w:pPr>
        <w:spacing w:line="360" w:lineRule="auto"/>
        <w:ind w:firstLine="439"/>
        <w:textAlignment w:val="baseline"/>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lang w:val="en-US" w:eastAsia="zh-CN"/>
        </w:rPr>
        <w:t>2</w:t>
      </w: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rPr>
        <w:t>项目负责人</w:t>
      </w:r>
      <w:r>
        <w:rPr>
          <w:rFonts w:hint="eastAsia" w:asciiTheme="minorEastAsia" w:hAnsiTheme="minorEastAsia" w:eastAsiaTheme="minorEastAsia"/>
          <w:color w:val="000000"/>
          <w:sz w:val="24"/>
          <w:lang w:eastAsia="zh-CN"/>
        </w:rPr>
        <w:t>（仅</w:t>
      </w:r>
      <w:r>
        <w:rPr>
          <w:rFonts w:hint="eastAsia" w:asciiTheme="minorEastAsia" w:hAnsiTheme="minorEastAsia" w:eastAsiaTheme="minorEastAsia"/>
          <w:color w:val="000000"/>
          <w:sz w:val="24"/>
          <w:lang w:val="en-US" w:eastAsia="zh-CN"/>
        </w:rPr>
        <w:t>1名</w:t>
      </w: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rPr>
        <w:t>具有信息系统项目管理师</w:t>
      </w: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rPr>
        <w:t>人社部门颁发的计算机相关专业高级工程师职称证书，10年及以上类似项目实施经验的</w:t>
      </w:r>
      <w:r>
        <w:rPr>
          <w:rFonts w:hint="eastAsia" w:asciiTheme="minorEastAsia" w:hAnsiTheme="minorEastAsia" w:eastAsiaTheme="minorEastAsia"/>
          <w:color w:val="000000"/>
          <w:sz w:val="24"/>
          <w:lang w:eastAsia="zh-CN"/>
        </w:rPr>
        <w:t>优先考虑。</w:t>
      </w:r>
    </w:p>
    <w:p w14:paraId="2A4894E5">
      <w:pPr>
        <w:spacing w:line="360" w:lineRule="auto"/>
        <w:ind w:firstLine="439"/>
        <w:textAlignment w:val="baseline"/>
        <w:rPr>
          <w:rFonts w:hint="eastAsia" w:asciiTheme="minorEastAsia" w:hAnsiTheme="minorEastAsia" w:eastAsiaTheme="minorEastAsia"/>
          <w:color w:val="000000"/>
          <w:sz w:val="24"/>
        </w:rPr>
      </w:pPr>
    </w:p>
    <w:p w14:paraId="2B82F8F4">
      <w:pPr>
        <w:pStyle w:val="4"/>
        <w:spacing w:before="312" w:after="312" w:afterAutospacing="1" w:line="360" w:lineRule="auto"/>
        <w:ind w:left="426"/>
        <w:textAlignment w:val="baseline"/>
        <w:rPr>
          <w:rFonts w:asciiTheme="minorEastAsia" w:hAnsiTheme="minorEastAsia" w:eastAsiaTheme="minorEastAsia"/>
        </w:rPr>
      </w:pPr>
      <w:r>
        <w:rPr>
          <w:rFonts w:hint="eastAsia" w:asciiTheme="minorEastAsia" w:hAnsiTheme="minorEastAsia" w:eastAsiaTheme="minorEastAsia"/>
          <w:lang w:val="en-US" w:eastAsia="zh-CN"/>
        </w:rPr>
        <w:t>6</w:t>
      </w:r>
      <w:r>
        <w:rPr>
          <w:rFonts w:hint="eastAsia" w:asciiTheme="minorEastAsia" w:hAnsiTheme="minorEastAsia" w:eastAsiaTheme="minorEastAsia"/>
        </w:rPr>
        <w:t>、</w:t>
      </w:r>
      <w:r>
        <w:rPr>
          <w:rFonts w:hint="eastAsia" w:asciiTheme="minorEastAsia" w:hAnsiTheme="minorEastAsia" w:eastAsiaTheme="minorEastAsia"/>
          <w:lang w:eastAsia="zh-CN"/>
        </w:rPr>
        <w:t>其他</w:t>
      </w:r>
      <w:r>
        <w:rPr>
          <w:rFonts w:hint="eastAsia" w:asciiTheme="minorEastAsia" w:hAnsiTheme="minorEastAsia" w:eastAsiaTheme="minorEastAsia"/>
        </w:rPr>
        <w:t>要求</w:t>
      </w:r>
    </w:p>
    <w:p w14:paraId="003ABA7D">
      <w:pPr>
        <w:spacing w:line="360" w:lineRule="auto"/>
        <w:ind w:firstLine="439"/>
        <w:textAlignment w:val="baseline"/>
        <w:rPr>
          <w:rFonts w:hint="default" w:asciiTheme="minorEastAsia" w:hAnsiTheme="minorEastAsia" w:eastAsiaTheme="minorEastAsia"/>
          <w:color w:val="000000"/>
          <w:sz w:val="24"/>
          <w:lang w:eastAsia="zh-CN"/>
        </w:rPr>
      </w:pPr>
      <w:r>
        <w:rPr>
          <w:rFonts w:hint="eastAsia" w:asciiTheme="minorEastAsia" w:hAnsiTheme="minorEastAsia" w:eastAsiaTheme="minorEastAsia"/>
          <w:color w:val="000000"/>
          <w:sz w:val="24"/>
        </w:rPr>
        <w:t>（1）</w:t>
      </w:r>
      <w:r>
        <w:rPr>
          <w:rFonts w:hint="default" w:asciiTheme="minorEastAsia" w:hAnsiTheme="minorEastAsia" w:eastAsiaTheme="minorEastAsia"/>
          <w:color w:val="000000"/>
          <w:sz w:val="24"/>
          <w:lang w:eastAsia="zh-CN"/>
        </w:rPr>
        <w:t>投标人具有近三年类似项目业绩的优先考虑；</w:t>
      </w:r>
    </w:p>
    <w:p w14:paraId="00F2B460">
      <w:pPr>
        <w:spacing w:line="360" w:lineRule="auto"/>
        <w:ind w:firstLine="439"/>
        <w:textAlignment w:val="baseline"/>
        <w:rPr>
          <w:rFonts w:hint="default" w:asciiTheme="minorEastAsia" w:hAnsiTheme="minorEastAsia" w:eastAsiaTheme="minorEastAsia"/>
          <w:color w:val="000000"/>
          <w:sz w:val="24"/>
          <w:lang w:eastAsia="zh-CN"/>
        </w:rPr>
      </w:pPr>
      <w:r>
        <w:rPr>
          <w:rFonts w:hint="default" w:asciiTheme="minorEastAsia" w:hAnsiTheme="minorEastAsia" w:eastAsiaTheme="minorEastAsia"/>
          <w:color w:val="000000"/>
          <w:sz w:val="24"/>
          <w:lang w:eastAsia="zh-CN"/>
        </w:rPr>
        <w:t>（</w:t>
      </w:r>
      <w:r>
        <w:rPr>
          <w:rFonts w:hint="default" w:asciiTheme="minorEastAsia" w:hAnsiTheme="minorEastAsia" w:eastAsiaTheme="minorEastAsia"/>
          <w:color w:val="000000"/>
          <w:sz w:val="24"/>
          <w:lang w:val="en-US" w:eastAsia="zh-CN"/>
        </w:rPr>
        <w:t>2</w:t>
      </w:r>
      <w:r>
        <w:rPr>
          <w:rFonts w:hint="default" w:asciiTheme="minorEastAsia" w:hAnsiTheme="minorEastAsia" w:eastAsiaTheme="minorEastAsia"/>
          <w:color w:val="000000"/>
          <w:sz w:val="24"/>
          <w:lang w:eastAsia="zh-CN"/>
        </w:rPr>
        <w:t>）投标人具有ISO/IEC20000 信息技术服务管理体系认证证书、ISO/IEC27001 信息安全管理体系认证证书、ITSS 信息技术服务标准符合性证书、信息系统建设和服务能力等级证书、CCRC信息安全服务资质认证证书（信息系统安全集成）的优先考虑。</w:t>
      </w:r>
    </w:p>
    <w:p w14:paraId="1B0782DB">
      <w:pPr>
        <w:widowControl/>
        <w:spacing w:line="360" w:lineRule="auto"/>
        <w:jc w:val="left"/>
        <w:rPr>
          <w:rFonts w:asciiTheme="minorEastAsia" w:hAnsiTheme="minorEastAsia" w:eastAsiaTheme="minorEastAsia"/>
          <w:color w:val="000000"/>
          <w:sz w:val="24"/>
        </w:rPr>
      </w:pPr>
    </w:p>
    <w:bookmarkEnd w:id="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alibri Light">
    <w:altName w:val="DejaVu Sans"/>
    <w:panose1 w:val="020F0302020204030204"/>
    <w:charset w:val="00"/>
    <w:family w:val="swiss"/>
    <w:pitch w:val="default"/>
    <w:sig w:usb0="00000000" w:usb1="00000000" w:usb2="00000009" w:usb3="00000000" w:csb0="000001FF" w:csb1="00000000"/>
  </w:font>
  <w:font w:name="PMingLiU">
    <w:altName w:val="文泉驿微米黑"/>
    <w:panose1 w:val="02010601000101010101"/>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A875"/>
    <w:multiLevelType w:val="singleLevel"/>
    <w:tmpl w:val="9973A875"/>
    <w:lvl w:ilvl="0" w:tentative="0">
      <w:start w:val="3"/>
      <w:numFmt w:val="decimal"/>
      <w:suff w:val="nothing"/>
      <w:lvlText w:val="%1、"/>
      <w:lvlJc w:val="left"/>
    </w:lvl>
  </w:abstractNum>
  <w:abstractNum w:abstractNumId="1">
    <w:nsid w:val="02E65C35"/>
    <w:multiLevelType w:val="multilevel"/>
    <w:tmpl w:val="02E65C35"/>
    <w:lvl w:ilvl="0" w:tentative="0">
      <w:start w:val="1"/>
      <w:numFmt w:val="decimal"/>
      <w:lvlText w:val="%1."/>
      <w:lvlJc w:val="left"/>
      <w:pPr>
        <w:ind w:left="846" w:hanging="420"/>
      </w:pPr>
    </w:lvl>
    <w:lvl w:ilvl="1" w:tentative="0">
      <w:start w:val="1"/>
      <w:numFmt w:val="decimal"/>
      <w:isLgl/>
      <w:lvlText w:val="%1.%2."/>
      <w:lvlJc w:val="left"/>
      <w:pPr>
        <w:ind w:left="1326" w:hanging="900"/>
      </w:pPr>
      <w:rPr>
        <w:rFonts w:hint="default"/>
        <w:b/>
        <w:bCs/>
      </w:rPr>
    </w:lvl>
    <w:lvl w:ilvl="2" w:tentative="0">
      <w:start w:val="3"/>
      <w:numFmt w:val="decimal"/>
      <w:isLgl/>
      <w:lvlText w:val="%1.%2.%3."/>
      <w:lvlJc w:val="left"/>
      <w:pPr>
        <w:ind w:left="1326" w:hanging="900"/>
      </w:pPr>
      <w:rPr>
        <w:rFonts w:hint="default"/>
      </w:rPr>
    </w:lvl>
    <w:lvl w:ilvl="3" w:tentative="0">
      <w:start w:val="1"/>
      <w:numFmt w:val="decimal"/>
      <w:isLgl/>
      <w:lvlText w:val="%1.%2.%3.%4."/>
      <w:lvlJc w:val="left"/>
      <w:pPr>
        <w:ind w:left="1326" w:hanging="900"/>
      </w:pPr>
      <w:rPr>
        <w:rFonts w:hint="default"/>
      </w:rPr>
    </w:lvl>
    <w:lvl w:ilvl="4" w:tentative="0">
      <w:start w:val="1"/>
      <w:numFmt w:val="decimal"/>
      <w:isLgl/>
      <w:lvlText w:val="%1.%2.%3.%4.%5."/>
      <w:lvlJc w:val="left"/>
      <w:pPr>
        <w:ind w:left="1506" w:hanging="1080"/>
      </w:pPr>
      <w:rPr>
        <w:rFonts w:hint="default"/>
      </w:rPr>
    </w:lvl>
    <w:lvl w:ilvl="5" w:tentative="0">
      <w:start w:val="1"/>
      <w:numFmt w:val="decimal"/>
      <w:isLgl/>
      <w:lvlText w:val="%1.%2.%3.%4.%5.%6."/>
      <w:lvlJc w:val="left"/>
      <w:pPr>
        <w:ind w:left="1506" w:hanging="1080"/>
      </w:pPr>
      <w:rPr>
        <w:rFonts w:hint="default"/>
      </w:rPr>
    </w:lvl>
    <w:lvl w:ilvl="6" w:tentative="0">
      <w:start w:val="1"/>
      <w:numFmt w:val="decimal"/>
      <w:isLgl/>
      <w:lvlText w:val="%1.%2.%3.%4.%5.%6.%7."/>
      <w:lvlJc w:val="left"/>
      <w:pPr>
        <w:ind w:left="1866" w:hanging="1440"/>
      </w:pPr>
      <w:rPr>
        <w:rFonts w:hint="default"/>
      </w:rPr>
    </w:lvl>
    <w:lvl w:ilvl="7" w:tentative="0">
      <w:start w:val="1"/>
      <w:numFmt w:val="decimal"/>
      <w:isLgl/>
      <w:lvlText w:val="%1.%2.%3.%4.%5.%6.%7.%8."/>
      <w:lvlJc w:val="left"/>
      <w:pPr>
        <w:ind w:left="1866" w:hanging="1440"/>
      </w:pPr>
      <w:rPr>
        <w:rFonts w:hint="default"/>
      </w:rPr>
    </w:lvl>
    <w:lvl w:ilvl="8" w:tentative="0">
      <w:start w:val="1"/>
      <w:numFmt w:val="decimal"/>
      <w:isLgl/>
      <w:lvlText w:val="%1.%2.%3.%4.%5.%6.%7.%8.%9."/>
      <w:lvlJc w:val="left"/>
      <w:pPr>
        <w:ind w:left="2226" w:hanging="1800"/>
      </w:pPr>
      <w:rPr>
        <w:rFonts w:hint="default"/>
      </w:rPr>
    </w:lvl>
  </w:abstractNum>
  <w:abstractNum w:abstractNumId="2">
    <w:nsid w:val="339D80B2"/>
    <w:multiLevelType w:val="singleLevel"/>
    <w:tmpl w:val="339D80B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437225"/>
    <w:rsid w:val="00020141"/>
    <w:rsid w:val="00026319"/>
    <w:rsid w:val="000450B2"/>
    <w:rsid w:val="00055842"/>
    <w:rsid w:val="000A719F"/>
    <w:rsid w:val="000B20ED"/>
    <w:rsid w:val="000B53F2"/>
    <w:rsid w:val="000C08D5"/>
    <w:rsid w:val="000C4298"/>
    <w:rsid w:val="000F5ED3"/>
    <w:rsid w:val="00116B75"/>
    <w:rsid w:val="0012790B"/>
    <w:rsid w:val="0014040B"/>
    <w:rsid w:val="00144A04"/>
    <w:rsid w:val="00190FA9"/>
    <w:rsid w:val="001B6790"/>
    <w:rsid w:val="00201E41"/>
    <w:rsid w:val="002068DD"/>
    <w:rsid w:val="00227A19"/>
    <w:rsid w:val="0024199F"/>
    <w:rsid w:val="002D1F64"/>
    <w:rsid w:val="00316551"/>
    <w:rsid w:val="003769B3"/>
    <w:rsid w:val="003B69B1"/>
    <w:rsid w:val="003D4CAE"/>
    <w:rsid w:val="004114E4"/>
    <w:rsid w:val="0042025C"/>
    <w:rsid w:val="00437225"/>
    <w:rsid w:val="00477F4B"/>
    <w:rsid w:val="004D0FD1"/>
    <w:rsid w:val="004F7767"/>
    <w:rsid w:val="005069AF"/>
    <w:rsid w:val="006222B7"/>
    <w:rsid w:val="006270E3"/>
    <w:rsid w:val="0063086A"/>
    <w:rsid w:val="0065374D"/>
    <w:rsid w:val="006E3740"/>
    <w:rsid w:val="006F40A9"/>
    <w:rsid w:val="00705E32"/>
    <w:rsid w:val="007A1A77"/>
    <w:rsid w:val="007B1475"/>
    <w:rsid w:val="007C2C84"/>
    <w:rsid w:val="007E24C4"/>
    <w:rsid w:val="008229CD"/>
    <w:rsid w:val="00824E9C"/>
    <w:rsid w:val="008724B7"/>
    <w:rsid w:val="008A7716"/>
    <w:rsid w:val="008D0297"/>
    <w:rsid w:val="008E4859"/>
    <w:rsid w:val="008F326E"/>
    <w:rsid w:val="00907473"/>
    <w:rsid w:val="00913892"/>
    <w:rsid w:val="00925623"/>
    <w:rsid w:val="009414A9"/>
    <w:rsid w:val="00984305"/>
    <w:rsid w:val="009C1287"/>
    <w:rsid w:val="009E120F"/>
    <w:rsid w:val="00A3737D"/>
    <w:rsid w:val="00A37C0D"/>
    <w:rsid w:val="00A8470D"/>
    <w:rsid w:val="00AF0715"/>
    <w:rsid w:val="00AF7775"/>
    <w:rsid w:val="00B24D0F"/>
    <w:rsid w:val="00BB0F87"/>
    <w:rsid w:val="00BD4AA4"/>
    <w:rsid w:val="00C014D9"/>
    <w:rsid w:val="00C427B0"/>
    <w:rsid w:val="00CC4422"/>
    <w:rsid w:val="00CE7C5E"/>
    <w:rsid w:val="00CF0D95"/>
    <w:rsid w:val="00D806B2"/>
    <w:rsid w:val="00D85282"/>
    <w:rsid w:val="00DB1028"/>
    <w:rsid w:val="00DE096A"/>
    <w:rsid w:val="00DE185B"/>
    <w:rsid w:val="00E22135"/>
    <w:rsid w:val="00EC7A7C"/>
    <w:rsid w:val="00F61BEB"/>
    <w:rsid w:val="00F65ECB"/>
    <w:rsid w:val="00F71BA8"/>
    <w:rsid w:val="04205325"/>
    <w:rsid w:val="04402C4B"/>
    <w:rsid w:val="053761DA"/>
    <w:rsid w:val="092C3B1C"/>
    <w:rsid w:val="0EF97BEC"/>
    <w:rsid w:val="11337646"/>
    <w:rsid w:val="12AD766B"/>
    <w:rsid w:val="1323688F"/>
    <w:rsid w:val="1D1F26E5"/>
    <w:rsid w:val="1E516838"/>
    <w:rsid w:val="1E545521"/>
    <w:rsid w:val="1E9623BB"/>
    <w:rsid w:val="1EEB4498"/>
    <w:rsid w:val="1F3A4359"/>
    <w:rsid w:val="205F12B0"/>
    <w:rsid w:val="20C33B17"/>
    <w:rsid w:val="226E284B"/>
    <w:rsid w:val="2396026F"/>
    <w:rsid w:val="2808303D"/>
    <w:rsid w:val="29CE063C"/>
    <w:rsid w:val="29DC0F58"/>
    <w:rsid w:val="2B02504C"/>
    <w:rsid w:val="2DA879AD"/>
    <w:rsid w:val="2F1F0BC1"/>
    <w:rsid w:val="2FFB6945"/>
    <w:rsid w:val="3327545E"/>
    <w:rsid w:val="349255C1"/>
    <w:rsid w:val="3603261A"/>
    <w:rsid w:val="36C73FA8"/>
    <w:rsid w:val="39442C7D"/>
    <w:rsid w:val="39AB434B"/>
    <w:rsid w:val="39C40C73"/>
    <w:rsid w:val="3D163AF2"/>
    <w:rsid w:val="41F95234"/>
    <w:rsid w:val="425D3A13"/>
    <w:rsid w:val="428D6FAB"/>
    <w:rsid w:val="4BF9EE82"/>
    <w:rsid w:val="4CCD9A1C"/>
    <w:rsid w:val="4F974A08"/>
    <w:rsid w:val="4FBFE080"/>
    <w:rsid w:val="4FD86279"/>
    <w:rsid w:val="509B0015"/>
    <w:rsid w:val="509B05AA"/>
    <w:rsid w:val="511D2CEB"/>
    <w:rsid w:val="52DD5FE1"/>
    <w:rsid w:val="53F05F0E"/>
    <w:rsid w:val="57917366"/>
    <w:rsid w:val="5D781707"/>
    <w:rsid w:val="604064FB"/>
    <w:rsid w:val="65A5604E"/>
    <w:rsid w:val="67523E91"/>
    <w:rsid w:val="6AD55F8D"/>
    <w:rsid w:val="6C9E608D"/>
    <w:rsid w:val="6CB71864"/>
    <w:rsid w:val="6CD71D56"/>
    <w:rsid w:val="6D326E35"/>
    <w:rsid w:val="6E780F3B"/>
    <w:rsid w:val="6FEFB39E"/>
    <w:rsid w:val="71FE7E2D"/>
    <w:rsid w:val="74031618"/>
    <w:rsid w:val="788039DC"/>
    <w:rsid w:val="7A967BAD"/>
    <w:rsid w:val="7CB650A7"/>
    <w:rsid w:val="7D5A5DBA"/>
    <w:rsid w:val="7DFC0157"/>
    <w:rsid w:val="7E6350E9"/>
    <w:rsid w:val="7E9B5237"/>
    <w:rsid w:val="7EB02923"/>
    <w:rsid w:val="7FF16D79"/>
    <w:rsid w:val="FEED5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37"/>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38"/>
    <w:autoRedefine/>
    <w:unhideWhenUsed/>
    <w:qFormat/>
    <w:uiPriority w:val="0"/>
    <w:pPr>
      <w:keepNext/>
      <w:keepLines/>
      <w:spacing w:before="240" w:after="64" w:line="320" w:lineRule="auto"/>
      <w:outlineLvl w:val="6"/>
    </w:pPr>
    <w:rPr>
      <w:b/>
      <w:bCs/>
      <w:sz w:val="24"/>
    </w:rPr>
  </w:style>
  <w:style w:type="paragraph" w:styleId="9">
    <w:name w:val="heading 8"/>
    <w:basedOn w:val="1"/>
    <w:next w:val="1"/>
    <w:link w:val="47"/>
    <w:unhideWhenUsed/>
    <w:qFormat/>
    <w:uiPriority w:val="0"/>
    <w:pPr>
      <w:keepNext/>
      <w:keepLines/>
      <w:spacing w:before="240" w:after="64" w:line="320" w:lineRule="auto"/>
      <w:ind w:left="1440" w:hanging="1440"/>
      <w:outlineLvl w:val="7"/>
    </w:pPr>
    <w:rPr>
      <w:rFonts w:asciiTheme="majorHAnsi" w:hAnsiTheme="majorHAnsi" w:eastAsiaTheme="majorEastAsia" w:cstheme="majorBidi"/>
      <w:sz w:val="24"/>
    </w:rPr>
  </w:style>
  <w:style w:type="paragraph" w:styleId="10">
    <w:name w:val="heading 9"/>
    <w:basedOn w:val="1"/>
    <w:next w:val="1"/>
    <w:link w:val="48"/>
    <w:unhideWhenUsed/>
    <w:qFormat/>
    <w:uiPriority w:val="0"/>
    <w:pPr>
      <w:keepNext/>
      <w:keepLines/>
      <w:spacing w:before="240" w:after="64" w:line="320" w:lineRule="auto"/>
      <w:ind w:left="1584" w:hanging="1584"/>
      <w:outlineLvl w:val="8"/>
    </w:pPr>
    <w:rPr>
      <w:rFonts w:asciiTheme="majorHAnsi" w:hAnsiTheme="majorHAnsi" w:eastAsiaTheme="majorEastAsia" w:cstheme="majorBidi"/>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9"/>
    <w:unhideWhenUsed/>
    <w:qFormat/>
    <w:uiPriority w:val="0"/>
    <w:pPr>
      <w:ind w:firstLine="420" w:firstLineChars="200"/>
    </w:pPr>
  </w:style>
  <w:style w:type="paragraph" w:styleId="12">
    <w:name w:val="annotation text"/>
    <w:basedOn w:val="1"/>
    <w:link w:val="35"/>
    <w:autoRedefine/>
    <w:unhideWhenUsed/>
    <w:qFormat/>
    <w:uiPriority w:val="0"/>
    <w:pPr>
      <w:spacing w:line="360" w:lineRule="auto"/>
      <w:ind w:firstLine="425" w:firstLineChars="177"/>
      <w:jc w:val="left"/>
    </w:pPr>
    <w:rPr>
      <w:rFonts w:ascii="Calibri" w:hAnsi="Calibri"/>
      <w:sz w:val="24"/>
      <w:szCs w:val="22"/>
    </w:rPr>
  </w:style>
  <w:style w:type="paragraph" w:styleId="13">
    <w:name w:val="Body Text"/>
    <w:basedOn w:val="1"/>
    <w:link w:val="49"/>
    <w:autoRedefine/>
    <w:unhideWhenUsed/>
    <w:qFormat/>
    <w:uiPriority w:val="99"/>
    <w:pPr>
      <w:spacing w:after="120"/>
    </w:pPr>
    <w:rPr>
      <w:rFonts w:ascii="Calibri" w:hAnsi="Calibri"/>
      <w:sz w:val="24"/>
    </w:rPr>
  </w:style>
  <w:style w:type="paragraph" w:styleId="14">
    <w:name w:val="Body Text Indent"/>
    <w:basedOn w:val="1"/>
    <w:unhideWhenUsed/>
    <w:qFormat/>
    <w:uiPriority w:val="99"/>
    <w:pPr>
      <w:spacing w:after="120"/>
      <w:ind w:left="420" w:leftChars="200"/>
    </w:pPr>
  </w:style>
  <w:style w:type="paragraph" w:styleId="15">
    <w:name w:val="Balloon Text"/>
    <w:basedOn w:val="1"/>
    <w:link w:val="52"/>
    <w:autoRedefine/>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link w:val="40"/>
    <w:qFormat/>
    <w:uiPriority w:val="0"/>
    <w:pPr>
      <w:widowControl/>
      <w:spacing w:before="100" w:beforeAutospacing="1" w:after="100" w:afterAutospacing="1"/>
      <w:jc w:val="left"/>
    </w:pPr>
    <w:rPr>
      <w:rFonts w:ascii="宋体" w:hAnsi="宋体"/>
      <w:kern w:val="0"/>
      <w:sz w:val="18"/>
      <w:szCs w:val="18"/>
    </w:rPr>
  </w:style>
  <w:style w:type="paragraph" w:styleId="19">
    <w:name w:val="annotation subject"/>
    <w:basedOn w:val="12"/>
    <w:next w:val="12"/>
    <w:link w:val="51"/>
    <w:autoRedefine/>
    <w:semiHidden/>
    <w:unhideWhenUsed/>
    <w:qFormat/>
    <w:uiPriority w:val="99"/>
    <w:pPr>
      <w:spacing w:line="240" w:lineRule="auto"/>
      <w:ind w:firstLine="0" w:firstLineChars="0"/>
    </w:pPr>
    <w:rPr>
      <w:rFonts w:ascii="Times New Roman" w:hAnsi="Times New Roman"/>
      <w:b/>
      <w:bCs/>
      <w:sz w:val="21"/>
      <w:szCs w:val="24"/>
    </w:rPr>
  </w:style>
  <w:style w:type="paragraph" w:styleId="20">
    <w:name w:val="Body Text First Indent"/>
    <w:basedOn w:val="13"/>
    <w:qFormat/>
    <w:uiPriority w:val="0"/>
    <w:pPr>
      <w:ind w:firstLine="420" w:firstLineChars="100"/>
    </w:pPr>
    <w:rPr>
      <w:kern w:val="0"/>
      <w:sz w:val="20"/>
      <w:szCs w:val="20"/>
    </w:rPr>
  </w:style>
  <w:style w:type="paragraph" w:styleId="21">
    <w:name w:val="Body Text First Indent 2"/>
    <w:basedOn w:val="14"/>
    <w:unhideWhenUsed/>
    <w:qFormat/>
    <w:uiPriority w:val="99"/>
    <w:pPr>
      <w:ind w:firstLine="420"/>
    </w:p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annotation reference"/>
    <w:unhideWhenUsed/>
    <w:qFormat/>
    <w:uiPriority w:val="0"/>
    <w:rPr>
      <w:sz w:val="21"/>
      <w:szCs w:val="21"/>
    </w:rPr>
  </w:style>
  <w:style w:type="character" w:customStyle="1" w:styleId="26">
    <w:name w:val="标题 2 字符"/>
    <w:basedOn w:val="24"/>
    <w:link w:val="3"/>
    <w:autoRedefine/>
    <w:qFormat/>
    <w:uiPriority w:val="0"/>
    <w:rPr>
      <w:rFonts w:ascii="Arial" w:hAnsi="Arial" w:eastAsia="黑体" w:cs="Times New Roman"/>
      <w:b/>
      <w:bCs/>
      <w:sz w:val="32"/>
      <w:szCs w:val="32"/>
    </w:rPr>
  </w:style>
  <w:style w:type="character" w:customStyle="1" w:styleId="27">
    <w:name w:val="标题 3 字符"/>
    <w:basedOn w:val="24"/>
    <w:link w:val="4"/>
    <w:qFormat/>
    <w:uiPriority w:val="0"/>
    <w:rPr>
      <w:rFonts w:ascii="Times New Roman" w:hAnsi="Times New Roman" w:eastAsia="宋体" w:cs="Times New Roman"/>
      <w:b/>
      <w:bCs/>
      <w:sz w:val="32"/>
      <w:szCs w:val="32"/>
    </w:rPr>
  </w:style>
  <w:style w:type="character" w:customStyle="1" w:styleId="28">
    <w:name w:val="标题 4 字符"/>
    <w:basedOn w:val="24"/>
    <w:link w:val="5"/>
    <w:qFormat/>
    <w:uiPriority w:val="0"/>
    <w:rPr>
      <w:rFonts w:ascii="Cambria" w:hAnsi="Cambria" w:eastAsia="宋体" w:cs="Times New Roman"/>
      <w:b/>
      <w:bCs/>
      <w:sz w:val="28"/>
      <w:szCs w:val="28"/>
    </w:rPr>
  </w:style>
  <w:style w:type="paragraph" w:styleId="29">
    <w:name w:val="List Paragraph"/>
    <w:basedOn w:val="1"/>
    <w:link w:val="30"/>
    <w:qFormat/>
    <w:uiPriority w:val="0"/>
    <w:pPr>
      <w:ind w:firstLine="420" w:firstLineChars="200"/>
    </w:pPr>
    <w:rPr>
      <w:rFonts w:ascii="Calibri" w:hAnsi="Calibri"/>
      <w:szCs w:val="22"/>
    </w:rPr>
  </w:style>
  <w:style w:type="character" w:customStyle="1" w:styleId="30">
    <w:name w:val="列表段落 字符"/>
    <w:link w:val="29"/>
    <w:autoRedefine/>
    <w:qFormat/>
    <w:uiPriority w:val="0"/>
    <w:rPr>
      <w:rFonts w:ascii="Calibri" w:hAnsi="Calibri" w:eastAsia="宋体" w:cs="Times New Roman"/>
    </w:rPr>
  </w:style>
  <w:style w:type="character" w:customStyle="1" w:styleId="31">
    <w:name w:val="样式 正文缩进 + 首行缩进:  2 字符 Char"/>
    <w:link w:val="32"/>
    <w:autoRedefine/>
    <w:qFormat/>
    <w:uiPriority w:val="0"/>
    <w:rPr>
      <w:sz w:val="24"/>
    </w:rPr>
  </w:style>
  <w:style w:type="paragraph" w:customStyle="1" w:styleId="32">
    <w:name w:val="样式 正文缩进 + 首行缩进:  2 字符"/>
    <w:basedOn w:val="11"/>
    <w:link w:val="31"/>
    <w:qFormat/>
    <w:uiPriority w:val="0"/>
    <w:pPr>
      <w:spacing w:line="360" w:lineRule="auto"/>
      <w:ind w:firstLine="200"/>
    </w:pPr>
    <w:rPr>
      <w:rFonts w:asciiTheme="minorHAnsi" w:hAnsiTheme="minorHAnsi" w:eastAsiaTheme="minorEastAsia" w:cstheme="minorBidi"/>
      <w:sz w:val="24"/>
      <w:szCs w:val="22"/>
    </w:rPr>
  </w:style>
  <w:style w:type="character" w:customStyle="1" w:styleId="33">
    <w:name w:val="页眉 字符"/>
    <w:basedOn w:val="24"/>
    <w:link w:val="17"/>
    <w:qFormat/>
    <w:uiPriority w:val="99"/>
    <w:rPr>
      <w:rFonts w:ascii="Times New Roman" w:hAnsi="Times New Roman" w:eastAsia="宋体" w:cs="Times New Roman"/>
      <w:sz w:val="18"/>
      <w:szCs w:val="18"/>
    </w:rPr>
  </w:style>
  <w:style w:type="character" w:customStyle="1" w:styleId="34">
    <w:name w:val="页脚 字符"/>
    <w:basedOn w:val="24"/>
    <w:link w:val="16"/>
    <w:qFormat/>
    <w:uiPriority w:val="99"/>
    <w:rPr>
      <w:rFonts w:ascii="Times New Roman" w:hAnsi="Times New Roman" w:eastAsia="宋体" w:cs="Times New Roman"/>
      <w:sz w:val="18"/>
      <w:szCs w:val="18"/>
    </w:rPr>
  </w:style>
  <w:style w:type="character" w:customStyle="1" w:styleId="35">
    <w:name w:val="批注文字 字符"/>
    <w:basedOn w:val="24"/>
    <w:link w:val="12"/>
    <w:qFormat/>
    <w:uiPriority w:val="0"/>
    <w:rPr>
      <w:rFonts w:ascii="Calibri" w:hAnsi="Calibri" w:eastAsia="宋体" w:cs="Times New Roman"/>
      <w:sz w:val="24"/>
    </w:rPr>
  </w:style>
  <w:style w:type="character" w:customStyle="1" w:styleId="36">
    <w:name w:val="标题 6 字符"/>
    <w:basedOn w:val="24"/>
    <w:link w:val="7"/>
    <w:autoRedefine/>
    <w:qFormat/>
    <w:uiPriority w:val="9"/>
    <w:rPr>
      <w:rFonts w:asciiTheme="majorHAnsi" w:hAnsiTheme="majorHAnsi" w:eastAsiaTheme="majorEastAsia" w:cstheme="majorBidi"/>
      <w:b/>
      <w:bCs/>
      <w:sz w:val="24"/>
      <w:szCs w:val="24"/>
    </w:rPr>
  </w:style>
  <w:style w:type="character" w:customStyle="1" w:styleId="37">
    <w:name w:val="标题 5 字符"/>
    <w:basedOn w:val="24"/>
    <w:link w:val="6"/>
    <w:qFormat/>
    <w:uiPriority w:val="9"/>
    <w:rPr>
      <w:rFonts w:ascii="Times New Roman" w:hAnsi="Times New Roman" w:eastAsia="宋体" w:cs="Times New Roman"/>
      <w:b/>
      <w:bCs/>
      <w:sz w:val="28"/>
      <w:szCs w:val="28"/>
    </w:rPr>
  </w:style>
  <w:style w:type="character" w:customStyle="1" w:styleId="38">
    <w:name w:val="标题 7 字符"/>
    <w:basedOn w:val="24"/>
    <w:link w:val="8"/>
    <w:qFormat/>
    <w:uiPriority w:val="9"/>
    <w:rPr>
      <w:rFonts w:ascii="Times New Roman" w:hAnsi="Times New Roman" w:eastAsia="宋体" w:cs="Times New Roman"/>
      <w:b/>
      <w:bCs/>
      <w:sz w:val="24"/>
      <w:szCs w:val="24"/>
    </w:rPr>
  </w:style>
  <w:style w:type="character" w:customStyle="1" w:styleId="39">
    <w:name w:val="正文缩进 字符"/>
    <w:link w:val="11"/>
    <w:autoRedefine/>
    <w:qFormat/>
    <w:uiPriority w:val="0"/>
    <w:rPr>
      <w:rFonts w:ascii="Times New Roman" w:hAnsi="Times New Roman" w:eastAsia="宋体" w:cs="Times New Roman"/>
      <w:szCs w:val="24"/>
    </w:rPr>
  </w:style>
  <w:style w:type="character" w:customStyle="1" w:styleId="40">
    <w:name w:val="普通(网站) 字符"/>
    <w:link w:val="18"/>
    <w:qFormat/>
    <w:uiPriority w:val="0"/>
    <w:rPr>
      <w:rFonts w:ascii="宋体" w:hAnsi="宋体" w:eastAsia="宋体" w:cs="Times New Roman"/>
      <w:kern w:val="0"/>
      <w:sz w:val="18"/>
      <w:szCs w:val="18"/>
    </w:rPr>
  </w:style>
  <w:style w:type="paragraph" w:customStyle="1" w:styleId="41">
    <w:name w:val="DZBL-正文-2"/>
    <w:basedOn w:val="1"/>
    <w:link w:val="42"/>
    <w:autoRedefine/>
    <w:qFormat/>
    <w:uiPriority w:val="0"/>
    <w:pPr>
      <w:spacing w:line="360" w:lineRule="auto"/>
      <w:ind w:firstLine="425" w:firstLineChars="177"/>
    </w:pPr>
    <w:rPr>
      <w:rFonts w:ascii="宋体" w:hAnsi="Calibri"/>
      <w:sz w:val="24"/>
    </w:rPr>
  </w:style>
  <w:style w:type="character" w:customStyle="1" w:styleId="42">
    <w:name w:val="DZBL-正文-2 Char"/>
    <w:link w:val="41"/>
    <w:autoRedefine/>
    <w:qFormat/>
    <w:uiPriority w:val="0"/>
    <w:rPr>
      <w:rFonts w:ascii="宋体" w:hAnsi="Calibri" w:eastAsia="宋体" w:cs="Times New Roman"/>
      <w:sz w:val="24"/>
      <w:szCs w:val="24"/>
    </w:rPr>
  </w:style>
  <w:style w:type="paragraph" w:customStyle="1" w:styleId="43">
    <w:name w:val="Bid_正文"/>
    <w:basedOn w:val="11"/>
    <w:link w:val="44"/>
    <w:autoRedefine/>
    <w:qFormat/>
    <w:uiPriority w:val="0"/>
    <w:pPr>
      <w:spacing w:afterLines="50" w:line="360" w:lineRule="auto"/>
      <w:ind w:firstLine="480"/>
    </w:pPr>
    <w:rPr>
      <w:rFonts w:cstheme="minorBidi"/>
      <w:sz w:val="24"/>
      <w:szCs w:val="22"/>
    </w:rPr>
  </w:style>
  <w:style w:type="character" w:customStyle="1" w:styleId="44">
    <w:name w:val="Bid_正文 Char"/>
    <w:link w:val="43"/>
    <w:autoRedefine/>
    <w:qFormat/>
    <w:uiPriority w:val="0"/>
    <w:rPr>
      <w:rFonts w:ascii="Times New Roman" w:hAnsi="Times New Roman" w:eastAsia="宋体"/>
      <w:sz w:val="24"/>
    </w:rPr>
  </w:style>
  <w:style w:type="character" w:customStyle="1" w:styleId="45">
    <w:name w:val="标题 1 字符"/>
    <w:basedOn w:val="24"/>
    <w:link w:val="2"/>
    <w:autoRedefine/>
    <w:qFormat/>
    <w:uiPriority w:val="9"/>
    <w:rPr>
      <w:rFonts w:ascii="Times New Roman" w:hAnsi="Times New Roman" w:eastAsia="宋体" w:cs="Times New Roman"/>
      <w:b/>
      <w:bCs/>
      <w:kern w:val="44"/>
      <w:sz w:val="44"/>
      <w:szCs w:val="44"/>
    </w:rPr>
  </w:style>
  <w:style w:type="paragraph" w:customStyle="1" w:styleId="46">
    <w:name w:val="彩色列表 - 强调文字颜色 11"/>
    <w:basedOn w:val="1"/>
    <w:autoRedefine/>
    <w:qFormat/>
    <w:uiPriority w:val="34"/>
    <w:pPr>
      <w:spacing w:line="360" w:lineRule="auto"/>
      <w:ind w:firstLine="420" w:firstLineChars="200"/>
    </w:pPr>
    <w:rPr>
      <w:rFonts w:ascii="Calibri" w:hAnsi="Calibri"/>
      <w:sz w:val="24"/>
      <w:szCs w:val="22"/>
    </w:rPr>
  </w:style>
  <w:style w:type="character" w:customStyle="1" w:styleId="47">
    <w:name w:val="标题 8 字符"/>
    <w:basedOn w:val="24"/>
    <w:link w:val="9"/>
    <w:autoRedefine/>
    <w:qFormat/>
    <w:uiPriority w:val="0"/>
    <w:rPr>
      <w:rFonts w:asciiTheme="majorHAnsi" w:hAnsiTheme="majorHAnsi" w:eastAsiaTheme="majorEastAsia" w:cstheme="majorBidi"/>
      <w:sz w:val="24"/>
      <w:szCs w:val="24"/>
    </w:rPr>
  </w:style>
  <w:style w:type="character" w:customStyle="1" w:styleId="48">
    <w:name w:val="标题 9 字符"/>
    <w:basedOn w:val="24"/>
    <w:link w:val="10"/>
    <w:autoRedefine/>
    <w:qFormat/>
    <w:uiPriority w:val="0"/>
    <w:rPr>
      <w:rFonts w:asciiTheme="majorHAnsi" w:hAnsiTheme="majorHAnsi" w:eastAsiaTheme="majorEastAsia" w:cstheme="majorBidi"/>
      <w:szCs w:val="21"/>
    </w:rPr>
  </w:style>
  <w:style w:type="character" w:customStyle="1" w:styleId="49">
    <w:name w:val="正文文本 字符"/>
    <w:basedOn w:val="24"/>
    <w:link w:val="13"/>
    <w:autoRedefine/>
    <w:qFormat/>
    <w:uiPriority w:val="99"/>
    <w:rPr>
      <w:rFonts w:ascii="Calibri" w:hAnsi="Calibri" w:eastAsia="宋体" w:cs="Times New Roman"/>
      <w:sz w:val="24"/>
      <w:szCs w:val="24"/>
    </w:rPr>
  </w:style>
  <w:style w:type="paragraph" w:customStyle="1" w:styleId="50">
    <w:name w:val="kpk:3级"/>
    <w:basedOn w:val="4"/>
    <w:autoRedefine/>
    <w:qFormat/>
    <w:uiPriority w:val="0"/>
    <w:pPr>
      <w:spacing w:beforeLines="120" w:afterLines="100" w:line="240" w:lineRule="auto"/>
    </w:pPr>
    <w:rPr>
      <w:rFonts w:ascii="黑体" w:hAnsi="宋体" w:eastAsia="黑体"/>
      <w:b w:val="0"/>
      <w:bCs w:val="0"/>
      <w:sz w:val="30"/>
      <w:szCs w:val="24"/>
      <w:lang w:val="zh-CN"/>
    </w:rPr>
  </w:style>
  <w:style w:type="character" w:customStyle="1" w:styleId="51">
    <w:name w:val="批注主题 字符"/>
    <w:basedOn w:val="35"/>
    <w:link w:val="19"/>
    <w:autoRedefine/>
    <w:semiHidden/>
    <w:qFormat/>
    <w:uiPriority w:val="99"/>
    <w:rPr>
      <w:rFonts w:ascii="Times New Roman" w:hAnsi="Times New Roman" w:eastAsia="宋体" w:cs="Times New Roman"/>
      <w:b/>
      <w:bCs/>
      <w:sz w:val="24"/>
      <w:szCs w:val="24"/>
    </w:rPr>
  </w:style>
  <w:style w:type="character" w:customStyle="1" w:styleId="52">
    <w:name w:val="批注框文本 字符"/>
    <w:basedOn w:val="24"/>
    <w:link w:val="15"/>
    <w:autoRedefine/>
    <w:semiHidden/>
    <w:qFormat/>
    <w:uiPriority w:val="99"/>
    <w:rPr>
      <w:rFonts w:ascii="Times New Roman" w:hAnsi="Times New Roman" w:eastAsia="宋体" w:cs="Times New Roman"/>
      <w:sz w:val="18"/>
      <w:szCs w:val="18"/>
    </w:rPr>
  </w:style>
  <w:style w:type="paragraph" w:customStyle="1" w:styleId="53">
    <w:name w:val="wdcj_7_p"/>
    <w:basedOn w:val="1"/>
    <w:qFormat/>
    <w:uiPriority w:val="0"/>
    <w:pPr>
      <w:spacing w:line="360" w:lineRule="auto"/>
      <w:ind w:firstLine="480"/>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F4908B4C-C6F1-4B1D-AAD6-CBAA7612895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10517</Words>
  <Characters>1011</Characters>
  <Lines>8</Lines>
  <Paragraphs>23</Paragraphs>
  <TotalTime>2</TotalTime>
  <ScaleCrop>false</ScaleCrop>
  <LinksUpToDate>false</LinksUpToDate>
  <CharactersWithSpaces>11505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2025-09-07T18:31:00Z</dcterms:created>
  <dc:creator>兵</dc:creator>
  <cp:lastModifiedBy>张姝雅</cp:lastModifiedBy>
  <dcterms:modified xsi:type="dcterms:W3CDTF">2025-11-28T15:13:29Z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EFFA9AA4669A79E8E12CC26891D214B2_43</vt:lpwstr>
  </property>
  <property fmtid="{D5CDD505-2E9C-101B-9397-08002B2CF9AE}" pid="4" name="KSOTemplateDocerSaveRecord">
    <vt:lpwstr>eyJoZGlkIjoiYjk5ODM0YmMxOWJiYWQyNDU4MGIzYWRmYTA0ZmI5NDciLCJ1c2VySWQiOiIxMTMyODU0Njc4In0=</vt:lpwstr>
  </property>
</Properties>
</file>