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4BB722D">
      <w:pPr>
        <w:jc w:val="center"/>
        <w:rPr>
          <w:rFonts w:hint="eastAsia"/>
          <w:b/>
          <w:bCs/>
          <w:lang w:eastAsia="zh-CN"/>
        </w:rPr>
      </w:pPr>
      <w:bookmarkStart w:id="0" w:name="_Toc63785461"/>
      <w:r>
        <w:rPr>
          <w:rFonts w:hint="eastAsia"/>
          <w:lang w:eastAsia="zh-CN"/>
        </w:rPr>
        <w:t>采购需求</w:t>
      </w:r>
    </w:p>
    <w:p w14:paraId="2F0734E8">
      <w:pPr>
        <w:pStyle w:val="2"/>
        <w:ind w:left="0" w:leftChars="0" w:firstLine="0" w:firstLineChars="0"/>
      </w:pPr>
      <w:r>
        <w:rPr>
          <w:rFonts w:hint="eastAsia"/>
        </w:rPr>
        <w:t>项目概况</w:t>
      </w:r>
      <w:bookmarkEnd w:id="0"/>
    </w:p>
    <w:p w14:paraId="55308824">
      <w:pPr>
        <w:spacing w:line="560" w:lineRule="exact"/>
      </w:pPr>
      <w:r>
        <w:rPr>
          <w:rFonts w:hint="eastAsia"/>
        </w:rPr>
        <w:t>智慧公园系统2018年启动建设工作，通过建立相关数据库和应用系统搭建，并于年底建设完成并投入运行，主要功能是将公园各类信息系统补充、完善和集成，并将智能化子系统进行集成，满足市级管理部门、区级公园管理部门、城市公园的三级管理要求。经过多年的运行管理，目前智慧公园系统已经积累沉淀了海量、多元的公园基础数据、游客量管理、公园生态环境、动植物名录等数据信息，在助力行业运营管理、提升服务水平等方面已取得一定成效。随着人工智能（AI）、物联网、大数据等技术的发展，有必要通过新一代信息技术和人工智能技术对公园管理进行赋能，提升管理能级和水平。同时，面对上海市公园数量的与日俱增、市民对公园服务品质提升需求不断增长，以及公园运营管理提质增效的迫切要求，客观上对公园业务和运营管理信息数据采集的准确、高效和分析的及时、快速，以及针对性高品质的服务场所设施和活动提供提出了更新更高要求。为进一步提高公园运营管理质效，提升服务能级和现代化、智慧化治理水平，根据《上海市公园管理条例》《关于推进上海市公园城市建设的指导意见》《上海市智慧公园建设导则（试行）》等相关政策和规划文件要求，上海市公园管理事务中心开展智慧公园系统2026年升级改造建设，包括数据智能化分析、运营管理大数据分析、场景智慧巡检、游客量大数据监测等，为上海市公园管理、运营和服务提质增效提供决策辅助支撑。</w:t>
      </w:r>
    </w:p>
    <w:p w14:paraId="6E6A9BE8">
      <w:pPr>
        <w:rPr>
          <w:color w:val="auto"/>
        </w:rPr>
      </w:pPr>
      <w:r>
        <w:rPr>
          <w:color w:val="auto"/>
        </w:rPr>
        <w:t>是否按信创要求建设：是</w:t>
      </w:r>
    </w:p>
    <w:p w14:paraId="16940C9D">
      <w:pPr>
        <w:pStyle w:val="2"/>
        <w:ind w:left="0" w:leftChars="0" w:firstLine="0" w:firstLineChars="0"/>
      </w:pPr>
      <w:bookmarkStart w:id="1" w:name="_Toc47533256"/>
      <w:bookmarkEnd w:id="1"/>
      <w:bookmarkStart w:id="2" w:name="_Toc47536644"/>
      <w:bookmarkEnd w:id="2"/>
      <w:bookmarkStart w:id="3" w:name="_Toc47532255"/>
      <w:bookmarkEnd w:id="3"/>
      <w:bookmarkStart w:id="4" w:name="_Toc47539070"/>
      <w:bookmarkEnd w:id="4"/>
      <w:bookmarkStart w:id="5" w:name="_Toc47531634"/>
      <w:bookmarkEnd w:id="5"/>
      <w:bookmarkStart w:id="6" w:name="_Toc47532891"/>
      <w:bookmarkEnd w:id="6"/>
      <w:bookmarkStart w:id="7" w:name="_Toc47536272"/>
      <w:bookmarkEnd w:id="7"/>
      <w:bookmarkStart w:id="8" w:name="_Toc47537134"/>
      <w:bookmarkEnd w:id="8"/>
      <w:bookmarkStart w:id="9" w:name="_Toc63785463"/>
      <w:bookmarkStart w:id="10" w:name="_Toc48223882"/>
      <w:r>
        <w:rPr>
          <w:rFonts w:hint="eastAsia"/>
        </w:rPr>
        <w:t>建设目标</w:t>
      </w:r>
      <w:bookmarkEnd w:id="9"/>
      <w:bookmarkEnd w:id="10"/>
    </w:p>
    <w:p w14:paraId="381514A7">
      <w:pPr>
        <w:bidi w:val="0"/>
        <w:rPr>
          <w:rFonts w:hint="default"/>
          <w:lang w:val="en-US" w:eastAsia="zh-CN"/>
        </w:rPr>
      </w:pPr>
      <w:r>
        <w:rPr>
          <w:rFonts w:hint="default"/>
          <w:lang w:val="en-US" w:eastAsia="zh-CN"/>
        </w:rPr>
        <w:t>本项目运用“多源数据整合分析+AI算法模型搭建”的建设思路，通过数据智能化分析、运营管理大数据分析、场景智慧巡检、游客量大数据监测等智能化新模块建设，实现市级、区级、公园级三级管理主体纵向贯通，各公园特色数据资源横向整合，形成“自上而下指导（市级政策、标准、资源下沉）+自下而上反馈（公园问题整改、数据更新、需求上传）”的管理链路，构建“市级统筹决策-区级承转执行-公园落地实施”三级联动的智能管理体系，进而使管理决策由“经验估量”转向“数据驱动”，促进跨区域资源调度、协同处置与经验共享，全面提升全市公园管理的统一性、协同性与响应效率。</w:t>
      </w:r>
    </w:p>
    <w:p w14:paraId="7C681E04">
      <w:pPr>
        <w:bidi w:val="0"/>
        <w:rPr>
          <w:rFonts w:hint="default"/>
          <w:lang w:val="en-US" w:eastAsia="zh-CN"/>
        </w:rPr>
      </w:pPr>
      <w:r>
        <w:rPr>
          <w:rFonts w:hint="default"/>
          <w:lang w:val="en-US" w:eastAsia="zh-CN"/>
        </w:rPr>
        <w:t>本项目建设将实现以下四个目标：</w:t>
      </w:r>
    </w:p>
    <w:p w14:paraId="179E00C0">
      <w:pPr>
        <w:bidi w:val="0"/>
        <w:rPr>
          <w:rFonts w:hint="default"/>
          <w:lang w:val="en-US" w:eastAsia="zh-CN"/>
        </w:rPr>
      </w:pPr>
      <w:r>
        <w:rPr>
          <w:rFonts w:hint="eastAsia"/>
          <w:lang w:val="en-US" w:eastAsia="zh-CN"/>
        </w:rPr>
        <w:t>（1）</w:t>
      </w:r>
      <w:r>
        <w:rPr>
          <w:rFonts w:hint="default"/>
          <w:lang w:val="en-US" w:eastAsia="zh-CN"/>
        </w:rPr>
        <w:t>数据智能化分析，打造高质量数据管理闭环</w:t>
      </w:r>
    </w:p>
    <w:p w14:paraId="438D9E31">
      <w:pPr>
        <w:bidi w:val="0"/>
        <w:rPr>
          <w:rFonts w:hint="default"/>
          <w:lang w:val="en-US" w:eastAsia="zh-CN"/>
        </w:rPr>
      </w:pPr>
      <w:r>
        <w:rPr>
          <w:rFonts w:hint="default"/>
          <w:lang w:val="en-US" w:eastAsia="zh-CN"/>
        </w:rPr>
        <w:t>聚焦公园的不同业务管理模块，如城市公园管养、服务设施维修保养、配套经营场所、环境卫生等，建立“多源采集-标准互通-深度分析-智能应用”的数据管理机制，建设数据智能化分析模块，BI展示和数据看板功能。实现业务智能化管理，从“被动响应”转向“主动服务”，从“分散管理”转向“全局协同”，从“经验主导”转向“数据+算法支撑”，为全市公园的精细化、人性化、可持续管理提供数据长期支撑。依托物联网感知、图片识别AI算法、智能终端等技术，基于多源自动采集数据，通过图片识别AI算法赋能，形成问题隐患自动识别感知，进行预测性分析。</w:t>
      </w:r>
    </w:p>
    <w:p w14:paraId="1F8EEE3A">
      <w:pPr>
        <w:bidi w:val="0"/>
        <w:rPr>
          <w:rFonts w:hint="default"/>
          <w:lang w:val="en-US" w:eastAsia="zh-CN"/>
        </w:rPr>
      </w:pPr>
      <w:r>
        <w:rPr>
          <w:rFonts w:hint="eastAsia"/>
          <w:lang w:val="en-US" w:eastAsia="zh-CN"/>
        </w:rPr>
        <w:t>（2）</w:t>
      </w:r>
      <w:r>
        <w:rPr>
          <w:rFonts w:hint="default"/>
          <w:lang w:val="en-US" w:eastAsia="zh-CN"/>
        </w:rPr>
        <w:t>经营管理大数据分析，推动运营优化提质增效</w:t>
      </w:r>
    </w:p>
    <w:p w14:paraId="77C0FBDA">
      <w:pPr>
        <w:bidi w:val="0"/>
        <w:rPr>
          <w:rFonts w:hint="default"/>
          <w:lang w:val="en-US" w:eastAsia="zh-CN"/>
        </w:rPr>
      </w:pPr>
      <w:r>
        <w:rPr>
          <w:rFonts w:hint="default"/>
          <w:lang w:val="en-US" w:eastAsia="zh-CN"/>
        </w:rPr>
        <w:t>立足现有公园基础数据和实时数据，整合内外部多源数据（信令数据、诉求信息、POI数据等），构建游客画像及周边业态画像，分析挖掘游客诉求等，丰富公园管理“一张图”的功能。建立互通共享机制，整合城运中心、12345、公安、消防、建管委、气象等部门多源数据，结合公园特色数据，搭建公园运营策略优化算法模型。</w:t>
      </w:r>
    </w:p>
    <w:p w14:paraId="02F1103D">
      <w:pPr>
        <w:bidi w:val="0"/>
        <w:rPr>
          <w:rFonts w:hint="default"/>
          <w:lang w:val="en-US" w:eastAsia="zh-CN"/>
        </w:rPr>
      </w:pPr>
      <w:r>
        <w:rPr>
          <w:rFonts w:hint="eastAsia"/>
          <w:lang w:val="en-US" w:eastAsia="zh-CN"/>
        </w:rPr>
        <w:t>（3）</w:t>
      </w:r>
      <w:r>
        <w:rPr>
          <w:rFonts w:hint="default"/>
          <w:lang w:val="en-US" w:eastAsia="zh-CN"/>
        </w:rPr>
        <w:t>实现场景智慧巡检，提升业务监测反馈效率</w:t>
      </w:r>
    </w:p>
    <w:p w14:paraId="5DAD0E89">
      <w:pPr>
        <w:bidi w:val="0"/>
        <w:rPr>
          <w:rFonts w:hint="default"/>
          <w:lang w:val="en-US" w:eastAsia="zh-CN"/>
        </w:rPr>
      </w:pPr>
      <w:r>
        <w:rPr>
          <w:rFonts w:hint="default"/>
          <w:lang w:val="en-US" w:eastAsia="zh-CN"/>
        </w:rPr>
        <w:t>通过线上移动巡查方式，对公园园容卫生保洁、游客行为识别、游商摊贩、设备部件等公园重点日常巡检巡查场景进行智慧巡检，形成实现任务自动分配、场景化任务上报、工单流转、短板跟踪、问题申诉、限时催办、处置反馈的闭环管理。支持智慧公园系统采集环节中新增、调整、修改、删除采集填报任务，支持区级、公园等生成新的数据项，支持区级、公园上传数据。新增区级、各公园对采集数据的问题申诉、短板整改和结果反馈功能，并支持佐证材料上传，由市级部门进行审核后并反馈结果。</w:t>
      </w:r>
    </w:p>
    <w:p w14:paraId="38623BCB">
      <w:pPr>
        <w:bidi w:val="0"/>
        <w:rPr>
          <w:rFonts w:hint="default"/>
          <w:lang w:val="en-US" w:eastAsia="zh-CN"/>
        </w:rPr>
      </w:pPr>
      <w:r>
        <w:rPr>
          <w:rFonts w:hint="eastAsia"/>
          <w:lang w:val="en-US" w:eastAsia="zh-CN"/>
        </w:rPr>
        <w:t>（4）</w:t>
      </w:r>
      <w:r>
        <w:rPr>
          <w:rFonts w:hint="default"/>
          <w:lang w:val="en-US" w:eastAsia="zh-CN"/>
        </w:rPr>
        <w:t>游客量大数据监测，辅助支持客流管理</w:t>
      </w:r>
    </w:p>
    <w:p w14:paraId="38C10BC2">
      <w:pPr>
        <w:bidi w:val="0"/>
        <w:rPr>
          <w:rFonts w:hint="default"/>
          <w:lang w:val="en-US" w:eastAsia="zh-CN"/>
        </w:rPr>
      </w:pPr>
      <w:r>
        <w:rPr>
          <w:rFonts w:hint="default"/>
          <w:lang w:val="en-US" w:eastAsia="zh-CN"/>
        </w:rPr>
        <w:t>划分上海主要公园的电子围栏边界，以此支持在电子围栏中查询手机信令数据。对获取的原始手机信令记录进行数据预处理，将预处理后的游客量数据，根据特定算法进行建模，利用历史游客量数据，使用时序预测算法，调整模型参数，使模型能够准确地学习到数据中的规律和趋势，通过对历史数据的拟合，预测未来短期内的游客量。基于手机信令数据，对6个直属公园的帐篷区进行实时客流监测，超过单位面积人数上限时开展预警。同时，将预处理后的游客量数据数据进行特征工程，对影响游客量的因素特征进行提取和选择，建立各种复合式标签。对各类公园中的游客量、游客画像形成统计报表，并支持报表的查询筛选和下载。</w:t>
      </w:r>
    </w:p>
    <w:p w14:paraId="3984FD74">
      <w:pPr>
        <w:pStyle w:val="2"/>
        <w:ind w:left="0" w:leftChars="0" w:firstLine="0" w:firstLineChars="0"/>
      </w:pPr>
      <w:bookmarkStart w:id="11" w:name="_Toc47536676"/>
      <w:bookmarkEnd w:id="11"/>
      <w:bookmarkStart w:id="12" w:name="_Toc47537166"/>
      <w:bookmarkEnd w:id="12"/>
      <w:bookmarkStart w:id="13" w:name="_Toc47539102"/>
      <w:bookmarkEnd w:id="13"/>
      <w:bookmarkStart w:id="14" w:name="_Toc47533288"/>
      <w:bookmarkEnd w:id="14"/>
      <w:bookmarkStart w:id="15" w:name="_Toc47536304"/>
      <w:bookmarkEnd w:id="15"/>
      <w:bookmarkStart w:id="16" w:name="_Toc47532923"/>
      <w:bookmarkEnd w:id="16"/>
      <w:r>
        <w:rPr>
          <w:rFonts w:hint="eastAsia"/>
        </w:rPr>
        <w:t>项目建设内容</w:t>
      </w:r>
    </w:p>
    <w:p w14:paraId="05F188BC">
      <w:pPr>
        <w:pStyle w:val="3"/>
        <w:ind w:left="0" w:leftChars="0" w:firstLine="0" w:firstLineChars="0"/>
        <w:rPr>
          <w:rFonts w:hint="eastAsia"/>
        </w:rPr>
      </w:pPr>
      <w:r>
        <w:rPr>
          <w:rFonts w:hint="eastAsia"/>
        </w:rPr>
        <w:t>技术路线</w:t>
      </w:r>
    </w:p>
    <w:p w14:paraId="27FFDDBE">
      <w:pPr>
        <w:rPr>
          <w:rFonts w:hint="eastAsia"/>
        </w:rPr>
      </w:pPr>
      <w:r>
        <w:rPr>
          <w:rFonts w:hint="default" w:ascii="宋体" w:hAnsi="宋体" w:eastAsia="宋体" w:cs="Times New Roman"/>
          <w:lang w:val="en-US" w:eastAsia="zh-CN"/>
        </w:rPr>
        <w:t>本系统采用业界最佳实践技术规范和相关技术实现，主要包括：B/S 架构、RESTful架构、OpenAPI 规范，DDD（领域驱动设计）设计思路。以便保障系统的可靠性、可维护性、可扩展性等。</w:t>
      </w:r>
    </w:p>
    <w:p w14:paraId="74825EB1">
      <w:pPr>
        <w:pStyle w:val="3"/>
        <w:ind w:left="0" w:leftChars="0" w:firstLine="0" w:firstLineChars="0"/>
        <w:rPr>
          <w:rFonts w:hint="eastAsia"/>
        </w:rPr>
      </w:pPr>
      <w:r>
        <w:rPr>
          <w:rFonts w:hint="eastAsia"/>
          <w:lang w:val="en-US" w:eastAsia="zh-CN"/>
        </w:rPr>
        <w:t>总体</w:t>
      </w:r>
      <w:r>
        <w:rPr>
          <w:rFonts w:hint="eastAsia"/>
        </w:rPr>
        <w:t>架构</w:t>
      </w:r>
    </w:p>
    <w:p w14:paraId="28672511">
      <w:pPr>
        <w:rPr>
          <w:rFonts w:hint="eastAsia"/>
        </w:rPr>
      </w:pPr>
      <w:r>
        <w:rPr>
          <w:rFonts w:hint="eastAsia"/>
        </w:rPr>
        <w:t>本系统为上海市智慧公园综合管理信息平台与示范公园信息平台的2026年升级改造项目。该平台在数据留痕、业务搭建上已有显著成效，本系统绝大部分数据来自于该平台数据库。但客观来说，老平台在大数据分析，尤其是AI分析上的探索仍属早期，部分数据分析维度不够灵活，数据建模不够复杂深入，业务支撑不够全面，未能全面接轨大模型技术，未能享受当前时代的技术红利。</w:t>
      </w:r>
    </w:p>
    <w:p w14:paraId="05B17B75">
      <w:pPr>
        <w:rPr>
          <w:rFonts w:hint="eastAsia"/>
        </w:rPr>
      </w:pPr>
      <w:r>
        <w:rPr>
          <w:rFonts w:hint="eastAsia"/>
        </w:rPr>
        <w:t>在此基础上，2026年升级改造项目聚焦于大数据分析与大模型分析，通过引入外部POI与运营商信令数据，进一步细化公园人流量与周边业态标签、扩充分析维度，打造一套分析地图，实现数图联动查询。同时搭建对内的公园行业大模型，以AI技术赋能内部管理。数据分析方面，各主题的静态看板结合大模型的智能问数与生成式报告，动静结合，加强智能化管理。</w:t>
      </w:r>
    </w:p>
    <w:p w14:paraId="75C460DF">
      <w:pPr>
        <w:pStyle w:val="3"/>
        <w:ind w:left="0" w:leftChars="0" w:firstLine="0" w:firstLineChars="0"/>
      </w:pPr>
      <w:r>
        <w:rPr>
          <w:rFonts w:hint="eastAsia"/>
        </w:rPr>
        <w:t>部署环境</w:t>
      </w:r>
    </w:p>
    <w:p w14:paraId="3A7C6D0A">
      <w:pPr>
        <w:widowControl/>
        <w:snapToGrid w:val="0"/>
        <w:spacing w:line="440" w:lineRule="exact"/>
        <w:ind w:firstLine="482"/>
        <w:jc w:val="left"/>
        <w:rPr>
          <w:b/>
        </w:rPr>
      </w:pPr>
      <w:r>
        <w:rPr>
          <w:rFonts w:hint="eastAsia"/>
          <w:b/>
        </w:rPr>
        <w:t>系统部署在上海市电子政务云上，依托上海市电子政务云提供网络、设备，部署环境要求以政务云实际提供为准。</w:t>
      </w:r>
    </w:p>
    <w:p w14:paraId="36A6FD56">
      <w:pPr>
        <w:numPr>
          <w:ilvl w:val="0"/>
          <w:numId w:val="0"/>
        </w:numPr>
        <w:ind w:leftChars="0"/>
        <w:rPr>
          <w:rFonts w:hint="eastAsia"/>
          <w:b/>
        </w:rPr>
      </w:pPr>
    </w:p>
    <w:p w14:paraId="2D2C6F29">
      <w:pPr>
        <w:numPr>
          <w:ilvl w:val="0"/>
          <w:numId w:val="0"/>
        </w:numPr>
        <w:ind w:leftChars="0"/>
        <w:rPr>
          <w:rFonts w:hint="eastAsia"/>
          <w:b/>
        </w:rPr>
      </w:pPr>
      <w:r>
        <w:rPr>
          <w:rFonts w:hint="eastAsia"/>
          <w:b/>
        </w:rPr>
        <w:t>软件开发清单：</w:t>
      </w:r>
    </w:p>
    <w:tbl>
      <w:tblPr>
        <w:tblStyle w:val="5"/>
        <w:tblW w:w="499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790"/>
        <w:gridCol w:w="1778"/>
        <w:gridCol w:w="1986"/>
        <w:gridCol w:w="3971"/>
      </w:tblGrid>
      <w:tr w14:paraId="1D4344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463" w:type="pct"/>
            <w:tcBorders>
              <w:top w:val="single" w:color="000000" w:sz="4" w:space="0"/>
              <w:left w:val="single" w:color="000000" w:sz="4" w:space="0"/>
              <w:bottom w:val="single" w:color="000000" w:sz="4" w:space="0"/>
              <w:right w:val="single" w:color="000000" w:sz="4" w:space="0"/>
            </w:tcBorders>
            <w:shd w:val="clear" w:color="auto" w:fill="F3F8FC"/>
            <w:noWrap/>
            <w:vAlign w:val="center"/>
          </w:tcPr>
          <w:p w14:paraId="163CD329">
            <w:pPr>
              <w:keepNext w:val="0"/>
              <w:keepLines w:val="0"/>
              <w:widowControl/>
              <w:suppressLineNumbers w:val="0"/>
              <w:ind w:left="0" w:leftChars="0" w:firstLine="0" w:firstLineChars="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序号</w:t>
            </w:r>
          </w:p>
        </w:tc>
        <w:tc>
          <w:tcPr>
            <w:tcW w:w="1042" w:type="pct"/>
            <w:tcBorders>
              <w:top w:val="single" w:color="000000" w:sz="4" w:space="0"/>
              <w:left w:val="single" w:color="000000" w:sz="4" w:space="0"/>
              <w:bottom w:val="single" w:color="000000" w:sz="4" w:space="0"/>
              <w:right w:val="single" w:color="000000" w:sz="4" w:space="0"/>
            </w:tcBorders>
            <w:shd w:val="clear" w:color="auto" w:fill="F3F8FC"/>
            <w:noWrap/>
            <w:vAlign w:val="center"/>
          </w:tcPr>
          <w:p w14:paraId="5576DD72">
            <w:pPr>
              <w:keepNext w:val="0"/>
              <w:keepLines w:val="0"/>
              <w:widowControl/>
              <w:suppressLineNumbers w:val="0"/>
              <w:ind w:left="0" w:leftChars="0" w:firstLine="0" w:firstLineChars="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应用系统名称</w:t>
            </w:r>
          </w:p>
        </w:tc>
        <w:tc>
          <w:tcPr>
            <w:tcW w:w="1164" w:type="pct"/>
            <w:tcBorders>
              <w:top w:val="single" w:color="000000" w:sz="4" w:space="0"/>
              <w:left w:val="single" w:color="000000" w:sz="4" w:space="0"/>
              <w:bottom w:val="single" w:color="000000" w:sz="4" w:space="0"/>
              <w:right w:val="single" w:color="000000" w:sz="4" w:space="0"/>
            </w:tcBorders>
            <w:shd w:val="clear" w:color="auto" w:fill="F3F8FC"/>
            <w:noWrap/>
            <w:vAlign w:val="center"/>
          </w:tcPr>
          <w:p w14:paraId="158EA404">
            <w:pPr>
              <w:keepNext w:val="0"/>
              <w:keepLines w:val="0"/>
              <w:widowControl/>
              <w:suppressLineNumbers w:val="0"/>
              <w:ind w:left="0" w:leftChars="0" w:firstLine="0" w:firstLineChars="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模块名称</w:t>
            </w:r>
          </w:p>
        </w:tc>
        <w:tc>
          <w:tcPr>
            <w:tcW w:w="2329" w:type="pct"/>
            <w:tcBorders>
              <w:top w:val="single" w:color="000000" w:sz="4" w:space="0"/>
              <w:left w:val="single" w:color="000000" w:sz="4" w:space="0"/>
              <w:bottom w:val="single" w:color="000000" w:sz="4" w:space="0"/>
              <w:right w:val="single" w:color="000000" w:sz="4" w:space="0"/>
            </w:tcBorders>
            <w:shd w:val="clear" w:color="auto" w:fill="F3F8FC"/>
            <w:vAlign w:val="top"/>
          </w:tcPr>
          <w:p w14:paraId="5A603391">
            <w:pPr>
              <w:keepNext w:val="0"/>
              <w:keepLines w:val="0"/>
              <w:widowControl/>
              <w:suppressLineNumbers w:val="0"/>
              <w:ind w:left="0" w:leftChars="0" w:firstLine="0" w:firstLineChars="0"/>
              <w:jc w:val="center"/>
              <w:textAlignment w:val="top"/>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模块描述</w:t>
            </w:r>
          </w:p>
        </w:tc>
      </w:tr>
      <w:tr w14:paraId="1E493AF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37B3FA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042"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17D0E8D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数据智能化分析</w:t>
            </w:r>
          </w:p>
        </w:tc>
        <w:tc>
          <w:tcPr>
            <w:tcW w:w="116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EBE121B">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主题看板综合管理</w:t>
            </w:r>
          </w:p>
        </w:tc>
        <w:tc>
          <w:tcPr>
            <w:tcW w:w="232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FEBBBC2">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公园入册数据对接、公园入册数据展示、星级评定数据对接、展示、附属设施数据对接、展示</w:t>
            </w:r>
          </w:p>
        </w:tc>
      </w:tr>
      <w:tr w14:paraId="40F05BB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4C989B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3127C1A">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094A08F">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主题看板日常运营</w:t>
            </w:r>
          </w:p>
        </w:tc>
        <w:tc>
          <w:tcPr>
            <w:tcW w:w="232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3A070A7">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日游客量数据对接、日游客量数据展示、实时游客量数据对接、实时游客量数据展示</w:t>
            </w:r>
          </w:p>
        </w:tc>
      </w:tr>
      <w:tr w14:paraId="42A4F6B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13CB61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7D6DE82">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F6B67A9">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主题看板公园考核</w:t>
            </w:r>
          </w:p>
        </w:tc>
        <w:tc>
          <w:tcPr>
            <w:tcW w:w="232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2AA5586">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直属公园养护监理模块对接、展示、公园三级巡查数据对接、展示、公园考核管理模块数据对接、展示</w:t>
            </w:r>
          </w:p>
        </w:tc>
      </w:tr>
      <w:tr w14:paraId="73EB681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4BA7D7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2DBBF6A">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C8FF317">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主题看板应急管理</w:t>
            </w:r>
          </w:p>
        </w:tc>
        <w:tc>
          <w:tcPr>
            <w:tcW w:w="232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5EB6C61">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各区各公园应急管理模块数据对接各区各公园应急管理模块数据下钻分析展示</w:t>
            </w:r>
          </w:p>
        </w:tc>
      </w:tr>
      <w:tr w14:paraId="69D1025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25CAA9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8AB80BE">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73BEF05">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多模态数据集成</w:t>
            </w:r>
          </w:p>
        </w:tc>
        <w:tc>
          <w:tcPr>
            <w:tcW w:w="232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32FB5CD">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多源数据接收模块、数据格式转换与标准化</w:t>
            </w:r>
          </w:p>
        </w:tc>
      </w:tr>
      <w:tr w14:paraId="5DBA89B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52"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404892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19F243D">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14E4C9F">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多模态数据检测</w:t>
            </w:r>
          </w:p>
        </w:tc>
        <w:tc>
          <w:tcPr>
            <w:tcW w:w="232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CFD9B37">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综合运用图像分类、目标检测、OCR识别、人脸识别等算法技术，进行算法场景训练。例如园区垃圾堆放、消防设施完好性、宣传标识牌准确性、宣传标识牌完好性、人流密度监测、异常行为检测、厕所环境卫生情况等等。</w:t>
            </w:r>
          </w:p>
        </w:tc>
      </w:tr>
      <w:tr w14:paraId="77C47F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587464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02DC37A">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88A8150">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数据结果生成</w:t>
            </w:r>
          </w:p>
        </w:tc>
        <w:tc>
          <w:tcPr>
            <w:tcW w:w="232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50AF84C">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结构化结果输出、报告生成、人工校准、接口对接与数据推送</w:t>
            </w:r>
          </w:p>
        </w:tc>
      </w:tr>
      <w:tr w14:paraId="6FC7A2B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94613E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1042"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BD0C3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运营管理大数据分析</w:t>
            </w:r>
          </w:p>
        </w:tc>
        <w:tc>
          <w:tcPr>
            <w:tcW w:w="116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78D967C">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公园游客画像标签建模</w:t>
            </w:r>
          </w:p>
        </w:tc>
        <w:tc>
          <w:tcPr>
            <w:tcW w:w="232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783CD26">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运营商信令基础数据对接、预处理、游客人口学、日均客流、峰值客流、游园时长标签建模</w:t>
            </w:r>
          </w:p>
        </w:tc>
      </w:tr>
      <w:tr w14:paraId="330BCA7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6629AC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727D1C">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1496733">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公园游客画像一张图查询</w:t>
            </w:r>
          </w:p>
        </w:tc>
        <w:tc>
          <w:tcPr>
            <w:tcW w:w="232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D9C771A">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画像标签图层筛选、公园游客画像分级分色展示、公园游客画像二级详情页</w:t>
            </w:r>
          </w:p>
        </w:tc>
      </w:tr>
      <w:tr w14:paraId="56B5CB8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33772C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FD2D5E">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A2AF02C">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公园游客诉求标签建模</w:t>
            </w:r>
          </w:p>
        </w:tc>
        <w:tc>
          <w:tcPr>
            <w:tcW w:w="232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1CA0AC8">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游客诉求基础数据对接、预处理、投诉类、满意度类标签建模</w:t>
            </w:r>
          </w:p>
        </w:tc>
      </w:tr>
      <w:tr w14:paraId="5AF8345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E9FB33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CD865D">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E72687E">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公园游客诉求一张图查询</w:t>
            </w:r>
          </w:p>
        </w:tc>
        <w:tc>
          <w:tcPr>
            <w:tcW w:w="232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7F1A960">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诉求标签图层筛选、公园游客诉求分级分色展示、公园游客诉求二级详情页</w:t>
            </w:r>
          </w:p>
        </w:tc>
      </w:tr>
      <w:tr w14:paraId="294E74F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CC747A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568FB9">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9840E89">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周边业态画像标签建模</w:t>
            </w:r>
          </w:p>
        </w:tc>
        <w:tc>
          <w:tcPr>
            <w:tcW w:w="232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47C9478">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POI基础数据对接、预处理、周边各类业态标签建模</w:t>
            </w:r>
          </w:p>
        </w:tc>
      </w:tr>
      <w:tr w14:paraId="1878202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7D7E33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3450DE">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1A525D9">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周边业态画像一张图查询</w:t>
            </w:r>
          </w:p>
        </w:tc>
        <w:tc>
          <w:tcPr>
            <w:tcW w:w="232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BB69147">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周边业态标签图层筛选、周边业态分级分色展示、周边业态二级详情页</w:t>
            </w:r>
          </w:p>
        </w:tc>
      </w:tr>
      <w:tr w14:paraId="3891BDB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B159BF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49F16E">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1E08644">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运营策略知识库</w:t>
            </w:r>
          </w:p>
        </w:tc>
        <w:tc>
          <w:tcPr>
            <w:tcW w:w="232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215A2AB">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一园一档、游客画像策略库、游客诉求、周边业态策略库</w:t>
            </w:r>
          </w:p>
        </w:tc>
      </w:tr>
      <w:tr w14:paraId="023434D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9E1933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273066">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356CDA5">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运营策略提示</w:t>
            </w:r>
          </w:p>
        </w:tc>
        <w:tc>
          <w:tcPr>
            <w:tcW w:w="232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0FE9AAB">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策略量化计算、承载量调整策略、公园布局策略、季节性管理策略</w:t>
            </w:r>
          </w:p>
        </w:tc>
      </w:tr>
      <w:tr w14:paraId="52061D7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5833C4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82E094">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22BB615">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运营策略一张图查询</w:t>
            </w:r>
          </w:p>
        </w:tc>
        <w:tc>
          <w:tcPr>
            <w:tcW w:w="232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05F6105">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运营策略二级详情页，点击某公园电子围栏后，展示该公园运营策略的二级详情页面</w:t>
            </w:r>
          </w:p>
        </w:tc>
      </w:tr>
      <w:tr w14:paraId="6FFC28E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1A9DA0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w:t>
            </w:r>
          </w:p>
        </w:tc>
        <w:tc>
          <w:tcPr>
            <w:tcW w:w="1042"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20DEC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场景智慧巡检</w:t>
            </w: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347109">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巡查巡检场景管理</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5B830F">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设置园容卫生保洁、游客行为识别、游商摊贩、设备部件等不同巡查场景支持，并支持自定义调整检查内容</w:t>
            </w:r>
          </w:p>
        </w:tc>
      </w:tr>
      <w:tr w14:paraId="21AEB23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D48A49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6D9885">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0C447A">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任务自动分配</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58D8FA">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结合不同场景的检查规范要求，进行任务分配，可定时、定点、定人自动分配，同时可限制不同任务的上报时间</w:t>
            </w:r>
          </w:p>
        </w:tc>
      </w:tr>
      <w:tr w14:paraId="0044FD7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52"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FD926A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DB59D9">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421CEF">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场景化任务上报</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B0736F">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支持巡检人员根据分配的场景任务与公园动线，便捷记录和上报问题，包括园容卫生、游客不文明行为、游商占道等不同场景。上报渠道端口包括移动端和管理后台，用户可以实时提交事件描述、位置信息及相关图片</w:t>
            </w:r>
          </w:p>
        </w:tc>
      </w:tr>
      <w:tr w14:paraId="7E2A955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DB4248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D2A64A">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92E5CB">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工单流转接口</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C77DED">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将上报任务接口开放给相关系统，包括问题具体表现，问题类型等相关字段，以便相关系统调用后处置</w:t>
            </w:r>
          </w:p>
        </w:tc>
      </w:tr>
      <w:tr w14:paraId="60A8097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4"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80AD1E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5CA3D5">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FA66E5">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短板跟踪</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401955">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对上报任务中发现的各类问题场景进行跟踪，为巡检人员或相关责任部门提供问题整改渠道，并上传相关整改证据，结合整改情况进行问题整改审核</w:t>
            </w:r>
          </w:p>
        </w:tc>
      </w:tr>
      <w:tr w14:paraId="351AC6D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4"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87DCBE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002617">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387BCB">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问题申诉</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42589B">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为巡检人员或相关责任部门提供问题申诉渠道。当对事件处理结果有异议时，用户可通过该功能提交申诉信息，并附上相关证据进行申诉流程</w:t>
            </w:r>
          </w:p>
        </w:tc>
      </w:tr>
      <w:tr w14:paraId="0DBACCB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4F787B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104110">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53B12A">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限时催办</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03BE53">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可由管理人员手动设置，对超期未处理的工单进行提醒和催办，系统自动向工单负责人发送催办通知</w:t>
            </w:r>
          </w:p>
        </w:tc>
      </w:tr>
      <w:tr w14:paraId="70E4C3D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346492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E338C8">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D2DB21">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处置反馈接口</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89479E">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将工单责任部门处置反馈后的结果进行接口调取，包括处置结果、相关资料等内容</w:t>
            </w:r>
          </w:p>
        </w:tc>
      </w:tr>
      <w:tr w14:paraId="3BBB003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52"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C85749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25</w:t>
            </w:r>
          </w:p>
        </w:tc>
        <w:tc>
          <w:tcPr>
            <w:tcW w:w="1042"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78AE6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游客量大数据监测</w:t>
            </w: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859AD8">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游客量数据库预处理</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495B62">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划分上海主要公园的电子围栏边界，以此支持在电子围栏中查询手机信令数据。对获取的原始手机信令记录进行数据预处理，包括缺失值处理、异常值检测与处理、数据标准化等步骤，确保数据的准确性和一致性等</w:t>
            </w:r>
          </w:p>
        </w:tc>
      </w:tr>
      <w:tr w14:paraId="4D5E33E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52"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008494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26</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B6A17B">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2AC0CF">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游客量建模测算</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7BCE67">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将预处理后的游客量数据，根据特定算法进行建模，利用历史游客量数据，使用时序预测算法，调整模型参数，使模型能够准确地学习到数据中的规律和趋势，通过对历史数据的拟合，预测未来短期内的游客量</w:t>
            </w:r>
          </w:p>
        </w:tc>
      </w:tr>
      <w:tr w14:paraId="0BD97F4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9C6C38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27</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FA999A">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0E6CFA">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帐篷区客流监测</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3F81C7">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基于手机信令数据，对6个直属公园的帐篷区进行实时客流监测，超过单位面积人数上限时开展预警</w:t>
            </w:r>
          </w:p>
        </w:tc>
      </w:tr>
      <w:tr w14:paraId="7C5EC14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8D2891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28</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3A38FA">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DEB928">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游客量建模分析和特征提取</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6CE154">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将预处理后的游客量数据进行特征工程，对影响游客量的因素特征进行提取和选择，建立各种复合式标签</w:t>
            </w:r>
          </w:p>
        </w:tc>
      </w:tr>
      <w:tr w14:paraId="549398A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F95B67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29</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B29F8C">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8F6000">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客流量信息查询与监测</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D984E8">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对各类公园中的游客数量、游客画像形成统计报表，并支持报表的查询筛选和下载</w:t>
            </w:r>
          </w:p>
        </w:tc>
      </w:tr>
      <w:tr w14:paraId="3A66310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E06A1A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1042"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E080C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市民夜校</w:t>
            </w: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8B04EC">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市民端-登录认证</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46C4D4">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登录入口、微信登录认证</w:t>
            </w:r>
          </w:p>
        </w:tc>
      </w:tr>
      <w:tr w14:paraId="6C34201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1455A2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31</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B4CB77">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FF348A">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市民端-课程报名</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089210">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课程一览、筛选、课程详情二级页面、报名资料填写</w:t>
            </w:r>
          </w:p>
        </w:tc>
      </w:tr>
      <w:tr w14:paraId="611A542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0D07A8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F5CCC5">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B79406">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市民端-支持工具</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E415AF">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订单情况、在线签到、在线签到、我的课程、课程后评价</w:t>
            </w:r>
          </w:p>
        </w:tc>
      </w:tr>
      <w:tr w14:paraId="3DE0CD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6A75F7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33</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B71012">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953058">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管理端-课程全生命周期管理</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4AD3F5">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课程一览、资料上传、课程发布审核、发布、课程二维码生成、下架</w:t>
            </w:r>
          </w:p>
        </w:tc>
      </w:tr>
      <w:tr w14:paraId="43AD9EB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387FDF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34</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961091">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EBFBEC">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管理端-订单全生命周期管理</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D66222">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订单一览、审核、黑名单管理</w:t>
            </w:r>
          </w:p>
        </w:tc>
      </w:tr>
      <w:tr w14:paraId="5B7B2B7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743E95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35</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AC5422">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735C20">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管理端-数据分析</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913CD9">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课程报名、实际签到情况数据分析、课后评价、学员画像情况数据分析</w:t>
            </w:r>
          </w:p>
        </w:tc>
      </w:tr>
      <w:tr w14:paraId="23E1855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52"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E1508D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36</w:t>
            </w:r>
          </w:p>
        </w:tc>
        <w:tc>
          <w:tcPr>
            <w:tcW w:w="1042"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C472C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数据预处理</w:t>
            </w: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EDA074">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数据采集-结构化数据采集</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ABD8A0">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支撑公园行业AI助手、智能问数、生成式报告三套AI智能体。通过数据导入、API接口等方式采集库表类结构化数据，主要采集上海市智慧公园综合管理信息平台与示范公园信息平台已建成系统数据</w:t>
            </w:r>
          </w:p>
        </w:tc>
      </w:tr>
      <w:tr w14:paraId="355B4B6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F8D80E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37</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5C4936">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7D45F7">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数据采集-非结构化数据采集</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753C0A">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支撑公园行业AI助手、生成式报告。通过文件导入、文件批量导入的方式采集知识RAG数据</w:t>
            </w:r>
          </w:p>
        </w:tc>
      </w:tr>
      <w:tr w14:paraId="134D11C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4"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3E7989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38</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C6EA75">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6A24ED">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数据处理-格式规范化</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67214E">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支撑公园行业AI助手、智能问数、生成式报告。对上海市智慧公园综合管理信息平台与示范公园信息平台中所记录数据的时间格式、文本编码、数值格式进行统一</w:t>
            </w:r>
          </w:p>
        </w:tc>
      </w:tr>
      <w:tr w14:paraId="49F5945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52"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3AB999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39</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745043">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4F1EA8">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数据处理-异常值检测与处理</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E0D685">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支撑智能问数、生成式报告。基于统计算法，识别上海市智慧公园综合管理信息平台与示范公园信息平台中的异常数据明细，对明显异常数据进行剔除与修正，避免影响问数与报告中的统计</w:t>
            </w:r>
          </w:p>
        </w:tc>
      </w:tr>
      <w:tr w14:paraId="06C99B1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4"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86C430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747D8A">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76BFF5">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数据处理-重复数据去重</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44E40F">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支撑智能问数、生成式报告。对上海市智慧公园综合管理信息平台与示范公园信息平台中的数据明细，基于主键或特征字段自动检测重复，避免重复统计</w:t>
            </w:r>
          </w:p>
        </w:tc>
      </w:tr>
      <w:tr w14:paraId="4206AD1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67EA88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41</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BBB9F1">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128B3C">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数据处理-噪声数据剔除</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DC0661">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支撑公园行业AI助手、生成式报告。对知识RAG数据中的无效数据、乱码、无意义文本进行剔除</w:t>
            </w:r>
          </w:p>
        </w:tc>
      </w:tr>
      <w:tr w14:paraId="352E37A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0381A0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42</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62ED2F">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A3B360">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数据处理-数据脱敏与隐私保护</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399D80">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支撑公园行业AI助手、生成式报告。对知识RAG数据中的敏感字段采取脱敏处理</w:t>
            </w:r>
          </w:p>
        </w:tc>
      </w:tr>
      <w:tr w14:paraId="3A7456B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52"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7592D6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43</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6F8CC9">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2D9059">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数据处理-编码标准化</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C579C6">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支撑公园行业AI助手、智能问数、生成式报告。对上海市智慧公园综合管理信息平台与示范公园信息平台中的事件分类编码、植物分类编码、动物分类编码、时间编码、地理编码等进行统一</w:t>
            </w:r>
          </w:p>
        </w:tc>
      </w:tr>
      <w:tr w14:paraId="0166E27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4"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FFE86D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44</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B92853">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C75502">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接口服务-元数据接口</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219F11">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支撑公园行业AI助手、智能问数、生成式报告。从上海市智慧公园综合管理信息平台与示范公园信息平台中抽取元数据用于语料治理</w:t>
            </w:r>
          </w:p>
        </w:tc>
      </w:tr>
      <w:tr w14:paraId="245F55B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5A78B5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45</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58CF70">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1B95DA">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接口服务-知识库接口</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706DE5">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支撑公园行业AI助手、生成式报告。将预处理后数据同步推送给知识库系统</w:t>
            </w:r>
          </w:p>
        </w:tc>
      </w:tr>
      <w:tr w14:paraId="3A645E9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4"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E7DE32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46</w:t>
            </w:r>
          </w:p>
        </w:tc>
        <w:tc>
          <w:tcPr>
            <w:tcW w:w="1042"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72D15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知识库建设</w:t>
            </w: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F51FD6">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知识建模与组织-知识切片</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7FD4D4">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支撑公园行业AI助手、生成式报告。将知识RAG数据中的公园信息、文本记录、公园行业法律法规、历史报告范文等语料，通过规则切片和语义切片的方式进行知识切片</w:t>
            </w:r>
          </w:p>
        </w:tc>
      </w:tr>
      <w:tr w14:paraId="21A5ED6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4"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5FD532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47</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0D8683">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60B393">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知识建模与组织-元信息标注</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EEEF85">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支撑公园行业AI助手、生成式报告。将知识RAG数据中的公园信息、文本记录、公园行业法律法规、历史报告范文等语料数据进行元数据标注</w:t>
            </w:r>
          </w:p>
        </w:tc>
      </w:tr>
      <w:tr w14:paraId="142D0B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52"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DA6CD7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48</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9E3517">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D332BD">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知识建模与组织-知识抽取</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A6CDCE">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支撑公园行业AI助手、生成式报告。对知识RAG数据中的公园信息、文本记录、公园行业法律法规、历史报告范文等语料，进行规则驱动知识抽取与模型驱动知识抽取，并开展实体消歧和指代消解工作</w:t>
            </w:r>
          </w:p>
        </w:tc>
      </w:tr>
      <w:tr w14:paraId="2CAB819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52"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2D7D5F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49</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417BE3">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4A1234">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知识建模与组织-知识增强</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89CF64">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支撑公园行业AI助手、生成式报告。对知识RAG数据中的公园信息、文本记录、公园行业法律法规、历史报告范文等语料进行知识增强。对embedding模型进行调优训练，对向量化的数据构建索引以支持高效检索</w:t>
            </w:r>
          </w:p>
        </w:tc>
      </w:tr>
      <w:tr w14:paraId="6C6581A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52"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79B8DB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6D89CC">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D66EBD">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知识更新与进化-变更检测与版本管理</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DD225E">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支撑公园行业AI助手、生成式报告。公园信息知识库更新权限开放给各公园，针对知识图谱的动态更新，每日同步最新数据，识别内容变化，保留多版本快照并支持对比与恢复。对知识库定期巡检与更新</w:t>
            </w:r>
          </w:p>
        </w:tc>
      </w:tr>
      <w:tr w14:paraId="55ABA24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4"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1A9299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51</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163589">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605C97">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知识更新与进化-用户行为驱动进化</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8D2B85">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支撑公园行业AI助手、智能问数、生成式报告。记录用户对问答、问数、报告结果的好差评，定期开展数据分析并对差评答案进行知识库调整</w:t>
            </w:r>
          </w:p>
        </w:tc>
      </w:tr>
      <w:tr w14:paraId="2D08879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4"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BC9A3A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52</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552BCE">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C84F8E">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知识质量与安全-多语言对齐检查</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565569">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支撑公园行业AI助手、生成式报告。针对知识RAG数据中的多语言场景，如动植物中英文介绍、公园中英文介绍等，开展多语言内容的对齐检查</w:t>
            </w:r>
          </w:p>
        </w:tc>
      </w:tr>
      <w:tr w14:paraId="22B3183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4"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40D41D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53</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7A4BC4">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F22BAF">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知识质量与安全-安全检查</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D48C51">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支撑公园行业AI助手、生成式报告。对知识RAG数据中的敏感词进行检测，对法规条款进行验证，确保知识库内容符合公序良俗</w:t>
            </w:r>
          </w:p>
        </w:tc>
      </w:tr>
      <w:tr w14:paraId="73F003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40"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E50D52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54</w:t>
            </w:r>
          </w:p>
        </w:tc>
        <w:tc>
          <w:tcPr>
            <w:tcW w:w="1042"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F0EB6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智能体建设</w:t>
            </w: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2A802D">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角色与对话框架设计-智能体人格设定</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914283">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将公园行业AI助手的智能体人格设定为“上海公园行业业务专家”，以严谨且专业口吻回答上海各公园情况、公园行业知识、公园行业法律法规。智能问数人格设定为“公园数据统计专家”。生成式报告人格设定为“公园管理公文写作秘书”</w:t>
            </w:r>
          </w:p>
        </w:tc>
      </w:tr>
      <w:tr w14:paraId="1802A53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28"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C6EF10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55</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B48A94">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82DFBE">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角色与对话框架设计-对话流程设计与结构化脚本</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B6D633">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支撑三个智能体应用。涵盖用户指令输入、意图识别、知识库检索、答案生成。意图识别基于初步设计的业务问答对，由大模型自动生成大批训练集，对通用意图识别模型进行微调。将向量化的数据构建索引并存入向量数据库，并对训练数据进行分块和索引优化，支持高效检索。设计对话超时与对话异常时的处理方法。</w:t>
            </w:r>
          </w:p>
        </w:tc>
      </w:tr>
      <w:tr w14:paraId="702DBC5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4"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85CA95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56</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D9D00A">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C07E89">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能力构建与流程编排-简单提示词工程</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8C108F">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支撑三个智能体应用。负责提示词模版库管理，贴合业务，预先编写一系列高质量结构化的基础提示模版，引导用户熟悉使用</w:t>
            </w:r>
          </w:p>
        </w:tc>
      </w:tr>
      <w:tr w14:paraId="143116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6"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570979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57</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D5A5A8">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FF47A9">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能力构建与流程编排-简单知识工程</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7E5D9E">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构建多源知识库，分为基础层、业务层和决策层，并结合RAG技术来强化知识库的检索查询能力</w:t>
            </w:r>
          </w:p>
        </w:tc>
      </w:tr>
      <w:tr w14:paraId="2169DEB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52"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74CFD4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58</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899477">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D1D916">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能力构建与流程编排-数据安全与权限控制</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12025D">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通过数据库搭建连接、人员管理、系统管理、菜单管理等功能，实现该模块对数据库内容进行问询、人员权限管理。公园行业AI助手知识库向各公园管理人员开放维护权限，由管理员账号进行审核</w:t>
            </w:r>
          </w:p>
        </w:tc>
      </w:tr>
      <w:tr w14:paraId="092DD50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16"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A4E315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59</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4A3F3E">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7A88A0">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能力构建与流程编排-歧义处理</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83D151">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设计内置多轮澄清问询机制，当识别到用户指令存在多种可能解释时，自动触发追问流程，引导用户明确具体意图。同时，结合上下文语境和用户历史偏好，对歧义语句进行智能消歧，优先选择概率最高的选项执行，保障对话流畅性。建立动态语义纠错模型，对输入内容进行实时校验和补全。当用户表述模糊时，能主动提供相关选项供用户确认，化被动为主动，有效提升首次处理成功率</w:t>
            </w:r>
          </w:p>
        </w:tc>
      </w:tr>
      <w:tr w14:paraId="1852E8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40"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82ABBB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C2919E">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D0FB36">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能力构建与流程编排-步骤控制与异常恢复</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C7E189">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设置全局超时监控和断点续话机制，当会话意外中断或长时间无响应时，系统能自动保存进度并在用户返回时提示恢复，确保任务连续性。为关键操作步骤设计回滚和异常处理预案。一旦执行失败或收到否定反馈，系统可自动触发补偿操作或回退至上一稳定状态</w:t>
            </w:r>
          </w:p>
        </w:tc>
      </w:tr>
      <w:tr w14:paraId="66C4482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52"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4D7453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61</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C92DEF">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0E5593">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上下文与多轮对话管理-多轮状态追踪</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BEE8B5">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构建一个动态的状态管理器，其核心是维护一个实时更新的会话状态记录。该状态管理器追踪对话目标、已完成对话、待决问题。所有状态变更都有日志记录，便于调试和审计，确保多轮对话的连贯性和一致性</w:t>
            </w:r>
          </w:p>
        </w:tc>
      </w:tr>
      <w:tr w14:paraId="3565BAB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16"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B9465D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62</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A58B47">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3C9F8B">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上下文与多轮对话管理-会话历史归档</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AE8924">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构建结构化会话存储体系，按会话ID、时间戳、用户标识等维度归档完整对话记录，包括用户输入、系统响应、意图及实体信息。归档数据不仅用于审计追踪，更为模型优化和用户体验分析提供数据支撑。设计冷热数据分层存储策略。近期高频访问的会话数据存入高速缓存以供实时上下文调用，历史数据则转存至成本更低的大数据平台，用于长期趋势分析平衡性能与成本</w:t>
            </w:r>
          </w:p>
        </w:tc>
      </w:tr>
      <w:tr w14:paraId="62DD6F3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40"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027BA5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63</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9800EF">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E2ACBC">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上下文与多轮对话管理-会话中断与恢复</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215EC9">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在每轮对话后持久化关键上下文。当用户再次发起会话时，系统通过身份标识自动检索未完成流程，实现无缝衔接。支持用户主动中断和强制超时中断两种场景。提供清晰的进度提示和中断指令，允许用户随时暂停或取消任务。恢复时既可延续历史，赋予用户充分控制权</w:t>
            </w:r>
          </w:p>
        </w:tc>
      </w:tr>
      <w:tr w14:paraId="337EC4C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16"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689C71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64</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ACD335">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2C81B3">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上下文与多轮对话管理-个性化偏好记录</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75FC2C">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在用户授权基础上，建立动态用户画像模块，隐式记录用户的历史选择、常用功能及显式设置的偏好（如语言风格、推荐偏好）。通过持续学习用户行为，形成个性化知识库，为精准服务提供依据。设计隐私友好的偏好管理机制。用户可随时查看和修改被记录的偏好信息，甚至一键清除。系统严格遵循数据最小化原则，确保个性化体验与隐私保护之间的平衡</w:t>
            </w:r>
          </w:p>
        </w:tc>
      </w:tr>
      <w:tr w14:paraId="40D809E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16"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CC540F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65</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DF1804">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CF3A1E">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上下文与多轮对话管理-多线程会话调度</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6A98DB">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采用异步非阻塞架构和连接池技术，为每个并发会话请求分配独立的上下文实例和计算资源。通过高效的线程调度算法和负载均衡，确保高并发场景下仍能保持稳定的低延迟响应。实现基于权重的资源分配策略。可根据会话类型或用户级别分配不同的计算优先级，保障关键任务的服务质量。同时设置并发数阈值和排队机制，防止系统过载，维持整体稳定性</w:t>
            </w:r>
          </w:p>
        </w:tc>
      </w:tr>
      <w:tr w14:paraId="1291B73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4"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E22F9F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66</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B2A081">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DE6E14">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上下文与多轮对话管理-用户身份切换与上下文隔离</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F0D8B2">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严格执行基于用户唯一标识的上下文隔离策略，确保不同用户间的数据绝对隔离，防止信息泄露。同一用户在不同设备登录时，可根据安全策略决定是否同步会话状态</w:t>
            </w:r>
          </w:p>
        </w:tc>
      </w:tr>
      <w:tr w14:paraId="1F7F5AF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4"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6B45C2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67</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DC2C4F">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293D06">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智能体评估与部署-准确性评测</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8EEA42">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构建覆盖主流场景和极端案例的测试用例库，自动化执行回归测试。重点评估意图识别准确率、RAG检索召回率、任务生成准确率等核心指标</w:t>
            </w:r>
          </w:p>
        </w:tc>
      </w:tr>
      <w:tr w14:paraId="515FB4D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4"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A782FF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68</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7B1EA3">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FB9867">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智能体评估与部署-性能/并发评测</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B8CDA6">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使用压力测试工具模拟从低到高的并发请求，测试系统的响应时间、并发量及资源利用率（CPU、内存）。通过逐步加压，测试并发上限量</w:t>
            </w:r>
          </w:p>
        </w:tc>
      </w:tr>
      <w:tr w14:paraId="0277F66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52"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DA51CC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69</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07E6F7">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0345F4">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智能体评估与部署-安全评估</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73132E">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开展专项安全扫描和渗透测试，重点检查输入验证（防SQL注入、XSS攻击）、身份认证与授权机制、敏感数据加密传输与存储等环节。定期进行安全审计和漏洞复盘，持续加固系统安全防线</w:t>
            </w:r>
          </w:p>
        </w:tc>
      </w:tr>
      <w:tr w14:paraId="4B8B3F4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4" w:hRule="atLeast"/>
        </w:trPr>
        <w:tc>
          <w:tcPr>
            <w:tcW w:w="46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9EE0ED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70</w:t>
            </w:r>
          </w:p>
        </w:tc>
        <w:tc>
          <w:tcPr>
            <w:tcW w:w="104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9F5D39">
            <w:pPr>
              <w:ind w:left="0" w:leftChars="0" w:firstLine="0" w:firstLineChars="0"/>
              <w:jc w:val="center"/>
              <w:rPr>
                <w:rFonts w:hint="eastAsia" w:ascii="宋体" w:hAnsi="宋体" w:eastAsia="宋体" w:cs="宋体"/>
                <w:i w:val="0"/>
                <w:iCs w:val="0"/>
                <w:color w:val="000000"/>
                <w:sz w:val="22"/>
                <w:szCs w:val="22"/>
                <w:u w:val="none"/>
              </w:rPr>
            </w:pPr>
          </w:p>
        </w:tc>
        <w:tc>
          <w:tcPr>
            <w:tcW w:w="11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0D0746">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智能体评估与部署-智能体部署</w:t>
            </w:r>
          </w:p>
        </w:tc>
        <w:tc>
          <w:tcPr>
            <w:tcW w:w="2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0B0555">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采用Kubernetes等容器编排工具实现智能体的自动化部署。通过定义资源请求和限制，合理分配计算资源，保障多实例负载均衡和高可用性</w:t>
            </w:r>
          </w:p>
        </w:tc>
      </w:tr>
    </w:tbl>
    <w:p w14:paraId="0E4F6086">
      <w:pPr>
        <w:numPr>
          <w:ilvl w:val="0"/>
          <w:numId w:val="0"/>
        </w:numPr>
        <w:rPr>
          <w:rFonts w:hint="eastAsia"/>
          <w:b/>
        </w:rPr>
      </w:pPr>
    </w:p>
    <w:p w14:paraId="2480200A">
      <w:pPr>
        <w:pStyle w:val="2"/>
        <w:ind w:left="0" w:leftChars="0" w:firstLine="0" w:firstLineChars="0"/>
      </w:pPr>
      <w:bookmarkStart w:id="17" w:name="_Toc63785502"/>
      <w:r>
        <w:rPr>
          <w:rFonts w:hint="eastAsia"/>
        </w:rPr>
        <w:t>电子政务云资源需求</w:t>
      </w:r>
      <w:bookmarkEnd w:id="17"/>
    </w:p>
    <w:p w14:paraId="6F5E6784">
      <w:pPr>
        <w:rPr>
          <w:rFonts w:hint="eastAsia"/>
        </w:rPr>
      </w:pPr>
      <w:r>
        <w:rPr>
          <w:rFonts w:hint="eastAsia"/>
        </w:rPr>
        <w:t>根据项目前期资源现状，本次建设根据估算拟向电子政务云申请</w:t>
      </w:r>
      <w:r>
        <w:rPr>
          <w:rFonts w:hint="eastAsia"/>
          <w:lang w:val="en-US" w:eastAsia="zh-CN"/>
        </w:rPr>
        <w:t>9</w:t>
      </w:r>
      <w:r>
        <w:rPr>
          <w:rFonts w:hint="eastAsia"/>
        </w:rPr>
        <w:t>台服务器资源CPU</w:t>
      </w:r>
      <w:r>
        <w:rPr>
          <w:rFonts w:hint="eastAsia"/>
          <w:lang w:val="en-US" w:eastAsia="zh-CN"/>
        </w:rPr>
        <w:t>84</w:t>
      </w:r>
      <w:r>
        <w:rPr>
          <w:rFonts w:hint="eastAsia"/>
        </w:rPr>
        <w:t>核、内存24</w:t>
      </w:r>
      <w:r>
        <w:rPr>
          <w:rFonts w:hint="eastAsia"/>
          <w:lang w:val="en-US" w:eastAsia="zh-CN"/>
        </w:rPr>
        <w:t>0</w:t>
      </w:r>
      <w:r>
        <w:rPr>
          <w:rFonts w:hint="eastAsia"/>
        </w:rPr>
        <w:t>G、存储</w:t>
      </w:r>
      <w:r>
        <w:rPr>
          <w:rFonts w:hint="eastAsia"/>
          <w:lang w:val="en-US" w:eastAsia="zh-CN"/>
        </w:rPr>
        <w:t>3800G</w:t>
      </w:r>
      <w:r>
        <w:rPr>
          <w:rFonts w:hint="eastAsia"/>
        </w:rPr>
        <w:t>，其中虚拟机</w:t>
      </w:r>
      <w:r>
        <w:rPr>
          <w:rFonts w:hint="eastAsia"/>
          <w:lang w:val="en-US" w:eastAsia="zh-CN"/>
        </w:rPr>
        <w:t>9</w:t>
      </w:r>
      <w:r>
        <w:rPr>
          <w:rFonts w:hint="eastAsia"/>
        </w:rPr>
        <w:t>台。</w:t>
      </w:r>
    </w:p>
    <w:tbl>
      <w:tblPr>
        <w:tblStyle w:val="5"/>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59"/>
        <w:gridCol w:w="993"/>
        <w:gridCol w:w="969"/>
        <w:gridCol w:w="1093"/>
        <w:gridCol w:w="1156"/>
        <w:gridCol w:w="873"/>
        <w:gridCol w:w="764"/>
        <w:gridCol w:w="916"/>
        <w:gridCol w:w="1105"/>
      </w:tblGrid>
      <w:tr w14:paraId="20751E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6" w:hRule="atLeast"/>
        </w:trPr>
        <w:tc>
          <w:tcPr>
            <w:tcW w:w="5000" w:type="pct"/>
            <w:gridSpan w:val="9"/>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A58226">
            <w:pPr>
              <w:keepNext w:val="0"/>
              <w:keepLines w:val="0"/>
              <w:widowControl/>
              <w:suppressLineNumbers w:val="0"/>
              <w:ind w:left="0" w:leftChars="0" w:firstLine="0" w:firstLineChars="0"/>
              <w:jc w:val="left"/>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1、主机资源</w:t>
            </w:r>
          </w:p>
        </w:tc>
      </w:tr>
      <w:tr w14:paraId="15D4754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6" w:hRule="atLeast"/>
        </w:trPr>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CDBFC2">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序号</w:t>
            </w:r>
          </w:p>
        </w:tc>
        <w:tc>
          <w:tcPr>
            <w:tcW w:w="5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665AD2">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网络区域</w:t>
            </w:r>
          </w:p>
        </w:tc>
        <w:tc>
          <w:tcPr>
            <w:tcW w:w="5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3BB9EF">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资源类型</w:t>
            </w:r>
          </w:p>
        </w:tc>
        <w:tc>
          <w:tcPr>
            <w:tcW w:w="6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5B50D9">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资源名称</w:t>
            </w:r>
          </w:p>
        </w:tc>
        <w:tc>
          <w:tcPr>
            <w:tcW w:w="6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D886E6">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资源说明</w:t>
            </w:r>
          </w:p>
        </w:tc>
        <w:tc>
          <w:tcPr>
            <w:tcW w:w="5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0C204C">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CPU（核）</w:t>
            </w:r>
          </w:p>
        </w:tc>
        <w:tc>
          <w:tcPr>
            <w:tcW w:w="4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67EE4E">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内存(GB)</w:t>
            </w:r>
          </w:p>
        </w:tc>
        <w:tc>
          <w:tcPr>
            <w:tcW w:w="5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E67892">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存储(GB)</w:t>
            </w:r>
          </w:p>
        </w:tc>
        <w:tc>
          <w:tcPr>
            <w:tcW w:w="6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B81ACA">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资源数量(台)</w:t>
            </w:r>
          </w:p>
        </w:tc>
      </w:tr>
      <w:tr w14:paraId="3B22DEB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6D8D2E">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1</w:t>
            </w:r>
          </w:p>
        </w:tc>
        <w:tc>
          <w:tcPr>
            <w:tcW w:w="5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192BCE">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互联网</w:t>
            </w:r>
          </w:p>
        </w:tc>
        <w:tc>
          <w:tcPr>
            <w:tcW w:w="5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00A03D">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虚拟机</w:t>
            </w:r>
          </w:p>
        </w:tc>
        <w:tc>
          <w:tcPr>
            <w:tcW w:w="6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FC7A1B">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Web应用服务器</w:t>
            </w:r>
          </w:p>
        </w:tc>
        <w:tc>
          <w:tcPr>
            <w:tcW w:w="6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75CF15">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应用系统前置服务部署，多节点，面向市民端，500个左右的公园的游客访问数量。预计 800并发量。</w:t>
            </w:r>
          </w:p>
        </w:tc>
        <w:tc>
          <w:tcPr>
            <w:tcW w:w="5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90719E">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8</w:t>
            </w:r>
          </w:p>
        </w:tc>
        <w:tc>
          <w:tcPr>
            <w:tcW w:w="4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B732ED">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32</w:t>
            </w:r>
          </w:p>
        </w:tc>
        <w:tc>
          <w:tcPr>
            <w:tcW w:w="5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48F6D6">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200</w:t>
            </w:r>
          </w:p>
        </w:tc>
        <w:tc>
          <w:tcPr>
            <w:tcW w:w="6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B5A10A">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3</w:t>
            </w:r>
          </w:p>
        </w:tc>
      </w:tr>
      <w:tr w14:paraId="13035C8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28" w:hRule="atLeast"/>
        </w:trPr>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F85195">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2</w:t>
            </w:r>
          </w:p>
        </w:tc>
        <w:tc>
          <w:tcPr>
            <w:tcW w:w="5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03EE7F">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互联网</w:t>
            </w:r>
          </w:p>
        </w:tc>
        <w:tc>
          <w:tcPr>
            <w:tcW w:w="5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89282C">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虚拟机</w:t>
            </w:r>
          </w:p>
        </w:tc>
        <w:tc>
          <w:tcPr>
            <w:tcW w:w="6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47D9E9">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代理和负载均衡服务器</w:t>
            </w:r>
          </w:p>
        </w:tc>
        <w:tc>
          <w:tcPr>
            <w:tcW w:w="6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7EECDB">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市民端负载均衡用。</w:t>
            </w:r>
          </w:p>
        </w:tc>
        <w:tc>
          <w:tcPr>
            <w:tcW w:w="5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5F48A3">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4</w:t>
            </w:r>
          </w:p>
        </w:tc>
        <w:tc>
          <w:tcPr>
            <w:tcW w:w="4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D85261">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16</w:t>
            </w:r>
          </w:p>
        </w:tc>
        <w:tc>
          <w:tcPr>
            <w:tcW w:w="5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155C30">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200</w:t>
            </w:r>
          </w:p>
        </w:tc>
        <w:tc>
          <w:tcPr>
            <w:tcW w:w="6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70CB1D">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2</w:t>
            </w:r>
          </w:p>
        </w:tc>
      </w:tr>
      <w:tr w14:paraId="4621547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28" w:hRule="atLeast"/>
        </w:trPr>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C13C34">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3</w:t>
            </w:r>
          </w:p>
        </w:tc>
        <w:tc>
          <w:tcPr>
            <w:tcW w:w="5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261295">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政务外网</w:t>
            </w:r>
          </w:p>
        </w:tc>
        <w:tc>
          <w:tcPr>
            <w:tcW w:w="5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22759D">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虚拟机</w:t>
            </w:r>
          </w:p>
        </w:tc>
        <w:tc>
          <w:tcPr>
            <w:tcW w:w="6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B93C05">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Web应用服务器</w:t>
            </w:r>
          </w:p>
        </w:tc>
        <w:tc>
          <w:tcPr>
            <w:tcW w:w="6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C9EE0A">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数据分析应用服务部署</w:t>
            </w:r>
          </w:p>
        </w:tc>
        <w:tc>
          <w:tcPr>
            <w:tcW w:w="5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2FBF0A">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8</w:t>
            </w:r>
          </w:p>
        </w:tc>
        <w:tc>
          <w:tcPr>
            <w:tcW w:w="4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72092C">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32</w:t>
            </w:r>
          </w:p>
        </w:tc>
        <w:tc>
          <w:tcPr>
            <w:tcW w:w="5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41E11E">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200</w:t>
            </w:r>
          </w:p>
        </w:tc>
        <w:tc>
          <w:tcPr>
            <w:tcW w:w="6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E09EC9">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1</w:t>
            </w:r>
          </w:p>
        </w:tc>
      </w:tr>
      <w:tr w14:paraId="4C7E58F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6" w:hRule="atLeast"/>
        </w:trPr>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8C51DA">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4</w:t>
            </w:r>
          </w:p>
        </w:tc>
        <w:tc>
          <w:tcPr>
            <w:tcW w:w="5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D20D84">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政务外网</w:t>
            </w:r>
          </w:p>
        </w:tc>
        <w:tc>
          <w:tcPr>
            <w:tcW w:w="5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733132">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虚拟机</w:t>
            </w:r>
          </w:p>
        </w:tc>
        <w:tc>
          <w:tcPr>
            <w:tcW w:w="6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1DC47A">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关系型数据库服务器</w:t>
            </w:r>
          </w:p>
        </w:tc>
        <w:tc>
          <w:tcPr>
            <w:tcW w:w="6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11B15B">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业务主库</w:t>
            </w:r>
          </w:p>
        </w:tc>
        <w:tc>
          <w:tcPr>
            <w:tcW w:w="5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298873">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16</w:t>
            </w:r>
          </w:p>
        </w:tc>
        <w:tc>
          <w:tcPr>
            <w:tcW w:w="4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A47B96">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32</w:t>
            </w:r>
          </w:p>
        </w:tc>
        <w:tc>
          <w:tcPr>
            <w:tcW w:w="5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5215AC">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1000</w:t>
            </w:r>
          </w:p>
        </w:tc>
        <w:tc>
          <w:tcPr>
            <w:tcW w:w="6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9EAC87">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1</w:t>
            </w:r>
          </w:p>
        </w:tc>
      </w:tr>
      <w:tr w14:paraId="061452A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28" w:hRule="atLeast"/>
        </w:trPr>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6A2928">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5</w:t>
            </w:r>
          </w:p>
        </w:tc>
        <w:tc>
          <w:tcPr>
            <w:tcW w:w="5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85ACBF">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政务外网</w:t>
            </w:r>
          </w:p>
        </w:tc>
        <w:tc>
          <w:tcPr>
            <w:tcW w:w="5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5C827F">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虚拟机</w:t>
            </w:r>
          </w:p>
        </w:tc>
        <w:tc>
          <w:tcPr>
            <w:tcW w:w="6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1FDB17">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非关系型数据库服务器</w:t>
            </w:r>
          </w:p>
        </w:tc>
        <w:tc>
          <w:tcPr>
            <w:tcW w:w="6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BB01DF">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分析型数据库，业务分析用</w:t>
            </w:r>
          </w:p>
        </w:tc>
        <w:tc>
          <w:tcPr>
            <w:tcW w:w="5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4B49BF">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16</w:t>
            </w:r>
          </w:p>
        </w:tc>
        <w:tc>
          <w:tcPr>
            <w:tcW w:w="4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E05A87">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64</w:t>
            </w:r>
          </w:p>
        </w:tc>
        <w:tc>
          <w:tcPr>
            <w:tcW w:w="5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8DFB10">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2000</w:t>
            </w:r>
          </w:p>
        </w:tc>
        <w:tc>
          <w:tcPr>
            <w:tcW w:w="6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E3698E">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1</w:t>
            </w:r>
          </w:p>
        </w:tc>
      </w:tr>
      <w:tr w14:paraId="372EE27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2" w:hRule="atLeast"/>
        </w:trPr>
        <w:tc>
          <w:tcPr>
            <w:tcW w:w="3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BF3CD1">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6</w:t>
            </w:r>
          </w:p>
        </w:tc>
        <w:tc>
          <w:tcPr>
            <w:tcW w:w="5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19B4B2">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政务外网</w:t>
            </w:r>
          </w:p>
        </w:tc>
        <w:tc>
          <w:tcPr>
            <w:tcW w:w="5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258474">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虚拟机</w:t>
            </w:r>
          </w:p>
        </w:tc>
        <w:tc>
          <w:tcPr>
            <w:tcW w:w="6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49CBF7">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应用服务器</w:t>
            </w:r>
          </w:p>
        </w:tc>
        <w:tc>
          <w:tcPr>
            <w:tcW w:w="6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76B5A1">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算法应用部署</w:t>
            </w:r>
          </w:p>
        </w:tc>
        <w:tc>
          <w:tcPr>
            <w:tcW w:w="51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A5791E">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32</w:t>
            </w:r>
          </w:p>
        </w:tc>
        <w:tc>
          <w:tcPr>
            <w:tcW w:w="4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A52B0B">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64</w:t>
            </w:r>
          </w:p>
        </w:tc>
        <w:tc>
          <w:tcPr>
            <w:tcW w:w="5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0E4F74">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200</w:t>
            </w:r>
          </w:p>
        </w:tc>
        <w:tc>
          <w:tcPr>
            <w:tcW w:w="6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DBD291">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1</w:t>
            </w:r>
          </w:p>
        </w:tc>
      </w:tr>
    </w:tbl>
    <w:p w14:paraId="28539B79">
      <w:pPr>
        <w:ind w:left="0" w:leftChars="0" w:firstLine="0" w:firstLineChars="0"/>
        <w:rPr>
          <w:rFonts w:hint="eastAsia"/>
        </w:rPr>
      </w:pPr>
    </w:p>
    <w:tbl>
      <w:tblPr>
        <w:tblStyle w:val="5"/>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028"/>
        <w:gridCol w:w="4711"/>
        <w:gridCol w:w="1269"/>
        <w:gridCol w:w="1520"/>
      </w:tblGrid>
      <w:tr w14:paraId="10D5E9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6" w:hRule="atLeast"/>
        </w:trPr>
        <w:tc>
          <w:tcPr>
            <w:tcW w:w="5000" w:type="pct"/>
            <w:gridSpan w:val="4"/>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97C256">
            <w:pPr>
              <w:keepNext w:val="0"/>
              <w:keepLines w:val="0"/>
              <w:widowControl/>
              <w:suppressLineNumbers w:val="0"/>
              <w:ind w:left="0" w:leftChars="0" w:firstLine="0" w:firstLineChars="0"/>
              <w:jc w:val="left"/>
              <w:textAlignment w:val="center"/>
              <w:rPr>
                <w:rFonts w:hint="eastAsia" w:ascii="宋体" w:hAnsi="宋体" w:eastAsia="宋体" w:cs="宋体"/>
                <w:b w:val="0"/>
                <w:bCs w:val="0"/>
                <w:i w:val="0"/>
                <w:iCs w:val="0"/>
                <w:color w:val="000000"/>
                <w:sz w:val="18"/>
                <w:szCs w:val="18"/>
                <w:u w:val="none"/>
              </w:rPr>
            </w:pPr>
            <w:r>
              <w:rPr>
                <w:rFonts w:hint="eastAsia" w:ascii="宋体" w:hAnsi="宋体" w:eastAsia="宋体" w:cs="宋体"/>
                <w:b w:val="0"/>
                <w:bCs w:val="0"/>
                <w:i w:val="0"/>
                <w:iCs w:val="0"/>
                <w:color w:val="000000"/>
                <w:kern w:val="0"/>
                <w:sz w:val="18"/>
                <w:szCs w:val="18"/>
                <w:u w:val="none"/>
                <w:lang w:val="en-US" w:eastAsia="zh-CN" w:bidi="ar"/>
              </w:rPr>
              <w:t>2、PaaS服务资源</w:t>
            </w:r>
          </w:p>
        </w:tc>
      </w:tr>
      <w:tr w14:paraId="51BC95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6" w:hRule="atLeast"/>
        </w:trPr>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AFE328">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18"/>
                <w:szCs w:val="18"/>
                <w:u w:val="none"/>
              </w:rPr>
            </w:pPr>
            <w:r>
              <w:rPr>
                <w:rFonts w:hint="eastAsia" w:ascii="宋体" w:hAnsi="宋体" w:eastAsia="宋体" w:cs="宋体"/>
                <w:b w:val="0"/>
                <w:bCs w:val="0"/>
                <w:i w:val="0"/>
                <w:iCs w:val="0"/>
                <w:color w:val="000000"/>
                <w:kern w:val="0"/>
                <w:sz w:val="18"/>
                <w:szCs w:val="18"/>
                <w:u w:val="none"/>
                <w:lang w:val="en-US" w:eastAsia="zh-CN" w:bidi="ar"/>
              </w:rPr>
              <w:t>序号</w:t>
            </w:r>
          </w:p>
        </w:tc>
        <w:tc>
          <w:tcPr>
            <w:tcW w:w="276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2EF04C">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18"/>
                <w:szCs w:val="18"/>
                <w:u w:val="none"/>
              </w:rPr>
            </w:pPr>
            <w:r>
              <w:rPr>
                <w:rFonts w:hint="eastAsia" w:ascii="宋体" w:hAnsi="宋体" w:eastAsia="宋体" w:cs="宋体"/>
                <w:b w:val="0"/>
                <w:bCs w:val="0"/>
                <w:i w:val="0"/>
                <w:iCs w:val="0"/>
                <w:color w:val="000000"/>
                <w:kern w:val="0"/>
                <w:sz w:val="18"/>
                <w:szCs w:val="18"/>
                <w:u w:val="none"/>
                <w:lang w:val="en-US" w:eastAsia="zh-CN" w:bidi="ar"/>
              </w:rPr>
              <w:t>资源名称</w:t>
            </w:r>
          </w:p>
        </w:tc>
        <w:tc>
          <w:tcPr>
            <w:tcW w:w="7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3DCE3F">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18"/>
                <w:szCs w:val="18"/>
                <w:u w:val="none"/>
              </w:rPr>
            </w:pPr>
            <w:r>
              <w:rPr>
                <w:rFonts w:hint="eastAsia" w:ascii="宋体" w:hAnsi="宋体" w:eastAsia="宋体" w:cs="宋体"/>
                <w:b w:val="0"/>
                <w:bCs w:val="0"/>
                <w:i w:val="0"/>
                <w:iCs w:val="0"/>
                <w:color w:val="000000"/>
                <w:kern w:val="0"/>
                <w:sz w:val="18"/>
                <w:szCs w:val="18"/>
                <w:u w:val="none"/>
                <w:lang w:val="en-US" w:eastAsia="zh-CN" w:bidi="ar"/>
              </w:rPr>
              <w:t>申报数量</w:t>
            </w:r>
          </w:p>
        </w:tc>
        <w:tc>
          <w:tcPr>
            <w:tcW w:w="8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398FD6">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18"/>
                <w:szCs w:val="18"/>
                <w:u w:val="none"/>
              </w:rPr>
            </w:pPr>
            <w:r>
              <w:rPr>
                <w:rFonts w:hint="eastAsia" w:ascii="宋体" w:hAnsi="宋体" w:eastAsia="宋体" w:cs="宋体"/>
                <w:b w:val="0"/>
                <w:bCs w:val="0"/>
                <w:i w:val="0"/>
                <w:iCs w:val="0"/>
                <w:color w:val="000000"/>
                <w:kern w:val="0"/>
                <w:sz w:val="18"/>
                <w:szCs w:val="18"/>
                <w:u w:val="none"/>
                <w:lang w:val="en-US" w:eastAsia="zh-CN" w:bidi="ar"/>
              </w:rPr>
              <w:t>单位</w:t>
            </w:r>
          </w:p>
        </w:tc>
      </w:tr>
      <w:tr w14:paraId="305C177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2" w:hRule="atLeast"/>
        </w:trPr>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F8EA60">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1</w:t>
            </w:r>
          </w:p>
        </w:tc>
        <w:tc>
          <w:tcPr>
            <w:tcW w:w="27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12257E">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中间件-东方通、普元、金蝶</w:t>
            </w:r>
          </w:p>
        </w:tc>
        <w:tc>
          <w:tcPr>
            <w:tcW w:w="7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699B02">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4</w:t>
            </w:r>
          </w:p>
        </w:tc>
        <w:tc>
          <w:tcPr>
            <w:tcW w:w="8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B13203">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套*年</w:t>
            </w:r>
          </w:p>
        </w:tc>
      </w:tr>
      <w:tr w14:paraId="631272B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 w:hRule="atLeast"/>
        </w:trPr>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C6C5E5">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2</w:t>
            </w:r>
          </w:p>
        </w:tc>
        <w:tc>
          <w:tcPr>
            <w:tcW w:w="27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636C17">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操作系统服务-中标麒麟、统信、麒麟信安</w:t>
            </w:r>
          </w:p>
        </w:tc>
        <w:tc>
          <w:tcPr>
            <w:tcW w:w="7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30D345">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9</w:t>
            </w:r>
          </w:p>
        </w:tc>
        <w:tc>
          <w:tcPr>
            <w:tcW w:w="8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59B211">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套*年</w:t>
            </w:r>
          </w:p>
        </w:tc>
      </w:tr>
      <w:tr w14:paraId="76D1964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9" w:hRule="atLeast"/>
        </w:trPr>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436FCE">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3</w:t>
            </w:r>
          </w:p>
        </w:tc>
        <w:tc>
          <w:tcPr>
            <w:tcW w:w="27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E2F878">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数字证书服务 - SSL证书-单域名</w:t>
            </w:r>
          </w:p>
        </w:tc>
        <w:tc>
          <w:tcPr>
            <w:tcW w:w="7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454B5C">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4</w:t>
            </w:r>
          </w:p>
        </w:tc>
        <w:tc>
          <w:tcPr>
            <w:tcW w:w="8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F9915B">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张*年</w:t>
            </w:r>
          </w:p>
        </w:tc>
      </w:tr>
      <w:tr w14:paraId="53DFDEA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 w:hRule="atLeast"/>
        </w:trPr>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28E829">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4</w:t>
            </w:r>
          </w:p>
        </w:tc>
        <w:tc>
          <w:tcPr>
            <w:tcW w:w="27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B8C94C">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数字证书服务 - 证书介质（key）</w:t>
            </w:r>
          </w:p>
        </w:tc>
        <w:tc>
          <w:tcPr>
            <w:tcW w:w="7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6FDDF1">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4</w:t>
            </w:r>
          </w:p>
        </w:tc>
        <w:tc>
          <w:tcPr>
            <w:tcW w:w="8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42E5C5">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个</w:t>
            </w:r>
          </w:p>
        </w:tc>
      </w:tr>
      <w:tr w14:paraId="38C6C81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7" w:hRule="atLeast"/>
        </w:trPr>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5018E5">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5</w:t>
            </w:r>
          </w:p>
        </w:tc>
        <w:tc>
          <w:tcPr>
            <w:tcW w:w="27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990EFC">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安全认证网关服务</w:t>
            </w:r>
          </w:p>
        </w:tc>
        <w:tc>
          <w:tcPr>
            <w:tcW w:w="7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DE1171">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2</w:t>
            </w:r>
          </w:p>
        </w:tc>
        <w:tc>
          <w:tcPr>
            <w:tcW w:w="8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15F03D">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套*年</w:t>
            </w:r>
          </w:p>
        </w:tc>
      </w:tr>
      <w:tr w14:paraId="2FE76D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2" w:hRule="atLeast"/>
        </w:trPr>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DE5A47">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6</w:t>
            </w:r>
          </w:p>
        </w:tc>
        <w:tc>
          <w:tcPr>
            <w:tcW w:w="27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8A93EE">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签名验签服务</w:t>
            </w:r>
          </w:p>
        </w:tc>
        <w:tc>
          <w:tcPr>
            <w:tcW w:w="7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3581FB">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2</w:t>
            </w:r>
          </w:p>
        </w:tc>
        <w:tc>
          <w:tcPr>
            <w:tcW w:w="8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F59F86">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套*年</w:t>
            </w:r>
          </w:p>
        </w:tc>
      </w:tr>
      <w:tr w14:paraId="5B38DB7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6" w:hRule="atLeast"/>
        </w:trPr>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F250B5">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7</w:t>
            </w:r>
          </w:p>
        </w:tc>
        <w:tc>
          <w:tcPr>
            <w:tcW w:w="27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FF7C59">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可信密码服务</w:t>
            </w:r>
          </w:p>
        </w:tc>
        <w:tc>
          <w:tcPr>
            <w:tcW w:w="7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DEDC18">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1</w:t>
            </w:r>
          </w:p>
        </w:tc>
        <w:tc>
          <w:tcPr>
            <w:tcW w:w="8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BF62B8">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应用*年</w:t>
            </w:r>
          </w:p>
        </w:tc>
      </w:tr>
      <w:tr w14:paraId="3B404E3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6" w:hRule="atLeast"/>
        </w:trPr>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D97E71">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8</w:t>
            </w:r>
          </w:p>
        </w:tc>
        <w:tc>
          <w:tcPr>
            <w:tcW w:w="276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5CEAB0">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时间戳服务</w:t>
            </w:r>
          </w:p>
        </w:tc>
        <w:tc>
          <w:tcPr>
            <w:tcW w:w="74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2C3F47">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1</w:t>
            </w:r>
          </w:p>
        </w:tc>
        <w:tc>
          <w:tcPr>
            <w:tcW w:w="8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FAD422">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套*年</w:t>
            </w:r>
          </w:p>
        </w:tc>
      </w:tr>
    </w:tbl>
    <w:p w14:paraId="285F3BE9">
      <w:pPr>
        <w:ind w:left="0" w:leftChars="0" w:firstLine="0" w:firstLineChars="0"/>
        <w:rPr>
          <w:rFonts w:hint="eastAsia"/>
        </w:rPr>
      </w:pPr>
    </w:p>
    <w:tbl>
      <w:tblPr>
        <w:tblStyle w:val="5"/>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973"/>
        <w:gridCol w:w="1320"/>
        <w:gridCol w:w="3659"/>
        <w:gridCol w:w="1595"/>
        <w:gridCol w:w="981"/>
      </w:tblGrid>
      <w:tr w14:paraId="664077E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6"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1B0AFD">
            <w:pPr>
              <w:keepNext w:val="0"/>
              <w:keepLines w:val="0"/>
              <w:widowControl/>
              <w:suppressLineNumbers w:val="0"/>
              <w:ind w:left="0" w:leftChars="0" w:firstLine="0" w:firstLineChars="0"/>
              <w:jc w:val="left"/>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3、GPU资源</w:t>
            </w:r>
          </w:p>
        </w:tc>
      </w:tr>
      <w:tr w14:paraId="3C089D8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6" w:hRule="atLeast"/>
        </w:trPr>
        <w:tc>
          <w:tcPr>
            <w:tcW w:w="5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17D2D4">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序号</w:t>
            </w:r>
          </w:p>
        </w:tc>
        <w:tc>
          <w:tcPr>
            <w:tcW w:w="7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33EAC5">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GPU类型</w:t>
            </w:r>
          </w:p>
        </w:tc>
        <w:tc>
          <w:tcPr>
            <w:tcW w:w="214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39B781">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资源说明（填写GPU型号）</w:t>
            </w:r>
          </w:p>
        </w:tc>
        <w:tc>
          <w:tcPr>
            <w:tcW w:w="93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85B418">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申报资源数量</w:t>
            </w:r>
          </w:p>
        </w:tc>
        <w:tc>
          <w:tcPr>
            <w:tcW w:w="5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27BE64">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备注</w:t>
            </w:r>
          </w:p>
        </w:tc>
      </w:tr>
      <w:tr w14:paraId="2CC551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7" w:hRule="atLeast"/>
        </w:trPr>
        <w:tc>
          <w:tcPr>
            <w:tcW w:w="5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CFCDBB">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1</w:t>
            </w:r>
          </w:p>
        </w:tc>
        <w:tc>
          <w:tcPr>
            <w:tcW w:w="7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7DF3BC">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推理GPU</w:t>
            </w:r>
          </w:p>
        </w:tc>
        <w:tc>
          <w:tcPr>
            <w:tcW w:w="214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28C795">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华为 Atlas 800l（32G*8）显存256GB</w:t>
            </w:r>
          </w:p>
        </w:tc>
        <w:tc>
          <w:tcPr>
            <w:tcW w:w="9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50728E">
            <w:pPr>
              <w:keepNext w:val="0"/>
              <w:keepLines w:val="0"/>
              <w:widowControl/>
              <w:suppressLineNumbers w:val="0"/>
              <w:ind w:left="0" w:leftChars="0" w:firstLine="0" w:firstLineChars="0"/>
              <w:jc w:val="center"/>
              <w:textAlignment w:val="center"/>
              <w:rPr>
                <w:rFonts w:hint="eastAsia" w:ascii="宋体" w:hAnsi="宋体" w:eastAsia="宋体" w:cs="宋体"/>
                <w:b w:val="0"/>
                <w:bCs w:val="0"/>
                <w:i w:val="0"/>
                <w:iCs w:val="0"/>
                <w:color w:val="000000"/>
                <w:sz w:val="22"/>
                <w:szCs w:val="22"/>
                <w:u w:val="none"/>
              </w:rPr>
            </w:pPr>
            <w:r>
              <w:rPr>
                <w:rFonts w:hint="eastAsia" w:ascii="宋体" w:hAnsi="宋体" w:eastAsia="宋体" w:cs="宋体"/>
                <w:b w:val="0"/>
                <w:bCs w:val="0"/>
                <w:i w:val="0"/>
                <w:iCs w:val="0"/>
                <w:color w:val="000000"/>
                <w:kern w:val="0"/>
                <w:sz w:val="22"/>
                <w:szCs w:val="22"/>
                <w:u w:val="none"/>
                <w:lang w:val="en-US" w:eastAsia="zh-CN" w:bidi="ar"/>
              </w:rPr>
              <w:t>5</w:t>
            </w:r>
          </w:p>
        </w:tc>
        <w:tc>
          <w:tcPr>
            <w:tcW w:w="5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E12917">
            <w:pPr>
              <w:ind w:left="0" w:leftChars="0" w:firstLine="0" w:firstLineChars="0"/>
              <w:jc w:val="center"/>
              <w:rPr>
                <w:rFonts w:hint="eastAsia" w:ascii="宋体" w:hAnsi="宋体" w:eastAsia="宋体" w:cs="宋体"/>
                <w:b w:val="0"/>
                <w:bCs w:val="0"/>
                <w:i w:val="0"/>
                <w:iCs w:val="0"/>
                <w:color w:val="000000"/>
                <w:sz w:val="22"/>
                <w:szCs w:val="22"/>
                <w:u w:val="none"/>
              </w:rPr>
            </w:pPr>
          </w:p>
        </w:tc>
      </w:tr>
    </w:tbl>
    <w:p w14:paraId="25261E60">
      <w:pPr>
        <w:ind w:left="0" w:leftChars="0" w:firstLine="0" w:firstLineChars="0"/>
        <w:rPr>
          <w:rFonts w:hint="eastAsia"/>
        </w:rPr>
      </w:pPr>
    </w:p>
    <w:p w14:paraId="0DE3AAC4">
      <w:pPr>
        <w:pStyle w:val="2"/>
        <w:ind w:left="0" w:leftChars="0" w:firstLine="0" w:firstLineChars="0"/>
      </w:pPr>
      <w:bookmarkStart w:id="18" w:name="_Toc63785503"/>
      <w:r>
        <w:rPr>
          <w:rFonts w:hint="eastAsia"/>
        </w:rPr>
        <w:t>其他工作要求</w:t>
      </w:r>
      <w:bookmarkEnd w:id="18"/>
    </w:p>
    <w:p w14:paraId="48DC960E">
      <w:pPr>
        <w:pStyle w:val="3"/>
        <w:ind w:left="0" w:leftChars="0" w:firstLine="0" w:firstLineChars="0"/>
      </w:pPr>
      <w:bookmarkStart w:id="19" w:name="_Toc62209488"/>
      <w:bookmarkEnd w:id="19"/>
      <w:bookmarkStart w:id="20" w:name="_Toc63151871"/>
      <w:bookmarkEnd w:id="20"/>
      <w:bookmarkStart w:id="21" w:name="_Toc63762370"/>
      <w:bookmarkEnd w:id="21"/>
      <w:bookmarkStart w:id="22" w:name="_Toc63785439"/>
      <w:bookmarkEnd w:id="22"/>
      <w:bookmarkStart w:id="23" w:name="_Toc63785504"/>
      <w:bookmarkEnd w:id="23"/>
      <w:bookmarkStart w:id="24" w:name="_Toc61968111"/>
      <w:bookmarkEnd w:id="24"/>
      <w:bookmarkStart w:id="25" w:name="_Toc62219358"/>
      <w:bookmarkEnd w:id="25"/>
      <w:bookmarkStart w:id="26" w:name="_Toc63585480"/>
      <w:bookmarkEnd w:id="26"/>
      <w:bookmarkStart w:id="27" w:name="_Toc63785505"/>
      <w:r>
        <w:rPr>
          <w:rFonts w:hint="eastAsia"/>
        </w:rPr>
        <w:t>售后服务要求</w:t>
      </w:r>
      <w:bookmarkEnd w:id="27"/>
    </w:p>
    <w:p w14:paraId="3EFD4658">
      <w:pPr>
        <w:pStyle w:val="7"/>
        <w:snapToGrid w:val="0"/>
        <w:spacing w:line="360" w:lineRule="auto"/>
        <w:ind w:firstLine="480"/>
        <w:rPr>
          <w:rFonts w:hint="eastAsia" w:ascii="宋体" w:hAnsi="宋体"/>
          <w:sz w:val="24"/>
          <w:szCs w:val="24"/>
        </w:rPr>
      </w:pPr>
      <w:r>
        <w:rPr>
          <w:rFonts w:hint="eastAsia" w:ascii="宋体" w:hAnsi="宋体"/>
          <w:sz w:val="24"/>
          <w:szCs w:val="24"/>
        </w:rPr>
        <w:t>本项目从系统验收通过之日起提供不少于1年的7*24小时免费技术支持和售后服务。在质量保证期内，供应商将按照售后服务的承诺提供保修和运行维护服务。</w:t>
      </w:r>
    </w:p>
    <w:p w14:paraId="1816AB0A">
      <w:pPr>
        <w:pStyle w:val="7"/>
        <w:snapToGrid w:val="0"/>
        <w:spacing w:line="360" w:lineRule="auto"/>
        <w:ind w:firstLine="480"/>
        <w:rPr>
          <w:rFonts w:ascii="宋体" w:hAnsi="宋体"/>
          <w:sz w:val="24"/>
          <w:szCs w:val="24"/>
        </w:rPr>
      </w:pPr>
      <w:r>
        <w:rPr>
          <w:rFonts w:hint="eastAsia" w:ascii="宋体" w:hAnsi="宋体"/>
          <w:sz w:val="24"/>
          <w:szCs w:val="24"/>
        </w:rPr>
        <w:t>在质量保证期内，供应商负责信息系统的运行维护工作，确保信息系统安全、稳定、可靠地运行。本项目涉及的运行维护工作范围为：上海市智慧公园综合管理信息平台与示范公园信息平台建设项目建设项目（2026年升级改造）。</w:t>
      </w:r>
    </w:p>
    <w:p w14:paraId="59E9F337">
      <w:pPr>
        <w:pStyle w:val="3"/>
        <w:ind w:left="0" w:leftChars="0" w:firstLine="0" w:firstLineChars="0"/>
      </w:pPr>
      <w:bookmarkStart w:id="28" w:name="_Toc63785506"/>
      <w:r>
        <w:rPr>
          <w:rFonts w:hint="eastAsia"/>
        </w:rPr>
        <w:t>应急响应要求</w:t>
      </w:r>
      <w:bookmarkEnd w:id="28"/>
    </w:p>
    <w:p w14:paraId="223B3933">
      <w:pPr>
        <w:pStyle w:val="7"/>
        <w:snapToGrid w:val="0"/>
        <w:spacing w:line="360" w:lineRule="auto"/>
        <w:ind w:firstLine="480"/>
        <w:rPr>
          <w:rFonts w:hint="eastAsia" w:ascii="宋体" w:hAnsi="宋体"/>
          <w:sz w:val="24"/>
          <w:szCs w:val="24"/>
        </w:rPr>
      </w:pPr>
      <w:r>
        <w:rPr>
          <w:rFonts w:hint="eastAsia" w:ascii="宋体" w:hAnsi="宋体"/>
          <w:sz w:val="24"/>
          <w:szCs w:val="24"/>
        </w:rPr>
        <w:t>供应商对系统故障应能够实时响应，若系统发生故障，接到通知后30分钟之内响应，专业工程师2小时内到达现场。特殊故障与客户沟通协商后，按照协商的方式制定解决方案并进行处理。</w:t>
      </w:r>
    </w:p>
    <w:p w14:paraId="48D988DB">
      <w:pPr>
        <w:pStyle w:val="7"/>
        <w:snapToGrid w:val="0"/>
        <w:spacing w:line="360" w:lineRule="auto"/>
        <w:ind w:firstLine="480"/>
        <w:rPr>
          <w:rFonts w:hint="eastAsia" w:ascii="宋体" w:hAnsi="宋体"/>
          <w:sz w:val="24"/>
          <w:szCs w:val="24"/>
        </w:rPr>
      </w:pPr>
      <w:r>
        <w:rPr>
          <w:rFonts w:hint="eastAsia" w:ascii="宋体" w:hAnsi="宋体"/>
          <w:sz w:val="24"/>
          <w:szCs w:val="24"/>
        </w:rPr>
        <w:t>具体故障级别及对应的应急响应要求如下：</w:t>
      </w:r>
    </w:p>
    <w:p w14:paraId="00797130">
      <w:pPr>
        <w:pStyle w:val="7"/>
        <w:snapToGrid w:val="0"/>
        <w:spacing w:line="360" w:lineRule="auto"/>
        <w:ind w:firstLine="480"/>
        <w:rPr>
          <w:rFonts w:hint="eastAsia" w:ascii="宋体" w:hAnsi="宋体"/>
          <w:sz w:val="24"/>
          <w:szCs w:val="24"/>
        </w:rPr>
      </w:pPr>
      <w:r>
        <w:rPr>
          <w:rFonts w:hint="eastAsia" w:ascii="宋体" w:hAnsi="宋体"/>
          <w:sz w:val="24"/>
          <w:szCs w:val="24"/>
        </w:rPr>
        <w:t>一级故障：在1小时内确诊，总故障解决时间不超过4小时。</w:t>
      </w:r>
    </w:p>
    <w:p w14:paraId="72B5AF71">
      <w:pPr>
        <w:pStyle w:val="7"/>
        <w:snapToGrid w:val="0"/>
        <w:spacing w:line="360" w:lineRule="auto"/>
        <w:ind w:firstLine="480"/>
        <w:rPr>
          <w:rFonts w:hint="eastAsia" w:ascii="宋体" w:hAnsi="宋体"/>
          <w:sz w:val="24"/>
          <w:szCs w:val="24"/>
        </w:rPr>
      </w:pPr>
      <w:r>
        <w:rPr>
          <w:rFonts w:hint="eastAsia" w:ascii="宋体" w:hAnsi="宋体"/>
          <w:sz w:val="24"/>
          <w:szCs w:val="24"/>
        </w:rPr>
        <w:t>二级故障：在2小时内确诊，并在4小时内由专家到达现场确诊并解决，总故障解决时间不超过8小时；</w:t>
      </w:r>
    </w:p>
    <w:p w14:paraId="7E348C34">
      <w:pPr>
        <w:pStyle w:val="7"/>
        <w:snapToGrid w:val="0"/>
        <w:spacing w:line="360" w:lineRule="auto"/>
        <w:ind w:firstLine="480"/>
        <w:rPr>
          <w:rFonts w:ascii="宋体" w:hAnsi="宋体"/>
          <w:sz w:val="24"/>
          <w:szCs w:val="24"/>
        </w:rPr>
      </w:pPr>
      <w:r>
        <w:rPr>
          <w:rFonts w:hint="eastAsia" w:ascii="宋体" w:hAnsi="宋体"/>
          <w:sz w:val="24"/>
          <w:szCs w:val="24"/>
        </w:rPr>
        <w:t>三、四级故障：在4小时内确诊故障，总故障解决时间不超过16小时。</w:t>
      </w:r>
    </w:p>
    <w:p w14:paraId="393EF8F9">
      <w:pPr>
        <w:pStyle w:val="3"/>
        <w:ind w:left="0" w:leftChars="0" w:firstLine="0" w:firstLineChars="0"/>
      </w:pPr>
      <w:bookmarkStart w:id="29" w:name="_Toc63785507"/>
      <w:r>
        <w:rPr>
          <w:rFonts w:hint="eastAsia"/>
        </w:rPr>
        <w:t>培训要求</w:t>
      </w:r>
      <w:bookmarkEnd w:id="29"/>
    </w:p>
    <w:p w14:paraId="454976B6">
      <w:pPr>
        <w:rPr>
          <w:rFonts w:hint="eastAsia"/>
        </w:rPr>
      </w:pPr>
      <w:r>
        <w:rPr>
          <w:rFonts w:hint="eastAsia"/>
        </w:rPr>
        <w:t>对系统使用单位提供业务操作培训，应提供详细培训方案。</w:t>
      </w:r>
    </w:p>
    <w:p w14:paraId="33F57912">
      <w:pPr>
        <w:rPr>
          <w:rFonts w:hint="eastAsia"/>
        </w:rPr>
      </w:pPr>
      <w:r>
        <w:rPr>
          <w:rFonts w:hint="eastAsia"/>
        </w:rPr>
        <w:t>(1)在12个月的质量保证期内，提供2次与项目相关的必要培训。</w:t>
      </w:r>
    </w:p>
    <w:p w14:paraId="4478104B">
      <w:pPr>
        <w:rPr>
          <w:rFonts w:hint="eastAsia"/>
        </w:rPr>
      </w:pPr>
      <w:r>
        <w:rPr>
          <w:rFonts w:hint="eastAsia"/>
        </w:rPr>
        <w:t>(2)供应商需要开展分层次的人员培训工作，每次培训后应对参加培训人员进行测试，评估培训成果。培训应具有培训教材、培训环境和高水平的培训讲师。</w:t>
      </w:r>
    </w:p>
    <w:p w14:paraId="7A7CAA37">
      <w:pPr>
        <w:rPr>
          <w:strike/>
          <w:szCs w:val="21"/>
        </w:rPr>
      </w:pPr>
      <w:r>
        <w:rPr>
          <w:rFonts w:hint="eastAsia"/>
        </w:rPr>
        <w:t>(3)供应商应提供一般用户的基础操作培训和部门信息管理员的日常应用维护的培训，确保用户对象能够掌握对应的操作技能。</w:t>
      </w:r>
    </w:p>
    <w:p w14:paraId="2171F454">
      <w:pPr>
        <w:pStyle w:val="3"/>
        <w:ind w:left="0" w:leftChars="0" w:firstLine="0" w:firstLineChars="0"/>
        <w:rPr>
          <w:highlight w:val="none"/>
        </w:rPr>
      </w:pPr>
      <w:bookmarkStart w:id="30" w:name="_Toc63785509"/>
      <w:r>
        <w:rPr>
          <w:rFonts w:hint="eastAsia"/>
          <w:highlight w:val="none"/>
        </w:rPr>
        <w:t>进度要求</w:t>
      </w:r>
      <w:bookmarkEnd w:id="30"/>
    </w:p>
    <w:p w14:paraId="6E106BFF">
      <w:r>
        <w:rPr>
          <w:rFonts w:hint="eastAsia"/>
        </w:rPr>
        <w:t>投标人应根据建设内容，分阶段制定合理的时间进度，并且应根据招标方要求进行调整和细化。</w:t>
      </w:r>
    </w:p>
    <w:p w14:paraId="6032D4DF">
      <w:r>
        <w:rPr>
          <w:rFonts w:hint="eastAsia"/>
        </w:rPr>
        <w:t>总建设周期分为</w:t>
      </w:r>
      <w:r>
        <w:rPr>
          <w:rFonts w:hint="eastAsia"/>
          <w:lang w:val="en-US" w:eastAsia="zh-CN"/>
        </w:rPr>
        <w:t>3</w:t>
      </w:r>
      <w:r>
        <w:rPr>
          <w:rFonts w:hint="eastAsia"/>
        </w:rPr>
        <w:t>个阶段。</w:t>
      </w:r>
    </w:p>
    <w:p w14:paraId="7D87AEBF">
      <w:pPr>
        <w:rPr>
          <w:rFonts w:hint="eastAsia"/>
        </w:rPr>
      </w:pPr>
      <w:r>
        <w:rPr>
          <w:rFonts w:hint="eastAsia"/>
        </w:rPr>
        <w:t>第一阶段合同签订之日起-2026年</w:t>
      </w:r>
      <w:r>
        <w:rPr>
          <w:rFonts w:hint="eastAsia"/>
          <w:lang w:val="en-US" w:eastAsia="zh-CN"/>
        </w:rPr>
        <w:t>9</w:t>
      </w:r>
      <w:r>
        <w:rPr>
          <w:rFonts w:hint="eastAsia"/>
        </w:rPr>
        <w:t>月，完成系统建设。202</w:t>
      </w:r>
      <w:r>
        <w:rPr>
          <w:rFonts w:hint="eastAsia"/>
          <w:lang w:val="en-US" w:eastAsia="zh-CN"/>
        </w:rPr>
        <w:t>6</w:t>
      </w:r>
      <w:r>
        <w:rPr>
          <w:rFonts w:hint="eastAsia"/>
        </w:rPr>
        <w:t>年</w:t>
      </w:r>
      <w:r>
        <w:rPr>
          <w:rFonts w:hint="eastAsia"/>
          <w:lang w:val="en-US" w:eastAsia="zh-CN"/>
        </w:rPr>
        <w:t>10</w:t>
      </w:r>
      <w:r>
        <w:rPr>
          <w:rFonts w:hint="eastAsia"/>
        </w:rPr>
        <w:t>月完成项目初验。</w:t>
      </w:r>
    </w:p>
    <w:p w14:paraId="6B13B28C">
      <w:pPr>
        <w:rPr>
          <w:rFonts w:hint="eastAsia"/>
        </w:rPr>
      </w:pPr>
      <w:r>
        <w:rPr>
          <w:rFonts w:hint="eastAsia"/>
        </w:rPr>
        <w:t>第二阶段202</w:t>
      </w:r>
      <w:r>
        <w:rPr>
          <w:rFonts w:hint="eastAsia"/>
          <w:lang w:val="en-US" w:eastAsia="zh-CN"/>
        </w:rPr>
        <w:t>6</w:t>
      </w:r>
      <w:r>
        <w:rPr>
          <w:rFonts w:hint="eastAsia"/>
        </w:rPr>
        <w:t>年</w:t>
      </w:r>
      <w:r>
        <w:rPr>
          <w:rFonts w:hint="eastAsia"/>
          <w:lang w:val="en-US" w:eastAsia="zh-CN"/>
        </w:rPr>
        <w:t>11</w:t>
      </w:r>
      <w:r>
        <w:rPr>
          <w:rFonts w:hint="eastAsia"/>
        </w:rPr>
        <w:t>月，完成整体系统测试、试运行。</w:t>
      </w:r>
    </w:p>
    <w:p w14:paraId="49A66890">
      <w:r>
        <w:rPr>
          <w:rFonts w:hint="eastAsia"/>
        </w:rPr>
        <w:t>第三阶段202</w:t>
      </w:r>
      <w:r>
        <w:rPr>
          <w:rFonts w:hint="eastAsia"/>
          <w:lang w:val="en-US" w:eastAsia="zh-CN"/>
        </w:rPr>
        <w:t>6</w:t>
      </w:r>
      <w:r>
        <w:rPr>
          <w:rFonts w:hint="eastAsia"/>
        </w:rPr>
        <w:t>年</w:t>
      </w:r>
      <w:r>
        <w:rPr>
          <w:rFonts w:hint="eastAsia"/>
          <w:lang w:val="en-US" w:eastAsia="zh-CN"/>
        </w:rPr>
        <w:t>12</w:t>
      </w:r>
      <w:r>
        <w:rPr>
          <w:rFonts w:hint="eastAsia"/>
        </w:rPr>
        <w:t>月，完成项目最终验收。</w:t>
      </w:r>
    </w:p>
    <w:p w14:paraId="5C805882">
      <w:pPr>
        <w:pStyle w:val="3"/>
        <w:ind w:left="0" w:leftChars="0" w:firstLine="0" w:firstLineChars="0"/>
      </w:pPr>
      <w:bookmarkStart w:id="31" w:name="_Toc63785510"/>
      <w:r>
        <w:rPr>
          <w:rFonts w:hint="eastAsia"/>
        </w:rPr>
        <w:t>项目团队及驻场人员要求</w:t>
      </w:r>
      <w:bookmarkEnd w:id="31"/>
    </w:p>
    <w:p w14:paraId="56CB9F1C">
      <w:r>
        <w:t>1）投标人须具有稳定的在职技术保障力量，能够提供及时的技术支援或服务，应针对本项目提供不少于</w:t>
      </w:r>
      <w:r>
        <w:rPr>
          <w:rFonts w:hint="eastAsia"/>
          <w:lang w:val="en-US" w:eastAsia="zh-CN"/>
        </w:rPr>
        <w:t>18</w:t>
      </w:r>
      <w:r>
        <w:t>人的项目服务团队（包括项目经理、产品经理、技术负责人、研发等），投标单位的相关服务人员需具备相应的服务能力，需提供相关证明。</w:t>
      </w:r>
    </w:p>
    <w:tbl>
      <w:tblPr>
        <w:tblStyle w:val="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6"/>
        <w:gridCol w:w="2907"/>
        <w:gridCol w:w="1180"/>
        <w:gridCol w:w="1845"/>
        <w:gridCol w:w="1180"/>
      </w:tblGrid>
      <w:tr w14:paraId="709C04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14:paraId="77A7D08A">
            <w:pPr>
              <w:widowControl/>
              <w:spacing w:line="240" w:lineRule="auto"/>
              <w:ind w:firstLine="0" w:firstLineChars="0"/>
              <w:jc w:val="center"/>
              <w:rPr>
                <w:b/>
              </w:rPr>
            </w:pPr>
            <w:r>
              <w:rPr>
                <w:rFonts w:hint="eastAsia"/>
                <w:b/>
              </w:rPr>
              <w:t>角色</w:t>
            </w:r>
          </w:p>
        </w:tc>
        <w:tc>
          <w:tcPr>
            <w:tcW w:w="0" w:type="auto"/>
            <w:shd w:val="clear" w:color="auto" w:fill="auto"/>
            <w:noWrap/>
            <w:vAlign w:val="center"/>
          </w:tcPr>
          <w:p w14:paraId="75DC293E">
            <w:pPr>
              <w:widowControl/>
              <w:spacing w:line="240" w:lineRule="auto"/>
              <w:ind w:firstLine="0" w:firstLineChars="0"/>
              <w:jc w:val="center"/>
              <w:rPr>
                <w:b/>
              </w:rPr>
            </w:pPr>
            <w:r>
              <w:rPr>
                <w:rFonts w:hint="eastAsia"/>
                <w:b/>
              </w:rPr>
              <w:t>主要职责</w:t>
            </w:r>
          </w:p>
        </w:tc>
        <w:tc>
          <w:tcPr>
            <w:tcW w:w="0" w:type="auto"/>
            <w:shd w:val="clear" w:color="auto" w:fill="auto"/>
            <w:noWrap/>
            <w:vAlign w:val="center"/>
          </w:tcPr>
          <w:p w14:paraId="62629814">
            <w:pPr>
              <w:widowControl/>
              <w:spacing w:line="240" w:lineRule="auto"/>
              <w:ind w:firstLine="0" w:firstLineChars="0"/>
              <w:jc w:val="center"/>
              <w:rPr>
                <w:b/>
              </w:rPr>
            </w:pPr>
            <w:r>
              <w:rPr>
                <w:rFonts w:hint="eastAsia"/>
                <w:b/>
              </w:rPr>
              <w:t>人员数量</w:t>
            </w:r>
          </w:p>
        </w:tc>
        <w:tc>
          <w:tcPr>
            <w:tcW w:w="0" w:type="auto"/>
            <w:vAlign w:val="center"/>
          </w:tcPr>
          <w:p w14:paraId="5CD618BB">
            <w:pPr>
              <w:widowControl/>
              <w:spacing w:line="240" w:lineRule="auto"/>
              <w:ind w:firstLine="0" w:firstLineChars="0"/>
              <w:jc w:val="center"/>
              <w:rPr>
                <w:b/>
              </w:rPr>
            </w:pPr>
            <w:r>
              <w:rPr>
                <w:rFonts w:hint="eastAsia"/>
                <w:b/>
              </w:rPr>
              <w:t>人员要求</w:t>
            </w:r>
          </w:p>
        </w:tc>
        <w:tc>
          <w:tcPr>
            <w:tcW w:w="0" w:type="auto"/>
            <w:shd w:val="clear" w:color="auto" w:fill="auto"/>
            <w:noWrap/>
            <w:vAlign w:val="center"/>
          </w:tcPr>
          <w:p w14:paraId="42835CF6">
            <w:pPr>
              <w:widowControl/>
              <w:spacing w:line="240" w:lineRule="auto"/>
              <w:ind w:firstLine="0" w:firstLineChars="0"/>
              <w:jc w:val="center"/>
              <w:rPr>
                <w:b/>
              </w:rPr>
            </w:pPr>
            <w:r>
              <w:rPr>
                <w:rFonts w:hint="eastAsia"/>
                <w:b/>
              </w:rPr>
              <w:t>驻场要求</w:t>
            </w:r>
          </w:p>
        </w:tc>
      </w:tr>
      <w:tr w14:paraId="049AC0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14:paraId="217DB724">
            <w:pPr>
              <w:widowControl/>
              <w:spacing w:line="240" w:lineRule="auto"/>
              <w:ind w:firstLine="0" w:firstLineChars="0"/>
              <w:jc w:val="center"/>
            </w:pPr>
            <w:r>
              <w:rPr>
                <w:rFonts w:hint="eastAsia"/>
              </w:rPr>
              <w:t>项目经理</w:t>
            </w:r>
          </w:p>
        </w:tc>
        <w:tc>
          <w:tcPr>
            <w:tcW w:w="0" w:type="auto"/>
            <w:shd w:val="clear" w:color="auto" w:fill="auto"/>
            <w:vAlign w:val="center"/>
          </w:tcPr>
          <w:p w14:paraId="0C988687">
            <w:pPr>
              <w:widowControl/>
              <w:spacing w:line="240" w:lineRule="auto"/>
              <w:ind w:firstLine="0" w:firstLineChars="0"/>
              <w:jc w:val="center"/>
            </w:pPr>
            <w:r>
              <w:rPr>
                <w:rFonts w:hint="eastAsia"/>
              </w:rPr>
              <w:t>负责项目质量和进度控制</w:t>
            </w:r>
          </w:p>
        </w:tc>
        <w:tc>
          <w:tcPr>
            <w:tcW w:w="0" w:type="auto"/>
            <w:shd w:val="clear" w:color="auto" w:fill="auto"/>
            <w:noWrap/>
            <w:vAlign w:val="center"/>
          </w:tcPr>
          <w:p w14:paraId="673FB84F">
            <w:pPr>
              <w:widowControl/>
              <w:spacing w:line="240" w:lineRule="auto"/>
              <w:ind w:firstLine="0" w:firstLineChars="0"/>
              <w:jc w:val="center"/>
            </w:pPr>
            <w:r>
              <w:rPr>
                <w:rFonts w:hint="eastAsia"/>
                <w:lang w:val="en-US" w:eastAsia="zh-CN"/>
              </w:rPr>
              <w:t>1</w:t>
            </w:r>
            <w:r>
              <w:rPr>
                <w:rFonts w:hint="eastAsia"/>
              </w:rPr>
              <w:t>人</w:t>
            </w:r>
          </w:p>
        </w:tc>
        <w:tc>
          <w:tcPr>
            <w:tcW w:w="0" w:type="auto"/>
            <w:vAlign w:val="center"/>
          </w:tcPr>
          <w:p w14:paraId="3B682F4E">
            <w:pPr>
              <w:widowControl/>
              <w:spacing w:line="240" w:lineRule="auto"/>
              <w:ind w:firstLine="0" w:firstLineChars="0"/>
              <w:jc w:val="center"/>
              <w:rPr>
                <w:rFonts w:hint="default" w:eastAsia="宋体"/>
                <w:lang w:val="en-US" w:eastAsia="zh-CN"/>
              </w:rPr>
            </w:pPr>
            <w:r>
              <w:rPr>
                <w:rFonts w:hint="eastAsia"/>
              </w:rPr>
              <w:t>具备信息系统项目管理师证书</w:t>
            </w:r>
            <w:r>
              <w:rPr>
                <w:rFonts w:hint="eastAsia"/>
                <w:lang w:val="en-US" w:eastAsia="zh-CN"/>
              </w:rPr>
              <w:t>、计算机类高级职称</w:t>
            </w:r>
          </w:p>
        </w:tc>
        <w:tc>
          <w:tcPr>
            <w:tcW w:w="0" w:type="auto"/>
            <w:shd w:val="clear" w:color="auto" w:fill="auto"/>
            <w:noWrap/>
            <w:vAlign w:val="center"/>
          </w:tcPr>
          <w:p w14:paraId="538E9115">
            <w:pPr>
              <w:widowControl/>
              <w:spacing w:line="240" w:lineRule="auto"/>
              <w:ind w:firstLine="0" w:firstLineChars="0"/>
              <w:jc w:val="center"/>
            </w:pPr>
            <w:r>
              <w:rPr>
                <w:rFonts w:hint="eastAsia"/>
              </w:rPr>
              <w:t>不驻场</w:t>
            </w:r>
          </w:p>
        </w:tc>
      </w:tr>
      <w:tr w14:paraId="0AA4E1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14:paraId="1C02EDFE">
            <w:pPr>
              <w:widowControl/>
              <w:spacing w:line="240" w:lineRule="auto"/>
              <w:ind w:firstLine="0" w:firstLineChars="0"/>
              <w:jc w:val="center"/>
            </w:pPr>
            <w:r>
              <w:rPr>
                <w:rFonts w:hint="eastAsia"/>
              </w:rPr>
              <w:t>产品经理</w:t>
            </w:r>
          </w:p>
        </w:tc>
        <w:tc>
          <w:tcPr>
            <w:tcW w:w="0" w:type="auto"/>
            <w:shd w:val="clear" w:color="auto" w:fill="auto"/>
            <w:vAlign w:val="center"/>
          </w:tcPr>
          <w:p w14:paraId="2F66F462">
            <w:pPr>
              <w:widowControl/>
              <w:spacing w:line="240" w:lineRule="auto"/>
              <w:ind w:firstLine="0" w:firstLineChars="0"/>
              <w:jc w:val="center"/>
            </w:pPr>
            <w:r>
              <w:rPr>
                <w:rFonts w:hint="eastAsia"/>
              </w:rPr>
              <w:t>负责项目需求评估与产品设计</w:t>
            </w:r>
          </w:p>
        </w:tc>
        <w:tc>
          <w:tcPr>
            <w:tcW w:w="0" w:type="auto"/>
            <w:shd w:val="clear" w:color="auto" w:fill="auto"/>
            <w:noWrap/>
            <w:vAlign w:val="center"/>
          </w:tcPr>
          <w:p w14:paraId="197D2BDA">
            <w:pPr>
              <w:widowControl/>
              <w:spacing w:line="240" w:lineRule="auto"/>
              <w:ind w:firstLine="0" w:firstLineChars="0"/>
              <w:jc w:val="center"/>
            </w:pPr>
            <w:r>
              <w:rPr>
                <w:rFonts w:hint="eastAsia"/>
                <w:lang w:val="en-US" w:eastAsia="zh-CN"/>
              </w:rPr>
              <w:t>1</w:t>
            </w:r>
            <w:r>
              <w:rPr>
                <w:rFonts w:hint="eastAsia"/>
              </w:rPr>
              <w:t>人</w:t>
            </w:r>
          </w:p>
        </w:tc>
        <w:tc>
          <w:tcPr>
            <w:tcW w:w="0" w:type="auto"/>
            <w:vAlign w:val="center"/>
          </w:tcPr>
          <w:p w14:paraId="32F84E05">
            <w:pPr>
              <w:widowControl/>
              <w:spacing w:line="240" w:lineRule="auto"/>
              <w:ind w:firstLine="0" w:firstLineChars="0"/>
              <w:jc w:val="center"/>
            </w:pPr>
            <w:r>
              <w:rPr>
                <w:rFonts w:hint="eastAsia"/>
              </w:rPr>
              <w:t>具备系统架构设计师证书</w:t>
            </w:r>
          </w:p>
        </w:tc>
        <w:tc>
          <w:tcPr>
            <w:tcW w:w="0" w:type="auto"/>
            <w:shd w:val="clear" w:color="auto" w:fill="auto"/>
            <w:noWrap/>
            <w:vAlign w:val="center"/>
          </w:tcPr>
          <w:p w14:paraId="35395A35">
            <w:pPr>
              <w:widowControl/>
              <w:spacing w:line="240" w:lineRule="auto"/>
              <w:ind w:firstLine="0" w:firstLineChars="0"/>
              <w:jc w:val="center"/>
            </w:pPr>
            <w:r>
              <w:rPr>
                <w:rFonts w:hint="eastAsia"/>
              </w:rPr>
              <w:t>不驻场</w:t>
            </w:r>
          </w:p>
        </w:tc>
      </w:tr>
      <w:tr w14:paraId="1F6F7A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47" w:hRule="atLeast"/>
          <w:jc w:val="center"/>
        </w:trPr>
        <w:tc>
          <w:tcPr>
            <w:tcW w:w="0" w:type="auto"/>
            <w:shd w:val="clear" w:color="auto" w:fill="auto"/>
            <w:noWrap/>
            <w:vAlign w:val="center"/>
          </w:tcPr>
          <w:p w14:paraId="6571279C">
            <w:pPr>
              <w:widowControl/>
              <w:spacing w:line="240" w:lineRule="auto"/>
              <w:ind w:firstLine="0" w:firstLineChars="0"/>
              <w:jc w:val="center"/>
              <w:rPr>
                <w:rFonts w:hint="eastAsia"/>
              </w:rPr>
            </w:pPr>
            <w:r>
              <w:rPr>
                <w:rFonts w:hint="eastAsia"/>
              </w:rPr>
              <w:t>技术负责人</w:t>
            </w:r>
          </w:p>
        </w:tc>
        <w:tc>
          <w:tcPr>
            <w:tcW w:w="0" w:type="auto"/>
            <w:shd w:val="clear" w:color="auto" w:fill="auto"/>
            <w:vAlign w:val="center"/>
          </w:tcPr>
          <w:p w14:paraId="0429A234">
            <w:pPr>
              <w:widowControl/>
              <w:spacing w:line="240" w:lineRule="auto"/>
              <w:ind w:firstLine="0" w:firstLineChars="0"/>
              <w:jc w:val="center"/>
              <w:rPr>
                <w:rFonts w:hint="eastAsia"/>
              </w:rPr>
            </w:pPr>
            <w:r>
              <w:rPr>
                <w:rFonts w:hint="eastAsia"/>
                <w:color w:val="auto"/>
              </w:rPr>
              <w:t>负责项目整体技术框架与实施</w:t>
            </w:r>
          </w:p>
        </w:tc>
        <w:tc>
          <w:tcPr>
            <w:tcW w:w="0" w:type="auto"/>
            <w:shd w:val="clear" w:color="auto" w:fill="auto"/>
            <w:noWrap/>
            <w:vAlign w:val="center"/>
          </w:tcPr>
          <w:p w14:paraId="33ECFC27">
            <w:pPr>
              <w:widowControl/>
              <w:spacing w:line="240" w:lineRule="auto"/>
              <w:ind w:firstLine="0" w:firstLineChars="0"/>
              <w:jc w:val="center"/>
              <w:rPr>
                <w:rFonts w:hint="default"/>
                <w:lang w:val="en-US" w:eastAsia="zh-CN"/>
              </w:rPr>
            </w:pPr>
            <w:r>
              <w:rPr>
                <w:rFonts w:hint="eastAsia"/>
                <w:lang w:val="en-US" w:eastAsia="zh-CN"/>
              </w:rPr>
              <w:t>1人</w:t>
            </w:r>
          </w:p>
        </w:tc>
        <w:tc>
          <w:tcPr>
            <w:tcW w:w="0" w:type="auto"/>
            <w:vAlign w:val="center"/>
          </w:tcPr>
          <w:p w14:paraId="4D29F1C1">
            <w:pPr>
              <w:widowControl/>
              <w:spacing w:line="240" w:lineRule="auto"/>
              <w:ind w:firstLine="0" w:firstLineChars="0"/>
              <w:jc w:val="center"/>
            </w:pPr>
            <w:r>
              <w:rPr>
                <w:rFonts w:hint="eastAsia"/>
              </w:rPr>
              <w:t>具备注册信息安全专业人员（CISP）证书、信息系统项目管理师证书</w:t>
            </w:r>
          </w:p>
        </w:tc>
        <w:tc>
          <w:tcPr>
            <w:tcW w:w="0" w:type="auto"/>
            <w:shd w:val="clear" w:color="auto" w:fill="auto"/>
            <w:noWrap/>
            <w:vAlign w:val="center"/>
          </w:tcPr>
          <w:p w14:paraId="0DA13866">
            <w:pPr>
              <w:widowControl/>
              <w:spacing w:line="240" w:lineRule="auto"/>
              <w:ind w:firstLine="0" w:firstLineChars="0"/>
              <w:jc w:val="center"/>
              <w:rPr>
                <w:rFonts w:hint="eastAsia"/>
              </w:rPr>
            </w:pPr>
            <w:r>
              <w:rPr>
                <w:rFonts w:hint="eastAsia"/>
              </w:rPr>
              <w:t>不驻场</w:t>
            </w:r>
          </w:p>
        </w:tc>
      </w:tr>
      <w:tr w14:paraId="16A2B6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14:paraId="1FE60926">
            <w:pPr>
              <w:widowControl/>
              <w:spacing w:line="240" w:lineRule="auto"/>
              <w:ind w:firstLine="0" w:firstLineChars="0"/>
              <w:jc w:val="center"/>
            </w:pPr>
            <w:r>
              <w:rPr>
                <w:rFonts w:hint="eastAsia"/>
              </w:rPr>
              <w:t>研发</w:t>
            </w:r>
          </w:p>
        </w:tc>
        <w:tc>
          <w:tcPr>
            <w:tcW w:w="0" w:type="auto"/>
            <w:shd w:val="clear" w:color="auto" w:fill="auto"/>
            <w:noWrap/>
            <w:vAlign w:val="center"/>
          </w:tcPr>
          <w:p w14:paraId="58A819AF">
            <w:pPr>
              <w:widowControl/>
              <w:spacing w:line="240" w:lineRule="auto"/>
              <w:ind w:firstLine="0" w:firstLineChars="0"/>
              <w:jc w:val="center"/>
            </w:pPr>
            <w:r>
              <w:rPr>
                <w:rFonts w:hint="eastAsia"/>
              </w:rPr>
              <w:t>负责项目具体开发与实施</w:t>
            </w:r>
          </w:p>
        </w:tc>
        <w:tc>
          <w:tcPr>
            <w:tcW w:w="0" w:type="auto"/>
            <w:shd w:val="clear" w:color="auto" w:fill="auto"/>
            <w:noWrap/>
            <w:vAlign w:val="center"/>
          </w:tcPr>
          <w:p w14:paraId="72B2A9C1">
            <w:pPr>
              <w:widowControl/>
              <w:spacing w:line="240" w:lineRule="auto"/>
              <w:ind w:firstLine="0" w:firstLineChars="0"/>
              <w:jc w:val="center"/>
            </w:pPr>
            <w:r>
              <w:rPr>
                <w:rFonts w:hint="eastAsia"/>
                <w:lang w:val="en-US" w:eastAsia="zh-CN"/>
              </w:rPr>
              <w:t>15</w:t>
            </w:r>
            <w:r>
              <w:rPr>
                <w:rFonts w:hint="eastAsia"/>
              </w:rPr>
              <w:t>人</w:t>
            </w:r>
          </w:p>
        </w:tc>
        <w:tc>
          <w:tcPr>
            <w:tcW w:w="0" w:type="auto"/>
            <w:vAlign w:val="center"/>
          </w:tcPr>
          <w:p w14:paraId="22B08262">
            <w:pPr>
              <w:widowControl/>
              <w:spacing w:line="240" w:lineRule="auto"/>
              <w:ind w:firstLine="0" w:firstLineChars="0"/>
              <w:jc w:val="center"/>
            </w:pPr>
          </w:p>
        </w:tc>
        <w:tc>
          <w:tcPr>
            <w:tcW w:w="0" w:type="auto"/>
            <w:shd w:val="clear" w:color="auto" w:fill="auto"/>
            <w:noWrap/>
            <w:vAlign w:val="center"/>
          </w:tcPr>
          <w:p w14:paraId="29CE078B">
            <w:pPr>
              <w:widowControl/>
              <w:spacing w:line="240" w:lineRule="auto"/>
              <w:ind w:firstLine="0" w:firstLineChars="0"/>
              <w:jc w:val="center"/>
            </w:pPr>
            <w:r>
              <w:rPr>
                <w:rFonts w:hint="eastAsia"/>
              </w:rPr>
              <w:t>不驻场</w:t>
            </w:r>
          </w:p>
        </w:tc>
      </w:tr>
    </w:tbl>
    <w:p w14:paraId="00316EAF">
      <w:r>
        <w:t>2）投标人应针对本项目提供不少于</w:t>
      </w:r>
      <w:r>
        <w:rPr>
          <w:rFonts w:hint="eastAsia"/>
          <w:lang w:val="en-US" w:eastAsia="zh-CN"/>
        </w:rPr>
        <w:t>3</w:t>
      </w:r>
      <w:r>
        <w:t>人的质保期间支撑团队（其中</w:t>
      </w:r>
      <w:r>
        <w:rPr>
          <w:rFonts w:hint="eastAsia"/>
          <w:lang w:val="en-US" w:eastAsia="zh-CN"/>
        </w:rPr>
        <w:t>项目经理1</w:t>
      </w:r>
      <w:r>
        <w:t>人，产品经理</w:t>
      </w:r>
      <w:r>
        <w:rPr>
          <w:rFonts w:hint="eastAsia"/>
          <w:lang w:val="en-US" w:eastAsia="zh-CN"/>
        </w:rPr>
        <w:t>1</w:t>
      </w:r>
      <w:r>
        <w:t>人，技术工程师不少于</w:t>
      </w:r>
      <w:r>
        <w:rPr>
          <w:rFonts w:hint="eastAsia"/>
          <w:lang w:val="en-US" w:eastAsia="zh-CN"/>
        </w:rPr>
        <w:t>1</w:t>
      </w:r>
      <w:r>
        <w:t>人）；投标人的相关服务人员需具备相应的服务能力，需提供相关证明（最近一个季度依法缴纳社保费的证明）。</w:t>
      </w:r>
    </w:p>
    <w:tbl>
      <w:tblPr>
        <w:tblStyle w:val="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6"/>
        <w:gridCol w:w="2520"/>
        <w:gridCol w:w="1180"/>
        <w:gridCol w:w="2232"/>
        <w:gridCol w:w="1180"/>
      </w:tblGrid>
      <w:tr w14:paraId="73F1E0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14:paraId="65C67163">
            <w:pPr>
              <w:widowControl/>
              <w:spacing w:line="240" w:lineRule="auto"/>
              <w:ind w:firstLine="0" w:firstLineChars="0"/>
              <w:jc w:val="center"/>
              <w:rPr>
                <w:b/>
              </w:rPr>
            </w:pPr>
            <w:r>
              <w:rPr>
                <w:rFonts w:hint="eastAsia"/>
                <w:b/>
              </w:rPr>
              <w:t>角色</w:t>
            </w:r>
          </w:p>
        </w:tc>
        <w:tc>
          <w:tcPr>
            <w:tcW w:w="0" w:type="auto"/>
            <w:shd w:val="clear" w:color="auto" w:fill="auto"/>
            <w:noWrap/>
            <w:vAlign w:val="center"/>
          </w:tcPr>
          <w:p w14:paraId="740180A8">
            <w:pPr>
              <w:widowControl/>
              <w:spacing w:line="240" w:lineRule="auto"/>
              <w:ind w:firstLine="0" w:firstLineChars="0"/>
              <w:jc w:val="center"/>
              <w:rPr>
                <w:b/>
              </w:rPr>
            </w:pPr>
            <w:r>
              <w:rPr>
                <w:rFonts w:hint="eastAsia"/>
                <w:b/>
              </w:rPr>
              <w:t>主要职责</w:t>
            </w:r>
          </w:p>
        </w:tc>
        <w:tc>
          <w:tcPr>
            <w:tcW w:w="0" w:type="auto"/>
            <w:shd w:val="clear" w:color="auto" w:fill="auto"/>
            <w:noWrap/>
            <w:vAlign w:val="center"/>
          </w:tcPr>
          <w:p w14:paraId="453EF7B0">
            <w:pPr>
              <w:widowControl/>
              <w:spacing w:line="240" w:lineRule="auto"/>
              <w:ind w:firstLine="0" w:firstLineChars="0"/>
              <w:jc w:val="center"/>
              <w:rPr>
                <w:b/>
              </w:rPr>
            </w:pPr>
            <w:r>
              <w:rPr>
                <w:rFonts w:hint="eastAsia"/>
                <w:b/>
              </w:rPr>
              <w:t>人员数量</w:t>
            </w:r>
          </w:p>
        </w:tc>
        <w:tc>
          <w:tcPr>
            <w:tcW w:w="0" w:type="auto"/>
            <w:vAlign w:val="center"/>
          </w:tcPr>
          <w:p w14:paraId="0AD7F8E9">
            <w:pPr>
              <w:widowControl/>
              <w:spacing w:line="240" w:lineRule="auto"/>
              <w:ind w:firstLine="0" w:firstLineChars="0"/>
              <w:jc w:val="center"/>
              <w:rPr>
                <w:b/>
              </w:rPr>
            </w:pPr>
            <w:r>
              <w:rPr>
                <w:rFonts w:hint="eastAsia"/>
                <w:b/>
              </w:rPr>
              <w:t>人员要求</w:t>
            </w:r>
          </w:p>
        </w:tc>
        <w:tc>
          <w:tcPr>
            <w:tcW w:w="0" w:type="auto"/>
            <w:shd w:val="clear" w:color="auto" w:fill="auto"/>
            <w:noWrap/>
            <w:vAlign w:val="center"/>
          </w:tcPr>
          <w:p w14:paraId="30DC43AF">
            <w:pPr>
              <w:widowControl/>
              <w:spacing w:line="240" w:lineRule="auto"/>
              <w:ind w:firstLine="0" w:firstLineChars="0"/>
              <w:jc w:val="center"/>
              <w:rPr>
                <w:b/>
              </w:rPr>
            </w:pPr>
            <w:r>
              <w:rPr>
                <w:rFonts w:hint="eastAsia"/>
                <w:b/>
              </w:rPr>
              <w:t>驻场要求</w:t>
            </w:r>
          </w:p>
        </w:tc>
      </w:tr>
      <w:tr w14:paraId="68DC8C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14:paraId="3455E1D7">
            <w:pPr>
              <w:widowControl/>
              <w:spacing w:line="240" w:lineRule="auto"/>
              <w:ind w:firstLine="0" w:firstLineChars="0"/>
              <w:jc w:val="center"/>
            </w:pPr>
            <w:r>
              <w:rPr>
                <w:rFonts w:hint="eastAsia"/>
              </w:rPr>
              <w:t>项目经理</w:t>
            </w:r>
          </w:p>
        </w:tc>
        <w:tc>
          <w:tcPr>
            <w:tcW w:w="0" w:type="auto"/>
            <w:shd w:val="clear" w:color="auto" w:fill="auto"/>
            <w:vAlign w:val="center"/>
          </w:tcPr>
          <w:p w14:paraId="5AC20487">
            <w:pPr>
              <w:widowControl/>
              <w:spacing w:line="240" w:lineRule="auto"/>
              <w:ind w:firstLine="0" w:firstLineChars="0"/>
              <w:jc w:val="center"/>
            </w:pPr>
            <w:r>
              <w:rPr>
                <w:rFonts w:hint="eastAsia"/>
              </w:rPr>
              <w:t>负责项目质量和进度控制</w:t>
            </w:r>
          </w:p>
        </w:tc>
        <w:tc>
          <w:tcPr>
            <w:tcW w:w="0" w:type="auto"/>
            <w:shd w:val="clear" w:color="auto" w:fill="auto"/>
            <w:noWrap/>
            <w:vAlign w:val="center"/>
          </w:tcPr>
          <w:p w14:paraId="33F6A33C">
            <w:pPr>
              <w:widowControl/>
              <w:spacing w:line="240" w:lineRule="auto"/>
              <w:ind w:firstLine="0" w:firstLineChars="0"/>
              <w:jc w:val="center"/>
            </w:pPr>
            <w:r>
              <w:rPr>
                <w:rFonts w:hint="eastAsia"/>
                <w:lang w:val="en-US" w:eastAsia="zh-CN"/>
              </w:rPr>
              <w:t>1</w:t>
            </w:r>
            <w:r>
              <w:rPr>
                <w:rFonts w:hint="eastAsia"/>
              </w:rPr>
              <w:t>人</w:t>
            </w:r>
          </w:p>
        </w:tc>
        <w:tc>
          <w:tcPr>
            <w:tcW w:w="0" w:type="auto"/>
            <w:vAlign w:val="center"/>
          </w:tcPr>
          <w:p w14:paraId="41F18F91">
            <w:pPr>
              <w:widowControl/>
              <w:spacing w:line="240" w:lineRule="auto"/>
              <w:ind w:firstLine="0" w:firstLineChars="0"/>
              <w:jc w:val="center"/>
            </w:pPr>
            <w:r>
              <w:rPr>
                <w:rFonts w:hint="eastAsia"/>
              </w:rPr>
              <w:t>具备信息系统项目管理师证书</w:t>
            </w:r>
            <w:r>
              <w:rPr>
                <w:rFonts w:hint="eastAsia"/>
                <w:lang w:eastAsia="zh-CN"/>
              </w:rPr>
              <w:t>、</w:t>
            </w:r>
            <w:r>
              <w:rPr>
                <w:rFonts w:hint="eastAsia"/>
                <w:lang w:val="en-US" w:eastAsia="zh-CN"/>
              </w:rPr>
              <w:t>计算机类高级职称</w:t>
            </w:r>
          </w:p>
        </w:tc>
        <w:tc>
          <w:tcPr>
            <w:tcW w:w="0" w:type="auto"/>
            <w:shd w:val="clear" w:color="auto" w:fill="auto"/>
            <w:noWrap/>
            <w:vAlign w:val="center"/>
          </w:tcPr>
          <w:p w14:paraId="604BC509">
            <w:pPr>
              <w:widowControl/>
              <w:spacing w:line="240" w:lineRule="auto"/>
              <w:ind w:firstLine="0" w:firstLineChars="0"/>
              <w:jc w:val="center"/>
            </w:pPr>
            <w:r>
              <w:rPr>
                <w:rFonts w:hint="eastAsia"/>
              </w:rPr>
              <w:t>不驻场</w:t>
            </w:r>
          </w:p>
        </w:tc>
      </w:tr>
      <w:tr w14:paraId="23B792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14:paraId="6FE9BC61">
            <w:pPr>
              <w:widowControl/>
              <w:spacing w:line="240" w:lineRule="auto"/>
              <w:ind w:firstLine="0" w:firstLineChars="0"/>
              <w:jc w:val="center"/>
            </w:pPr>
            <w:r>
              <w:rPr>
                <w:rFonts w:hint="eastAsia"/>
              </w:rPr>
              <w:t>产品经理</w:t>
            </w:r>
          </w:p>
        </w:tc>
        <w:tc>
          <w:tcPr>
            <w:tcW w:w="0" w:type="auto"/>
            <w:shd w:val="clear" w:color="auto" w:fill="auto"/>
            <w:vAlign w:val="center"/>
          </w:tcPr>
          <w:p w14:paraId="3BA419D2">
            <w:pPr>
              <w:widowControl/>
              <w:spacing w:line="240" w:lineRule="auto"/>
              <w:ind w:firstLine="0" w:firstLineChars="0"/>
              <w:jc w:val="center"/>
            </w:pPr>
            <w:r>
              <w:rPr>
                <w:rFonts w:hint="eastAsia"/>
              </w:rPr>
              <w:t>负责项目需求评估与产品设计</w:t>
            </w:r>
          </w:p>
        </w:tc>
        <w:tc>
          <w:tcPr>
            <w:tcW w:w="0" w:type="auto"/>
            <w:shd w:val="clear" w:color="auto" w:fill="auto"/>
            <w:noWrap/>
            <w:vAlign w:val="center"/>
          </w:tcPr>
          <w:p w14:paraId="79B7C917">
            <w:pPr>
              <w:widowControl/>
              <w:spacing w:line="240" w:lineRule="auto"/>
              <w:ind w:firstLine="0" w:firstLineChars="0"/>
              <w:jc w:val="center"/>
            </w:pPr>
            <w:r>
              <w:rPr>
                <w:rFonts w:hint="eastAsia"/>
                <w:lang w:val="en-US" w:eastAsia="zh-CN"/>
              </w:rPr>
              <w:t>1</w:t>
            </w:r>
            <w:r>
              <w:rPr>
                <w:rFonts w:hint="eastAsia"/>
              </w:rPr>
              <w:t>人</w:t>
            </w:r>
          </w:p>
        </w:tc>
        <w:tc>
          <w:tcPr>
            <w:tcW w:w="0" w:type="auto"/>
            <w:vAlign w:val="center"/>
          </w:tcPr>
          <w:p w14:paraId="37328673">
            <w:pPr>
              <w:widowControl/>
              <w:spacing w:line="240" w:lineRule="auto"/>
              <w:ind w:firstLine="0" w:firstLineChars="0"/>
              <w:jc w:val="center"/>
            </w:pPr>
          </w:p>
        </w:tc>
        <w:tc>
          <w:tcPr>
            <w:tcW w:w="0" w:type="auto"/>
            <w:shd w:val="clear" w:color="auto" w:fill="auto"/>
            <w:noWrap/>
            <w:vAlign w:val="center"/>
          </w:tcPr>
          <w:p w14:paraId="5B69477C">
            <w:pPr>
              <w:widowControl/>
              <w:spacing w:line="240" w:lineRule="auto"/>
              <w:ind w:firstLine="0" w:firstLineChars="0"/>
              <w:jc w:val="center"/>
            </w:pPr>
            <w:r>
              <w:rPr>
                <w:rFonts w:hint="eastAsia"/>
              </w:rPr>
              <w:t>不驻场</w:t>
            </w:r>
          </w:p>
        </w:tc>
      </w:tr>
      <w:tr w14:paraId="45537D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0" w:type="auto"/>
            <w:shd w:val="clear" w:color="auto" w:fill="auto"/>
            <w:noWrap/>
            <w:vAlign w:val="center"/>
          </w:tcPr>
          <w:p w14:paraId="2E8CC885">
            <w:pPr>
              <w:widowControl/>
              <w:spacing w:line="240" w:lineRule="auto"/>
              <w:ind w:firstLine="0" w:firstLineChars="0"/>
              <w:jc w:val="center"/>
            </w:pPr>
            <w:r>
              <w:rPr>
                <w:rFonts w:hint="eastAsia"/>
              </w:rPr>
              <w:t>技术工程师</w:t>
            </w:r>
          </w:p>
        </w:tc>
        <w:tc>
          <w:tcPr>
            <w:tcW w:w="0" w:type="auto"/>
            <w:shd w:val="clear" w:color="auto" w:fill="auto"/>
            <w:noWrap/>
            <w:vAlign w:val="center"/>
          </w:tcPr>
          <w:p w14:paraId="7CAA610A">
            <w:pPr>
              <w:widowControl/>
              <w:spacing w:line="240" w:lineRule="auto"/>
              <w:ind w:firstLine="0" w:firstLineChars="0"/>
              <w:jc w:val="center"/>
            </w:pPr>
            <w:r>
              <w:rPr>
                <w:rFonts w:hint="eastAsia"/>
              </w:rPr>
              <w:t>负责项目运行维护</w:t>
            </w:r>
          </w:p>
        </w:tc>
        <w:tc>
          <w:tcPr>
            <w:tcW w:w="0" w:type="auto"/>
            <w:shd w:val="clear" w:color="auto" w:fill="auto"/>
            <w:noWrap/>
            <w:vAlign w:val="center"/>
          </w:tcPr>
          <w:p w14:paraId="441304F1">
            <w:pPr>
              <w:widowControl/>
              <w:spacing w:line="240" w:lineRule="auto"/>
              <w:ind w:firstLine="0" w:firstLineChars="0"/>
              <w:jc w:val="center"/>
            </w:pPr>
            <w:r>
              <w:rPr>
                <w:rFonts w:hint="eastAsia"/>
                <w:lang w:val="en-US" w:eastAsia="zh-CN"/>
              </w:rPr>
              <w:t>1</w:t>
            </w:r>
            <w:r>
              <w:rPr>
                <w:rFonts w:hint="eastAsia"/>
              </w:rPr>
              <w:t>人</w:t>
            </w:r>
          </w:p>
        </w:tc>
        <w:tc>
          <w:tcPr>
            <w:tcW w:w="0" w:type="auto"/>
            <w:vAlign w:val="center"/>
          </w:tcPr>
          <w:p w14:paraId="5DB93C93">
            <w:pPr>
              <w:widowControl/>
              <w:spacing w:line="240" w:lineRule="auto"/>
              <w:ind w:firstLine="0" w:firstLineChars="0"/>
              <w:jc w:val="center"/>
            </w:pPr>
          </w:p>
        </w:tc>
        <w:tc>
          <w:tcPr>
            <w:tcW w:w="0" w:type="auto"/>
            <w:shd w:val="clear" w:color="auto" w:fill="auto"/>
            <w:noWrap/>
            <w:vAlign w:val="center"/>
          </w:tcPr>
          <w:p w14:paraId="315A3017">
            <w:pPr>
              <w:widowControl/>
              <w:spacing w:line="240" w:lineRule="auto"/>
              <w:ind w:firstLine="0" w:firstLineChars="0"/>
              <w:jc w:val="center"/>
            </w:pPr>
            <w:r>
              <w:rPr>
                <w:rFonts w:hint="eastAsia"/>
              </w:rPr>
              <w:t>不驻场</w:t>
            </w:r>
          </w:p>
        </w:tc>
      </w:tr>
    </w:tbl>
    <w:p w14:paraId="45CE0DAB">
      <w:pPr>
        <w:pStyle w:val="3"/>
        <w:numPr>
          <w:ilvl w:val="-1"/>
          <w:numId w:val="0"/>
        </w:numPr>
        <w:ind w:left="0" w:leftChars="0" w:firstLine="420" w:firstLineChars="0"/>
        <w:rPr>
          <w:b w:val="0"/>
          <w:bCs w:val="0"/>
          <w:sz w:val="24"/>
          <w:szCs w:val="24"/>
        </w:rPr>
      </w:pPr>
      <w:bookmarkStart w:id="32" w:name="_Toc63785511"/>
      <w:r>
        <w:rPr>
          <w:rFonts w:hint="default"/>
          <w:b w:val="0"/>
          <w:bCs w:val="0"/>
          <w:sz w:val="24"/>
          <w:szCs w:val="24"/>
        </w:rPr>
        <w:t>供应商具有数据治理或智能体相关软件著作权证书的，</w:t>
      </w:r>
      <w:r>
        <w:rPr>
          <w:rFonts w:hint="eastAsia"/>
          <w:b w:val="0"/>
          <w:bCs w:val="0"/>
          <w:sz w:val="24"/>
          <w:szCs w:val="24"/>
          <w:lang w:eastAsia="zh-CN"/>
        </w:rPr>
        <w:t>予以优先考虑</w:t>
      </w:r>
      <w:r>
        <w:rPr>
          <w:rFonts w:hint="default"/>
          <w:b w:val="0"/>
          <w:bCs w:val="0"/>
          <w:sz w:val="24"/>
          <w:szCs w:val="24"/>
        </w:rPr>
        <w:t>。</w:t>
      </w:r>
    </w:p>
    <w:p w14:paraId="15360E76">
      <w:pPr>
        <w:pStyle w:val="3"/>
        <w:ind w:left="0" w:leftChars="0" w:firstLine="0" w:firstLineChars="0"/>
      </w:pPr>
      <w:r>
        <w:t>等级保护要求</w:t>
      </w:r>
      <w:bookmarkEnd w:id="32"/>
    </w:p>
    <w:p w14:paraId="3E0AF6D5">
      <w:r>
        <w:rPr>
          <w:rFonts w:hint="eastAsia"/>
        </w:rPr>
        <w:t>本项目等级保护要求：安全等级保护二</w:t>
      </w:r>
      <w:bookmarkStart w:id="35" w:name="_GoBack"/>
      <w:bookmarkEnd w:id="35"/>
      <w:r>
        <w:rPr>
          <w:rFonts w:hint="eastAsia"/>
        </w:rPr>
        <w:t>级。</w:t>
      </w:r>
    </w:p>
    <w:p w14:paraId="546FE490">
      <w:pPr>
        <w:pStyle w:val="3"/>
        <w:ind w:left="0" w:leftChars="0" w:firstLine="0" w:firstLineChars="0"/>
      </w:pPr>
      <w:r>
        <w:rPr>
          <w:rFonts w:hint="eastAsia"/>
        </w:rPr>
        <w:t>商业密码应用需求</w:t>
      </w:r>
    </w:p>
    <w:p w14:paraId="4B1DB2EA">
      <w:pPr>
        <w:rPr>
          <w:rFonts w:hint="eastAsia"/>
          <w:color w:val="auto"/>
        </w:rPr>
      </w:pPr>
      <w:r>
        <w:rPr>
          <w:rFonts w:hint="eastAsia"/>
          <w:color w:val="auto"/>
        </w:rPr>
        <w:t>依据GB/T39786—2021《信息安全技术信息系统密码应用基本要求》，结合本系统风险控制需求分析结果，本系统的主要密码应用需求包括：</w:t>
      </w:r>
    </w:p>
    <w:tbl>
      <w:tblPr>
        <w:tblStyle w:val="5"/>
        <w:tblW w:w="5000" w:type="pct"/>
        <w:jc w:val="center"/>
        <w:tblBorders>
          <w:top w:val="single" w:color="auto" w:sz="8" w:space="0"/>
          <w:left w:val="single" w:color="auto" w:sz="8" w:space="0"/>
          <w:bottom w:val="single" w:color="000000"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482"/>
        <w:gridCol w:w="1900"/>
        <w:gridCol w:w="3225"/>
        <w:gridCol w:w="1921"/>
      </w:tblGrid>
      <w:tr w14:paraId="32C6B972">
        <w:tblPrEx>
          <w:tblBorders>
            <w:top w:val="single" w:color="auto" w:sz="8" w:space="0"/>
            <w:left w:val="single" w:color="auto" w:sz="8" w:space="0"/>
            <w:bottom w:val="single" w:color="000000"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1482" w:type="dxa"/>
            <w:shd w:val="clear" w:color="auto" w:fill="D9D9D9"/>
            <w:vAlign w:val="center"/>
          </w:tcPr>
          <w:p w14:paraId="5E71A4C9">
            <w:pPr>
              <w:pStyle w:val="9"/>
              <w:rPr>
                <w:color w:val="auto"/>
              </w:rPr>
            </w:pPr>
            <w:r>
              <w:rPr>
                <w:color w:val="auto"/>
              </w:rPr>
              <w:t>指标要求</w:t>
            </w:r>
          </w:p>
        </w:tc>
        <w:tc>
          <w:tcPr>
            <w:tcW w:w="1900" w:type="dxa"/>
            <w:shd w:val="clear" w:color="auto" w:fill="D9D9D9"/>
            <w:vAlign w:val="center"/>
          </w:tcPr>
          <w:p w14:paraId="59354E9A">
            <w:pPr>
              <w:pStyle w:val="9"/>
              <w:rPr>
                <w:color w:val="auto"/>
              </w:rPr>
            </w:pPr>
            <w:r>
              <w:rPr>
                <w:color w:val="auto"/>
              </w:rPr>
              <w:t>密码技术应用点</w:t>
            </w:r>
          </w:p>
        </w:tc>
        <w:tc>
          <w:tcPr>
            <w:tcW w:w="3225" w:type="dxa"/>
            <w:shd w:val="clear" w:color="auto" w:fill="D9D9D9"/>
            <w:vAlign w:val="center"/>
          </w:tcPr>
          <w:p w14:paraId="33B4241E">
            <w:pPr>
              <w:pStyle w:val="9"/>
              <w:rPr>
                <w:color w:val="auto"/>
              </w:rPr>
            </w:pPr>
            <w:r>
              <w:rPr>
                <w:rFonts w:hint="eastAsia"/>
                <w:color w:val="auto"/>
              </w:rPr>
              <w:t>密码应用需求</w:t>
            </w:r>
          </w:p>
        </w:tc>
        <w:tc>
          <w:tcPr>
            <w:tcW w:w="1921" w:type="dxa"/>
            <w:shd w:val="clear" w:color="auto" w:fill="D9D9D9"/>
            <w:vAlign w:val="center"/>
          </w:tcPr>
          <w:p w14:paraId="4C3C9EC4">
            <w:pPr>
              <w:pStyle w:val="9"/>
              <w:rPr>
                <w:color w:val="auto"/>
              </w:rPr>
            </w:pPr>
            <w:r>
              <w:rPr>
                <w:color w:val="auto"/>
              </w:rPr>
              <w:t>说明</w:t>
            </w:r>
          </w:p>
        </w:tc>
      </w:tr>
      <w:tr w14:paraId="11BBB930">
        <w:tblPrEx>
          <w:tblBorders>
            <w:top w:val="single" w:color="auto" w:sz="8" w:space="0"/>
            <w:left w:val="single" w:color="auto" w:sz="8" w:space="0"/>
            <w:bottom w:val="single" w:color="000000"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1482" w:type="dxa"/>
            <w:vMerge w:val="restart"/>
            <w:vAlign w:val="center"/>
          </w:tcPr>
          <w:p w14:paraId="6178F293">
            <w:pPr>
              <w:pStyle w:val="9"/>
              <w:rPr>
                <w:color w:val="auto"/>
              </w:rPr>
            </w:pPr>
            <w:r>
              <w:rPr>
                <w:color w:val="auto"/>
              </w:rPr>
              <w:t>物理和环境安全</w:t>
            </w:r>
          </w:p>
        </w:tc>
        <w:tc>
          <w:tcPr>
            <w:tcW w:w="1900" w:type="dxa"/>
            <w:vAlign w:val="center"/>
          </w:tcPr>
          <w:p w14:paraId="039B08B1">
            <w:pPr>
              <w:pStyle w:val="9"/>
              <w:rPr>
                <w:color w:val="auto"/>
              </w:rPr>
            </w:pPr>
            <w:r>
              <w:rPr>
                <w:rFonts w:hint="eastAsia"/>
                <w:color w:val="auto"/>
              </w:rPr>
              <w:t>身份鉴别</w:t>
            </w:r>
          </w:p>
        </w:tc>
        <w:tc>
          <w:tcPr>
            <w:tcW w:w="3225" w:type="dxa"/>
            <w:vMerge w:val="restart"/>
            <w:vAlign w:val="center"/>
          </w:tcPr>
          <w:p w14:paraId="22EBE357">
            <w:pPr>
              <w:pStyle w:val="9"/>
              <w:rPr>
                <w:color w:val="auto"/>
              </w:rPr>
            </w:pPr>
            <w:r>
              <w:rPr>
                <w:rFonts w:hint="eastAsia"/>
                <w:color w:val="auto"/>
              </w:rPr>
              <w:t>系统的物理和环境安全由云平台提供安全保障。</w:t>
            </w:r>
          </w:p>
        </w:tc>
        <w:tc>
          <w:tcPr>
            <w:tcW w:w="1921" w:type="dxa"/>
            <w:vMerge w:val="restart"/>
            <w:vAlign w:val="center"/>
          </w:tcPr>
          <w:p w14:paraId="781F7028">
            <w:pPr>
              <w:pStyle w:val="9"/>
              <w:rPr>
                <w:color w:val="auto"/>
              </w:rPr>
            </w:pPr>
            <w:r>
              <w:rPr>
                <w:rFonts w:hint="eastAsia"/>
                <w:color w:val="auto"/>
              </w:rPr>
              <w:t>云平台通过密评，已被完全评估</w:t>
            </w:r>
          </w:p>
        </w:tc>
      </w:tr>
      <w:tr w14:paraId="0223AA32">
        <w:tblPrEx>
          <w:tblBorders>
            <w:top w:val="single" w:color="auto" w:sz="8" w:space="0"/>
            <w:left w:val="single" w:color="auto" w:sz="8" w:space="0"/>
            <w:bottom w:val="single" w:color="000000"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1482" w:type="dxa"/>
            <w:vMerge w:val="continue"/>
            <w:vAlign w:val="center"/>
          </w:tcPr>
          <w:p w14:paraId="64A8741F">
            <w:pPr>
              <w:pStyle w:val="9"/>
              <w:rPr>
                <w:color w:val="auto"/>
              </w:rPr>
            </w:pPr>
          </w:p>
        </w:tc>
        <w:tc>
          <w:tcPr>
            <w:tcW w:w="1900" w:type="dxa"/>
            <w:vAlign w:val="center"/>
          </w:tcPr>
          <w:p w14:paraId="7CB29BE6">
            <w:pPr>
              <w:pStyle w:val="9"/>
              <w:rPr>
                <w:color w:val="auto"/>
              </w:rPr>
            </w:pPr>
            <w:r>
              <w:rPr>
                <w:rFonts w:hint="eastAsia"/>
                <w:color w:val="auto"/>
              </w:rPr>
              <w:t>电子门禁记录数据完整性</w:t>
            </w:r>
          </w:p>
        </w:tc>
        <w:tc>
          <w:tcPr>
            <w:tcW w:w="3225" w:type="dxa"/>
            <w:vMerge w:val="continue"/>
            <w:vAlign w:val="center"/>
          </w:tcPr>
          <w:p w14:paraId="31CC7684">
            <w:pPr>
              <w:pStyle w:val="9"/>
              <w:rPr>
                <w:color w:val="auto"/>
              </w:rPr>
            </w:pPr>
          </w:p>
        </w:tc>
        <w:tc>
          <w:tcPr>
            <w:tcW w:w="1921" w:type="dxa"/>
            <w:vMerge w:val="continue"/>
            <w:vAlign w:val="center"/>
          </w:tcPr>
          <w:p w14:paraId="66B41790">
            <w:pPr>
              <w:pStyle w:val="9"/>
              <w:rPr>
                <w:color w:val="auto"/>
              </w:rPr>
            </w:pPr>
          </w:p>
        </w:tc>
      </w:tr>
      <w:tr w14:paraId="00E39948">
        <w:tblPrEx>
          <w:tblBorders>
            <w:top w:val="single" w:color="auto" w:sz="8" w:space="0"/>
            <w:left w:val="single" w:color="auto" w:sz="8" w:space="0"/>
            <w:bottom w:val="single" w:color="000000"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1482" w:type="dxa"/>
            <w:vMerge w:val="continue"/>
            <w:vAlign w:val="center"/>
          </w:tcPr>
          <w:p w14:paraId="13F115CF">
            <w:pPr>
              <w:pStyle w:val="9"/>
              <w:rPr>
                <w:color w:val="auto"/>
              </w:rPr>
            </w:pPr>
          </w:p>
        </w:tc>
        <w:tc>
          <w:tcPr>
            <w:tcW w:w="1900" w:type="dxa"/>
            <w:vAlign w:val="center"/>
          </w:tcPr>
          <w:p w14:paraId="711182D8">
            <w:pPr>
              <w:pStyle w:val="9"/>
              <w:rPr>
                <w:color w:val="auto"/>
              </w:rPr>
            </w:pPr>
            <w:r>
              <w:rPr>
                <w:rFonts w:hint="eastAsia"/>
                <w:color w:val="auto"/>
              </w:rPr>
              <w:t>视频监控记录数据完整性</w:t>
            </w:r>
          </w:p>
        </w:tc>
        <w:tc>
          <w:tcPr>
            <w:tcW w:w="3225" w:type="dxa"/>
            <w:vMerge w:val="continue"/>
            <w:vAlign w:val="center"/>
          </w:tcPr>
          <w:p w14:paraId="2FC3605D">
            <w:pPr>
              <w:pStyle w:val="9"/>
              <w:rPr>
                <w:color w:val="auto"/>
              </w:rPr>
            </w:pPr>
          </w:p>
        </w:tc>
        <w:tc>
          <w:tcPr>
            <w:tcW w:w="1921" w:type="dxa"/>
            <w:vMerge w:val="continue"/>
            <w:vAlign w:val="center"/>
          </w:tcPr>
          <w:p w14:paraId="44198B7C">
            <w:pPr>
              <w:pStyle w:val="9"/>
              <w:rPr>
                <w:color w:val="auto"/>
              </w:rPr>
            </w:pPr>
          </w:p>
        </w:tc>
      </w:tr>
      <w:tr w14:paraId="05F85F02">
        <w:tblPrEx>
          <w:tblBorders>
            <w:top w:val="single" w:color="auto" w:sz="8" w:space="0"/>
            <w:left w:val="single" w:color="auto" w:sz="8" w:space="0"/>
            <w:bottom w:val="single" w:color="000000"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1482" w:type="dxa"/>
            <w:vMerge w:val="continue"/>
            <w:vAlign w:val="center"/>
          </w:tcPr>
          <w:p w14:paraId="78D0692B">
            <w:pPr>
              <w:pStyle w:val="9"/>
              <w:rPr>
                <w:color w:val="auto"/>
              </w:rPr>
            </w:pPr>
          </w:p>
        </w:tc>
        <w:tc>
          <w:tcPr>
            <w:tcW w:w="1900" w:type="dxa"/>
            <w:vAlign w:val="center"/>
          </w:tcPr>
          <w:p w14:paraId="262213AE">
            <w:pPr>
              <w:pStyle w:val="9"/>
              <w:rPr>
                <w:color w:val="auto"/>
              </w:rPr>
            </w:pPr>
            <w:r>
              <w:rPr>
                <w:rFonts w:hint="eastAsia"/>
                <w:color w:val="auto"/>
              </w:rPr>
              <w:t>密码服务</w:t>
            </w:r>
          </w:p>
        </w:tc>
        <w:tc>
          <w:tcPr>
            <w:tcW w:w="3225" w:type="dxa"/>
            <w:vMerge w:val="continue"/>
            <w:vAlign w:val="center"/>
          </w:tcPr>
          <w:p w14:paraId="03A2091A">
            <w:pPr>
              <w:pStyle w:val="9"/>
              <w:rPr>
                <w:color w:val="auto"/>
              </w:rPr>
            </w:pPr>
          </w:p>
        </w:tc>
        <w:tc>
          <w:tcPr>
            <w:tcW w:w="1921" w:type="dxa"/>
            <w:vMerge w:val="continue"/>
            <w:vAlign w:val="center"/>
          </w:tcPr>
          <w:p w14:paraId="457CE69F">
            <w:pPr>
              <w:pStyle w:val="9"/>
              <w:rPr>
                <w:color w:val="auto"/>
              </w:rPr>
            </w:pPr>
          </w:p>
        </w:tc>
      </w:tr>
      <w:tr w14:paraId="59D63026">
        <w:tblPrEx>
          <w:tblBorders>
            <w:top w:val="single" w:color="auto" w:sz="8" w:space="0"/>
            <w:left w:val="single" w:color="auto" w:sz="8" w:space="0"/>
            <w:bottom w:val="single" w:color="000000"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1482" w:type="dxa"/>
            <w:vMerge w:val="continue"/>
            <w:vAlign w:val="center"/>
          </w:tcPr>
          <w:p w14:paraId="49E8BC7C">
            <w:pPr>
              <w:pStyle w:val="9"/>
              <w:rPr>
                <w:color w:val="auto"/>
              </w:rPr>
            </w:pPr>
          </w:p>
        </w:tc>
        <w:tc>
          <w:tcPr>
            <w:tcW w:w="1900" w:type="dxa"/>
            <w:vAlign w:val="center"/>
          </w:tcPr>
          <w:p w14:paraId="43AD35A7">
            <w:pPr>
              <w:pStyle w:val="9"/>
              <w:rPr>
                <w:color w:val="auto"/>
              </w:rPr>
            </w:pPr>
            <w:r>
              <w:rPr>
                <w:rFonts w:hint="eastAsia"/>
                <w:color w:val="auto"/>
              </w:rPr>
              <w:t>密码产品</w:t>
            </w:r>
          </w:p>
        </w:tc>
        <w:tc>
          <w:tcPr>
            <w:tcW w:w="3225" w:type="dxa"/>
            <w:vMerge w:val="continue"/>
            <w:vAlign w:val="center"/>
          </w:tcPr>
          <w:p w14:paraId="0F5FC8FE">
            <w:pPr>
              <w:pStyle w:val="9"/>
              <w:rPr>
                <w:color w:val="auto"/>
              </w:rPr>
            </w:pPr>
          </w:p>
        </w:tc>
        <w:tc>
          <w:tcPr>
            <w:tcW w:w="1921" w:type="dxa"/>
            <w:vMerge w:val="continue"/>
            <w:vAlign w:val="center"/>
          </w:tcPr>
          <w:p w14:paraId="61FC8CBD">
            <w:pPr>
              <w:pStyle w:val="9"/>
              <w:rPr>
                <w:color w:val="auto"/>
              </w:rPr>
            </w:pPr>
          </w:p>
        </w:tc>
      </w:tr>
      <w:tr w14:paraId="33C96E88">
        <w:tblPrEx>
          <w:tblBorders>
            <w:top w:val="single" w:color="auto" w:sz="8" w:space="0"/>
            <w:left w:val="single" w:color="auto" w:sz="8" w:space="0"/>
            <w:bottom w:val="single" w:color="000000"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1482" w:type="dxa"/>
            <w:vMerge w:val="restart"/>
            <w:vAlign w:val="center"/>
          </w:tcPr>
          <w:p w14:paraId="6703566F">
            <w:pPr>
              <w:pStyle w:val="9"/>
              <w:rPr>
                <w:color w:val="auto"/>
              </w:rPr>
            </w:pPr>
            <w:r>
              <w:rPr>
                <w:color w:val="auto"/>
              </w:rPr>
              <w:t>网络和通信安全</w:t>
            </w:r>
          </w:p>
        </w:tc>
        <w:tc>
          <w:tcPr>
            <w:tcW w:w="1900" w:type="dxa"/>
            <w:vMerge w:val="restart"/>
            <w:vAlign w:val="center"/>
          </w:tcPr>
          <w:p w14:paraId="54C3AA85">
            <w:pPr>
              <w:pStyle w:val="9"/>
              <w:rPr>
                <w:color w:val="auto"/>
              </w:rPr>
            </w:pPr>
            <w:r>
              <w:rPr>
                <w:rFonts w:hint="eastAsia"/>
                <w:color w:val="auto"/>
              </w:rPr>
              <w:t>身份鉴别</w:t>
            </w:r>
          </w:p>
        </w:tc>
        <w:tc>
          <w:tcPr>
            <w:tcW w:w="3225" w:type="dxa"/>
            <w:vAlign w:val="center"/>
          </w:tcPr>
          <w:p w14:paraId="6D45C996">
            <w:pPr>
              <w:pStyle w:val="9"/>
              <w:rPr>
                <w:color w:val="auto"/>
              </w:rPr>
            </w:pPr>
            <w:r>
              <w:rPr>
                <w:rFonts w:hint="eastAsia"/>
                <w:color w:val="auto"/>
              </w:rPr>
              <w:t>确保PC终端和服务端通信实体身份的真实性，防止与假冒实体进行通信</w:t>
            </w:r>
          </w:p>
        </w:tc>
        <w:tc>
          <w:tcPr>
            <w:tcW w:w="1921" w:type="dxa"/>
            <w:vAlign w:val="center"/>
          </w:tcPr>
          <w:p w14:paraId="7287F963">
            <w:pPr>
              <w:pStyle w:val="9"/>
              <w:rPr>
                <w:color w:val="auto"/>
              </w:rPr>
            </w:pPr>
          </w:p>
        </w:tc>
      </w:tr>
      <w:tr w14:paraId="68A56EBE">
        <w:tblPrEx>
          <w:tblBorders>
            <w:top w:val="single" w:color="auto" w:sz="8" w:space="0"/>
            <w:left w:val="single" w:color="auto" w:sz="8" w:space="0"/>
            <w:bottom w:val="single" w:color="000000"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1482" w:type="dxa"/>
            <w:vMerge w:val="continue"/>
            <w:vAlign w:val="center"/>
          </w:tcPr>
          <w:p w14:paraId="26208D38">
            <w:pPr>
              <w:pStyle w:val="9"/>
              <w:rPr>
                <w:color w:val="auto"/>
              </w:rPr>
            </w:pPr>
          </w:p>
        </w:tc>
        <w:tc>
          <w:tcPr>
            <w:tcW w:w="1900" w:type="dxa"/>
            <w:vMerge w:val="continue"/>
            <w:vAlign w:val="center"/>
          </w:tcPr>
          <w:p w14:paraId="369A6083">
            <w:pPr>
              <w:pStyle w:val="9"/>
              <w:rPr>
                <w:color w:val="auto"/>
              </w:rPr>
            </w:pPr>
          </w:p>
        </w:tc>
        <w:tc>
          <w:tcPr>
            <w:tcW w:w="3225" w:type="dxa"/>
            <w:vAlign w:val="center"/>
          </w:tcPr>
          <w:p w14:paraId="3D34E06F">
            <w:pPr>
              <w:pStyle w:val="9"/>
              <w:rPr>
                <w:color w:val="auto"/>
              </w:rPr>
            </w:pPr>
            <w:r>
              <w:rPr>
                <w:rFonts w:hint="eastAsia"/>
                <w:color w:val="auto"/>
              </w:rPr>
              <w:t>管理端的身份鉴别由云平台提供安全保障。</w:t>
            </w:r>
          </w:p>
        </w:tc>
        <w:tc>
          <w:tcPr>
            <w:tcW w:w="1921" w:type="dxa"/>
            <w:vAlign w:val="center"/>
          </w:tcPr>
          <w:p w14:paraId="50474145">
            <w:pPr>
              <w:pStyle w:val="9"/>
              <w:rPr>
                <w:color w:val="auto"/>
              </w:rPr>
            </w:pPr>
          </w:p>
        </w:tc>
      </w:tr>
      <w:tr w14:paraId="45B75D57">
        <w:tblPrEx>
          <w:tblBorders>
            <w:top w:val="single" w:color="auto" w:sz="8" w:space="0"/>
            <w:left w:val="single" w:color="auto" w:sz="8" w:space="0"/>
            <w:bottom w:val="single" w:color="000000"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1482" w:type="dxa"/>
            <w:vMerge w:val="continue"/>
            <w:vAlign w:val="center"/>
          </w:tcPr>
          <w:p w14:paraId="21A71067">
            <w:pPr>
              <w:pStyle w:val="9"/>
              <w:rPr>
                <w:color w:val="auto"/>
              </w:rPr>
            </w:pPr>
          </w:p>
        </w:tc>
        <w:tc>
          <w:tcPr>
            <w:tcW w:w="1900" w:type="dxa"/>
            <w:vMerge w:val="restart"/>
            <w:vAlign w:val="center"/>
          </w:tcPr>
          <w:p w14:paraId="6ED121F4">
            <w:pPr>
              <w:pStyle w:val="9"/>
              <w:rPr>
                <w:color w:val="auto"/>
              </w:rPr>
            </w:pPr>
            <w:r>
              <w:rPr>
                <w:rFonts w:hint="eastAsia"/>
                <w:color w:val="auto"/>
              </w:rPr>
              <w:t>通信数据完整性</w:t>
            </w:r>
          </w:p>
        </w:tc>
        <w:tc>
          <w:tcPr>
            <w:tcW w:w="3225" w:type="dxa"/>
            <w:vAlign w:val="center"/>
          </w:tcPr>
          <w:p w14:paraId="242FADB4">
            <w:pPr>
              <w:pStyle w:val="9"/>
              <w:rPr>
                <w:color w:val="auto"/>
              </w:rPr>
            </w:pPr>
            <w:r>
              <w:rPr>
                <w:rFonts w:hint="eastAsia"/>
                <w:color w:val="auto"/>
              </w:rPr>
              <w:t>保护终端和服务端通信过程中业务数据的完整性，防止数据被非授权篡改</w:t>
            </w:r>
          </w:p>
        </w:tc>
        <w:tc>
          <w:tcPr>
            <w:tcW w:w="1921" w:type="dxa"/>
            <w:vAlign w:val="center"/>
          </w:tcPr>
          <w:p w14:paraId="40015E8D">
            <w:pPr>
              <w:pStyle w:val="9"/>
              <w:rPr>
                <w:color w:val="auto"/>
              </w:rPr>
            </w:pPr>
          </w:p>
        </w:tc>
      </w:tr>
      <w:tr w14:paraId="4F210EA0">
        <w:tblPrEx>
          <w:tblBorders>
            <w:top w:val="single" w:color="auto" w:sz="8" w:space="0"/>
            <w:left w:val="single" w:color="auto" w:sz="8" w:space="0"/>
            <w:bottom w:val="single" w:color="000000"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1482" w:type="dxa"/>
            <w:vMerge w:val="continue"/>
            <w:vAlign w:val="center"/>
          </w:tcPr>
          <w:p w14:paraId="361A03D6">
            <w:pPr>
              <w:pStyle w:val="9"/>
              <w:rPr>
                <w:color w:val="auto"/>
              </w:rPr>
            </w:pPr>
          </w:p>
        </w:tc>
        <w:tc>
          <w:tcPr>
            <w:tcW w:w="1900" w:type="dxa"/>
            <w:vMerge w:val="continue"/>
            <w:vAlign w:val="center"/>
          </w:tcPr>
          <w:p w14:paraId="785D2477">
            <w:pPr>
              <w:pStyle w:val="9"/>
              <w:rPr>
                <w:color w:val="auto"/>
              </w:rPr>
            </w:pPr>
          </w:p>
        </w:tc>
        <w:tc>
          <w:tcPr>
            <w:tcW w:w="3225" w:type="dxa"/>
            <w:vAlign w:val="center"/>
          </w:tcPr>
          <w:p w14:paraId="6C8020FE">
            <w:pPr>
              <w:pStyle w:val="9"/>
              <w:rPr>
                <w:color w:val="auto"/>
              </w:rPr>
            </w:pPr>
            <w:r>
              <w:rPr>
                <w:rFonts w:hint="eastAsia"/>
                <w:color w:val="auto"/>
              </w:rPr>
              <w:t>管理端进行远程运维管理时的运维通信数据完整性由云平台提供安全保障</w:t>
            </w:r>
          </w:p>
        </w:tc>
        <w:tc>
          <w:tcPr>
            <w:tcW w:w="1921" w:type="dxa"/>
            <w:vAlign w:val="center"/>
          </w:tcPr>
          <w:p w14:paraId="796AD9B2">
            <w:pPr>
              <w:pStyle w:val="9"/>
              <w:rPr>
                <w:color w:val="auto"/>
              </w:rPr>
            </w:pPr>
          </w:p>
        </w:tc>
      </w:tr>
      <w:tr w14:paraId="2FB1D970">
        <w:tblPrEx>
          <w:tblBorders>
            <w:top w:val="single" w:color="auto" w:sz="8" w:space="0"/>
            <w:left w:val="single" w:color="auto" w:sz="8" w:space="0"/>
            <w:bottom w:val="single" w:color="000000"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1482" w:type="dxa"/>
            <w:vMerge w:val="continue"/>
            <w:vAlign w:val="center"/>
          </w:tcPr>
          <w:p w14:paraId="24529029">
            <w:pPr>
              <w:pStyle w:val="9"/>
              <w:rPr>
                <w:color w:val="auto"/>
              </w:rPr>
            </w:pPr>
          </w:p>
        </w:tc>
        <w:tc>
          <w:tcPr>
            <w:tcW w:w="1900" w:type="dxa"/>
            <w:vMerge w:val="restart"/>
            <w:vAlign w:val="center"/>
          </w:tcPr>
          <w:p w14:paraId="124466FC">
            <w:pPr>
              <w:pStyle w:val="9"/>
              <w:rPr>
                <w:color w:val="auto"/>
              </w:rPr>
            </w:pPr>
            <w:r>
              <w:rPr>
                <w:rFonts w:hint="eastAsia"/>
                <w:color w:val="auto"/>
              </w:rPr>
              <w:t>通信过程中重要数据的机密性</w:t>
            </w:r>
          </w:p>
        </w:tc>
        <w:tc>
          <w:tcPr>
            <w:tcW w:w="3225" w:type="dxa"/>
            <w:vAlign w:val="center"/>
          </w:tcPr>
          <w:p w14:paraId="2CD54CED">
            <w:pPr>
              <w:pStyle w:val="9"/>
              <w:rPr>
                <w:color w:val="auto"/>
              </w:rPr>
            </w:pPr>
            <w:r>
              <w:rPr>
                <w:rFonts w:hint="eastAsia"/>
                <w:color w:val="auto"/>
              </w:rPr>
              <w:t>保护PC终端和服务端通信过程中业务数据的机密性，防止重要数据泄露。</w:t>
            </w:r>
          </w:p>
        </w:tc>
        <w:tc>
          <w:tcPr>
            <w:tcW w:w="1921" w:type="dxa"/>
            <w:vAlign w:val="center"/>
          </w:tcPr>
          <w:p w14:paraId="066451CA">
            <w:pPr>
              <w:pStyle w:val="9"/>
              <w:rPr>
                <w:color w:val="auto"/>
              </w:rPr>
            </w:pPr>
          </w:p>
        </w:tc>
      </w:tr>
      <w:tr w14:paraId="519228D2">
        <w:tblPrEx>
          <w:tblBorders>
            <w:top w:val="single" w:color="auto" w:sz="8" w:space="0"/>
            <w:left w:val="single" w:color="auto" w:sz="8" w:space="0"/>
            <w:bottom w:val="single" w:color="000000"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1482" w:type="dxa"/>
            <w:vMerge w:val="continue"/>
            <w:vAlign w:val="center"/>
          </w:tcPr>
          <w:p w14:paraId="76193749">
            <w:pPr>
              <w:pStyle w:val="9"/>
              <w:rPr>
                <w:color w:val="auto"/>
              </w:rPr>
            </w:pPr>
          </w:p>
        </w:tc>
        <w:tc>
          <w:tcPr>
            <w:tcW w:w="1900" w:type="dxa"/>
            <w:vMerge w:val="continue"/>
            <w:vAlign w:val="center"/>
          </w:tcPr>
          <w:p w14:paraId="6BC68687">
            <w:pPr>
              <w:pStyle w:val="9"/>
              <w:rPr>
                <w:color w:val="auto"/>
              </w:rPr>
            </w:pPr>
          </w:p>
        </w:tc>
        <w:tc>
          <w:tcPr>
            <w:tcW w:w="3225" w:type="dxa"/>
            <w:vAlign w:val="center"/>
          </w:tcPr>
          <w:p w14:paraId="67A8B032">
            <w:pPr>
              <w:pStyle w:val="9"/>
              <w:rPr>
                <w:color w:val="auto"/>
              </w:rPr>
            </w:pPr>
            <w:r>
              <w:rPr>
                <w:rFonts w:hint="eastAsia"/>
                <w:color w:val="auto"/>
              </w:rPr>
              <w:t>管理端进行远程运维管理时的运维通信数据机密性由云平台提供安全保障</w:t>
            </w:r>
          </w:p>
        </w:tc>
        <w:tc>
          <w:tcPr>
            <w:tcW w:w="1921" w:type="dxa"/>
            <w:vAlign w:val="center"/>
          </w:tcPr>
          <w:p w14:paraId="7A6D85D9">
            <w:pPr>
              <w:pStyle w:val="9"/>
              <w:rPr>
                <w:color w:val="auto"/>
              </w:rPr>
            </w:pPr>
          </w:p>
        </w:tc>
      </w:tr>
      <w:tr w14:paraId="2D65C674">
        <w:tblPrEx>
          <w:tblBorders>
            <w:top w:val="single" w:color="auto" w:sz="8" w:space="0"/>
            <w:left w:val="single" w:color="auto" w:sz="8" w:space="0"/>
            <w:bottom w:val="single" w:color="000000"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1482" w:type="dxa"/>
            <w:vMerge w:val="continue"/>
            <w:vAlign w:val="center"/>
          </w:tcPr>
          <w:p w14:paraId="69790884">
            <w:pPr>
              <w:pStyle w:val="9"/>
              <w:rPr>
                <w:color w:val="auto"/>
              </w:rPr>
            </w:pPr>
          </w:p>
        </w:tc>
        <w:tc>
          <w:tcPr>
            <w:tcW w:w="1900" w:type="dxa"/>
            <w:vAlign w:val="center"/>
          </w:tcPr>
          <w:p w14:paraId="29297C38">
            <w:pPr>
              <w:pStyle w:val="9"/>
              <w:rPr>
                <w:color w:val="auto"/>
              </w:rPr>
            </w:pPr>
            <w:r>
              <w:rPr>
                <w:rFonts w:hint="eastAsia"/>
                <w:color w:val="auto"/>
              </w:rPr>
              <w:t>网络边界访问控制信息的完整性</w:t>
            </w:r>
          </w:p>
        </w:tc>
        <w:tc>
          <w:tcPr>
            <w:tcW w:w="3225" w:type="dxa"/>
            <w:vAlign w:val="center"/>
          </w:tcPr>
          <w:p w14:paraId="24FAB164">
            <w:pPr>
              <w:pStyle w:val="9"/>
              <w:rPr>
                <w:color w:val="auto"/>
              </w:rPr>
            </w:pPr>
            <w:r>
              <w:rPr>
                <w:rFonts w:hint="eastAsia"/>
                <w:color w:val="auto"/>
              </w:rPr>
              <w:t>系统网络拓扑中不同区域网络边界需确保访问控制信息的完整性</w:t>
            </w:r>
          </w:p>
        </w:tc>
        <w:tc>
          <w:tcPr>
            <w:tcW w:w="1921" w:type="dxa"/>
            <w:vAlign w:val="center"/>
          </w:tcPr>
          <w:p w14:paraId="31D48070">
            <w:pPr>
              <w:pStyle w:val="9"/>
              <w:rPr>
                <w:color w:val="auto"/>
              </w:rPr>
            </w:pPr>
          </w:p>
        </w:tc>
      </w:tr>
      <w:tr w14:paraId="4BD7403B">
        <w:tblPrEx>
          <w:tblBorders>
            <w:top w:val="single" w:color="auto" w:sz="8" w:space="0"/>
            <w:left w:val="single" w:color="auto" w:sz="8" w:space="0"/>
            <w:bottom w:val="single" w:color="000000"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1482" w:type="dxa"/>
            <w:vMerge w:val="continue"/>
            <w:vAlign w:val="center"/>
          </w:tcPr>
          <w:p w14:paraId="2DD53EEA">
            <w:pPr>
              <w:pStyle w:val="9"/>
              <w:rPr>
                <w:color w:val="auto"/>
              </w:rPr>
            </w:pPr>
          </w:p>
        </w:tc>
        <w:tc>
          <w:tcPr>
            <w:tcW w:w="1900" w:type="dxa"/>
            <w:vAlign w:val="center"/>
          </w:tcPr>
          <w:p w14:paraId="142540C8">
            <w:pPr>
              <w:pStyle w:val="9"/>
              <w:rPr>
                <w:color w:val="auto"/>
              </w:rPr>
            </w:pPr>
            <w:r>
              <w:rPr>
                <w:rFonts w:hint="eastAsia"/>
                <w:color w:val="auto"/>
              </w:rPr>
              <w:t>安全接入认证</w:t>
            </w:r>
          </w:p>
        </w:tc>
        <w:tc>
          <w:tcPr>
            <w:tcW w:w="3225" w:type="dxa"/>
            <w:vAlign w:val="center"/>
          </w:tcPr>
          <w:p w14:paraId="1238EA8D">
            <w:pPr>
              <w:pStyle w:val="9"/>
              <w:rPr>
                <w:color w:val="auto"/>
              </w:rPr>
            </w:pPr>
            <w:r>
              <w:rPr>
                <w:rFonts w:hint="eastAsia"/>
                <w:color w:val="auto"/>
              </w:rPr>
              <w:t>不适用</w:t>
            </w:r>
          </w:p>
        </w:tc>
        <w:tc>
          <w:tcPr>
            <w:tcW w:w="1921" w:type="dxa"/>
            <w:vAlign w:val="center"/>
          </w:tcPr>
          <w:p w14:paraId="789808EC">
            <w:pPr>
              <w:pStyle w:val="9"/>
              <w:rPr>
                <w:color w:val="auto"/>
              </w:rPr>
            </w:pPr>
            <w:r>
              <w:rPr>
                <w:rFonts w:hint="eastAsia"/>
                <w:color w:val="auto"/>
              </w:rPr>
              <w:t>无外部接入设备</w:t>
            </w:r>
          </w:p>
        </w:tc>
      </w:tr>
      <w:tr w14:paraId="55FC9FA2">
        <w:tblPrEx>
          <w:tblBorders>
            <w:top w:val="single" w:color="auto" w:sz="8" w:space="0"/>
            <w:left w:val="single" w:color="auto" w:sz="8" w:space="0"/>
            <w:bottom w:val="single" w:color="000000"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1482" w:type="dxa"/>
            <w:vMerge w:val="continue"/>
            <w:vAlign w:val="center"/>
          </w:tcPr>
          <w:p w14:paraId="45C71349">
            <w:pPr>
              <w:pStyle w:val="9"/>
              <w:rPr>
                <w:color w:val="auto"/>
              </w:rPr>
            </w:pPr>
          </w:p>
        </w:tc>
        <w:tc>
          <w:tcPr>
            <w:tcW w:w="1900" w:type="dxa"/>
            <w:vAlign w:val="center"/>
          </w:tcPr>
          <w:p w14:paraId="5E3D1D4E">
            <w:pPr>
              <w:pStyle w:val="9"/>
              <w:rPr>
                <w:color w:val="auto"/>
              </w:rPr>
            </w:pPr>
            <w:r>
              <w:rPr>
                <w:rFonts w:hint="eastAsia"/>
                <w:color w:val="auto"/>
              </w:rPr>
              <w:t>密码服务</w:t>
            </w:r>
          </w:p>
        </w:tc>
        <w:tc>
          <w:tcPr>
            <w:tcW w:w="3225" w:type="dxa"/>
            <w:vAlign w:val="center"/>
          </w:tcPr>
          <w:p w14:paraId="13E33676">
            <w:pPr>
              <w:pStyle w:val="9"/>
              <w:rPr>
                <w:color w:val="auto"/>
              </w:rPr>
            </w:pPr>
            <w:r>
              <w:rPr>
                <w:rFonts w:hint="eastAsia"/>
                <w:color w:val="auto"/>
              </w:rPr>
              <w:t>采用的数字证书由具备资质的电子认证服务机构签发</w:t>
            </w:r>
          </w:p>
        </w:tc>
        <w:tc>
          <w:tcPr>
            <w:tcW w:w="1921" w:type="dxa"/>
            <w:vAlign w:val="center"/>
          </w:tcPr>
          <w:p w14:paraId="460CE770">
            <w:pPr>
              <w:pStyle w:val="9"/>
              <w:rPr>
                <w:color w:val="auto"/>
              </w:rPr>
            </w:pPr>
          </w:p>
        </w:tc>
      </w:tr>
      <w:tr w14:paraId="1162F596">
        <w:tblPrEx>
          <w:tblBorders>
            <w:top w:val="single" w:color="auto" w:sz="8" w:space="0"/>
            <w:left w:val="single" w:color="auto" w:sz="8" w:space="0"/>
            <w:bottom w:val="single" w:color="000000"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1482" w:type="dxa"/>
            <w:vMerge w:val="continue"/>
            <w:vAlign w:val="center"/>
          </w:tcPr>
          <w:p w14:paraId="4FC6E82C">
            <w:pPr>
              <w:pStyle w:val="9"/>
              <w:rPr>
                <w:color w:val="auto"/>
              </w:rPr>
            </w:pPr>
          </w:p>
        </w:tc>
        <w:tc>
          <w:tcPr>
            <w:tcW w:w="1900" w:type="dxa"/>
            <w:vAlign w:val="center"/>
          </w:tcPr>
          <w:p w14:paraId="508919A9">
            <w:pPr>
              <w:pStyle w:val="9"/>
              <w:rPr>
                <w:color w:val="auto"/>
              </w:rPr>
            </w:pPr>
            <w:r>
              <w:rPr>
                <w:rFonts w:hint="eastAsia"/>
                <w:color w:val="auto"/>
              </w:rPr>
              <w:t>密码产品</w:t>
            </w:r>
          </w:p>
        </w:tc>
        <w:tc>
          <w:tcPr>
            <w:tcW w:w="3225" w:type="dxa"/>
            <w:vAlign w:val="center"/>
          </w:tcPr>
          <w:p w14:paraId="643CC57B">
            <w:pPr>
              <w:pStyle w:val="9"/>
              <w:rPr>
                <w:color w:val="auto"/>
              </w:rPr>
            </w:pPr>
            <w:r>
              <w:rPr>
                <w:rFonts w:hint="eastAsia"/>
                <w:color w:val="auto"/>
              </w:rPr>
              <w:t>服务端相关的密码服务由云平台提供</w:t>
            </w:r>
          </w:p>
        </w:tc>
        <w:tc>
          <w:tcPr>
            <w:tcW w:w="1921" w:type="dxa"/>
            <w:vAlign w:val="center"/>
          </w:tcPr>
          <w:p w14:paraId="7AE7C6F2">
            <w:pPr>
              <w:pStyle w:val="9"/>
              <w:rPr>
                <w:color w:val="auto"/>
              </w:rPr>
            </w:pPr>
          </w:p>
        </w:tc>
      </w:tr>
      <w:tr w14:paraId="237D127E">
        <w:tblPrEx>
          <w:tblBorders>
            <w:top w:val="single" w:color="auto" w:sz="8" w:space="0"/>
            <w:left w:val="single" w:color="auto" w:sz="8" w:space="0"/>
            <w:bottom w:val="single" w:color="000000"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1482" w:type="dxa"/>
            <w:vMerge w:val="restart"/>
            <w:vAlign w:val="center"/>
          </w:tcPr>
          <w:p w14:paraId="2B93F6AE">
            <w:pPr>
              <w:pStyle w:val="9"/>
              <w:rPr>
                <w:color w:val="auto"/>
              </w:rPr>
            </w:pPr>
            <w:r>
              <w:rPr>
                <w:color w:val="auto"/>
              </w:rPr>
              <w:t>设备和计算安全</w:t>
            </w:r>
          </w:p>
        </w:tc>
        <w:tc>
          <w:tcPr>
            <w:tcW w:w="1900" w:type="dxa"/>
            <w:vAlign w:val="center"/>
          </w:tcPr>
          <w:p w14:paraId="10E74965">
            <w:pPr>
              <w:pStyle w:val="9"/>
              <w:rPr>
                <w:color w:val="auto"/>
              </w:rPr>
            </w:pPr>
            <w:r>
              <w:rPr>
                <w:rFonts w:hint="eastAsia"/>
                <w:color w:val="auto"/>
              </w:rPr>
              <w:t>身份鉴别</w:t>
            </w:r>
          </w:p>
        </w:tc>
        <w:tc>
          <w:tcPr>
            <w:tcW w:w="3225" w:type="dxa"/>
            <w:vAlign w:val="center"/>
          </w:tcPr>
          <w:p w14:paraId="042C055E">
            <w:pPr>
              <w:pStyle w:val="9"/>
              <w:rPr>
                <w:color w:val="auto"/>
              </w:rPr>
            </w:pPr>
            <w:r>
              <w:rPr>
                <w:rFonts w:hint="eastAsia"/>
                <w:color w:val="auto"/>
              </w:rPr>
              <w:t>对远程登录设备的用户身份真实性进行鉴别，防止假冒用户登录</w:t>
            </w:r>
          </w:p>
        </w:tc>
        <w:tc>
          <w:tcPr>
            <w:tcW w:w="1921" w:type="dxa"/>
            <w:vAlign w:val="center"/>
          </w:tcPr>
          <w:p w14:paraId="02A99F57">
            <w:pPr>
              <w:pStyle w:val="9"/>
              <w:rPr>
                <w:color w:val="auto"/>
              </w:rPr>
            </w:pPr>
          </w:p>
        </w:tc>
      </w:tr>
      <w:tr w14:paraId="236E8C5C">
        <w:tblPrEx>
          <w:tblBorders>
            <w:top w:val="single" w:color="auto" w:sz="8" w:space="0"/>
            <w:left w:val="single" w:color="auto" w:sz="8" w:space="0"/>
            <w:bottom w:val="single" w:color="000000"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1482" w:type="dxa"/>
            <w:vMerge w:val="continue"/>
            <w:vAlign w:val="center"/>
          </w:tcPr>
          <w:p w14:paraId="2A8F7D27">
            <w:pPr>
              <w:pStyle w:val="9"/>
              <w:rPr>
                <w:color w:val="auto"/>
              </w:rPr>
            </w:pPr>
          </w:p>
        </w:tc>
        <w:tc>
          <w:tcPr>
            <w:tcW w:w="1900" w:type="dxa"/>
            <w:vAlign w:val="center"/>
          </w:tcPr>
          <w:p w14:paraId="51DE9186">
            <w:pPr>
              <w:pStyle w:val="9"/>
              <w:rPr>
                <w:color w:val="auto"/>
              </w:rPr>
            </w:pPr>
            <w:r>
              <w:rPr>
                <w:rFonts w:hint="eastAsia"/>
                <w:color w:val="auto"/>
              </w:rPr>
              <w:t>远程管理通道安全</w:t>
            </w:r>
          </w:p>
        </w:tc>
        <w:tc>
          <w:tcPr>
            <w:tcW w:w="3225" w:type="dxa"/>
            <w:vAlign w:val="center"/>
          </w:tcPr>
          <w:p w14:paraId="78D58B97">
            <w:pPr>
              <w:pStyle w:val="9"/>
              <w:rPr>
                <w:color w:val="auto"/>
              </w:rPr>
            </w:pPr>
            <w:r>
              <w:rPr>
                <w:rFonts w:hint="eastAsia"/>
                <w:color w:val="auto"/>
              </w:rPr>
              <w:t>远程管理时保护管理员身份鉴别信息等重要数据被非法窃取或非法篡改</w:t>
            </w:r>
          </w:p>
        </w:tc>
        <w:tc>
          <w:tcPr>
            <w:tcW w:w="1921" w:type="dxa"/>
            <w:vAlign w:val="center"/>
          </w:tcPr>
          <w:p w14:paraId="4C59E6FB">
            <w:pPr>
              <w:pStyle w:val="9"/>
              <w:rPr>
                <w:color w:val="auto"/>
              </w:rPr>
            </w:pPr>
          </w:p>
        </w:tc>
      </w:tr>
      <w:tr w14:paraId="5234089E">
        <w:tblPrEx>
          <w:tblBorders>
            <w:top w:val="single" w:color="auto" w:sz="8" w:space="0"/>
            <w:left w:val="single" w:color="auto" w:sz="8" w:space="0"/>
            <w:bottom w:val="single" w:color="000000"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1482" w:type="dxa"/>
            <w:vMerge w:val="continue"/>
            <w:vAlign w:val="center"/>
          </w:tcPr>
          <w:p w14:paraId="1F704A4E">
            <w:pPr>
              <w:pStyle w:val="9"/>
              <w:rPr>
                <w:color w:val="auto"/>
              </w:rPr>
            </w:pPr>
          </w:p>
        </w:tc>
        <w:tc>
          <w:tcPr>
            <w:tcW w:w="1900" w:type="dxa"/>
            <w:vAlign w:val="center"/>
          </w:tcPr>
          <w:p w14:paraId="031EE85A">
            <w:pPr>
              <w:pStyle w:val="9"/>
              <w:rPr>
                <w:color w:val="auto"/>
              </w:rPr>
            </w:pPr>
            <w:r>
              <w:rPr>
                <w:rFonts w:hint="eastAsia"/>
                <w:color w:val="auto"/>
              </w:rPr>
              <w:t>系统资源访问控制信息完整性</w:t>
            </w:r>
          </w:p>
        </w:tc>
        <w:tc>
          <w:tcPr>
            <w:tcW w:w="3225" w:type="dxa"/>
            <w:vAlign w:val="center"/>
          </w:tcPr>
          <w:p w14:paraId="47FA8813">
            <w:pPr>
              <w:pStyle w:val="9"/>
              <w:rPr>
                <w:color w:val="auto"/>
              </w:rPr>
            </w:pPr>
            <w:r>
              <w:rPr>
                <w:rFonts w:hint="eastAsia"/>
                <w:color w:val="auto"/>
              </w:rPr>
              <w:t>保护系统资源访问控制信息免受非法篡改</w:t>
            </w:r>
          </w:p>
        </w:tc>
        <w:tc>
          <w:tcPr>
            <w:tcW w:w="1921" w:type="dxa"/>
            <w:vAlign w:val="center"/>
          </w:tcPr>
          <w:p w14:paraId="22EFC1ED">
            <w:pPr>
              <w:pStyle w:val="9"/>
              <w:rPr>
                <w:color w:val="auto"/>
              </w:rPr>
            </w:pPr>
          </w:p>
        </w:tc>
      </w:tr>
      <w:tr w14:paraId="02330DB7">
        <w:tblPrEx>
          <w:tblBorders>
            <w:top w:val="single" w:color="auto" w:sz="8" w:space="0"/>
            <w:left w:val="single" w:color="auto" w:sz="8" w:space="0"/>
            <w:bottom w:val="single" w:color="000000"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1482" w:type="dxa"/>
            <w:vMerge w:val="continue"/>
            <w:vAlign w:val="center"/>
          </w:tcPr>
          <w:p w14:paraId="3B06221D">
            <w:pPr>
              <w:pStyle w:val="9"/>
              <w:rPr>
                <w:color w:val="auto"/>
              </w:rPr>
            </w:pPr>
          </w:p>
        </w:tc>
        <w:tc>
          <w:tcPr>
            <w:tcW w:w="1900" w:type="dxa"/>
            <w:vAlign w:val="center"/>
          </w:tcPr>
          <w:p w14:paraId="7BD88DD2">
            <w:pPr>
              <w:pStyle w:val="9"/>
              <w:rPr>
                <w:color w:val="auto"/>
              </w:rPr>
            </w:pPr>
            <w:r>
              <w:rPr>
                <w:rFonts w:hint="eastAsia"/>
                <w:color w:val="auto"/>
              </w:rPr>
              <w:t>重要信息资源安全标记的完整性</w:t>
            </w:r>
          </w:p>
        </w:tc>
        <w:tc>
          <w:tcPr>
            <w:tcW w:w="3225" w:type="dxa"/>
            <w:vAlign w:val="center"/>
          </w:tcPr>
          <w:p w14:paraId="2A48D4D5">
            <w:pPr>
              <w:pStyle w:val="9"/>
              <w:rPr>
                <w:color w:val="auto"/>
              </w:rPr>
            </w:pPr>
            <w:r>
              <w:rPr>
                <w:rFonts w:hint="eastAsia"/>
                <w:color w:val="auto"/>
              </w:rPr>
              <w:t>不适用</w:t>
            </w:r>
          </w:p>
        </w:tc>
        <w:tc>
          <w:tcPr>
            <w:tcW w:w="1921" w:type="dxa"/>
            <w:vAlign w:val="center"/>
          </w:tcPr>
          <w:p w14:paraId="4B3ADBAF">
            <w:pPr>
              <w:pStyle w:val="9"/>
              <w:rPr>
                <w:color w:val="auto"/>
              </w:rPr>
            </w:pPr>
            <w:r>
              <w:rPr>
                <w:rFonts w:hint="eastAsia"/>
                <w:color w:val="auto"/>
              </w:rPr>
              <w:t>无重要信息资源安全标记</w:t>
            </w:r>
          </w:p>
        </w:tc>
      </w:tr>
      <w:tr w14:paraId="704FC810">
        <w:tblPrEx>
          <w:tblBorders>
            <w:top w:val="single" w:color="auto" w:sz="8" w:space="0"/>
            <w:left w:val="single" w:color="auto" w:sz="8" w:space="0"/>
            <w:bottom w:val="single" w:color="000000"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1482" w:type="dxa"/>
            <w:vMerge w:val="continue"/>
            <w:vAlign w:val="center"/>
          </w:tcPr>
          <w:p w14:paraId="407DA53A">
            <w:pPr>
              <w:pStyle w:val="9"/>
              <w:rPr>
                <w:color w:val="auto"/>
              </w:rPr>
            </w:pPr>
          </w:p>
        </w:tc>
        <w:tc>
          <w:tcPr>
            <w:tcW w:w="1900" w:type="dxa"/>
            <w:vAlign w:val="center"/>
          </w:tcPr>
          <w:p w14:paraId="7B701C44">
            <w:pPr>
              <w:pStyle w:val="9"/>
              <w:rPr>
                <w:color w:val="auto"/>
              </w:rPr>
            </w:pPr>
            <w:r>
              <w:rPr>
                <w:rFonts w:hint="eastAsia"/>
                <w:color w:val="auto"/>
              </w:rPr>
              <w:t>日志记录完整性</w:t>
            </w:r>
          </w:p>
        </w:tc>
        <w:tc>
          <w:tcPr>
            <w:tcW w:w="3225" w:type="dxa"/>
            <w:vAlign w:val="center"/>
          </w:tcPr>
          <w:p w14:paraId="185ECFB0">
            <w:pPr>
              <w:pStyle w:val="9"/>
              <w:rPr>
                <w:color w:val="auto"/>
              </w:rPr>
            </w:pPr>
            <w:r>
              <w:rPr>
                <w:rFonts w:hint="eastAsia"/>
                <w:color w:val="auto"/>
              </w:rPr>
              <w:t>保护重要日志记录信息免受非法篡改</w:t>
            </w:r>
          </w:p>
        </w:tc>
        <w:tc>
          <w:tcPr>
            <w:tcW w:w="1921" w:type="dxa"/>
            <w:vAlign w:val="center"/>
          </w:tcPr>
          <w:p w14:paraId="6DF9855D">
            <w:pPr>
              <w:pStyle w:val="9"/>
              <w:rPr>
                <w:color w:val="auto"/>
              </w:rPr>
            </w:pPr>
          </w:p>
        </w:tc>
      </w:tr>
      <w:tr w14:paraId="6CEAAADA">
        <w:tblPrEx>
          <w:tblBorders>
            <w:top w:val="single" w:color="auto" w:sz="8" w:space="0"/>
            <w:left w:val="single" w:color="auto" w:sz="8" w:space="0"/>
            <w:bottom w:val="single" w:color="000000"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1482" w:type="dxa"/>
            <w:vMerge w:val="continue"/>
            <w:vAlign w:val="center"/>
          </w:tcPr>
          <w:p w14:paraId="7B0F00D0">
            <w:pPr>
              <w:pStyle w:val="9"/>
              <w:rPr>
                <w:color w:val="auto"/>
              </w:rPr>
            </w:pPr>
          </w:p>
        </w:tc>
        <w:tc>
          <w:tcPr>
            <w:tcW w:w="1900" w:type="dxa"/>
            <w:vAlign w:val="center"/>
          </w:tcPr>
          <w:p w14:paraId="6DC4BDF2">
            <w:pPr>
              <w:pStyle w:val="9"/>
              <w:rPr>
                <w:color w:val="auto"/>
              </w:rPr>
            </w:pPr>
            <w:r>
              <w:rPr>
                <w:rFonts w:hint="eastAsia"/>
                <w:color w:val="auto"/>
              </w:rPr>
              <w:t>重要可执行程序完整性、重要可执行程序来源真实性</w:t>
            </w:r>
          </w:p>
        </w:tc>
        <w:tc>
          <w:tcPr>
            <w:tcW w:w="3225" w:type="dxa"/>
            <w:vAlign w:val="center"/>
          </w:tcPr>
          <w:p w14:paraId="4809D675">
            <w:pPr>
              <w:pStyle w:val="9"/>
              <w:rPr>
                <w:color w:val="auto"/>
              </w:rPr>
            </w:pPr>
            <w:r>
              <w:rPr>
                <w:rFonts w:hint="eastAsia"/>
                <w:color w:val="auto"/>
              </w:rPr>
              <w:t>保护重要可执行程序免受非法篡改</w:t>
            </w:r>
          </w:p>
        </w:tc>
        <w:tc>
          <w:tcPr>
            <w:tcW w:w="1921" w:type="dxa"/>
            <w:vAlign w:val="center"/>
          </w:tcPr>
          <w:p w14:paraId="75E49273">
            <w:pPr>
              <w:pStyle w:val="9"/>
              <w:rPr>
                <w:color w:val="auto"/>
              </w:rPr>
            </w:pPr>
          </w:p>
        </w:tc>
      </w:tr>
      <w:tr w14:paraId="02190D5C">
        <w:tblPrEx>
          <w:tblBorders>
            <w:top w:val="single" w:color="auto" w:sz="8" w:space="0"/>
            <w:left w:val="single" w:color="auto" w:sz="8" w:space="0"/>
            <w:bottom w:val="single" w:color="000000"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1482" w:type="dxa"/>
            <w:vMerge w:val="continue"/>
            <w:vAlign w:val="center"/>
          </w:tcPr>
          <w:p w14:paraId="74554EE0">
            <w:pPr>
              <w:pStyle w:val="9"/>
              <w:rPr>
                <w:color w:val="auto"/>
              </w:rPr>
            </w:pPr>
          </w:p>
        </w:tc>
        <w:tc>
          <w:tcPr>
            <w:tcW w:w="1900" w:type="dxa"/>
            <w:vAlign w:val="center"/>
          </w:tcPr>
          <w:p w14:paraId="4F55BD03">
            <w:pPr>
              <w:pStyle w:val="9"/>
              <w:rPr>
                <w:color w:val="auto"/>
              </w:rPr>
            </w:pPr>
            <w:r>
              <w:rPr>
                <w:rFonts w:hint="eastAsia"/>
                <w:color w:val="auto"/>
              </w:rPr>
              <w:t>密码服务</w:t>
            </w:r>
          </w:p>
        </w:tc>
        <w:tc>
          <w:tcPr>
            <w:tcW w:w="3225" w:type="dxa"/>
            <w:vAlign w:val="center"/>
          </w:tcPr>
          <w:p w14:paraId="1B67F846">
            <w:pPr>
              <w:pStyle w:val="9"/>
              <w:rPr>
                <w:color w:val="auto"/>
              </w:rPr>
            </w:pPr>
            <w:r>
              <w:rPr>
                <w:rFonts w:hint="eastAsia"/>
                <w:color w:val="auto"/>
              </w:rPr>
              <w:t>采用的数字证书由具备资质的电子认证服务机构签发</w:t>
            </w:r>
          </w:p>
        </w:tc>
        <w:tc>
          <w:tcPr>
            <w:tcW w:w="1921" w:type="dxa"/>
            <w:vAlign w:val="center"/>
          </w:tcPr>
          <w:p w14:paraId="67839CB8">
            <w:pPr>
              <w:pStyle w:val="9"/>
              <w:rPr>
                <w:color w:val="auto"/>
              </w:rPr>
            </w:pPr>
          </w:p>
        </w:tc>
      </w:tr>
      <w:tr w14:paraId="0FA4198C">
        <w:tblPrEx>
          <w:tblBorders>
            <w:top w:val="single" w:color="auto" w:sz="8" w:space="0"/>
            <w:left w:val="single" w:color="auto" w:sz="8" w:space="0"/>
            <w:bottom w:val="single" w:color="000000"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1482" w:type="dxa"/>
            <w:vMerge w:val="continue"/>
            <w:vAlign w:val="center"/>
          </w:tcPr>
          <w:p w14:paraId="781DA83B">
            <w:pPr>
              <w:pStyle w:val="9"/>
              <w:rPr>
                <w:color w:val="auto"/>
              </w:rPr>
            </w:pPr>
          </w:p>
        </w:tc>
        <w:tc>
          <w:tcPr>
            <w:tcW w:w="1900" w:type="dxa"/>
            <w:vAlign w:val="center"/>
          </w:tcPr>
          <w:p w14:paraId="25606B9C">
            <w:pPr>
              <w:pStyle w:val="9"/>
              <w:rPr>
                <w:color w:val="auto"/>
              </w:rPr>
            </w:pPr>
            <w:r>
              <w:rPr>
                <w:rFonts w:hint="eastAsia"/>
                <w:color w:val="auto"/>
              </w:rPr>
              <w:t>密码产品</w:t>
            </w:r>
          </w:p>
        </w:tc>
        <w:tc>
          <w:tcPr>
            <w:tcW w:w="3225" w:type="dxa"/>
            <w:vAlign w:val="center"/>
          </w:tcPr>
          <w:p w14:paraId="34BAC013">
            <w:pPr>
              <w:pStyle w:val="9"/>
              <w:rPr>
                <w:color w:val="auto"/>
              </w:rPr>
            </w:pPr>
            <w:r>
              <w:rPr>
                <w:rFonts w:hint="eastAsia"/>
                <w:color w:val="auto"/>
              </w:rPr>
              <w:t>服务端相关的密码服务由云平台提供安全保障</w:t>
            </w:r>
          </w:p>
        </w:tc>
        <w:tc>
          <w:tcPr>
            <w:tcW w:w="1921" w:type="dxa"/>
            <w:vAlign w:val="center"/>
          </w:tcPr>
          <w:p w14:paraId="7D596F99">
            <w:pPr>
              <w:pStyle w:val="9"/>
              <w:rPr>
                <w:color w:val="auto"/>
              </w:rPr>
            </w:pPr>
          </w:p>
        </w:tc>
      </w:tr>
      <w:tr w14:paraId="6591472C">
        <w:tblPrEx>
          <w:tblBorders>
            <w:top w:val="single" w:color="auto" w:sz="8" w:space="0"/>
            <w:left w:val="single" w:color="auto" w:sz="8" w:space="0"/>
            <w:bottom w:val="single" w:color="000000"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1482" w:type="dxa"/>
            <w:vMerge w:val="restart"/>
            <w:vAlign w:val="center"/>
          </w:tcPr>
          <w:p w14:paraId="26A7DF18">
            <w:pPr>
              <w:pStyle w:val="9"/>
              <w:rPr>
                <w:color w:val="auto"/>
              </w:rPr>
            </w:pPr>
            <w:r>
              <w:rPr>
                <w:color w:val="auto"/>
              </w:rPr>
              <w:t>应用和数据安全</w:t>
            </w:r>
          </w:p>
        </w:tc>
        <w:tc>
          <w:tcPr>
            <w:tcW w:w="1900" w:type="dxa"/>
            <w:vAlign w:val="center"/>
          </w:tcPr>
          <w:p w14:paraId="33BCCF5C">
            <w:pPr>
              <w:pStyle w:val="9"/>
              <w:rPr>
                <w:color w:val="auto"/>
              </w:rPr>
            </w:pPr>
            <w:r>
              <w:rPr>
                <w:rFonts w:hint="eastAsia"/>
                <w:color w:val="auto"/>
              </w:rPr>
              <w:t>身份鉴别</w:t>
            </w:r>
          </w:p>
        </w:tc>
        <w:tc>
          <w:tcPr>
            <w:tcW w:w="3225" w:type="dxa"/>
            <w:vAlign w:val="center"/>
          </w:tcPr>
          <w:p w14:paraId="126E94BE">
            <w:pPr>
              <w:pStyle w:val="9"/>
              <w:rPr>
                <w:color w:val="auto"/>
              </w:rPr>
            </w:pPr>
            <w:r>
              <w:rPr>
                <w:rFonts w:hint="eastAsia"/>
                <w:color w:val="auto"/>
              </w:rPr>
              <w:t>保护执行关键操作或访问重要数据的用户身份真实性，防止假冒用户访问</w:t>
            </w:r>
          </w:p>
        </w:tc>
        <w:tc>
          <w:tcPr>
            <w:tcW w:w="1921" w:type="dxa"/>
            <w:vAlign w:val="center"/>
          </w:tcPr>
          <w:p w14:paraId="413DE2A0">
            <w:pPr>
              <w:pStyle w:val="9"/>
              <w:rPr>
                <w:color w:val="auto"/>
              </w:rPr>
            </w:pPr>
          </w:p>
        </w:tc>
      </w:tr>
      <w:tr w14:paraId="436B8763">
        <w:tblPrEx>
          <w:tblBorders>
            <w:top w:val="single" w:color="auto" w:sz="8" w:space="0"/>
            <w:left w:val="single" w:color="auto" w:sz="8" w:space="0"/>
            <w:bottom w:val="single" w:color="000000"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1482" w:type="dxa"/>
            <w:vMerge w:val="continue"/>
            <w:vAlign w:val="center"/>
          </w:tcPr>
          <w:p w14:paraId="4313B858">
            <w:pPr>
              <w:pStyle w:val="9"/>
              <w:rPr>
                <w:color w:val="auto"/>
              </w:rPr>
            </w:pPr>
          </w:p>
        </w:tc>
        <w:tc>
          <w:tcPr>
            <w:tcW w:w="1900" w:type="dxa"/>
            <w:vAlign w:val="center"/>
          </w:tcPr>
          <w:p w14:paraId="243813AF">
            <w:pPr>
              <w:pStyle w:val="9"/>
              <w:rPr>
                <w:color w:val="auto"/>
              </w:rPr>
            </w:pPr>
            <w:r>
              <w:rPr>
                <w:rFonts w:hint="eastAsia"/>
                <w:color w:val="auto"/>
              </w:rPr>
              <w:t>访问控制信息完整性</w:t>
            </w:r>
          </w:p>
        </w:tc>
        <w:tc>
          <w:tcPr>
            <w:tcW w:w="3225" w:type="dxa"/>
            <w:vAlign w:val="center"/>
          </w:tcPr>
          <w:p w14:paraId="6E1C451E">
            <w:pPr>
              <w:pStyle w:val="9"/>
              <w:rPr>
                <w:color w:val="auto"/>
              </w:rPr>
            </w:pPr>
            <w:r>
              <w:rPr>
                <w:rFonts w:hint="eastAsia"/>
                <w:color w:val="auto"/>
              </w:rPr>
              <w:t>保护应用系统的访问控制信息免受非法篡改</w:t>
            </w:r>
          </w:p>
        </w:tc>
        <w:tc>
          <w:tcPr>
            <w:tcW w:w="1921" w:type="dxa"/>
            <w:vAlign w:val="center"/>
          </w:tcPr>
          <w:p w14:paraId="34E30E31">
            <w:pPr>
              <w:pStyle w:val="9"/>
              <w:rPr>
                <w:color w:val="auto"/>
              </w:rPr>
            </w:pPr>
          </w:p>
        </w:tc>
      </w:tr>
      <w:tr w14:paraId="584C1091">
        <w:tblPrEx>
          <w:tblBorders>
            <w:top w:val="single" w:color="auto" w:sz="8" w:space="0"/>
            <w:left w:val="single" w:color="auto" w:sz="8" w:space="0"/>
            <w:bottom w:val="single" w:color="000000"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1482" w:type="dxa"/>
            <w:vMerge w:val="continue"/>
            <w:vAlign w:val="center"/>
          </w:tcPr>
          <w:p w14:paraId="2FD438B9">
            <w:pPr>
              <w:pStyle w:val="9"/>
              <w:rPr>
                <w:color w:val="auto"/>
              </w:rPr>
            </w:pPr>
          </w:p>
        </w:tc>
        <w:tc>
          <w:tcPr>
            <w:tcW w:w="1900" w:type="dxa"/>
            <w:vAlign w:val="center"/>
          </w:tcPr>
          <w:p w14:paraId="312775DB">
            <w:pPr>
              <w:pStyle w:val="9"/>
              <w:rPr>
                <w:color w:val="auto"/>
              </w:rPr>
            </w:pPr>
            <w:r>
              <w:rPr>
                <w:rFonts w:hint="eastAsia"/>
                <w:color w:val="auto"/>
              </w:rPr>
              <w:t>重要信息资源安全标记完整性</w:t>
            </w:r>
          </w:p>
        </w:tc>
        <w:tc>
          <w:tcPr>
            <w:tcW w:w="3225" w:type="dxa"/>
            <w:vAlign w:val="center"/>
          </w:tcPr>
          <w:p w14:paraId="6F44143E">
            <w:pPr>
              <w:pStyle w:val="9"/>
              <w:rPr>
                <w:color w:val="auto"/>
              </w:rPr>
            </w:pPr>
            <w:r>
              <w:rPr>
                <w:rFonts w:hint="eastAsia"/>
                <w:color w:val="auto"/>
              </w:rPr>
              <w:t>不适用</w:t>
            </w:r>
          </w:p>
        </w:tc>
        <w:tc>
          <w:tcPr>
            <w:tcW w:w="1921" w:type="dxa"/>
            <w:vAlign w:val="center"/>
          </w:tcPr>
          <w:p w14:paraId="659A3A28">
            <w:pPr>
              <w:pStyle w:val="9"/>
              <w:rPr>
                <w:color w:val="auto"/>
              </w:rPr>
            </w:pPr>
            <w:r>
              <w:rPr>
                <w:rFonts w:hint="eastAsia"/>
                <w:color w:val="auto"/>
              </w:rPr>
              <w:t>无重要信息资源安全标记</w:t>
            </w:r>
          </w:p>
        </w:tc>
      </w:tr>
      <w:tr w14:paraId="0A8468FD">
        <w:tblPrEx>
          <w:tblBorders>
            <w:top w:val="single" w:color="auto" w:sz="8" w:space="0"/>
            <w:left w:val="single" w:color="auto" w:sz="8" w:space="0"/>
            <w:bottom w:val="single" w:color="000000"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1482" w:type="dxa"/>
            <w:vMerge w:val="continue"/>
            <w:vAlign w:val="center"/>
          </w:tcPr>
          <w:p w14:paraId="213C01C9">
            <w:pPr>
              <w:pStyle w:val="9"/>
              <w:rPr>
                <w:color w:val="auto"/>
              </w:rPr>
            </w:pPr>
          </w:p>
        </w:tc>
        <w:tc>
          <w:tcPr>
            <w:tcW w:w="1900" w:type="dxa"/>
            <w:vAlign w:val="center"/>
          </w:tcPr>
          <w:p w14:paraId="2599A93F">
            <w:pPr>
              <w:pStyle w:val="9"/>
              <w:rPr>
                <w:color w:val="auto"/>
              </w:rPr>
            </w:pPr>
            <w:r>
              <w:rPr>
                <w:rFonts w:hint="eastAsia"/>
                <w:color w:val="auto"/>
              </w:rPr>
              <w:t>重要数据传输机密性</w:t>
            </w:r>
          </w:p>
        </w:tc>
        <w:tc>
          <w:tcPr>
            <w:tcW w:w="3225" w:type="dxa"/>
            <w:vAlign w:val="center"/>
          </w:tcPr>
          <w:p w14:paraId="474166F1">
            <w:pPr>
              <w:pStyle w:val="9"/>
              <w:rPr>
                <w:color w:val="auto"/>
              </w:rPr>
            </w:pPr>
            <w:r>
              <w:rPr>
                <w:rFonts w:hint="eastAsia"/>
                <w:color w:val="auto"/>
              </w:rPr>
              <w:t>保护用户鉴别信息等重要数据传输的机密性</w:t>
            </w:r>
          </w:p>
        </w:tc>
        <w:tc>
          <w:tcPr>
            <w:tcW w:w="1921" w:type="dxa"/>
            <w:vAlign w:val="center"/>
          </w:tcPr>
          <w:p w14:paraId="3EE7F90B">
            <w:pPr>
              <w:pStyle w:val="9"/>
              <w:rPr>
                <w:color w:val="auto"/>
              </w:rPr>
            </w:pPr>
          </w:p>
        </w:tc>
      </w:tr>
      <w:tr w14:paraId="352C2030">
        <w:tblPrEx>
          <w:tblBorders>
            <w:top w:val="single" w:color="auto" w:sz="8" w:space="0"/>
            <w:left w:val="single" w:color="auto" w:sz="8" w:space="0"/>
            <w:bottom w:val="single" w:color="000000"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1482" w:type="dxa"/>
            <w:vMerge w:val="continue"/>
            <w:vAlign w:val="center"/>
          </w:tcPr>
          <w:p w14:paraId="5ADFE5D6">
            <w:pPr>
              <w:pStyle w:val="9"/>
              <w:rPr>
                <w:color w:val="auto"/>
              </w:rPr>
            </w:pPr>
          </w:p>
        </w:tc>
        <w:tc>
          <w:tcPr>
            <w:tcW w:w="1900" w:type="dxa"/>
            <w:vAlign w:val="center"/>
          </w:tcPr>
          <w:p w14:paraId="1879AEAA">
            <w:pPr>
              <w:pStyle w:val="9"/>
              <w:rPr>
                <w:color w:val="auto"/>
              </w:rPr>
            </w:pPr>
            <w:r>
              <w:rPr>
                <w:rFonts w:hint="eastAsia"/>
                <w:color w:val="auto"/>
              </w:rPr>
              <w:t>重要数据存储机密性</w:t>
            </w:r>
          </w:p>
        </w:tc>
        <w:tc>
          <w:tcPr>
            <w:tcW w:w="3225" w:type="dxa"/>
            <w:vAlign w:val="center"/>
          </w:tcPr>
          <w:p w14:paraId="41D4E464">
            <w:pPr>
              <w:pStyle w:val="9"/>
              <w:rPr>
                <w:color w:val="auto"/>
              </w:rPr>
            </w:pPr>
            <w:r>
              <w:rPr>
                <w:rFonts w:hint="eastAsia"/>
                <w:color w:val="auto"/>
              </w:rPr>
              <w:t>保护用户鉴别信息等重要数据存储的机密性</w:t>
            </w:r>
          </w:p>
        </w:tc>
        <w:tc>
          <w:tcPr>
            <w:tcW w:w="1921" w:type="dxa"/>
            <w:vAlign w:val="center"/>
          </w:tcPr>
          <w:p w14:paraId="78ED0B68">
            <w:pPr>
              <w:pStyle w:val="9"/>
              <w:rPr>
                <w:color w:val="auto"/>
              </w:rPr>
            </w:pPr>
          </w:p>
        </w:tc>
      </w:tr>
      <w:tr w14:paraId="59C3D233">
        <w:tblPrEx>
          <w:tblBorders>
            <w:top w:val="single" w:color="auto" w:sz="8" w:space="0"/>
            <w:left w:val="single" w:color="auto" w:sz="8" w:space="0"/>
            <w:bottom w:val="single" w:color="000000"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1482" w:type="dxa"/>
            <w:vMerge w:val="continue"/>
            <w:vAlign w:val="center"/>
          </w:tcPr>
          <w:p w14:paraId="0223A0FD">
            <w:pPr>
              <w:pStyle w:val="9"/>
              <w:rPr>
                <w:color w:val="auto"/>
              </w:rPr>
            </w:pPr>
          </w:p>
        </w:tc>
        <w:tc>
          <w:tcPr>
            <w:tcW w:w="1900" w:type="dxa"/>
            <w:vAlign w:val="center"/>
          </w:tcPr>
          <w:p w14:paraId="05D0A0C4">
            <w:pPr>
              <w:pStyle w:val="9"/>
              <w:rPr>
                <w:color w:val="auto"/>
              </w:rPr>
            </w:pPr>
            <w:r>
              <w:rPr>
                <w:rFonts w:hint="eastAsia"/>
                <w:color w:val="auto"/>
              </w:rPr>
              <w:t>重要数据传输完整性</w:t>
            </w:r>
          </w:p>
        </w:tc>
        <w:tc>
          <w:tcPr>
            <w:tcW w:w="3225" w:type="dxa"/>
            <w:vAlign w:val="center"/>
          </w:tcPr>
          <w:p w14:paraId="3F1420AA">
            <w:pPr>
              <w:pStyle w:val="9"/>
              <w:rPr>
                <w:color w:val="auto"/>
              </w:rPr>
            </w:pPr>
            <w:r>
              <w:rPr>
                <w:rFonts w:hint="eastAsia"/>
                <w:color w:val="auto"/>
              </w:rPr>
              <w:t>保护用户鉴别信息等重要数据传输的完整性</w:t>
            </w:r>
          </w:p>
        </w:tc>
        <w:tc>
          <w:tcPr>
            <w:tcW w:w="1921" w:type="dxa"/>
            <w:vAlign w:val="center"/>
          </w:tcPr>
          <w:p w14:paraId="2CA7974A">
            <w:pPr>
              <w:pStyle w:val="9"/>
              <w:rPr>
                <w:color w:val="auto"/>
              </w:rPr>
            </w:pPr>
          </w:p>
        </w:tc>
      </w:tr>
      <w:tr w14:paraId="466A8D71">
        <w:tblPrEx>
          <w:tblBorders>
            <w:top w:val="single" w:color="auto" w:sz="8" w:space="0"/>
            <w:left w:val="single" w:color="auto" w:sz="8" w:space="0"/>
            <w:bottom w:val="single" w:color="000000"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1482" w:type="dxa"/>
            <w:vMerge w:val="continue"/>
            <w:vAlign w:val="center"/>
          </w:tcPr>
          <w:p w14:paraId="0C6A3973">
            <w:pPr>
              <w:pStyle w:val="9"/>
              <w:rPr>
                <w:color w:val="auto"/>
              </w:rPr>
            </w:pPr>
          </w:p>
        </w:tc>
        <w:tc>
          <w:tcPr>
            <w:tcW w:w="1900" w:type="dxa"/>
            <w:vAlign w:val="center"/>
          </w:tcPr>
          <w:p w14:paraId="15EB569F">
            <w:pPr>
              <w:pStyle w:val="9"/>
              <w:rPr>
                <w:color w:val="auto"/>
              </w:rPr>
            </w:pPr>
            <w:r>
              <w:rPr>
                <w:rFonts w:hint="eastAsia"/>
                <w:color w:val="auto"/>
              </w:rPr>
              <w:t>重要数据存储完整性</w:t>
            </w:r>
          </w:p>
        </w:tc>
        <w:tc>
          <w:tcPr>
            <w:tcW w:w="3225" w:type="dxa"/>
            <w:vAlign w:val="center"/>
          </w:tcPr>
          <w:p w14:paraId="5DBC2097">
            <w:pPr>
              <w:pStyle w:val="9"/>
              <w:rPr>
                <w:color w:val="auto"/>
              </w:rPr>
            </w:pPr>
            <w:r>
              <w:rPr>
                <w:rFonts w:hint="eastAsia"/>
                <w:color w:val="auto"/>
              </w:rPr>
              <w:t>保护用户鉴别信息等重要数据存储的完整性</w:t>
            </w:r>
          </w:p>
        </w:tc>
        <w:tc>
          <w:tcPr>
            <w:tcW w:w="1921" w:type="dxa"/>
            <w:vAlign w:val="center"/>
          </w:tcPr>
          <w:p w14:paraId="6F9EE876">
            <w:pPr>
              <w:pStyle w:val="9"/>
              <w:rPr>
                <w:color w:val="auto"/>
              </w:rPr>
            </w:pPr>
          </w:p>
        </w:tc>
      </w:tr>
      <w:tr w14:paraId="702A7809">
        <w:tblPrEx>
          <w:tblBorders>
            <w:top w:val="single" w:color="auto" w:sz="8" w:space="0"/>
            <w:left w:val="single" w:color="auto" w:sz="8" w:space="0"/>
            <w:bottom w:val="single" w:color="000000"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1482" w:type="dxa"/>
            <w:vMerge w:val="continue"/>
            <w:vAlign w:val="center"/>
          </w:tcPr>
          <w:p w14:paraId="54E5FB52">
            <w:pPr>
              <w:pStyle w:val="9"/>
              <w:rPr>
                <w:color w:val="auto"/>
              </w:rPr>
            </w:pPr>
          </w:p>
        </w:tc>
        <w:tc>
          <w:tcPr>
            <w:tcW w:w="1900" w:type="dxa"/>
            <w:vAlign w:val="center"/>
          </w:tcPr>
          <w:p w14:paraId="5D8D8E1B">
            <w:pPr>
              <w:pStyle w:val="9"/>
              <w:rPr>
                <w:color w:val="auto"/>
              </w:rPr>
            </w:pPr>
            <w:r>
              <w:rPr>
                <w:rFonts w:hint="eastAsia"/>
                <w:color w:val="auto"/>
              </w:rPr>
              <w:t>不可否认性</w:t>
            </w:r>
          </w:p>
        </w:tc>
        <w:tc>
          <w:tcPr>
            <w:tcW w:w="3225" w:type="dxa"/>
            <w:vAlign w:val="center"/>
          </w:tcPr>
          <w:p w14:paraId="14DE9FB2">
            <w:pPr>
              <w:pStyle w:val="9"/>
              <w:rPr>
                <w:color w:val="auto"/>
              </w:rPr>
            </w:pPr>
            <w:r>
              <w:rPr>
                <w:rFonts w:hint="eastAsia"/>
                <w:color w:val="auto"/>
              </w:rPr>
              <w:t>不适用</w:t>
            </w:r>
          </w:p>
        </w:tc>
        <w:tc>
          <w:tcPr>
            <w:tcW w:w="1921" w:type="dxa"/>
            <w:vAlign w:val="center"/>
          </w:tcPr>
          <w:p w14:paraId="19FCCD9C">
            <w:pPr>
              <w:pStyle w:val="9"/>
              <w:rPr>
                <w:color w:val="auto"/>
              </w:rPr>
            </w:pPr>
          </w:p>
        </w:tc>
      </w:tr>
      <w:tr w14:paraId="5F5E0903">
        <w:tblPrEx>
          <w:tblBorders>
            <w:top w:val="single" w:color="auto" w:sz="8" w:space="0"/>
            <w:left w:val="single" w:color="auto" w:sz="8" w:space="0"/>
            <w:bottom w:val="single" w:color="000000"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1482" w:type="dxa"/>
            <w:vMerge w:val="continue"/>
            <w:vAlign w:val="center"/>
          </w:tcPr>
          <w:p w14:paraId="3E69C498">
            <w:pPr>
              <w:pStyle w:val="9"/>
              <w:rPr>
                <w:color w:val="auto"/>
              </w:rPr>
            </w:pPr>
          </w:p>
        </w:tc>
        <w:tc>
          <w:tcPr>
            <w:tcW w:w="1900" w:type="dxa"/>
            <w:vAlign w:val="center"/>
          </w:tcPr>
          <w:p w14:paraId="370321F9">
            <w:pPr>
              <w:pStyle w:val="9"/>
              <w:rPr>
                <w:color w:val="auto"/>
              </w:rPr>
            </w:pPr>
            <w:r>
              <w:rPr>
                <w:rFonts w:hint="eastAsia"/>
                <w:color w:val="auto"/>
              </w:rPr>
              <w:t>密码服务</w:t>
            </w:r>
          </w:p>
        </w:tc>
        <w:tc>
          <w:tcPr>
            <w:tcW w:w="3225" w:type="dxa"/>
            <w:vAlign w:val="center"/>
          </w:tcPr>
          <w:p w14:paraId="2C740DA5">
            <w:pPr>
              <w:pStyle w:val="9"/>
              <w:rPr>
                <w:color w:val="auto"/>
              </w:rPr>
            </w:pPr>
            <w:r>
              <w:rPr>
                <w:rFonts w:hint="eastAsia"/>
                <w:color w:val="auto"/>
              </w:rPr>
              <w:t>采用的数字证书由具备资质的电子认证服务机构签发</w:t>
            </w:r>
          </w:p>
        </w:tc>
        <w:tc>
          <w:tcPr>
            <w:tcW w:w="1921" w:type="dxa"/>
            <w:vAlign w:val="center"/>
          </w:tcPr>
          <w:p w14:paraId="433E7408">
            <w:pPr>
              <w:pStyle w:val="9"/>
              <w:rPr>
                <w:color w:val="auto"/>
              </w:rPr>
            </w:pPr>
          </w:p>
        </w:tc>
      </w:tr>
      <w:tr w14:paraId="4AA5993B">
        <w:tblPrEx>
          <w:tblBorders>
            <w:top w:val="single" w:color="auto" w:sz="8" w:space="0"/>
            <w:left w:val="single" w:color="auto" w:sz="8" w:space="0"/>
            <w:bottom w:val="single" w:color="000000"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1482" w:type="dxa"/>
            <w:vMerge w:val="continue"/>
            <w:vAlign w:val="center"/>
          </w:tcPr>
          <w:p w14:paraId="07EBEFB0">
            <w:pPr>
              <w:pStyle w:val="9"/>
              <w:rPr>
                <w:color w:val="auto"/>
              </w:rPr>
            </w:pPr>
          </w:p>
        </w:tc>
        <w:tc>
          <w:tcPr>
            <w:tcW w:w="1900" w:type="dxa"/>
            <w:vAlign w:val="center"/>
          </w:tcPr>
          <w:p w14:paraId="621ADA6F">
            <w:pPr>
              <w:pStyle w:val="9"/>
              <w:rPr>
                <w:color w:val="auto"/>
              </w:rPr>
            </w:pPr>
            <w:r>
              <w:rPr>
                <w:rFonts w:hint="eastAsia"/>
                <w:color w:val="auto"/>
              </w:rPr>
              <w:t>密码产品</w:t>
            </w:r>
          </w:p>
        </w:tc>
        <w:tc>
          <w:tcPr>
            <w:tcW w:w="3225" w:type="dxa"/>
            <w:vAlign w:val="center"/>
          </w:tcPr>
          <w:p w14:paraId="799276E9">
            <w:pPr>
              <w:pStyle w:val="9"/>
              <w:rPr>
                <w:color w:val="auto"/>
              </w:rPr>
            </w:pPr>
            <w:r>
              <w:rPr>
                <w:rFonts w:hint="eastAsia"/>
                <w:color w:val="auto"/>
              </w:rPr>
              <w:t>服务端相关的密码服务由云平台提供安全保障</w:t>
            </w:r>
          </w:p>
        </w:tc>
        <w:tc>
          <w:tcPr>
            <w:tcW w:w="1921" w:type="dxa"/>
            <w:vAlign w:val="center"/>
          </w:tcPr>
          <w:p w14:paraId="745A87D4">
            <w:pPr>
              <w:pStyle w:val="9"/>
              <w:rPr>
                <w:color w:val="auto"/>
              </w:rPr>
            </w:pPr>
          </w:p>
        </w:tc>
      </w:tr>
    </w:tbl>
    <w:p w14:paraId="177A5D53">
      <w:pPr>
        <w:pStyle w:val="3"/>
        <w:ind w:left="0" w:leftChars="0" w:firstLine="0" w:firstLineChars="0"/>
      </w:pPr>
      <w:bookmarkStart w:id="33" w:name="_Toc63785512"/>
      <w:r>
        <w:rPr>
          <w:rFonts w:hint="eastAsia"/>
        </w:rPr>
        <w:t>技术文件要求</w:t>
      </w:r>
    </w:p>
    <w:bookmarkEnd w:id="33"/>
    <w:p w14:paraId="248F7025">
      <w:pPr>
        <w:pStyle w:val="8"/>
        <w:ind w:firstLine="420"/>
        <w:rPr>
          <w:rFonts w:hint="eastAsia"/>
          <w:sz w:val="24"/>
          <w:szCs w:val="24"/>
        </w:rPr>
      </w:pPr>
      <w:r>
        <w:rPr>
          <w:rFonts w:hint="eastAsia"/>
          <w:sz w:val="24"/>
          <w:szCs w:val="24"/>
        </w:rPr>
        <w:t>投标人提供的书面技术资料应能确保系统正常运行所需的管理、运营及维护有关的全套文件。技术文件应该全面、完整、详细。投标人提供的技术文件至少应包括：</w:t>
      </w:r>
    </w:p>
    <w:p w14:paraId="3C5A9DD0">
      <w:pPr>
        <w:pStyle w:val="8"/>
        <w:ind w:firstLine="420"/>
        <w:rPr>
          <w:rFonts w:hint="eastAsia"/>
          <w:sz w:val="24"/>
          <w:szCs w:val="24"/>
        </w:rPr>
      </w:pPr>
      <w:r>
        <w:rPr>
          <w:rFonts w:hint="eastAsia"/>
          <w:sz w:val="24"/>
          <w:szCs w:val="24"/>
        </w:rPr>
        <w:t xml:space="preserve">－ 系统说明文件； </w:t>
      </w:r>
    </w:p>
    <w:p w14:paraId="2B3DBBDE">
      <w:pPr>
        <w:pStyle w:val="8"/>
        <w:ind w:firstLine="420"/>
        <w:rPr>
          <w:rFonts w:hint="eastAsia"/>
          <w:sz w:val="24"/>
          <w:szCs w:val="24"/>
        </w:rPr>
      </w:pPr>
      <w:r>
        <w:rPr>
          <w:rFonts w:hint="eastAsia"/>
          <w:sz w:val="24"/>
          <w:szCs w:val="24"/>
        </w:rPr>
        <w:t xml:space="preserve">－ 技术手册(安装、测试、操作、维护、故障排除等)； </w:t>
      </w:r>
    </w:p>
    <w:p w14:paraId="31CA48FE">
      <w:pPr>
        <w:pStyle w:val="8"/>
        <w:ind w:firstLine="420"/>
        <w:rPr>
          <w:rFonts w:hint="eastAsia"/>
          <w:sz w:val="24"/>
          <w:szCs w:val="24"/>
        </w:rPr>
      </w:pPr>
      <w:r>
        <w:rPr>
          <w:rFonts w:hint="eastAsia"/>
          <w:sz w:val="24"/>
          <w:szCs w:val="24"/>
        </w:rPr>
        <w:t>－ 项目文档，应该包括：</w:t>
      </w:r>
    </w:p>
    <w:p w14:paraId="5AB0A12C">
      <w:pPr>
        <w:pStyle w:val="8"/>
        <w:ind w:firstLine="420"/>
        <w:rPr>
          <w:rFonts w:hint="eastAsia"/>
          <w:sz w:val="24"/>
          <w:szCs w:val="24"/>
        </w:rPr>
      </w:pPr>
      <w:r>
        <w:rPr>
          <w:rFonts w:hint="eastAsia"/>
          <w:sz w:val="24"/>
          <w:szCs w:val="24"/>
        </w:rPr>
        <w:t>(1)软件需求说明书</w:t>
      </w:r>
    </w:p>
    <w:p w14:paraId="74102A0C">
      <w:pPr>
        <w:pStyle w:val="8"/>
        <w:ind w:firstLine="420"/>
        <w:rPr>
          <w:rFonts w:hint="eastAsia"/>
          <w:sz w:val="24"/>
          <w:szCs w:val="24"/>
        </w:rPr>
      </w:pPr>
      <w:r>
        <w:rPr>
          <w:rFonts w:hint="eastAsia"/>
          <w:sz w:val="24"/>
          <w:szCs w:val="24"/>
        </w:rPr>
        <w:t>(2)系统总体设计说明书</w:t>
      </w:r>
    </w:p>
    <w:p w14:paraId="6D40E39D">
      <w:pPr>
        <w:pStyle w:val="8"/>
        <w:ind w:firstLine="420"/>
        <w:rPr>
          <w:rFonts w:hint="eastAsia"/>
          <w:sz w:val="24"/>
          <w:szCs w:val="24"/>
        </w:rPr>
      </w:pPr>
      <w:r>
        <w:rPr>
          <w:rFonts w:hint="eastAsia"/>
          <w:sz w:val="24"/>
          <w:szCs w:val="24"/>
        </w:rPr>
        <w:t>(3)应用软件功能清单</w:t>
      </w:r>
    </w:p>
    <w:p w14:paraId="48BCE4FC">
      <w:pPr>
        <w:pStyle w:val="8"/>
        <w:ind w:firstLine="420"/>
        <w:rPr>
          <w:sz w:val="24"/>
          <w:szCs w:val="24"/>
        </w:rPr>
      </w:pPr>
      <w:r>
        <w:rPr>
          <w:rFonts w:hint="eastAsia"/>
          <w:sz w:val="24"/>
          <w:szCs w:val="24"/>
        </w:rPr>
        <w:t>提供全套技术文件纸介质3套以及电子文件1套。</w:t>
      </w:r>
    </w:p>
    <w:p w14:paraId="4687214A">
      <w:pPr>
        <w:pStyle w:val="2"/>
        <w:ind w:left="0" w:leftChars="0" w:firstLine="0" w:firstLineChars="0"/>
      </w:pPr>
      <w:bookmarkStart w:id="34" w:name="_Toc68798863"/>
      <w:r>
        <w:rPr>
          <w:rFonts w:hint="eastAsia"/>
        </w:rPr>
        <w:t>附录</w:t>
      </w:r>
      <w:bookmarkEnd w:id="34"/>
    </w:p>
    <w:p w14:paraId="0DA5D377">
      <w:pPr>
        <w:ind w:firstLine="482"/>
        <w:rPr>
          <w:b/>
        </w:rPr>
      </w:pPr>
      <w:r>
        <w:rPr>
          <w:rFonts w:hint="eastAsia"/>
          <w:b/>
        </w:rPr>
        <w:t>若项目建设过程中需符合相关技术标准或规范文件的要求，请将相关文件作为附件列出。</w:t>
      </w:r>
    </w:p>
    <w:p w14:paraId="1CB1ADF7">
      <w:pPr>
        <w:ind w:firstLine="482"/>
      </w:pPr>
      <w:r>
        <w:rPr>
          <w:rFonts w:hint="eastAsia"/>
          <w:b/>
        </w:rPr>
        <w:t>参考如下：</w:t>
      </w:r>
    </w:p>
    <w:p w14:paraId="4D64663D">
      <w:pPr>
        <w:ind w:firstLine="0" w:firstLineChars="0"/>
      </w:pPr>
      <w:r>
        <w:rPr>
          <w:rFonts w:hint="eastAsia"/>
        </w:rPr>
        <w:t>1、</w:t>
      </w:r>
      <w:r>
        <w:t>《政务网络安全监测平台总体技术要求》</w:t>
      </w:r>
    </w:p>
    <w:p w14:paraId="67672CF9">
      <w:pPr>
        <w:ind w:firstLine="0" w:firstLineChars="0"/>
      </w:pPr>
      <w:r>
        <w:object>
          <v:shape id="_x0000_i1025" o:spt="75" type="#_x0000_t75" style="height:54.7pt;width:76.6pt;" o:ole="t" filled="f" o:preferrelative="t" stroked="f" coordsize="21600,21600">
            <v:path/>
            <v:fill on="f" focussize="0,0"/>
            <v:stroke on="f" joinstyle="miter"/>
            <v:imagedata r:id="rId8" o:title=""/>
            <o:lock v:ext="edit" aspectratio="t"/>
            <w10:wrap type="none"/>
            <w10:anchorlock/>
          </v:shape>
          <o:OLEObject Type="Embed" ProgID="Package" ShapeID="_x0000_i1025" DrawAspect="Icon" ObjectID="_1468075725" r:id="rId7">
            <o:LockedField>false</o:LockedField>
          </o:OLEObject>
        </w:object>
      </w:r>
    </w:p>
    <w:p w14:paraId="7FEDBE42">
      <w:pPr>
        <w:ind w:firstLine="0" w:firstLineChars="0"/>
      </w:pPr>
    </w:p>
    <w:p w14:paraId="4E98D28E">
      <w:pPr>
        <w:ind w:firstLine="0" w:firstLineChars="0"/>
        <w:jc w:val="left"/>
      </w:pPr>
      <w:r>
        <w:rPr>
          <w:rFonts w:hint="eastAsia"/>
        </w:rPr>
        <w:t>2、《上海市电子政务外网建设和运行管理指南（试行）》</w:t>
      </w:r>
    </w:p>
    <w:p w14:paraId="0F11B11B">
      <w:pPr>
        <w:ind w:firstLine="0" w:firstLineChars="0"/>
        <w:jc w:val="left"/>
      </w:pPr>
      <w:r>
        <w:object>
          <v:shape id="_x0000_i1026" o:spt="75" type="#_x0000_t75" style="height:54.7pt;width:76.6pt;" o:ole="t" filled="f" o:preferrelative="t" stroked="f" coordsize="21600,21600">
            <v:path/>
            <v:fill on="f" focussize="0,0"/>
            <v:stroke on="f" joinstyle="miter"/>
            <v:imagedata r:id="rId10" o:title=""/>
            <o:lock v:ext="edit" aspectratio="t"/>
            <w10:wrap type="none"/>
            <w10:anchorlock/>
          </v:shape>
          <o:OLEObject Type="Embed" ProgID="Package" ShapeID="_x0000_i1026" DrawAspect="Icon" ObjectID="_1468075726" r:id="rId9">
            <o:LockedField>false</o:LockedField>
          </o:OLEObject>
        </w:object>
      </w:r>
    </w:p>
    <w:p w14:paraId="5E3DB37C">
      <w:pPr>
        <w:ind w:firstLine="0" w:firstLineChars="0"/>
        <w:jc w:val="left"/>
        <w:rPr>
          <w:b/>
          <w:bCs/>
        </w:rPr>
      </w:pPr>
      <w:r>
        <w:rPr>
          <w:rFonts w:hint="eastAsia"/>
        </w:rPr>
        <w:t>3、其他标准</w:t>
      </w:r>
    </w:p>
    <w:p w14:paraId="2633B38B"/>
    <w:sectPr>
      <w:footerReference r:id="rId5" w:type="first"/>
      <w:pgSz w:w="11906" w:h="16838"/>
      <w:pgMar w:top="1134" w:right="1797" w:bottom="1135" w:left="1797" w:header="340" w:footer="7" w:gutter="0"/>
      <w:pgNumType w:start="1"/>
      <w:cols w:space="720" w:num="1"/>
      <w:titlePg/>
      <w:docGrid w:type="linesAndChars" w:linePitch="32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altName w:val="DejaVu Sans"/>
    <w:panose1 w:val="02020603050405020304"/>
    <w:charset w:val="01"/>
    <w:family w:val="auto"/>
    <w:pitch w:val="default"/>
    <w:sig w:usb0="00000000" w:usb1="00000000" w:usb2="00000009" w:usb3="00000000" w:csb0="400001FF" w:csb1="FFFF0000"/>
  </w:font>
  <w:font w:name="宋体">
    <w:altName w:val="方正书宋_GBK"/>
    <w:panose1 w:val="02010600030101010101"/>
    <w:charset w:val="7A"/>
    <w:family w:val="auto"/>
    <w:pitch w:val="default"/>
    <w:sig w:usb0="00000000" w:usb1="0000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altName w:val="DejaVu Sans"/>
    <w:panose1 w:val="020B0604020202020204"/>
    <w:charset w:val="01"/>
    <w:family w:val="swiss"/>
    <w:pitch w:val="default"/>
    <w:sig w:usb0="E0002AFF" w:usb1="C0007843" w:usb2="00000009" w:usb3="00000000" w:csb0="400001FF" w:csb1="FFFF0000"/>
  </w:font>
  <w:font w:name="黑体">
    <w:altName w:val="方正黑体_GBK"/>
    <w:panose1 w:val="02010609060101010101"/>
    <w:charset w:val="86"/>
    <w:family w:val="auto"/>
    <w:pitch w:val="default"/>
    <w:sig w:usb0="800002BF" w:usb1="38CF7CFA" w:usb2="00000016" w:usb3="00000000" w:csb0="00040001" w:csb1="00000000"/>
  </w:font>
  <w:font w:name="Courier New">
    <w:altName w:val="DejaVu Sans"/>
    <w:panose1 w:val="02070309020205020404"/>
    <w:charset w:val="01"/>
    <w:family w:val="modern"/>
    <w:pitch w:val="default"/>
    <w:sig w:usb0="E0002AFF" w:usb1="C0007843" w:usb2="00000009" w:usb3="00000000" w:csb0="400001FF" w:csb1="FFFF0000"/>
  </w:font>
  <w:font w:name="Symbol">
    <w:panose1 w:val="02000609000000000000"/>
    <w:charset w:val="02"/>
    <w:family w:val="roman"/>
    <w:pitch w:val="default"/>
    <w:sig w:usb0="800000AF" w:usb1="4000204A" w:usb2="00000000" w:usb3="00000000" w:csb0="20000000" w:csb1="00000000"/>
  </w:font>
  <w:font w:name="DejaVu Sans">
    <w:panose1 w:val="020B0603030804020204"/>
    <w:charset w:val="00"/>
    <w:family w:val="auto"/>
    <w:pitch w:val="default"/>
    <w:sig w:usb0="E7006EFF" w:usb1="D200FDFF" w:usb2="0A246029" w:usb3="0400200C" w:csb0="600001FF" w:csb1="DFFF0000"/>
  </w:font>
  <w:font w:name="Calibri">
    <w:altName w:val="DejaVu Sans"/>
    <w:panose1 w:val="020F0502020204030204"/>
    <w:charset w:val="00"/>
    <w:family w:val="swiss"/>
    <w:pitch w:val="default"/>
    <w:sig w:usb0="00000000" w:usb1="00000000" w:usb2="00000001" w:usb3="00000000" w:csb0="0000019F" w:csb1="00000000"/>
  </w:font>
  <w:font w:name="方正书宋_GBK">
    <w:panose1 w:val="02000000000000000000"/>
    <w:charset w:val="86"/>
    <w:family w:val="auto"/>
    <w:pitch w:val="default"/>
    <w:sig w:usb0="00000001" w:usb1="08000000" w:usb2="00000000" w:usb3="00000000" w:csb0="00040000" w:csb1="00000000"/>
  </w:font>
  <w:font w:name="方正黑体_GBK">
    <w:panose1 w:val="02000000000000000000"/>
    <w:charset w:val="86"/>
    <w:family w:val="auto"/>
    <w:pitch w:val="default"/>
    <w:sig w:usb0="00000001" w:usb1="08000000" w:usb2="00000000" w:usb3="00000000" w:csb0="00040000" w:csb1="00000000"/>
  </w:font>
  <w:font w:name="Arial">
    <w:altName w:val="DejaVu Sans"/>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3972FD">
    <w:pPr>
      <w:ind w:firstLine="0" w:firstLineChars="0"/>
      <w:jc w:val="center"/>
      <w:rPr>
        <w:lang w:val="zh-CN"/>
      </w:rPr>
    </w:pPr>
    <w:r>
      <w:rPr>
        <w:lang w:val="zh-CN"/>
      </w:rPr>
      <w:fldChar w:fldCharType="begin"/>
    </w:r>
    <w:r>
      <w:rPr>
        <w:lang w:val="zh-CN"/>
      </w:rPr>
      <w:instrText xml:space="preserve">PAGE   \* MERGEFORMAT</w:instrText>
    </w:r>
    <w:r>
      <w:rPr>
        <w:lang w:val="zh-CN"/>
      </w:rPr>
      <w:fldChar w:fldCharType="separate"/>
    </w:r>
    <w:r>
      <w:rPr>
        <w:lang w:val="zh-CN"/>
      </w:rPr>
      <w:t>1</w:t>
    </w:r>
    <w:r>
      <w:rPr>
        <w:lang w:val="zh-CN"/>
      </w:rPr>
      <w:fldChar w:fldCharType="end"/>
    </w:r>
  </w:p>
  <w:p w14:paraId="6069347A"/>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A2F4AB3"/>
    <w:multiLevelType w:val="multilevel"/>
    <w:tmpl w:val="6A2F4AB3"/>
    <w:lvl w:ilvl="0" w:tentative="0">
      <w:start w:val="1"/>
      <w:numFmt w:val="chineseCountingThousand"/>
      <w:pStyle w:val="2"/>
      <w:suff w:val="nothing"/>
      <w:lvlText w:val="%1、"/>
      <w:lvlJc w:val="left"/>
      <w:pPr>
        <w:ind w:left="425" w:hanging="425"/>
      </w:pPr>
      <w:rPr>
        <w:rFonts w:hint="eastAsia"/>
        <w:sz w:val="32"/>
        <w:szCs w:val="32"/>
      </w:rPr>
    </w:lvl>
    <w:lvl w:ilvl="1" w:tentative="0">
      <w:start w:val="1"/>
      <w:numFmt w:val="decimal"/>
      <w:pStyle w:val="3"/>
      <w:isLgl/>
      <w:suff w:val="nothing"/>
      <w:lvlText w:val="%1.%2、"/>
      <w:lvlJc w:val="left"/>
      <w:pPr>
        <w:ind w:left="1135" w:hanging="567"/>
      </w:pPr>
    </w:lvl>
    <w:lvl w:ilvl="2" w:tentative="0">
      <w:start w:val="1"/>
      <w:numFmt w:val="decimal"/>
      <w:isLgl/>
      <w:suff w:val="nothing"/>
      <w:lvlText w:val="%1.%2.%3、"/>
      <w:lvlJc w:val="left"/>
      <w:pPr>
        <w:ind w:left="1069" w:hanging="1069"/>
      </w:pPr>
      <w:rPr>
        <w:rFonts w:hint="default" w:ascii="宋体" w:hAnsi="宋体" w:eastAsia="宋体" w:cs="Arial"/>
      </w:rPr>
    </w:lvl>
    <w:lvl w:ilvl="3" w:tentative="0">
      <w:start w:val="1"/>
      <w:numFmt w:val="decimal"/>
      <w:isLgl/>
      <w:suff w:val="nothing"/>
      <w:lvlText w:val="%1.%2.%3.%4、"/>
      <w:lvlJc w:val="left"/>
      <w:pPr>
        <w:ind w:left="3403" w:hanging="851"/>
      </w:pPr>
    </w:lvl>
    <w:lvl w:ilvl="4" w:tentative="0">
      <w:start w:val="1"/>
      <w:numFmt w:val="decimal"/>
      <w:isLgl/>
      <w:suff w:val="nothing"/>
      <w:lvlText w:val="%1.%2.%3.%4.%5、"/>
      <w:lvlJc w:val="left"/>
      <w:pPr>
        <w:ind w:left="3544" w:hanging="992"/>
      </w:pPr>
      <w:rPr>
        <w:rFonts w:hint="eastAsia"/>
      </w:rPr>
    </w:lvl>
    <w:lvl w:ilvl="5" w:tentative="0">
      <w:start w:val="1"/>
      <w:numFmt w:val="decimal"/>
      <w:isLgl/>
      <w:suff w:val="nothing"/>
      <w:lvlText w:val="%1.%2.%3.%4.%5.%6、"/>
      <w:lvlJc w:val="left"/>
      <w:pPr>
        <w:ind w:left="1134" w:hanging="1134"/>
      </w:pPr>
      <w:rPr>
        <w:rFonts w:hint="eastAsia"/>
      </w:rPr>
    </w:lvl>
    <w:lvl w:ilvl="6" w:tentative="0">
      <w:start w:val="1"/>
      <w:numFmt w:val="decimal"/>
      <w:isLgl/>
      <w:lvlText w:val="%1.%2.%3.%4.%5.%6.%7"/>
      <w:lvlJc w:val="left"/>
      <w:pPr>
        <w:tabs>
          <w:tab w:val="left" w:pos="1800"/>
        </w:tabs>
        <w:ind w:left="1276" w:hanging="1276"/>
      </w:pPr>
      <w:rPr>
        <w:rFonts w:hint="eastAsia"/>
      </w:rPr>
    </w:lvl>
    <w:lvl w:ilvl="7" w:tentative="0">
      <w:start w:val="1"/>
      <w:numFmt w:val="decimal"/>
      <w:isLgl/>
      <w:lvlText w:val="%1.%2.%3.%4.%5.%6.%7.%8"/>
      <w:lvlJc w:val="left"/>
      <w:pPr>
        <w:tabs>
          <w:tab w:val="left" w:pos="1800"/>
        </w:tabs>
        <w:ind w:left="1418" w:hanging="1418"/>
      </w:pPr>
      <w:rPr>
        <w:rFonts w:hint="eastAsia"/>
      </w:rPr>
    </w:lvl>
    <w:lvl w:ilvl="8" w:tentative="0">
      <w:start w:val="1"/>
      <w:numFmt w:val="decimal"/>
      <w:isLgl/>
      <w:lvlText w:val="%1.%2.%3.%4.%5.%6.%7.%8.%9"/>
      <w:lvlJc w:val="left"/>
      <w:pPr>
        <w:tabs>
          <w:tab w:val="left" w:pos="2160"/>
        </w:tabs>
        <w:ind w:left="1559" w:hanging="1559"/>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GNhYmEzMTNhMjdkYThkNDYyOTNhN2M4MTNhMDJiODcifQ=="/>
  </w:docVars>
  <w:rsids>
    <w:rsidRoot w:val="00000000"/>
    <w:rsid w:val="036E7BB2"/>
    <w:rsid w:val="04573F1E"/>
    <w:rsid w:val="04A5089A"/>
    <w:rsid w:val="0F683FF6"/>
    <w:rsid w:val="10450E89"/>
    <w:rsid w:val="220A0AE9"/>
    <w:rsid w:val="250D6B57"/>
    <w:rsid w:val="25C11AFE"/>
    <w:rsid w:val="27BC051B"/>
    <w:rsid w:val="288E6299"/>
    <w:rsid w:val="2A753246"/>
    <w:rsid w:val="329728EC"/>
    <w:rsid w:val="33473F95"/>
    <w:rsid w:val="34591D1C"/>
    <w:rsid w:val="350F484A"/>
    <w:rsid w:val="364E517C"/>
    <w:rsid w:val="39D0103B"/>
    <w:rsid w:val="3BBD6E88"/>
    <w:rsid w:val="3DFF7227"/>
    <w:rsid w:val="3E506121"/>
    <w:rsid w:val="40566D01"/>
    <w:rsid w:val="479B7DD0"/>
    <w:rsid w:val="49B605D8"/>
    <w:rsid w:val="4A4E5B9E"/>
    <w:rsid w:val="4B7E16EB"/>
    <w:rsid w:val="4F714FB1"/>
    <w:rsid w:val="545338D1"/>
    <w:rsid w:val="5BA329C8"/>
    <w:rsid w:val="5C07178B"/>
    <w:rsid w:val="5C9522CF"/>
    <w:rsid w:val="60C51D19"/>
    <w:rsid w:val="645D785C"/>
    <w:rsid w:val="6C606ADC"/>
    <w:rsid w:val="6CDC529A"/>
    <w:rsid w:val="6D905008"/>
    <w:rsid w:val="71B07C13"/>
    <w:rsid w:val="77FC37E0"/>
    <w:rsid w:val="7A6526C3"/>
    <w:rsid w:val="7CEFA360"/>
    <w:rsid w:val="7D7776F4"/>
    <w:rsid w:val="7EF60E5A"/>
    <w:rsid w:val="B8B2D9E1"/>
    <w:rsid w:val="CD7F6A65"/>
    <w:rsid w:val="F9EFC04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480" w:firstLineChars="200"/>
      <w:jc w:val="both"/>
    </w:pPr>
    <w:rPr>
      <w:rFonts w:ascii="宋体" w:hAnsi="宋体" w:eastAsia="宋体" w:cs="Times New Roman"/>
      <w:kern w:val="2"/>
      <w:sz w:val="24"/>
      <w:szCs w:val="24"/>
      <w:lang w:val="en-US" w:eastAsia="zh-CN" w:bidi="ar-SA"/>
    </w:rPr>
  </w:style>
  <w:style w:type="paragraph" w:styleId="2">
    <w:name w:val="heading 1"/>
    <w:basedOn w:val="1"/>
    <w:next w:val="1"/>
    <w:qFormat/>
    <w:uiPriority w:val="0"/>
    <w:pPr>
      <w:keepNext/>
      <w:keepLines/>
      <w:numPr>
        <w:ilvl w:val="0"/>
        <w:numId w:val="1"/>
      </w:numPr>
      <w:spacing w:before="120" w:after="120"/>
      <w:ind w:firstLine="0" w:firstLineChars="0"/>
      <w:outlineLvl w:val="0"/>
    </w:pPr>
    <w:rPr>
      <w:rFonts w:eastAsia="黑体"/>
      <w:b/>
      <w:bCs/>
      <w:kern w:val="44"/>
      <w:sz w:val="32"/>
      <w:szCs w:val="28"/>
    </w:rPr>
  </w:style>
  <w:style w:type="paragraph" w:styleId="3">
    <w:name w:val="heading 2"/>
    <w:basedOn w:val="1"/>
    <w:next w:val="1"/>
    <w:qFormat/>
    <w:uiPriority w:val="9"/>
    <w:pPr>
      <w:keepNext/>
      <w:keepLines/>
      <w:numPr>
        <w:ilvl w:val="1"/>
        <w:numId w:val="1"/>
      </w:numPr>
      <w:spacing w:before="120" w:after="120"/>
      <w:ind w:firstLine="0" w:firstLineChars="0"/>
      <w:outlineLvl w:val="1"/>
    </w:pPr>
    <w:rPr>
      <w:b/>
      <w:bCs/>
      <w:sz w:val="30"/>
      <w:szCs w:val="32"/>
    </w:rPr>
  </w:style>
  <w:style w:type="character" w:default="1" w:styleId="6">
    <w:name w:val="Default Paragraph Font"/>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paragraph" w:styleId="4">
    <w:name w:val="header"/>
    <w:basedOn w:val="1"/>
    <w:qFormat/>
    <w:uiPriority w:val="99"/>
    <w:pPr>
      <w:pBdr>
        <w:bottom w:val="single" w:color="auto" w:sz="4" w:space="0"/>
      </w:pBdr>
      <w:tabs>
        <w:tab w:val="center" w:pos="4153"/>
        <w:tab w:val="right" w:pos="8306"/>
      </w:tabs>
      <w:snapToGrid w:val="0"/>
      <w:jc w:val="center"/>
    </w:pPr>
    <w:rPr>
      <w:rFonts w:ascii="Times New Roman" w:hAnsi="Times New Roman"/>
      <w:sz w:val="18"/>
      <w:szCs w:val="18"/>
    </w:rPr>
  </w:style>
  <w:style w:type="paragraph" w:customStyle="1" w:styleId="7">
    <w:name w:val="正文缩进1"/>
    <w:basedOn w:val="1"/>
    <w:qFormat/>
    <w:uiPriority w:val="0"/>
    <w:pPr>
      <w:spacing w:line="240" w:lineRule="auto"/>
      <w:ind w:firstLine="420"/>
    </w:pPr>
    <w:rPr>
      <w:rFonts w:ascii="Times New Roman" w:hAnsi="Times New Roman"/>
      <w:sz w:val="21"/>
      <w:szCs w:val="20"/>
    </w:rPr>
  </w:style>
  <w:style w:type="paragraph" w:customStyle="1" w:styleId="8">
    <w:name w:val="正文正文2"/>
    <w:basedOn w:val="1"/>
    <w:qFormat/>
    <w:uiPriority w:val="0"/>
    <w:pPr>
      <w:ind w:firstLine="460"/>
    </w:pPr>
    <w:rPr>
      <w:sz w:val="21"/>
      <w:szCs w:val="21"/>
    </w:rPr>
  </w:style>
  <w:style w:type="paragraph" w:customStyle="1" w:styleId="9">
    <w:name w:val="表格正文"/>
    <w:basedOn w:val="1"/>
    <w:qFormat/>
    <w:uiPriority w:val="0"/>
    <w:pPr>
      <w:spacing w:line="240" w:lineRule="auto"/>
      <w:ind w:firstLine="0" w:firstLineChars="0"/>
      <w:jc w:val="center"/>
    </w:pPr>
    <w:rPr>
      <w:rFonts w:ascii="Calibri" w:hAnsi="Calibri"/>
      <w:sz w:val="21"/>
      <w:szCs w:val="22"/>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2.bin"/><Relationship Id="rId8" Type="http://schemas.openxmlformats.org/officeDocument/2006/relationships/image" Target="media/image1.emf"/><Relationship Id="rId7" Type="http://schemas.openxmlformats.org/officeDocument/2006/relationships/oleObject" Target="embeddings/oleObject1.bin"/><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numbering" Target="numbering.xml"/><Relationship Id="rId10" Type="http://schemas.openxmlformats.org/officeDocument/2006/relationships/image" Target="media/image2.emf"/><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21</Pages>
  <Words>10701</Words>
  <Characters>11029</Characters>
  <Lines>0</Lines>
  <Paragraphs>0</Paragraphs>
  <TotalTime>48</TotalTime>
  <ScaleCrop>false</ScaleCrop>
  <LinksUpToDate>false</LinksUpToDate>
  <CharactersWithSpaces>11043</CharactersWithSpaces>
  <Application>WPS Office_12.8.2.18605_F1E327BC-269C-435d-A152-05C5408002CA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2024-05-14T23:04:00Z</dcterms:created>
  <dc:creator>user</dc:creator>
  <cp:lastModifiedBy>user</cp:lastModifiedBy>
  <dcterms:modified xsi:type="dcterms:W3CDTF">2026-03-17T13:48:33Z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2052-12.8.2.18605</vt:lpwstr>
  </property>
  <property fmtid="{D5CDD505-2E9C-101B-9397-08002B2CF9AE}" pid="3" name="ICV">
    <vt:lpwstr>AD06A8ED62362787E7C1B76924968319_43</vt:lpwstr>
  </property>
</Properties>
</file>