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E4BA0">
      <w:pPr>
        <w:spacing w:afterLines="50"/>
        <w:jc w:val="center"/>
        <w:rPr>
          <w:b/>
          <w:color w:val="auto"/>
          <w:sz w:val="36"/>
          <w:szCs w:val="36"/>
        </w:rPr>
      </w:pPr>
      <w:bookmarkStart w:id="30" w:name="_GoBack"/>
      <w:bookmarkEnd w:id="30"/>
      <w:bookmarkStart w:id="0" w:name="_Toc3718233"/>
      <w:bookmarkStart w:id="1" w:name="_Toc3718096"/>
      <w:bookmarkStart w:id="2" w:name="_Toc3717912"/>
      <w:bookmarkStart w:id="3" w:name="_Toc3718508"/>
    </w:p>
    <w:p w14:paraId="1E25C8B3">
      <w:pPr>
        <w:spacing w:afterLines="50"/>
        <w:jc w:val="center"/>
        <w:outlineLvl w:val="0"/>
        <w:rPr>
          <w:b/>
          <w:color w:val="auto"/>
          <w:sz w:val="36"/>
          <w:szCs w:val="36"/>
        </w:rPr>
      </w:pPr>
      <w:r>
        <w:rPr>
          <w:b/>
          <w:color w:val="auto"/>
          <w:sz w:val="36"/>
          <w:szCs w:val="36"/>
        </w:rPr>
        <w:t>上海市国家机关办公建筑和大型公共建筑能耗监测中心建设</w:t>
      </w:r>
      <w:r>
        <w:rPr>
          <w:rFonts w:hint="eastAsia"/>
          <w:b/>
          <w:color w:val="auto"/>
          <w:sz w:val="36"/>
          <w:szCs w:val="36"/>
        </w:rPr>
        <w:t>（</w:t>
      </w:r>
      <w:r>
        <w:rPr>
          <w:b/>
          <w:color w:val="auto"/>
          <w:sz w:val="36"/>
          <w:szCs w:val="36"/>
        </w:rPr>
        <w:t>2026升级改造</w:t>
      </w:r>
      <w:r>
        <w:rPr>
          <w:rFonts w:hint="eastAsia"/>
          <w:b/>
          <w:color w:val="auto"/>
          <w:sz w:val="36"/>
          <w:szCs w:val="36"/>
        </w:rPr>
        <w:t>）采购需求</w:t>
      </w:r>
      <w:bookmarkEnd w:id="0"/>
      <w:bookmarkEnd w:id="1"/>
      <w:bookmarkEnd w:id="2"/>
      <w:bookmarkEnd w:id="3"/>
      <w:bookmarkStart w:id="4" w:name="_Toc24721876"/>
    </w:p>
    <w:p w14:paraId="1434E5CA">
      <w:pPr>
        <w:spacing w:afterLines="50"/>
        <w:jc w:val="center"/>
        <w:rPr>
          <w:rFonts w:eastAsia="黑体"/>
          <w:color w:val="auto"/>
          <w:sz w:val="30"/>
          <w:szCs w:val="30"/>
        </w:rPr>
      </w:pPr>
    </w:p>
    <w:p w14:paraId="6D061E86">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一、项目基本情况</w:t>
      </w:r>
    </w:p>
    <w:p w14:paraId="3748B2BF">
      <w:pPr>
        <w:ind w:firstLine="640" w:firstLineChars="200"/>
        <w:rPr>
          <w:rFonts w:ascii="仿宋" w:hAnsi="仿宋" w:eastAsia="仿宋"/>
          <w:color w:val="auto"/>
          <w:sz w:val="32"/>
          <w:szCs w:val="32"/>
        </w:rPr>
      </w:pPr>
      <w:r>
        <w:rPr>
          <w:rFonts w:hint="eastAsia" w:ascii="仿宋" w:hAnsi="仿宋" w:eastAsia="仿宋"/>
          <w:color w:val="auto"/>
          <w:sz w:val="32"/>
          <w:szCs w:val="32"/>
        </w:rPr>
        <w:t>采购单位：上海市建筑建材业市场管理总站</w:t>
      </w:r>
    </w:p>
    <w:p w14:paraId="174377D6">
      <w:pPr>
        <w:ind w:firstLine="640" w:firstLineChars="200"/>
        <w:rPr>
          <w:rFonts w:ascii="仿宋" w:hAnsi="仿宋" w:eastAsia="仿宋"/>
          <w:color w:val="auto"/>
          <w:sz w:val="32"/>
          <w:szCs w:val="32"/>
        </w:rPr>
      </w:pPr>
      <w:r>
        <w:rPr>
          <w:rFonts w:hint="eastAsia" w:ascii="仿宋" w:hAnsi="仿宋" w:eastAsia="仿宋"/>
          <w:color w:val="auto"/>
          <w:sz w:val="32"/>
          <w:szCs w:val="32"/>
        </w:rPr>
        <w:t>采购项目：上海市国家机关办公建筑和大型公共建筑能耗监测中心建设（</w:t>
      </w:r>
      <w:r>
        <w:rPr>
          <w:rFonts w:ascii="仿宋" w:hAnsi="仿宋" w:eastAsia="仿宋"/>
          <w:color w:val="auto"/>
          <w:sz w:val="32"/>
          <w:szCs w:val="32"/>
        </w:rPr>
        <w:t>202</w:t>
      </w:r>
      <w:r>
        <w:rPr>
          <w:rFonts w:hint="eastAsia" w:ascii="仿宋" w:hAnsi="仿宋" w:eastAsia="仿宋"/>
          <w:color w:val="auto"/>
          <w:sz w:val="32"/>
          <w:szCs w:val="32"/>
        </w:rPr>
        <w:t>6</w:t>
      </w:r>
      <w:r>
        <w:rPr>
          <w:rFonts w:ascii="仿宋" w:hAnsi="仿宋" w:eastAsia="仿宋"/>
          <w:color w:val="auto"/>
          <w:sz w:val="32"/>
          <w:szCs w:val="32"/>
        </w:rPr>
        <w:t>年升级改造）</w:t>
      </w:r>
    </w:p>
    <w:p w14:paraId="105A2FE6">
      <w:pPr>
        <w:ind w:firstLine="640" w:firstLineChars="200"/>
        <w:rPr>
          <w:rFonts w:ascii="仿宋" w:hAnsi="仿宋" w:eastAsia="仿宋"/>
          <w:color w:val="auto"/>
          <w:sz w:val="32"/>
          <w:szCs w:val="32"/>
        </w:rPr>
      </w:pPr>
      <w:r>
        <w:rPr>
          <w:rFonts w:hint="eastAsia" w:ascii="仿宋" w:hAnsi="仿宋" w:eastAsia="仿宋"/>
          <w:color w:val="auto"/>
          <w:sz w:val="32"/>
          <w:szCs w:val="32"/>
        </w:rPr>
        <w:t>预算金额：4,377,500.00元</w:t>
      </w:r>
    </w:p>
    <w:p w14:paraId="06508D89">
      <w:pPr>
        <w:ind w:firstLine="640" w:firstLineChars="200"/>
        <w:rPr>
          <w:rFonts w:ascii="仿宋" w:hAnsi="仿宋" w:eastAsia="仿宋"/>
          <w:color w:val="auto"/>
          <w:sz w:val="32"/>
          <w:szCs w:val="32"/>
        </w:rPr>
      </w:pPr>
      <w:r>
        <w:rPr>
          <w:rFonts w:hint="eastAsia" w:ascii="仿宋" w:hAnsi="仿宋" w:eastAsia="仿宋"/>
          <w:color w:val="auto"/>
          <w:sz w:val="32"/>
          <w:szCs w:val="32"/>
        </w:rPr>
        <w:t>采购方式：公开招标</w:t>
      </w:r>
    </w:p>
    <w:p w14:paraId="3ED3B046">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二、项目概要</w:t>
      </w:r>
      <w:bookmarkEnd w:id="4"/>
    </w:p>
    <w:p w14:paraId="14E79E18">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（一）项目背景</w:t>
      </w:r>
    </w:p>
    <w:p w14:paraId="1679DAF1">
      <w:pPr>
        <w:ind w:firstLine="640" w:firstLineChars="200"/>
        <w:rPr>
          <w:rFonts w:ascii="仿宋" w:hAnsi="仿宋" w:eastAsia="仿宋"/>
          <w:color w:val="auto"/>
          <w:kern w:val="0"/>
          <w:sz w:val="32"/>
          <w:szCs w:val="32"/>
          <w:lang w:val="zh-CN" w:bidi="en-US"/>
        </w:rPr>
      </w:pPr>
      <w:r>
        <w:rPr>
          <w:rFonts w:ascii="仿宋" w:hAnsi="仿宋" w:eastAsia="仿宋"/>
          <w:color w:val="auto"/>
          <w:kern w:val="0"/>
          <w:sz w:val="32"/>
          <w:szCs w:val="32"/>
          <w:lang w:val="zh-CN" w:bidi="en-US"/>
        </w:rPr>
        <w:t>建筑业是我国碳排放重点领域，建筑全过程碳排放约占全国总量的一半，绿色建筑是实现“双碳”目标的重要抓手。我国自2006年起推进绿色建筑，逐步形成完善的评价标准与政策体系，至2022年绿色建筑面积累计达100亿平方米，新建建筑90%达标。上海作为超大城市，较早开展绿色建筑实践，相继出台《上海市建筑节能条例》《绿色建筑管理办法》《绿色建筑“十四五”规划》等政策，全面要求新建建筑达到绿色标准，并提高重点建筑星级门槛。2024年《上海市绿色建筑条例》进一步强调全过程管理和主体责任落实，推动绿色建筑要求贯穿规划、建设、运行和改造全生命周期，强化绿色建材应用和能效提升。该背景下，建立绿色建筑全过程监管体系具有现实必要性。</w:t>
      </w:r>
    </w:p>
    <w:p w14:paraId="457222F1">
      <w:pPr>
        <w:pStyle w:val="25"/>
        <w:shd w:val="clear" w:color="auto" w:fill="FFFFFF" w:themeFill="background1"/>
        <w:spacing w:line="240" w:lineRule="auto"/>
        <w:ind w:firstLine="640"/>
        <w:rPr>
          <w:rFonts w:ascii="仿宋" w:hAnsi="仿宋" w:eastAsia="仿宋"/>
          <w:sz w:val="32"/>
          <w:szCs w:val="32"/>
          <w:shd w:val="clear" w:color="auto" w:fill="FFFFFF" w:themeFill="background1"/>
        </w:rPr>
      </w:pPr>
      <w:r>
        <w:rPr>
          <w:rFonts w:hint="eastAsia" w:ascii="仿宋" w:hAnsi="仿宋" w:eastAsia="仿宋"/>
          <w:sz w:val="32"/>
          <w:szCs w:val="32"/>
        </w:rPr>
        <w:t>另外随着能源转型和低碳经济的推进，虚拟电厂技术和</w:t>
      </w:r>
      <w:r>
        <w:rPr>
          <w:rFonts w:ascii="仿宋" w:hAnsi="仿宋" w:eastAsia="仿宋"/>
          <w:sz w:val="32"/>
          <w:szCs w:val="32"/>
        </w:rPr>
        <w:t>施工过程碳排放监管</w:t>
      </w:r>
      <w:r>
        <w:rPr>
          <w:rFonts w:hint="eastAsia" w:ascii="仿宋" w:hAnsi="仿宋" w:eastAsia="仿宋"/>
          <w:sz w:val="32"/>
          <w:szCs w:val="32"/>
        </w:rPr>
        <w:t>在优化能源调度、提高能源利用效率、</w:t>
      </w:r>
      <w:r>
        <w:rPr>
          <w:rFonts w:ascii="仿宋" w:hAnsi="仿宋" w:eastAsia="仿宋"/>
          <w:sz w:val="32"/>
          <w:szCs w:val="32"/>
        </w:rPr>
        <w:t>推进建筑垃圾分类处理和资源化利用</w:t>
      </w:r>
      <w:r>
        <w:rPr>
          <w:rFonts w:hint="eastAsia" w:ascii="仿宋" w:hAnsi="仿宋" w:eastAsia="仿宋"/>
          <w:sz w:val="32"/>
          <w:szCs w:val="32"/>
        </w:rPr>
        <w:t>，也渐渐成为推动电力行业和建筑行业转型的关键</w:t>
      </w:r>
      <w:r>
        <w:rPr>
          <w:rFonts w:hint="eastAsia" w:ascii="仿宋" w:hAnsi="仿宋" w:eastAsia="仿宋"/>
          <w:sz w:val="32"/>
          <w:szCs w:val="32"/>
          <w:shd w:val="clear" w:color="auto" w:fill="FFFFFF" w:themeFill="background1"/>
        </w:rPr>
        <w:t>。</w:t>
      </w:r>
    </w:p>
    <w:p w14:paraId="73D4808A">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（二）建设目标</w:t>
      </w:r>
    </w:p>
    <w:p w14:paraId="3734639D">
      <w:pPr>
        <w:ind w:firstLine="640" w:firstLineChars="200"/>
        <w:rPr>
          <w:rFonts w:ascii="仿宋" w:hAnsi="仿宋" w:eastAsia="仿宋"/>
          <w:color w:val="auto"/>
          <w:kern w:val="0"/>
          <w:sz w:val="32"/>
          <w:szCs w:val="32"/>
          <w:lang w:val="zh-CN" w:bidi="en-US"/>
        </w:rPr>
      </w:pPr>
      <w:r>
        <w:rPr>
          <w:rFonts w:ascii="仿宋" w:hAnsi="仿宋" w:eastAsia="仿宋"/>
          <w:color w:val="auto"/>
          <w:kern w:val="0"/>
          <w:sz w:val="32"/>
          <w:szCs w:val="32"/>
          <w:lang w:val="zh-CN" w:bidi="en-US"/>
        </w:rPr>
        <w:t>在国家及上海碳达峰目标的指引下，以双碳、数字化、绿色建筑政策为导向，持续升级上海市国家机关办公建筑和大型公共建筑能耗监测中心。融合多源数据，运用AI技术，实现对绿色建筑、公共建筑虚拟电厂、施工过程碳排放核算等方面的数智应用。在绿色建筑监管方面，构建全流程闭环管理体系，提升绿色建筑发展质量；智能建造监管聚焦数字化转型，提高行业管理效能；公共建筑虚拟电厂管理整合资源，增强能源调度能力；施工过程碳排放监管精准把控施工环节碳排放。通过AI智能体，提升数据智能分析能级，为政府部门提供数字化监管工具，助力其实现全过程监管，推动上海市建筑领域向绿色低碳方向高质量发展。</w:t>
      </w:r>
    </w:p>
    <w:p w14:paraId="555FA0CA">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（三）建设原则</w:t>
      </w:r>
    </w:p>
    <w:p w14:paraId="2A6C56B4">
      <w:pPr>
        <w:ind w:firstLine="640" w:firstLineChars="200"/>
        <w:rPr>
          <w:rFonts w:ascii="仿宋" w:hAnsi="仿宋" w:eastAsia="仿宋"/>
          <w:bCs/>
          <w:color w:val="auto"/>
          <w:sz w:val="32"/>
          <w:szCs w:val="32"/>
        </w:rPr>
      </w:pPr>
      <w:r>
        <w:rPr>
          <w:rFonts w:hint="eastAsia" w:ascii="仿宋" w:hAnsi="仿宋" w:eastAsia="仿宋"/>
          <w:bCs/>
          <w:color w:val="auto"/>
          <w:sz w:val="32"/>
          <w:szCs w:val="32"/>
        </w:rPr>
        <w:t>本项目升级需充分考虑原平台已有系统运行环境和使用状况，深入分析网络环境、软件环境、基础支撑、业务应用等各方面情况，以实际环境和业务需求为导向和切入点，加强调研分析，注重论证，系统在设计和建设上应充分考虑到平台长远发展需求，在实施上应根据实际需要及投资金额，重点先行、逐步扩展、不断完善。应遵循以下原则：</w:t>
      </w:r>
    </w:p>
    <w:p w14:paraId="6E25A6F8">
      <w:pPr>
        <w:ind w:firstLine="643" w:firstLineChars="200"/>
        <w:outlineLvl w:val="2"/>
        <w:rPr>
          <w:rFonts w:ascii="仿宋" w:hAnsi="仿宋" w:eastAsia="仿宋"/>
          <w:b/>
          <w:color w:val="auto"/>
          <w:kern w:val="0"/>
          <w:sz w:val="32"/>
          <w:szCs w:val="32"/>
          <w:lang w:val="zh-CN" w:bidi="en-US"/>
        </w:rPr>
      </w:pPr>
      <w:r>
        <w:rPr>
          <w:rFonts w:hint="eastAsia" w:ascii="仿宋" w:hAnsi="仿宋" w:eastAsia="仿宋"/>
          <w:b/>
          <w:color w:val="auto"/>
          <w:kern w:val="0"/>
          <w:sz w:val="32"/>
          <w:szCs w:val="32"/>
          <w:lang w:val="zh-CN" w:bidi="en-US"/>
        </w:rPr>
        <w:t>1、</w:t>
      </w:r>
      <w:r>
        <w:rPr>
          <w:rFonts w:ascii="仿宋" w:hAnsi="仿宋" w:eastAsia="仿宋"/>
          <w:b/>
          <w:color w:val="auto"/>
          <w:kern w:val="0"/>
          <w:sz w:val="32"/>
          <w:szCs w:val="32"/>
          <w:lang w:val="zh-CN" w:bidi="en-US"/>
        </w:rPr>
        <w:t>集约化原则</w:t>
      </w:r>
    </w:p>
    <w:p w14:paraId="15B39A4C">
      <w:pPr>
        <w:ind w:firstLine="640" w:firstLineChars="200"/>
        <w:rPr>
          <w:rFonts w:ascii="仿宋" w:hAnsi="仿宋" w:eastAsia="仿宋"/>
          <w:bCs/>
          <w:color w:val="auto"/>
          <w:sz w:val="32"/>
          <w:szCs w:val="32"/>
        </w:rPr>
      </w:pPr>
      <w:r>
        <w:rPr>
          <w:rFonts w:hint="eastAsia" w:ascii="仿宋" w:hAnsi="仿宋" w:eastAsia="仿宋"/>
          <w:bCs/>
          <w:color w:val="auto"/>
          <w:sz w:val="32"/>
          <w:szCs w:val="32"/>
        </w:rPr>
        <w:t>系统</w:t>
      </w:r>
      <w:r>
        <w:rPr>
          <w:rFonts w:ascii="仿宋" w:hAnsi="仿宋" w:eastAsia="仿宋"/>
          <w:bCs/>
          <w:color w:val="auto"/>
          <w:sz w:val="32"/>
          <w:szCs w:val="32"/>
        </w:rPr>
        <w:t>建设</w:t>
      </w:r>
      <w:r>
        <w:rPr>
          <w:rFonts w:hint="eastAsia" w:ascii="仿宋" w:hAnsi="仿宋" w:eastAsia="仿宋"/>
          <w:bCs/>
          <w:color w:val="auto"/>
          <w:sz w:val="32"/>
          <w:szCs w:val="32"/>
        </w:rPr>
        <w:t>需充</w:t>
      </w:r>
      <w:r>
        <w:rPr>
          <w:rFonts w:ascii="仿宋" w:hAnsi="仿宋" w:eastAsia="仿宋"/>
          <w:bCs/>
          <w:color w:val="auto"/>
          <w:sz w:val="32"/>
          <w:szCs w:val="32"/>
        </w:rPr>
        <w:t>分</w:t>
      </w:r>
      <w:r>
        <w:rPr>
          <w:rFonts w:hint="eastAsia" w:ascii="仿宋" w:hAnsi="仿宋" w:eastAsia="仿宋"/>
          <w:bCs/>
          <w:color w:val="auto"/>
          <w:sz w:val="32"/>
          <w:szCs w:val="32"/>
        </w:rPr>
        <w:t>考虑云服务器，避免在基础设施、</w:t>
      </w:r>
      <w:r>
        <w:rPr>
          <w:rFonts w:ascii="仿宋" w:hAnsi="仿宋" w:eastAsia="仿宋"/>
          <w:bCs/>
          <w:color w:val="auto"/>
          <w:sz w:val="32"/>
          <w:szCs w:val="32"/>
        </w:rPr>
        <w:t>硬件</w:t>
      </w:r>
      <w:r>
        <w:rPr>
          <w:rFonts w:hint="eastAsia" w:ascii="仿宋" w:hAnsi="仿宋" w:eastAsia="仿宋"/>
          <w:bCs/>
          <w:color w:val="auto"/>
          <w:sz w:val="32"/>
          <w:szCs w:val="32"/>
        </w:rPr>
        <w:t>、网络等</w:t>
      </w:r>
      <w:r>
        <w:rPr>
          <w:rFonts w:ascii="仿宋" w:hAnsi="仿宋" w:eastAsia="仿宋"/>
          <w:bCs/>
          <w:color w:val="auto"/>
          <w:sz w:val="32"/>
          <w:szCs w:val="32"/>
        </w:rPr>
        <w:t>方面重复投资</w:t>
      </w:r>
      <w:r>
        <w:rPr>
          <w:rFonts w:hint="eastAsia" w:ascii="仿宋" w:hAnsi="仿宋" w:eastAsia="仿宋"/>
          <w:bCs/>
          <w:color w:val="auto"/>
          <w:sz w:val="32"/>
          <w:szCs w:val="32"/>
        </w:rPr>
        <w:t>。</w:t>
      </w:r>
    </w:p>
    <w:p w14:paraId="4E133BB0">
      <w:pPr>
        <w:ind w:firstLine="643" w:firstLineChars="200"/>
        <w:outlineLvl w:val="2"/>
        <w:rPr>
          <w:rFonts w:ascii="仿宋" w:hAnsi="仿宋" w:eastAsia="仿宋"/>
          <w:b/>
          <w:bCs/>
          <w:color w:val="auto"/>
          <w:sz w:val="32"/>
          <w:szCs w:val="32"/>
        </w:rPr>
      </w:pPr>
      <w:r>
        <w:rPr>
          <w:rFonts w:hint="eastAsia" w:ascii="仿宋" w:hAnsi="仿宋" w:eastAsia="仿宋"/>
          <w:b/>
          <w:bCs/>
          <w:color w:val="auto"/>
          <w:sz w:val="32"/>
          <w:szCs w:val="32"/>
        </w:rPr>
        <w:t>2、可靠性原则</w:t>
      </w:r>
    </w:p>
    <w:p w14:paraId="50E3AC9C">
      <w:pPr>
        <w:ind w:firstLine="640" w:firstLineChars="200"/>
        <w:rPr>
          <w:rFonts w:ascii="仿宋" w:hAnsi="仿宋" w:eastAsia="仿宋"/>
          <w:bCs/>
          <w:color w:val="auto"/>
          <w:sz w:val="32"/>
          <w:szCs w:val="32"/>
        </w:rPr>
      </w:pPr>
      <w:r>
        <w:rPr>
          <w:rFonts w:hint="eastAsia" w:ascii="仿宋" w:hAnsi="仿宋" w:eastAsia="仿宋"/>
          <w:bCs/>
          <w:color w:val="auto"/>
          <w:sz w:val="32"/>
          <w:szCs w:val="32"/>
        </w:rPr>
        <w:t>系统建设充分考虑内部网络和外部网络的边界，依托现有信息安全保障体系，确保系统安全稳定运行，确保原始信息的准确性、可靠性和不可篡改性。</w:t>
      </w:r>
    </w:p>
    <w:p w14:paraId="28071637">
      <w:pPr>
        <w:ind w:firstLine="643" w:firstLineChars="200"/>
        <w:outlineLvl w:val="2"/>
        <w:rPr>
          <w:rFonts w:ascii="仿宋" w:hAnsi="仿宋" w:eastAsia="仿宋"/>
          <w:b/>
          <w:bCs/>
          <w:color w:val="auto"/>
          <w:sz w:val="32"/>
          <w:szCs w:val="32"/>
        </w:rPr>
      </w:pPr>
      <w:r>
        <w:rPr>
          <w:rFonts w:hint="eastAsia" w:ascii="仿宋" w:hAnsi="仿宋" w:eastAsia="仿宋"/>
          <w:b/>
          <w:bCs/>
          <w:color w:val="auto"/>
          <w:sz w:val="32"/>
          <w:szCs w:val="32"/>
        </w:rPr>
        <w:t>3、标准化原则</w:t>
      </w:r>
    </w:p>
    <w:p w14:paraId="46FFB64D">
      <w:pPr>
        <w:ind w:firstLine="640" w:firstLineChars="200"/>
        <w:rPr>
          <w:rFonts w:ascii="仿宋" w:hAnsi="仿宋" w:eastAsia="仿宋"/>
          <w:bCs/>
          <w:color w:val="auto"/>
          <w:sz w:val="32"/>
          <w:szCs w:val="32"/>
        </w:rPr>
      </w:pPr>
      <w:r>
        <w:rPr>
          <w:rFonts w:hint="eastAsia" w:ascii="仿宋" w:hAnsi="仿宋" w:eastAsia="仿宋"/>
          <w:bCs/>
          <w:color w:val="auto"/>
          <w:sz w:val="32"/>
          <w:szCs w:val="32"/>
        </w:rPr>
        <w:t>对有关数据接口和信息的分类需统一，并对信息流程进行规范。</w:t>
      </w:r>
    </w:p>
    <w:p w14:paraId="2E8DA6C1">
      <w:pPr>
        <w:ind w:firstLine="643" w:firstLineChars="200"/>
        <w:outlineLvl w:val="2"/>
        <w:rPr>
          <w:rFonts w:ascii="仿宋" w:hAnsi="仿宋" w:eastAsia="仿宋"/>
          <w:b/>
          <w:bCs/>
          <w:color w:val="auto"/>
          <w:sz w:val="32"/>
          <w:szCs w:val="32"/>
        </w:rPr>
      </w:pPr>
      <w:r>
        <w:rPr>
          <w:rFonts w:hint="eastAsia" w:ascii="仿宋" w:hAnsi="仿宋" w:eastAsia="仿宋"/>
          <w:b/>
          <w:bCs/>
          <w:color w:val="auto"/>
          <w:sz w:val="32"/>
          <w:szCs w:val="32"/>
        </w:rPr>
        <w:t>4、有效性原则</w:t>
      </w:r>
    </w:p>
    <w:p w14:paraId="0870F578">
      <w:pPr>
        <w:ind w:firstLine="640" w:firstLineChars="200"/>
        <w:rPr>
          <w:rFonts w:ascii="仿宋" w:hAnsi="仿宋" w:eastAsia="仿宋"/>
          <w:bCs/>
          <w:color w:val="auto"/>
          <w:sz w:val="32"/>
          <w:szCs w:val="32"/>
        </w:rPr>
      </w:pPr>
      <w:r>
        <w:rPr>
          <w:rFonts w:hint="eastAsia" w:ascii="仿宋" w:hAnsi="仿宋" w:eastAsia="仿宋"/>
          <w:bCs/>
          <w:color w:val="auto"/>
          <w:sz w:val="32"/>
          <w:szCs w:val="32"/>
        </w:rPr>
        <w:t>针对不同层次的管理要求应对信息进行适当加工，提供差异化信息数据服务，以满足各类信息需要。</w:t>
      </w:r>
    </w:p>
    <w:p w14:paraId="2662F0D3">
      <w:pPr>
        <w:ind w:firstLine="643" w:firstLineChars="200"/>
        <w:outlineLvl w:val="2"/>
        <w:rPr>
          <w:rFonts w:ascii="仿宋" w:hAnsi="仿宋" w:eastAsia="仿宋"/>
          <w:b/>
          <w:bCs/>
          <w:color w:val="auto"/>
          <w:sz w:val="32"/>
          <w:szCs w:val="32"/>
        </w:rPr>
      </w:pPr>
      <w:r>
        <w:rPr>
          <w:rFonts w:hint="eastAsia" w:ascii="仿宋" w:hAnsi="仿宋" w:eastAsia="仿宋"/>
          <w:b/>
          <w:bCs/>
          <w:color w:val="auto"/>
          <w:sz w:val="32"/>
          <w:szCs w:val="32"/>
        </w:rPr>
        <w:t>5、服务性原则</w:t>
      </w:r>
    </w:p>
    <w:p w14:paraId="5CBBD7A6">
      <w:pPr>
        <w:ind w:firstLine="640" w:firstLineChars="200"/>
        <w:rPr>
          <w:rFonts w:ascii="仿宋" w:hAnsi="仿宋" w:eastAsia="仿宋"/>
          <w:bCs/>
          <w:color w:val="auto"/>
          <w:sz w:val="32"/>
          <w:szCs w:val="32"/>
        </w:rPr>
      </w:pPr>
      <w:r>
        <w:rPr>
          <w:rFonts w:hint="eastAsia" w:ascii="仿宋" w:hAnsi="仿宋" w:eastAsia="仿宋"/>
          <w:bCs/>
          <w:color w:val="auto"/>
          <w:sz w:val="32"/>
          <w:szCs w:val="32"/>
        </w:rPr>
        <w:t>向主管部门、行业协会、楼宇业主、运维单位和社会公众开放，以服务性为建设宗旨。</w:t>
      </w:r>
    </w:p>
    <w:p w14:paraId="604F95A9">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三、建设内容</w:t>
      </w:r>
    </w:p>
    <w:p w14:paraId="16D9C8A2">
      <w:pPr>
        <w:ind w:firstLine="640" w:firstLineChars="200"/>
        <w:rPr>
          <w:rFonts w:ascii="仿宋" w:hAnsi="仿宋" w:eastAsia="仿宋"/>
          <w:color w:val="auto"/>
          <w:kern w:val="0"/>
          <w:sz w:val="32"/>
          <w:szCs w:val="32"/>
          <w:lang w:val="zh-CN" w:bidi="en-US"/>
        </w:rPr>
      </w:pPr>
      <w:bookmarkStart w:id="5" w:name="OLE_LINK1"/>
      <w:r>
        <w:rPr>
          <w:rFonts w:ascii="仿宋" w:hAnsi="仿宋" w:eastAsia="仿宋"/>
          <w:color w:val="auto"/>
          <w:kern w:val="0"/>
          <w:sz w:val="32"/>
          <w:szCs w:val="32"/>
          <w:lang w:val="zh-CN" w:bidi="en-US"/>
        </w:rPr>
        <w:t>本</w:t>
      </w:r>
      <w:r>
        <w:rPr>
          <w:rFonts w:hint="eastAsia" w:ascii="仿宋" w:hAnsi="仿宋" w:eastAsia="仿宋"/>
          <w:color w:val="auto"/>
          <w:kern w:val="0"/>
          <w:sz w:val="32"/>
          <w:szCs w:val="32"/>
          <w:lang w:val="zh-CN" w:bidi="en-US"/>
        </w:rPr>
        <w:t>次</w:t>
      </w:r>
      <w:r>
        <w:rPr>
          <w:rFonts w:ascii="仿宋" w:hAnsi="仿宋" w:eastAsia="仿宋"/>
          <w:color w:val="auto"/>
          <w:kern w:val="0"/>
          <w:sz w:val="32"/>
          <w:szCs w:val="32"/>
          <w:lang w:val="zh-CN" w:bidi="en-US"/>
        </w:rPr>
        <w:t>项目</w:t>
      </w:r>
      <w:r>
        <w:rPr>
          <w:rFonts w:hint="eastAsia" w:ascii="仿宋" w:hAnsi="仿宋" w:eastAsia="仿宋"/>
          <w:color w:val="auto"/>
          <w:kern w:val="0"/>
          <w:sz w:val="32"/>
          <w:szCs w:val="32"/>
          <w:lang w:val="zh-CN" w:bidi="en-US"/>
        </w:rPr>
        <w:t>升级主要</w:t>
      </w:r>
      <w:r>
        <w:rPr>
          <w:rFonts w:ascii="仿宋" w:hAnsi="仿宋" w:eastAsia="仿宋"/>
          <w:color w:val="auto"/>
          <w:kern w:val="0"/>
          <w:sz w:val="32"/>
          <w:szCs w:val="32"/>
          <w:lang w:val="zh-CN" w:bidi="en-US"/>
        </w:rPr>
        <w:t>围绕绿色建筑全过程监管</w:t>
      </w:r>
      <w:bookmarkEnd w:id="5"/>
      <w:r>
        <w:rPr>
          <w:rFonts w:ascii="仿宋" w:hAnsi="仿宋" w:eastAsia="仿宋"/>
          <w:color w:val="auto"/>
          <w:kern w:val="0"/>
          <w:sz w:val="32"/>
          <w:szCs w:val="32"/>
          <w:lang w:val="zh-CN" w:bidi="en-US"/>
        </w:rPr>
        <w:t>、公共建筑虚拟电厂管理、施工过程碳排放监管、建筑能碳智能体</w:t>
      </w:r>
      <w:r>
        <w:rPr>
          <w:rFonts w:hint="eastAsia" w:ascii="仿宋" w:hAnsi="仿宋" w:eastAsia="仿宋"/>
          <w:color w:val="auto"/>
          <w:kern w:val="0"/>
          <w:sz w:val="32"/>
          <w:szCs w:val="32"/>
          <w:lang w:val="zh-CN" w:bidi="en-US"/>
        </w:rPr>
        <w:t>等</w:t>
      </w:r>
      <w:r>
        <w:rPr>
          <w:rFonts w:ascii="仿宋" w:hAnsi="仿宋" w:eastAsia="仿宋"/>
          <w:color w:val="auto"/>
          <w:kern w:val="0"/>
          <w:sz w:val="32"/>
          <w:szCs w:val="32"/>
          <w:lang w:val="zh-CN" w:bidi="en-US"/>
        </w:rPr>
        <w:t>建设内容展开，</w:t>
      </w:r>
      <w:r>
        <w:rPr>
          <w:rFonts w:hint="eastAsia" w:ascii="仿宋" w:hAnsi="仿宋" w:eastAsia="仿宋"/>
          <w:color w:val="auto"/>
          <w:kern w:val="0"/>
          <w:sz w:val="32"/>
          <w:szCs w:val="32"/>
          <w:lang w:bidi="en-US"/>
        </w:rPr>
        <w:t>并且在新技术应用方面，实现采用市级政务大模型底座MAP平台开展大模型建设和接口建设，同时</w:t>
      </w:r>
      <w:r>
        <w:rPr>
          <w:rFonts w:ascii="仿宋" w:hAnsi="仿宋" w:eastAsia="仿宋"/>
          <w:color w:val="auto"/>
          <w:kern w:val="0"/>
          <w:sz w:val="32"/>
          <w:szCs w:val="32"/>
          <w:lang w:val="zh-CN" w:bidi="en-US"/>
        </w:rPr>
        <w:t>需同步完成</w:t>
      </w:r>
      <w:r>
        <w:rPr>
          <w:rFonts w:hint="eastAsia" w:ascii="仿宋" w:hAnsi="仿宋" w:eastAsia="仿宋" w:cstheme="minorBidi"/>
          <w:color w:val="auto"/>
          <w:sz w:val="32"/>
          <w:szCs w:val="32"/>
        </w:rPr>
        <w:t>CIM碳地图适配和</w:t>
      </w:r>
      <w:r>
        <w:rPr>
          <w:rFonts w:ascii="仿宋" w:hAnsi="仿宋" w:eastAsia="仿宋"/>
          <w:color w:val="auto"/>
          <w:kern w:val="0"/>
          <w:sz w:val="32"/>
          <w:szCs w:val="32"/>
          <w:lang w:val="zh-CN" w:bidi="en-US"/>
        </w:rPr>
        <w:t>相关密码应用</w:t>
      </w:r>
      <w:r>
        <w:rPr>
          <w:rFonts w:hint="eastAsia" w:ascii="仿宋" w:hAnsi="仿宋" w:eastAsia="仿宋"/>
          <w:color w:val="auto"/>
          <w:kern w:val="0"/>
          <w:sz w:val="32"/>
          <w:szCs w:val="32"/>
          <w:lang w:val="zh-CN" w:bidi="en-US"/>
        </w:rPr>
        <w:t>建设</w:t>
      </w:r>
      <w:r>
        <w:rPr>
          <w:rFonts w:ascii="仿宋" w:hAnsi="仿宋" w:eastAsia="仿宋"/>
          <w:color w:val="auto"/>
          <w:kern w:val="0"/>
          <w:sz w:val="32"/>
          <w:szCs w:val="32"/>
          <w:lang w:val="zh-CN" w:bidi="en-US"/>
        </w:rPr>
        <w:t>。各部分主要</w:t>
      </w:r>
      <w:r>
        <w:rPr>
          <w:rFonts w:hint="eastAsia" w:ascii="仿宋" w:hAnsi="仿宋" w:eastAsia="仿宋"/>
          <w:color w:val="auto"/>
          <w:kern w:val="0"/>
          <w:sz w:val="32"/>
          <w:szCs w:val="32"/>
          <w:lang w:val="zh-CN" w:bidi="en-US"/>
        </w:rPr>
        <w:t>建设</w:t>
      </w:r>
      <w:r>
        <w:rPr>
          <w:rFonts w:ascii="仿宋" w:hAnsi="仿宋" w:eastAsia="仿宋"/>
          <w:color w:val="auto"/>
          <w:kern w:val="0"/>
          <w:sz w:val="32"/>
          <w:szCs w:val="32"/>
          <w:lang w:val="zh-CN" w:bidi="en-US"/>
        </w:rPr>
        <w:t>内容及要求如下：</w:t>
      </w:r>
    </w:p>
    <w:p w14:paraId="2B68E3A5">
      <w:pPr>
        <w:ind w:firstLine="643" w:firstLineChars="200"/>
        <w:outlineLvl w:val="1"/>
        <w:rPr>
          <w:rFonts w:ascii="仿宋" w:hAnsi="仿宋" w:eastAsia="仿宋"/>
          <w:b/>
          <w:color w:val="auto"/>
          <w:sz w:val="32"/>
          <w:szCs w:val="32"/>
        </w:rPr>
      </w:pPr>
      <w:bookmarkStart w:id="6" w:name="_Toc193918256"/>
      <w:r>
        <w:rPr>
          <w:rFonts w:hint="eastAsia" w:ascii="仿宋" w:hAnsi="仿宋" w:eastAsia="仿宋"/>
          <w:b/>
          <w:color w:val="auto"/>
          <w:sz w:val="32"/>
          <w:szCs w:val="32"/>
        </w:rPr>
        <w:t>（一）</w:t>
      </w:r>
      <w:bookmarkStart w:id="7" w:name="OLE_LINK2"/>
      <w:r>
        <w:rPr>
          <w:rFonts w:hint="eastAsia" w:ascii="仿宋" w:hAnsi="仿宋" w:eastAsia="仿宋"/>
          <w:b/>
          <w:color w:val="auto"/>
          <w:sz w:val="32"/>
          <w:szCs w:val="32"/>
        </w:rPr>
        <w:t>绿色建筑全过程监管</w:t>
      </w:r>
      <w:bookmarkEnd w:id="6"/>
      <w:bookmarkEnd w:id="7"/>
    </w:p>
    <w:p w14:paraId="25F584EC">
      <w:pPr>
        <w:pStyle w:val="25"/>
        <w:spacing w:line="240" w:lineRule="auto"/>
        <w:ind w:firstLine="640"/>
        <w:rPr>
          <w:rFonts w:ascii="仿宋" w:hAnsi="仿宋" w:eastAsia="仿宋"/>
          <w:sz w:val="32"/>
          <w:szCs w:val="32"/>
          <w:lang w:bidi="en-US"/>
        </w:rPr>
      </w:pPr>
      <w:r>
        <w:rPr>
          <w:rFonts w:ascii="仿宋" w:hAnsi="仿宋" w:eastAsia="仿宋"/>
          <w:sz w:val="32"/>
          <w:szCs w:val="32"/>
          <w:lang w:bidi="en-US"/>
        </w:rPr>
        <w:t>对绿色建筑的设计、施工、竣工验收、运行及改造等全流程实施全面监测，聚焦于监管效能与数据流转效率的协同优化，通过采集各阶段关键数据，生成合规率、能效达标率等关键指标，实现全面监测。</w:t>
      </w:r>
      <w:r>
        <w:rPr>
          <w:rFonts w:hint="eastAsia" w:ascii="仿宋" w:hAnsi="仿宋" w:eastAsia="仿宋"/>
          <w:sz w:val="32"/>
          <w:szCs w:val="32"/>
          <w:lang w:bidi="en-US"/>
        </w:rPr>
        <w:t>应包含下几大功能模块：绿色审查、施工监管、</w:t>
      </w:r>
      <w:r>
        <w:rPr>
          <w:rFonts w:ascii="仿宋" w:hAnsi="仿宋" w:eastAsia="仿宋"/>
          <w:sz w:val="32"/>
          <w:szCs w:val="32"/>
          <w:lang w:bidi="en-US"/>
        </w:rPr>
        <w:t>整改预警与跟踪</w:t>
      </w:r>
      <w:r>
        <w:rPr>
          <w:rFonts w:hint="eastAsia" w:ascii="仿宋" w:hAnsi="仿宋" w:eastAsia="仿宋"/>
          <w:sz w:val="32"/>
          <w:szCs w:val="32"/>
          <w:lang w:bidi="en-US"/>
        </w:rPr>
        <w:t>、</w:t>
      </w:r>
      <w:r>
        <w:rPr>
          <w:rFonts w:ascii="仿宋" w:hAnsi="仿宋" w:eastAsia="仿宋"/>
          <w:sz w:val="32"/>
          <w:szCs w:val="32"/>
          <w:lang w:bidi="en-US"/>
        </w:rPr>
        <w:t>动态抽样检查</w:t>
      </w:r>
      <w:r>
        <w:rPr>
          <w:rFonts w:hint="eastAsia" w:ascii="仿宋" w:hAnsi="仿宋" w:eastAsia="仿宋"/>
          <w:sz w:val="32"/>
          <w:szCs w:val="32"/>
          <w:lang w:bidi="en-US"/>
        </w:rPr>
        <w:t>、</w:t>
      </w:r>
      <w:r>
        <w:rPr>
          <w:rFonts w:ascii="仿宋" w:hAnsi="仿宋" w:eastAsia="仿宋"/>
          <w:sz w:val="32"/>
          <w:szCs w:val="32"/>
          <w:lang w:bidi="en-US"/>
        </w:rPr>
        <w:t>验收核查</w:t>
      </w:r>
      <w:r>
        <w:rPr>
          <w:rFonts w:hint="eastAsia" w:ascii="仿宋" w:hAnsi="仿宋" w:eastAsia="仿宋"/>
          <w:sz w:val="32"/>
          <w:szCs w:val="32"/>
          <w:lang w:bidi="en-US"/>
        </w:rPr>
        <w:t>、</w:t>
      </w:r>
      <w:r>
        <w:rPr>
          <w:rFonts w:ascii="仿宋" w:hAnsi="仿宋" w:eastAsia="仿宋"/>
          <w:sz w:val="32"/>
          <w:szCs w:val="32"/>
          <w:lang w:bidi="en-US"/>
        </w:rPr>
        <w:t>运维管控</w:t>
      </w:r>
      <w:r>
        <w:rPr>
          <w:rFonts w:hint="eastAsia" w:ascii="仿宋" w:hAnsi="仿宋" w:eastAsia="仿宋"/>
          <w:sz w:val="32"/>
          <w:szCs w:val="32"/>
          <w:lang w:bidi="en-US"/>
        </w:rPr>
        <w:t>、</w:t>
      </w:r>
      <w:r>
        <w:rPr>
          <w:rFonts w:ascii="仿宋" w:hAnsi="仿宋" w:eastAsia="仿宋"/>
          <w:sz w:val="32"/>
          <w:szCs w:val="32"/>
          <w:lang w:bidi="en-US"/>
        </w:rPr>
        <w:t>绿建标识管理</w:t>
      </w:r>
      <w:r>
        <w:rPr>
          <w:rFonts w:hint="eastAsia" w:ascii="仿宋" w:hAnsi="仿宋" w:eastAsia="仿宋"/>
          <w:sz w:val="32"/>
          <w:szCs w:val="32"/>
          <w:lang w:bidi="en-US"/>
        </w:rPr>
        <w:t>、</w:t>
      </w:r>
      <w:r>
        <w:rPr>
          <w:rFonts w:ascii="仿宋" w:hAnsi="仿宋" w:eastAsia="仿宋"/>
          <w:sz w:val="32"/>
          <w:szCs w:val="32"/>
          <w:lang w:bidi="en-US"/>
        </w:rPr>
        <w:t>能效分级管理</w:t>
      </w:r>
      <w:r>
        <w:rPr>
          <w:rFonts w:hint="eastAsia" w:ascii="仿宋" w:hAnsi="仿宋" w:eastAsia="仿宋"/>
          <w:sz w:val="32"/>
          <w:szCs w:val="32"/>
          <w:lang w:bidi="en-US"/>
        </w:rPr>
        <w:t>、</w:t>
      </w:r>
      <w:r>
        <w:rPr>
          <w:rFonts w:ascii="仿宋" w:hAnsi="仿宋" w:eastAsia="仿宋"/>
          <w:sz w:val="32"/>
          <w:szCs w:val="32"/>
          <w:lang w:bidi="en-US"/>
        </w:rPr>
        <w:t>绿建看板</w:t>
      </w:r>
      <w:r>
        <w:rPr>
          <w:rFonts w:hint="eastAsia" w:ascii="仿宋" w:hAnsi="仿宋" w:eastAsia="仿宋"/>
          <w:sz w:val="32"/>
          <w:szCs w:val="32"/>
          <w:lang w:bidi="en-US"/>
        </w:rPr>
        <w:t>、</w:t>
      </w:r>
      <w:r>
        <w:rPr>
          <w:rFonts w:ascii="仿宋" w:hAnsi="仿宋" w:eastAsia="仿宋"/>
          <w:sz w:val="32"/>
          <w:szCs w:val="32"/>
          <w:lang w:bidi="en-US"/>
        </w:rPr>
        <w:t>外部系统对接</w:t>
      </w:r>
      <w:r>
        <w:rPr>
          <w:rFonts w:hint="eastAsia" w:ascii="仿宋" w:hAnsi="仿宋" w:eastAsia="仿宋"/>
          <w:sz w:val="32"/>
          <w:szCs w:val="32"/>
          <w:lang w:bidi="en-US"/>
        </w:rPr>
        <w:t>、</w:t>
      </w:r>
      <w:r>
        <w:rPr>
          <w:rFonts w:ascii="仿宋" w:hAnsi="仿宋" w:eastAsia="仿宋"/>
          <w:sz w:val="32"/>
          <w:szCs w:val="32"/>
          <w:lang w:bidi="en-US"/>
        </w:rPr>
        <w:t>全市民用建筑建筑碳排放</w:t>
      </w:r>
      <w:r>
        <w:rPr>
          <w:rFonts w:hint="eastAsia" w:ascii="仿宋" w:hAnsi="仿宋" w:eastAsia="仿宋"/>
          <w:sz w:val="32"/>
          <w:szCs w:val="32"/>
          <w:lang w:bidi="en-US"/>
        </w:rPr>
        <w:t>、</w:t>
      </w:r>
      <w:r>
        <w:rPr>
          <w:rFonts w:ascii="仿宋" w:hAnsi="仿宋" w:eastAsia="仿宋"/>
          <w:sz w:val="32"/>
          <w:szCs w:val="32"/>
          <w:lang w:bidi="en-US"/>
        </w:rPr>
        <w:t>联网公共建筑碳排放分析</w:t>
      </w:r>
      <w:r>
        <w:rPr>
          <w:rFonts w:hint="eastAsia" w:ascii="仿宋" w:hAnsi="仿宋" w:eastAsia="仿宋"/>
          <w:sz w:val="32"/>
          <w:szCs w:val="32"/>
          <w:lang w:bidi="en-US"/>
        </w:rPr>
        <w:t>、</w:t>
      </w:r>
      <w:r>
        <w:rPr>
          <w:rFonts w:ascii="仿宋" w:hAnsi="仿宋" w:eastAsia="仿宋"/>
          <w:sz w:val="32"/>
          <w:szCs w:val="32"/>
          <w:lang w:bidi="en-US"/>
        </w:rPr>
        <w:t>单栋建筑能碳详情分析</w:t>
      </w:r>
      <w:r>
        <w:rPr>
          <w:rFonts w:hint="eastAsia" w:ascii="仿宋" w:hAnsi="仿宋" w:eastAsia="仿宋"/>
          <w:sz w:val="32"/>
          <w:szCs w:val="32"/>
          <w:lang w:bidi="en-US"/>
        </w:rPr>
        <w:t>、</w:t>
      </w:r>
      <w:r>
        <w:rPr>
          <w:rFonts w:ascii="仿宋" w:hAnsi="仿宋" w:eastAsia="仿宋"/>
          <w:sz w:val="32"/>
          <w:szCs w:val="32"/>
          <w:lang w:bidi="en-US"/>
        </w:rPr>
        <w:t>绿色建筑</w:t>
      </w:r>
      <w:r>
        <w:rPr>
          <w:rFonts w:hint="eastAsia" w:ascii="仿宋" w:hAnsi="仿宋" w:eastAsia="仿宋"/>
          <w:sz w:val="32"/>
          <w:szCs w:val="32"/>
          <w:lang w:bidi="en-US"/>
        </w:rPr>
        <w:t>、</w:t>
      </w:r>
      <w:r>
        <w:rPr>
          <w:rFonts w:ascii="仿宋" w:hAnsi="仿宋" w:eastAsia="仿宋"/>
          <w:sz w:val="32"/>
          <w:szCs w:val="32"/>
          <w:lang w:bidi="en-US"/>
        </w:rPr>
        <w:t>超低能耗建筑</w:t>
      </w:r>
      <w:r>
        <w:rPr>
          <w:rFonts w:hint="eastAsia" w:ascii="仿宋" w:hAnsi="仿宋" w:eastAsia="仿宋"/>
          <w:sz w:val="32"/>
          <w:szCs w:val="32"/>
          <w:lang w:bidi="en-US"/>
        </w:rPr>
        <w:t>、</w:t>
      </w:r>
      <w:r>
        <w:rPr>
          <w:rFonts w:ascii="仿宋" w:hAnsi="仿宋" w:eastAsia="仿宋"/>
          <w:sz w:val="32"/>
          <w:szCs w:val="32"/>
          <w:lang w:bidi="en-US"/>
        </w:rPr>
        <w:t>建筑工业化</w:t>
      </w:r>
      <w:r>
        <w:rPr>
          <w:rFonts w:hint="eastAsia" w:ascii="仿宋" w:hAnsi="仿宋" w:eastAsia="仿宋"/>
          <w:sz w:val="32"/>
          <w:szCs w:val="32"/>
          <w:lang w:bidi="en-US"/>
        </w:rPr>
        <w:t>、</w:t>
      </w:r>
      <w:r>
        <w:rPr>
          <w:rFonts w:ascii="仿宋" w:hAnsi="仿宋" w:eastAsia="仿宋"/>
          <w:sz w:val="32"/>
          <w:szCs w:val="32"/>
          <w:lang w:bidi="en-US"/>
        </w:rPr>
        <w:t>绿色城区</w:t>
      </w:r>
      <w:r>
        <w:rPr>
          <w:rFonts w:hint="eastAsia" w:ascii="仿宋" w:hAnsi="仿宋" w:eastAsia="仿宋"/>
          <w:sz w:val="32"/>
          <w:szCs w:val="32"/>
          <w:lang w:bidi="en-US"/>
        </w:rPr>
        <w:t>、</w:t>
      </w:r>
      <w:r>
        <w:rPr>
          <w:rFonts w:ascii="仿宋" w:hAnsi="仿宋" w:eastAsia="仿宋"/>
          <w:sz w:val="32"/>
          <w:szCs w:val="32"/>
          <w:lang w:bidi="en-US"/>
        </w:rPr>
        <w:t>低碳建造</w:t>
      </w:r>
      <w:r>
        <w:rPr>
          <w:rFonts w:hint="eastAsia" w:ascii="仿宋" w:hAnsi="仿宋" w:eastAsia="仿宋"/>
          <w:sz w:val="32"/>
          <w:szCs w:val="32"/>
          <w:lang w:bidi="en-US"/>
        </w:rPr>
        <w:t>、</w:t>
      </w:r>
      <w:r>
        <w:rPr>
          <w:rFonts w:ascii="仿宋" w:hAnsi="仿宋" w:eastAsia="仿宋"/>
          <w:sz w:val="32"/>
          <w:szCs w:val="32"/>
          <w:lang w:bidi="en-US"/>
        </w:rPr>
        <w:t>节能改造</w:t>
      </w:r>
      <w:r>
        <w:rPr>
          <w:rFonts w:hint="eastAsia" w:ascii="仿宋" w:hAnsi="仿宋" w:eastAsia="仿宋"/>
          <w:sz w:val="32"/>
          <w:szCs w:val="32"/>
          <w:lang w:bidi="en-US"/>
        </w:rPr>
        <w:t>。其中能效分级管理需要通过一网通办进行实现。</w:t>
      </w:r>
    </w:p>
    <w:p w14:paraId="0F48D32A">
      <w:pPr>
        <w:pStyle w:val="25"/>
        <w:spacing w:line="240" w:lineRule="auto"/>
        <w:ind w:firstLine="640"/>
        <w:rPr>
          <w:rFonts w:ascii="仿宋" w:hAnsi="仿宋" w:eastAsia="仿宋"/>
          <w:sz w:val="32"/>
          <w:szCs w:val="32"/>
          <w:lang w:bidi="en-US"/>
        </w:rPr>
      </w:pPr>
      <w:r>
        <w:rPr>
          <w:rFonts w:hint="eastAsia" w:ascii="仿宋" w:hAnsi="仿宋" w:eastAsia="仿宋"/>
          <w:sz w:val="32"/>
          <w:szCs w:val="32"/>
          <w:lang w:bidi="en-US"/>
        </w:rPr>
        <w:t>绿色建筑全过程监管子系统需开发功能清单如下：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79974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01B3C1C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序号</w:t>
            </w:r>
          </w:p>
        </w:tc>
        <w:tc>
          <w:tcPr>
            <w:tcW w:w="2130" w:type="dxa"/>
            <w:vAlign w:val="center"/>
          </w:tcPr>
          <w:p w14:paraId="29C82F5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731D04D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264D34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79A1BCB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7642714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绿色审查</w:t>
            </w:r>
          </w:p>
        </w:tc>
        <w:tc>
          <w:tcPr>
            <w:tcW w:w="5327" w:type="dxa"/>
            <w:vAlign w:val="center"/>
          </w:tcPr>
          <w:p w14:paraId="03E38561">
            <w:pPr>
              <w:pStyle w:val="25"/>
              <w:spacing w:line="400" w:lineRule="exact"/>
              <w:ind w:firstLine="0" w:firstLineChars="0"/>
              <w:jc w:val="left"/>
              <w:rPr>
                <w:rFonts w:ascii="仿宋" w:hAnsi="仿宋" w:eastAsia="仿宋"/>
                <w:lang w:bidi="en-US"/>
              </w:rPr>
            </w:pPr>
            <w:r>
              <w:rPr>
                <w:rFonts w:ascii="仿宋" w:hAnsi="仿宋" w:eastAsia="仿宋"/>
                <w:lang w:bidi="en-US"/>
              </w:rPr>
              <w:t>按绿色建筑、超低能耗建筑、既有建筑节能改造、可再生建筑、新建建筑分项计量对绿建</w:t>
            </w:r>
            <w:r>
              <w:rPr>
                <w:rFonts w:hint="eastAsia" w:ascii="仿宋" w:hAnsi="仿宋" w:eastAsia="仿宋"/>
                <w:lang w:bidi="en-US"/>
              </w:rPr>
              <w:t>项目进行标准分类、评价、审查、信息资料上传、方案论证、专项评估等全方位管理。</w:t>
            </w:r>
          </w:p>
        </w:tc>
      </w:tr>
      <w:tr w14:paraId="1AF42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C4883C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050E4FF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施工监管</w:t>
            </w:r>
          </w:p>
        </w:tc>
        <w:tc>
          <w:tcPr>
            <w:tcW w:w="5327" w:type="dxa"/>
            <w:vAlign w:val="center"/>
          </w:tcPr>
          <w:p w14:paraId="349B0FE6">
            <w:pPr>
              <w:pStyle w:val="25"/>
              <w:spacing w:line="400" w:lineRule="exact"/>
              <w:ind w:firstLine="0" w:firstLineChars="0"/>
              <w:jc w:val="left"/>
              <w:rPr>
                <w:rFonts w:ascii="仿宋" w:hAnsi="仿宋" w:eastAsia="仿宋"/>
                <w:lang w:bidi="en-US"/>
              </w:rPr>
            </w:pPr>
            <w:r>
              <w:rPr>
                <w:rFonts w:hint="eastAsia" w:ascii="仿宋" w:hAnsi="仿宋" w:eastAsia="仿宋"/>
                <w:lang w:bidi="en-US"/>
              </w:rPr>
              <w:t>应用建筑机器人、智能固定装备等技术及设备，对施工过程及</w:t>
            </w:r>
            <w:r>
              <w:rPr>
                <w:rFonts w:ascii="仿宋" w:hAnsi="仿宋" w:eastAsia="仿宋"/>
                <w:lang w:bidi="en-US"/>
              </w:rPr>
              <w:t>施工现场设备</w:t>
            </w:r>
            <w:r>
              <w:rPr>
                <w:rFonts w:hint="eastAsia" w:ascii="仿宋" w:hAnsi="仿宋" w:eastAsia="仿宋"/>
                <w:lang w:bidi="en-US"/>
              </w:rPr>
              <w:t>数据采集、巡检及过程管理。</w:t>
            </w:r>
          </w:p>
        </w:tc>
      </w:tr>
      <w:tr w14:paraId="19BAD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6A6C750D">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1281BB7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整改预警与跟踪</w:t>
            </w:r>
          </w:p>
        </w:tc>
        <w:tc>
          <w:tcPr>
            <w:tcW w:w="5327" w:type="dxa"/>
            <w:vAlign w:val="center"/>
          </w:tcPr>
          <w:p w14:paraId="7F950B4D">
            <w:pPr>
              <w:pStyle w:val="25"/>
              <w:spacing w:line="400" w:lineRule="exact"/>
              <w:ind w:firstLine="0" w:firstLineChars="0"/>
              <w:jc w:val="left"/>
              <w:rPr>
                <w:rFonts w:ascii="仿宋" w:hAnsi="仿宋" w:eastAsia="仿宋"/>
                <w:lang w:bidi="en-US"/>
              </w:rPr>
            </w:pPr>
            <w:r>
              <w:rPr>
                <w:rFonts w:ascii="仿宋" w:hAnsi="仿宋" w:eastAsia="仿宋"/>
                <w:lang w:bidi="en-US"/>
              </w:rPr>
              <w:t>根据巡检记录生成整改预警记录，提供整改预警记录查询</w:t>
            </w:r>
            <w:r>
              <w:rPr>
                <w:rFonts w:hint="eastAsia" w:ascii="仿宋" w:hAnsi="仿宋" w:eastAsia="仿宋"/>
                <w:lang w:bidi="en-US"/>
              </w:rPr>
              <w:t>、</w:t>
            </w:r>
            <w:r>
              <w:rPr>
                <w:rFonts w:ascii="仿宋" w:hAnsi="仿宋" w:eastAsia="仿宋"/>
                <w:lang w:bidi="en-US"/>
              </w:rPr>
              <w:t>整改限期提醒</w:t>
            </w:r>
            <w:r>
              <w:rPr>
                <w:rFonts w:hint="eastAsia" w:ascii="仿宋" w:hAnsi="仿宋" w:eastAsia="仿宋"/>
                <w:lang w:bidi="en-US"/>
              </w:rPr>
              <w:t>、整改过程跟踪和整改闭环等</w:t>
            </w:r>
            <w:r>
              <w:rPr>
                <w:rFonts w:ascii="仿宋" w:hAnsi="仿宋" w:eastAsia="仿宋"/>
                <w:lang w:bidi="en-US"/>
              </w:rPr>
              <w:t>功能</w:t>
            </w:r>
            <w:r>
              <w:rPr>
                <w:rFonts w:hint="eastAsia" w:ascii="仿宋" w:hAnsi="仿宋" w:eastAsia="仿宋"/>
                <w:lang w:bidi="en-US"/>
              </w:rPr>
              <w:t>。</w:t>
            </w:r>
          </w:p>
        </w:tc>
      </w:tr>
      <w:tr w14:paraId="074952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96961C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4</w:t>
            </w:r>
          </w:p>
        </w:tc>
        <w:tc>
          <w:tcPr>
            <w:tcW w:w="2130" w:type="dxa"/>
            <w:vAlign w:val="center"/>
          </w:tcPr>
          <w:p w14:paraId="2D3C8ED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动态抽样检查</w:t>
            </w:r>
          </w:p>
        </w:tc>
        <w:tc>
          <w:tcPr>
            <w:tcW w:w="5327" w:type="dxa"/>
            <w:vAlign w:val="center"/>
          </w:tcPr>
          <w:p w14:paraId="1FDB5B94">
            <w:pPr>
              <w:pStyle w:val="25"/>
              <w:tabs>
                <w:tab w:val="left" w:pos="820"/>
              </w:tabs>
              <w:spacing w:line="400" w:lineRule="exact"/>
              <w:ind w:firstLine="0" w:firstLineChars="0"/>
              <w:jc w:val="left"/>
              <w:rPr>
                <w:rFonts w:ascii="仿宋" w:hAnsi="仿宋" w:eastAsia="仿宋"/>
                <w:lang w:bidi="en-US"/>
              </w:rPr>
            </w:pPr>
            <w:r>
              <w:rPr>
                <w:rFonts w:ascii="仿宋" w:hAnsi="仿宋" w:eastAsia="仿宋"/>
                <w:lang w:bidi="en-US"/>
              </w:rPr>
              <w:t>对</w:t>
            </w:r>
            <w:r>
              <w:rPr>
                <w:rFonts w:hint="eastAsia" w:ascii="仿宋" w:hAnsi="仿宋" w:eastAsia="仿宋"/>
                <w:lang w:bidi="en-US"/>
              </w:rPr>
              <w:t>施工阶段、</w:t>
            </w:r>
            <w:r>
              <w:rPr>
                <w:rFonts w:ascii="仿宋" w:hAnsi="仿宋" w:eastAsia="仿宋"/>
                <w:lang w:bidi="en-US"/>
              </w:rPr>
              <w:t>竣工阶段的项目按检查项目分类（不同类型建筑对应不同检查项目）</w:t>
            </w:r>
            <w:r>
              <w:rPr>
                <w:rFonts w:hint="eastAsia" w:ascii="仿宋" w:hAnsi="仿宋" w:eastAsia="仿宋"/>
                <w:lang w:bidi="en-US"/>
              </w:rPr>
              <w:t>进行抽样检查。</w:t>
            </w:r>
          </w:p>
        </w:tc>
      </w:tr>
      <w:tr w14:paraId="43596D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406C02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5</w:t>
            </w:r>
          </w:p>
        </w:tc>
        <w:tc>
          <w:tcPr>
            <w:tcW w:w="2130" w:type="dxa"/>
            <w:vAlign w:val="center"/>
          </w:tcPr>
          <w:p w14:paraId="4DB3C77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验收核查</w:t>
            </w:r>
          </w:p>
        </w:tc>
        <w:tc>
          <w:tcPr>
            <w:tcW w:w="5327" w:type="dxa"/>
            <w:vAlign w:val="center"/>
          </w:tcPr>
          <w:p w14:paraId="4B49D1BA">
            <w:pPr>
              <w:pStyle w:val="25"/>
              <w:spacing w:line="400" w:lineRule="exact"/>
              <w:ind w:firstLine="0" w:firstLineChars="0"/>
              <w:jc w:val="left"/>
              <w:rPr>
                <w:rFonts w:ascii="仿宋" w:hAnsi="仿宋" w:eastAsia="仿宋"/>
                <w:lang w:bidi="en-US"/>
              </w:rPr>
            </w:pPr>
            <w:r>
              <w:rPr>
                <w:rFonts w:ascii="仿宋" w:hAnsi="仿宋" w:eastAsia="仿宋"/>
                <w:lang w:bidi="en-US"/>
              </w:rPr>
              <w:t>对竣工阶段的项目</w:t>
            </w:r>
            <w:r>
              <w:rPr>
                <w:rFonts w:hint="eastAsia" w:ascii="仿宋" w:hAnsi="仿宋" w:eastAsia="仿宋"/>
                <w:lang w:bidi="en-US"/>
              </w:rPr>
              <w:t>进行验收资料审查、</w:t>
            </w:r>
            <w:r>
              <w:rPr>
                <w:rFonts w:ascii="仿宋" w:hAnsi="仿宋" w:eastAsia="仿宋"/>
                <w:lang w:bidi="en-US"/>
              </w:rPr>
              <w:t>初步判断项目是否符合验收要求</w:t>
            </w:r>
            <w:r>
              <w:rPr>
                <w:rFonts w:hint="eastAsia" w:ascii="仿宋" w:hAnsi="仿宋" w:eastAsia="仿宋"/>
                <w:lang w:bidi="en-US"/>
              </w:rPr>
              <w:t>。</w:t>
            </w:r>
          </w:p>
        </w:tc>
      </w:tr>
      <w:tr w14:paraId="28C1E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A669E5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6</w:t>
            </w:r>
          </w:p>
        </w:tc>
        <w:tc>
          <w:tcPr>
            <w:tcW w:w="2130" w:type="dxa"/>
            <w:vAlign w:val="center"/>
          </w:tcPr>
          <w:p w14:paraId="21CD5D4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运维管控</w:t>
            </w:r>
          </w:p>
        </w:tc>
        <w:tc>
          <w:tcPr>
            <w:tcW w:w="5327" w:type="dxa"/>
            <w:vAlign w:val="center"/>
          </w:tcPr>
          <w:p w14:paraId="6EAD211C">
            <w:pPr>
              <w:pStyle w:val="25"/>
              <w:spacing w:line="400" w:lineRule="exact"/>
              <w:ind w:firstLine="0" w:firstLineChars="0"/>
              <w:jc w:val="left"/>
              <w:rPr>
                <w:rFonts w:ascii="仿宋" w:hAnsi="仿宋" w:eastAsia="仿宋"/>
                <w:lang w:bidi="en-US"/>
              </w:rPr>
            </w:pPr>
            <w:r>
              <w:rPr>
                <w:rFonts w:hint="eastAsia" w:ascii="仿宋" w:hAnsi="仿宋" w:eastAsia="仿宋"/>
                <w:lang w:bidi="en-US"/>
              </w:rPr>
              <w:t>对</w:t>
            </w:r>
            <w:r>
              <w:rPr>
                <w:rFonts w:ascii="仿宋" w:hAnsi="仿宋" w:eastAsia="仿宋"/>
                <w:lang w:bidi="en-US"/>
              </w:rPr>
              <w:t>建筑年度运行</w:t>
            </w:r>
            <w:r>
              <w:rPr>
                <w:rFonts w:hint="eastAsia" w:ascii="仿宋" w:hAnsi="仿宋" w:eastAsia="仿宋"/>
                <w:lang w:bidi="en-US"/>
              </w:rPr>
              <w:t>能耗</w:t>
            </w:r>
            <w:r>
              <w:rPr>
                <w:rFonts w:ascii="仿宋" w:hAnsi="仿宋" w:eastAsia="仿宋"/>
                <w:lang w:bidi="en-US"/>
              </w:rPr>
              <w:t>指标</w:t>
            </w:r>
            <w:r>
              <w:rPr>
                <w:rFonts w:hint="eastAsia" w:ascii="仿宋" w:hAnsi="仿宋" w:eastAsia="仿宋"/>
                <w:lang w:bidi="en-US"/>
              </w:rPr>
              <w:t>进行数据采集或系统</w:t>
            </w:r>
            <w:r>
              <w:rPr>
                <w:rFonts w:ascii="仿宋" w:hAnsi="仿宋" w:eastAsia="仿宋"/>
                <w:lang w:bidi="en-US"/>
              </w:rPr>
              <w:t>上报</w:t>
            </w:r>
            <w:r>
              <w:rPr>
                <w:rFonts w:hint="eastAsia" w:ascii="仿宋" w:hAnsi="仿宋" w:eastAsia="仿宋"/>
                <w:lang w:bidi="en-US"/>
              </w:rPr>
              <w:t>。可查询</w:t>
            </w:r>
            <w:r>
              <w:rPr>
                <w:rFonts w:ascii="仿宋" w:hAnsi="仿宋" w:eastAsia="仿宋"/>
                <w:lang w:bidi="en-US"/>
              </w:rPr>
              <w:t>能耗考核</w:t>
            </w:r>
            <w:r>
              <w:rPr>
                <w:rFonts w:hint="eastAsia" w:ascii="仿宋" w:hAnsi="仿宋" w:eastAsia="仿宋"/>
                <w:lang w:bidi="en-US"/>
              </w:rPr>
              <w:t>结果，并对能耗超标建筑进行预警。</w:t>
            </w:r>
          </w:p>
        </w:tc>
      </w:tr>
      <w:tr w14:paraId="444B91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3F01E5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7</w:t>
            </w:r>
          </w:p>
        </w:tc>
        <w:tc>
          <w:tcPr>
            <w:tcW w:w="2130" w:type="dxa"/>
            <w:vAlign w:val="center"/>
          </w:tcPr>
          <w:p w14:paraId="0BAAA7D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绿建标识管理</w:t>
            </w:r>
          </w:p>
        </w:tc>
        <w:tc>
          <w:tcPr>
            <w:tcW w:w="5327" w:type="dxa"/>
            <w:vAlign w:val="center"/>
          </w:tcPr>
          <w:p w14:paraId="6E0E3FBD">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w:t>
            </w:r>
            <w:r>
              <w:rPr>
                <w:rFonts w:ascii="仿宋" w:hAnsi="仿宋" w:eastAsia="仿宋"/>
                <w:lang w:bidi="en-US"/>
              </w:rPr>
              <w:t>绿色建筑星级评定结果</w:t>
            </w:r>
            <w:r>
              <w:rPr>
                <w:rFonts w:hint="eastAsia" w:ascii="仿宋" w:hAnsi="仿宋" w:eastAsia="仿宋"/>
                <w:lang w:bidi="en-US"/>
              </w:rPr>
              <w:t>及标识分布情况。</w:t>
            </w:r>
          </w:p>
        </w:tc>
      </w:tr>
      <w:tr w14:paraId="2DF15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908C86C">
            <w:pPr>
              <w:pStyle w:val="25"/>
              <w:spacing w:line="400" w:lineRule="exact"/>
              <w:ind w:firstLine="0" w:firstLineChars="0"/>
              <w:jc w:val="center"/>
              <w:rPr>
                <w:rFonts w:ascii="仿宋" w:hAnsi="仿宋" w:eastAsia="仿宋"/>
                <w:lang w:bidi="en-US"/>
              </w:rPr>
            </w:pPr>
            <w:r>
              <w:rPr>
                <w:rFonts w:hint="eastAsia" w:ascii="仿宋" w:hAnsi="仿宋" w:eastAsia="仿宋"/>
                <w:lang w:bidi="en-US"/>
              </w:rPr>
              <w:t>8</w:t>
            </w:r>
          </w:p>
        </w:tc>
        <w:tc>
          <w:tcPr>
            <w:tcW w:w="2130" w:type="dxa"/>
            <w:vAlign w:val="center"/>
          </w:tcPr>
          <w:p w14:paraId="5AFE956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能效分级管理</w:t>
            </w:r>
          </w:p>
        </w:tc>
        <w:tc>
          <w:tcPr>
            <w:tcW w:w="5327" w:type="dxa"/>
            <w:vAlign w:val="center"/>
          </w:tcPr>
          <w:p w14:paraId="6963D728">
            <w:pPr>
              <w:pStyle w:val="25"/>
              <w:spacing w:line="400" w:lineRule="exact"/>
              <w:ind w:firstLine="0" w:firstLineChars="0"/>
              <w:jc w:val="left"/>
              <w:rPr>
                <w:rFonts w:ascii="仿宋" w:hAnsi="仿宋" w:eastAsia="仿宋"/>
                <w:lang w:bidi="en-US"/>
              </w:rPr>
            </w:pPr>
            <w:r>
              <w:rPr>
                <w:rFonts w:hint="eastAsia" w:ascii="仿宋" w:hAnsi="仿宋" w:eastAsia="仿宋"/>
                <w:lang w:bidi="en-US"/>
              </w:rPr>
              <w:t>对</w:t>
            </w:r>
            <w:r>
              <w:rPr>
                <w:rFonts w:ascii="仿宋" w:hAnsi="仿宋" w:eastAsia="仿宋"/>
                <w:lang w:bidi="en-US"/>
              </w:rPr>
              <w:t>不同建筑类型，构建差异化的能效分级标准</w:t>
            </w:r>
            <w:r>
              <w:rPr>
                <w:rFonts w:hint="eastAsia" w:ascii="仿宋" w:hAnsi="仿宋" w:eastAsia="仿宋"/>
                <w:lang w:bidi="en-US"/>
              </w:rPr>
              <w:t>；对</w:t>
            </w:r>
            <w:r>
              <w:rPr>
                <w:rFonts w:ascii="仿宋" w:hAnsi="仿宋" w:eastAsia="仿宋"/>
                <w:lang w:bidi="en-US"/>
              </w:rPr>
              <w:t>能效分级楼宇</w:t>
            </w:r>
            <w:r>
              <w:rPr>
                <w:rFonts w:hint="eastAsia" w:ascii="仿宋" w:hAnsi="仿宋" w:eastAsia="仿宋"/>
                <w:lang w:bidi="en-US"/>
              </w:rPr>
              <w:t>提供能耗填报上传、数据校核、数据质量评判等功能；</w:t>
            </w:r>
            <w:r>
              <w:rPr>
                <w:rFonts w:ascii="仿宋" w:hAnsi="仿宋" w:eastAsia="仿宋"/>
                <w:lang w:bidi="en-US"/>
              </w:rPr>
              <w:t>对已竣工绿色建筑</w:t>
            </w:r>
            <w:r>
              <w:rPr>
                <w:rFonts w:hint="eastAsia" w:ascii="仿宋" w:hAnsi="仿宋" w:eastAsia="仿宋"/>
                <w:lang w:bidi="en-US"/>
              </w:rPr>
              <w:t>提供</w:t>
            </w:r>
            <w:r>
              <w:rPr>
                <w:rFonts w:ascii="仿宋" w:hAnsi="仿宋" w:eastAsia="仿宋"/>
                <w:lang w:bidi="en-US"/>
              </w:rPr>
              <w:t>能耗分级计算</w:t>
            </w:r>
            <w:r>
              <w:rPr>
                <w:rFonts w:hint="eastAsia" w:ascii="仿宋" w:hAnsi="仿宋" w:eastAsia="仿宋"/>
                <w:lang w:bidi="en-US"/>
              </w:rPr>
              <w:t>、结果排名、</w:t>
            </w:r>
            <w:r>
              <w:rPr>
                <w:rFonts w:ascii="仿宋" w:hAnsi="仿宋" w:eastAsia="仿宋"/>
                <w:lang w:bidi="en-US"/>
              </w:rPr>
              <w:t>能效分级预警</w:t>
            </w:r>
            <w:r>
              <w:rPr>
                <w:rFonts w:hint="eastAsia" w:ascii="仿宋" w:hAnsi="仿宋" w:eastAsia="仿宋"/>
                <w:lang w:bidi="en-US"/>
              </w:rPr>
              <w:t>能效分析等功能。</w:t>
            </w:r>
          </w:p>
        </w:tc>
      </w:tr>
      <w:tr w14:paraId="56A36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24BD9B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9</w:t>
            </w:r>
          </w:p>
        </w:tc>
        <w:tc>
          <w:tcPr>
            <w:tcW w:w="2130" w:type="dxa"/>
            <w:vAlign w:val="center"/>
          </w:tcPr>
          <w:p w14:paraId="25013BA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绿建看板</w:t>
            </w:r>
          </w:p>
        </w:tc>
        <w:tc>
          <w:tcPr>
            <w:tcW w:w="5327" w:type="dxa"/>
            <w:vAlign w:val="center"/>
          </w:tcPr>
          <w:p w14:paraId="5A4BBA2A">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呈现各绿色</w:t>
            </w:r>
            <w:r>
              <w:rPr>
                <w:rFonts w:ascii="仿宋" w:hAnsi="仿宋" w:eastAsia="仿宋"/>
                <w:lang w:bidi="en-US"/>
              </w:rPr>
              <w:t>建筑</w:t>
            </w:r>
            <w:r>
              <w:rPr>
                <w:rFonts w:hint="eastAsia" w:ascii="仿宋" w:hAnsi="仿宋" w:eastAsia="仿宋"/>
                <w:lang w:bidi="en-US"/>
              </w:rPr>
              <w:t>项目</w:t>
            </w:r>
            <w:r>
              <w:rPr>
                <w:rFonts w:ascii="仿宋" w:hAnsi="仿宋" w:eastAsia="仿宋"/>
                <w:lang w:bidi="en-US"/>
              </w:rPr>
              <w:t>基本信息</w:t>
            </w:r>
            <w:r>
              <w:rPr>
                <w:rFonts w:hint="eastAsia" w:ascii="仿宋" w:hAnsi="仿宋" w:eastAsia="仿宋"/>
                <w:lang w:bidi="en-US"/>
              </w:rPr>
              <w:t>。对全市绿建项目进行统计分析、</w:t>
            </w:r>
            <w:r>
              <w:rPr>
                <w:rFonts w:ascii="仿宋" w:hAnsi="仿宋" w:eastAsia="仿宋"/>
                <w:lang w:bidi="en-US"/>
              </w:rPr>
              <w:t>标记绿色建筑项目分布</w:t>
            </w:r>
            <w:r>
              <w:rPr>
                <w:rFonts w:hint="eastAsia" w:ascii="仿宋" w:hAnsi="仿宋" w:eastAsia="仿宋"/>
                <w:lang w:bidi="en-US"/>
              </w:rPr>
              <w:t>、对</w:t>
            </w:r>
            <w:r>
              <w:rPr>
                <w:rFonts w:ascii="仿宋" w:hAnsi="仿宋" w:eastAsia="仿宋"/>
                <w:lang w:bidi="en-US"/>
              </w:rPr>
              <w:t>未竣工状态下超期未竣工项目和竣工状态下能耗分级较高</w:t>
            </w:r>
            <w:r>
              <w:rPr>
                <w:rFonts w:hint="eastAsia" w:ascii="仿宋" w:hAnsi="仿宋" w:eastAsia="仿宋"/>
                <w:lang w:bidi="en-US"/>
              </w:rPr>
              <w:t>进行预警；对绿建项目建设过程中相关设备作业情况提供相关运行参数统计及分析功能。</w:t>
            </w:r>
          </w:p>
        </w:tc>
      </w:tr>
      <w:tr w14:paraId="2A369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4D7939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10</w:t>
            </w:r>
          </w:p>
        </w:tc>
        <w:tc>
          <w:tcPr>
            <w:tcW w:w="2130" w:type="dxa"/>
            <w:vAlign w:val="center"/>
          </w:tcPr>
          <w:p w14:paraId="1523828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外部系统对接</w:t>
            </w:r>
          </w:p>
        </w:tc>
        <w:tc>
          <w:tcPr>
            <w:tcW w:w="5327" w:type="dxa"/>
            <w:vAlign w:val="center"/>
          </w:tcPr>
          <w:p w14:paraId="02C74744">
            <w:pPr>
              <w:pStyle w:val="25"/>
              <w:spacing w:line="400" w:lineRule="exact"/>
              <w:ind w:firstLine="0" w:firstLineChars="0"/>
              <w:jc w:val="left"/>
              <w:rPr>
                <w:rFonts w:ascii="仿宋" w:hAnsi="仿宋" w:eastAsia="仿宋"/>
                <w:lang w:bidi="en-US"/>
              </w:rPr>
            </w:pPr>
            <w:r>
              <w:rPr>
                <w:rFonts w:hint="eastAsia" w:ascii="仿宋" w:hAnsi="仿宋" w:eastAsia="仿宋"/>
                <w:lang w:bidi="en-US"/>
              </w:rPr>
              <w:t>对接</w:t>
            </w:r>
            <w:r>
              <w:rPr>
                <w:rFonts w:ascii="仿宋" w:hAnsi="仿宋" w:eastAsia="仿宋"/>
                <w:lang w:bidi="en-US"/>
              </w:rPr>
              <w:t>上海市建设市场管理信息平台</w:t>
            </w:r>
            <w:r>
              <w:rPr>
                <w:rFonts w:hint="eastAsia" w:ascii="仿宋" w:hAnsi="仿宋" w:eastAsia="仿宋"/>
                <w:lang w:bidi="en-US"/>
              </w:rPr>
              <w:t>、</w:t>
            </w:r>
            <w:r>
              <w:rPr>
                <w:rFonts w:ascii="仿宋" w:hAnsi="仿宋" w:eastAsia="仿宋"/>
                <w:lang w:bidi="en-US"/>
              </w:rPr>
              <w:t>上海市工程建设项目审批管理系统</w:t>
            </w:r>
            <w:r>
              <w:rPr>
                <w:rFonts w:hint="eastAsia" w:ascii="仿宋" w:hAnsi="仿宋" w:eastAsia="仿宋"/>
                <w:lang w:bidi="en-US"/>
              </w:rPr>
              <w:t>等外部系统，对接</w:t>
            </w:r>
            <w:r>
              <w:rPr>
                <w:rFonts w:ascii="仿宋" w:hAnsi="仿宋" w:eastAsia="仿宋"/>
                <w:lang w:bidi="en-US"/>
              </w:rPr>
              <w:t>建设单位所使用的智慧工地管理平台</w:t>
            </w:r>
            <w:r>
              <w:rPr>
                <w:rFonts w:hint="eastAsia" w:ascii="仿宋" w:hAnsi="仿宋" w:eastAsia="仿宋"/>
                <w:lang w:bidi="en-US"/>
              </w:rPr>
              <w:t>等外部系统或数据资源，提供对应的数据接口。</w:t>
            </w:r>
          </w:p>
        </w:tc>
      </w:tr>
      <w:tr w14:paraId="3DF3FB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355AA5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11</w:t>
            </w:r>
          </w:p>
        </w:tc>
        <w:tc>
          <w:tcPr>
            <w:tcW w:w="2130" w:type="dxa"/>
            <w:vAlign w:val="center"/>
          </w:tcPr>
          <w:p w14:paraId="2F3CB9C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全市民用建筑建筑碳排放</w:t>
            </w:r>
          </w:p>
        </w:tc>
        <w:tc>
          <w:tcPr>
            <w:tcW w:w="5327" w:type="dxa"/>
            <w:vAlign w:val="center"/>
          </w:tcPr>
          <w:p w14:paraId="36C15419">
            <w:pPr>
              <w:pStyle w:val="25"/>
              <w:spacing w:line="400" w:lineRule="exact"/>
              <w:ind w:firstLine="0" w:firstLineChars="0"/>
              <w:jc w:val="left"/>
              <w:rPr>
                <w:rFonts w:ascii="仿宋" w:hAnsi="仿宋" w:eastAsia="仿宋"/>
                <w:lang w:bidi="en-US"/>
              </w:rPr>
            </w:pPr>
            <w:r>
              <w:rPr>
                <w:rFonts w:hint="eastAsia" w:ascii="仿宋" w:hAnsi="仿宋" w:eastAsia="仿宋"/>
                <w:lang w:bidi="en-US"/>
              </w:rPr>
              <w:t>展示</w:t>
            </w:r>
            <w:r>
              <w:rPr>
                <w:rFonts w:ascii="仿宋" w:hAnsi="仿宋" w:eastAsia="仿宋"/>
                <w:lang w:bidi="en-US"/>
              </w:rPr>
              <w:t>全市民用建筑碳排放总量和建筑规模信息</w:t>
            </w:r>
            <w:r>
              <w:rPr>
                <w:rFonts w:hint="eastAsia" w:ascii="仿宋" w:hAnsi="仿宋" w:eastAsia="仿宋"/>
                <w:lang w:bidi="en-US"/>
              </w:rPr>
              <w:t>。以图表方式呈现各</w:t>
            </w:r>
            <w:r>
              <w:rPr>
                <w:rFonts w:ascii="仿宋" w:hAnsi="仿宋" w:eastAsia="仿宋"/>
                <w:lang w:bidi="en-US"/>
              </w:rPr>
              <w:t>建筑类型碳排放分析</w:t>
            </w:r>
            <w:r>
              <w:rPr>
                <w:rFonts w:hint="eastAsia" w:ascii="仿宋" w:hAnsi="仿宋" w:eastAsia="仿宋"/>
                <w:lang w:bidi="en-US"/>
              </w:rPr>
              <w:t>结果</w:t>
            </w:r>
            <w:r>
              <w:rPr>
                <w:rFonts w:ascii="仿宋" w:hAnsi="仿宋" w:eastAsia="仿宋"/>
                <w:lang w:bidi="en-US"/>
              </w:rPr>
              <w:t>、直接间接碳排</w:t>
            </w:r>
            <w:r>
              <w:rPr>
                <w:rFonts w:hint="eastAsia" w:ascii="仿宋" w:hAnsi="仿宋" w:eastAsia="仿宋"/>
                <w:lang w:bidi="en-US"/>
              </w:rPr>
              <w:t>放</w:t>
            </w:r>
            <w:r>
              <w:rPr>
                <w:rFonts w:ascii="仿宋" w:hAnsi="仿宋" w:eastAsia="仿宋"/>
                <w:lang w:bidi="en-US"/>
              </w:rPr>
              <w:t>分析</w:t>
            </w:r>
            <w:r>
              <w:rPr>
                <w:rFonts w:hint="eastAsia" w:ascii="仿宋" w:hAnsi="仿宋" w:eastAsia="仿宋"/>
                <w:lang w:bidi="en-US"/>
              </w:rPr>
              <w:t>结果、</w:t>
            </w:r>
            <w:r>
              <w:rPr>
                <w:rFonts w:ascii="仿宋" w:hAnsi="仿宋" w:eastAsia="仿宋"/>
                <w:lang w:bidi="en-US"/>
              </w:rPr>
              <w:t>历年建筑碳排放总量和建筑规模发展趋势</w:t>
            </w:r>
            <w:r>
              <w:rPr>
                <w:rFonts w:hint="eastAsia" w:ascii="仿宋" w:hAnsi="仿宋" w:eastAsia="仿宋"/>
                <w:lang w:bidi="en-US"/>
              </w:rPr>
              <w:t>等相关建筑碳排放统计情况。</w:t>
            </w:r>
          </w:p>
        </w:tc>
      </w:tr>
      <w:tr w14:paraId="71929C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6A4215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12</w:t>
            </w:r>
          </w:p>
        </w:tc>
        <w:tc>
          <w:tcPr>
            <w:tcW w:w="2130" w:type="dxa"/>
            <w:vAlign w:val="center"/>
          </w:tcPr>
          <w:p w14:paraId="6C9C183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联网公共建筑碳排放分析</w:t>
            </w:r>
          </w:p>
        </w:tc>
        <w:tc>
          <w:tcPr>
            <w:tcW w:w="5327" w:type="dxa"/>
            <w:vAlign w:val="center"/>
          </w:tcPr>
          <w:p w14:paraId="1C4D9C52">
            <w:pPr>
              <w:pStyle w:val="25"/>
              <w:spacing w:line="400" w:lineRule="exact"/>
              <w:ind w:firstLine="0" w:firstLineChars="0"/>
              <w:jc w:val="left"/>
              <w:rPr>
                <w:rFonts w:ascii="仿宋" w:hAnsi="仿宋" w:eastAsia="仿宋"/>
                <w:lang w:bidi="en-US"/>
              </w:rPr>
            </w:pPr>
            <w:r>
              <w:rPr>
                <w:rFonts w:hint="eastAsia" w:ascii="仿宋" w:hAnsi="仿宋" w:eastAsia="仿宋"/>
                <w:lang w:bidi="en-US"/>
              </w:rPr>
              <w:t>对平台已联网的公共建筑</w:t>
            </w:r>
            <w:r>
              <w:rPr>
                <w:rFonts w:ascii="仿宋" w:hAnsi="仿宋" w:eastAsia="仿宋"/>
                <w:lang w:bidi="en-US"/>
              </w:rPr>
              <w:t>按照建筑类型、区域</w:t>
            </w:r>
            <w:r>
              <w:rPr>
                <w:rFonts w:hint="eastAsia" w:ascii="仿宋" w:hAnsi="仿宋" w:eastAsia="仿宋"/>
                <w:lang w:bidi="en-US"/>
              </w:rPr>
              <w:t>、时间等不同维度提供能耗与碳排放数据统计分析查询等功能。</w:t>
            </w:r>
          </w:p>
        </w:tc>
      </w:tr>
      <w:tr w14:paraId="22AFF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EC2C2C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13</w:t>
            </w:r>
          </w:p>
        </w:tc>
        <w:tc>
          <w:tcPr>
            <w:tcW w:w="2130" w:type="dxa"/>
            <w:vAlign w:val="center"/>
          </w:tcPr>
          <w:p w14:paraId="08A34BB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单栋建筑能碳详情分析</w:t>
            </w:r>
          </w:p>
        </w:tc>
        <w:tc>
          <w:tcPr>
            <w:tcW w:w="5327" w:type="dxa"/>
            <w:vAlign w:val="center"/>
          </w:tcPr>
          <w:p w14:paraId="7E26B78D">
            <w:pPr>
              <w:pStyle w:val="25"/>
              <w:spacing w:line="400" w:lineRule="exact"/>
              <w:ind w:firstLine="0" w:firstLineChars="0"/>
              <w:jc w:val="left"/>
              <w:rPr>
                <w:rFonts w:ascii="仿宋" w:hAnsi="仿宋" w:eastAsia="仿宋"/>
                <w:lang w:bidi="en-US"/>
              </w:rPr>
            </w:pPr>
            <w:r>
              <w:rPr>
                <w:rFonts w:ascii="仿宋" w:hAnsi="仿宋" w:eastAsia="仿宋"/>
                <w:lang w:bidi="en-US"/>
              </w:rPr>
              <w:t>展示</w:t>
            </w:r>
            <w:r>
              <w:rPr>
                <w:rFonts w:hint="eastAsia" w:ascii="仿宋" w:hAnsi="仿宋" w:eastAsia="仿宋"/>
                <w:lang w:bidi="en-US"/>
              </w:rPr>
              <w:t>单栋</w:t>
            </w:r>
            <w:r>
              <w:rPr>
                <w:rFonts w:ascii="仿宋" w:hAnsi="仿宋" w:eastAsia="仿宋"/>
                <w:lang w:bidi="en-US"/>
              </w:rPr>
              <w:t>联网建筑的基础信息、分项占比情况、用能监测情况、逐月对标情况、分时能耗占比情况及能流图</w:t>
            </w:r>
            <w:r>
              <w:rPr>
                <w:rFonts w:hint="eastAsia" w:ascii="仿宋" w:hAnsi="仿宋" w:eastAsia="仿宋"/>
                <w:lang w:bidi="en-US"/>
              </w:rPr>
              <w:t>等信息。</w:t>
            </w:r>
          </w:p>
        </w:tc>
      </w:tr>
      <w:tr w14:paraId="35BDB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1AABDC4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14</w:t>
            </w:r>
          </w:p>
        </w:tc>
        <w:tc>
          <w:tcPr>
            <w:tcW w:w="2130" w:type="dxa"/>
            <w:vAlign w:val="center"/>
          </w:tcPr>
          <w:p w14:paraId="7882E8D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绿色建筑</w:t>
            </w:r>
          </w:p>
        </w:tc>
        <w:tc>
          <w:tcPr>
            <w:tcW w:w="5327" w:type="dxa"/>
            <w:vAlign w:val="center"/>
          </w:tcPr>
          <w:p w14:paraId="331C5ED0">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呈现全市绿色建筑</w:t>
            </w:r>
            <w:r>
              <w:rPr>
                <w:rFonts w:ascii="仿宋" w:hAnsi="仿宋" w:eastAsia="仿宋"/>
                <w:lang w:bidi="en-US"/>
              </w:rPr>
              <w:t>发展</w:t>
            </w:r>
            <w:r>
              <w:rPr>
                <w:rFonts w:hint="eastAsia" w:ascii="仿宋" w:hAnsi="仿宋" w:eastAsia="仿宋"/>
                <w:lang w:bidi="en-US"/>
              </w:rPr>
              <w:t>整体</w:t>
            </w:r>
            <w:r>
              <w:rPr>
                <w:rFonts w:ascii="仿宋" w:hAnsi="仿宋" w:eastAsia="仿宋"/>
                <w:lang w:bidi="en-US"/>
              </w:rPr>
              <w:t>概览</w:t>
            </w:r>
            <w:r>
              <w:rPr>
                <w:rFonts w:hint="eastAsia" w:ascii="仿宋" w:hAnsi="仿宋" w:eastAsia="仿宋"/>
                <w:lang w:bidi="en-US"/>
              </w:rPr>
              <w:t>情况；展示各</w:t>
            </w:r>
            <w:r>
              <w:rPr>
                <w:rFonts w:ascii="仿宋" w:hAnsi="仿宋" w:eastAsia="仿宋"/>
                <w:lang w:bidi="en-US"/>
              </w:rPr>
              <w:t>绿色</w:t>
            </w:r>
            <w:r>
              <w:rPr>
                <w:rFonts w:hint="eastAsia" w:ascii="仿宋" w:hAnsi="仿宋" w:eastAsia="仿宋"/>
                <w:lang w:bidi="en-US"/>
              </w:rPr>
              <w:t>建筑</w:t>
            </w:r>
            <w:r>
              <w:rPr>
                <w:rFonts w:ascii="仿宋" w:hAnsi="仿宋" w:eastAsia="仿宋"/>
                <w:lang w:bidi="en-US"/>
              </w:rPr>
              <w:t>标识项目情况、绿色建筑能耗分析、</w:t>
            </w:r>
            <w:r>
              <w:rPr>
                <w:rFonts w:hint="eastAsia" w:ascii="仿宋" w:hAnsi="仿宋" w:eastAsia="仿宋"/>
                <w:lang w:bidi="en-US"/>
              </w:rPr>
              <w:t>优秀</w:t>
            </w:r>
            <w:r>
              <w:rPr>
                <w:rFonts w:ascii="仿宋" w:hAnsi="仿宋" w:eastAsia="仿宋"/>
                <w:lang w:bidi="en-US"/>
              </w:rPr>
              <w:t>示范案例</w:t>
            </w:r>
            <w:r>
              <w:rPr>
                <w:rFonts w:hint="eastAsia" w:ascii="仿宋" w:hAnsi="仿宋" w:eastAsia="仿宋"/>
                <w:lang w:bidi="en-US"/>
              </w:rPr>
              <w:t>项目。</w:t>
            </w:r>
          </w:p>
        </w:tc>
      </w:tr>
      <w:tr w14:paraId="7E9D0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B6E001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15</w:t>
            </w:r>
          </w:p>
        </w:tc>
        <w:tc>
          <w:tcPr>
            <w:tcW w:w="2130" w:type="dxa"/>
            <w:vAlign w:val="center"/>
          </w:tcPr>
          <w:p w14:paraId="04B11A7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超低能耗建筑</w:t>
            </w:r>
          </w:p>
        </w:tc>
        <w:tc>
          <w:tcPr>
            <w:tcW w:w="5327" w:type="dxa"/>
            <w:vAlign w:val="center"/>
          </w:tcPr>
          <w:p w14:paraId="32C82C72">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呈现全市</w:t>
            </w:r>
            <w:r>
              <w:rPr>
                <w:rFonts w:ascii="仿宋" w:hAnsi="仿宋" w:eastAsia="仿宋"/>
                <w:lang w:bidi="en-US"/>
              </w:rPr>
              <w:t>超低能耗建筑发展总览</w:t>
            </w:r>
            <w:r>
              <w:rPr>
                <w:rFonts w:hint="eastAsia" w:ascii="仿宋" w:hAnsi="仿宋" w:eastAsia="仿宋"/>
                <w:lang w:bidi="en-US"/>
              </w:rPr>
              <w:t>情况；展示</w:t>
            </w:r>
            <w:r>
              <w:rPr>
                <w:rFonts w:ascii="仿宋" w:hAnsi="仿宋" w:eastAsia="仿宋"/>
                <w:lang w:bidi="en-US"/>
              </w:rPr>
              <w:t>已建超低能耗建筑规模、完成目标</w:t>
            </w:r>
            <w:r>
              <w:rPr>
                <w:rFonts w:hint="eastAsia" w:ascii="仿宋" w:hAnsi="仿宋" w:eastAsia="仿宋"/>
                <w:lang w:bidi="en-US"/>
              </w:rPr>
              <w:t>量</w:t>
            </w:r>
            <w:r>
              <w:rPr>
                <w:rFonts w:ascii="仿宋" w:hAnsi="仿宋" w:eastAsia="仿宋"/>
                <w:lang w:bidi="en-US"/>
              </w:rPr>
              <w:t>、累计竣工量、建筑类型分布、各区建设情况</w:t>
            </w:r>
            <w:r>
              <w:rPr>
                <w:rFonts w:hint="eastAsia" w:ascii="仿宋" w:hAnsi="仿宋" w:eastAsia="仿宋"/>
                <w:lang w:bidi="en-US"/>
              </w:rPr>
              <w:t>等信息。</w:t>
            </w:r>
          </w:p>
        </w:tc>
      </w:tr>
      <w:tr w14:paraId="23A179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44DB77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16</w:t>
            </w:r>
          </w:p>
        </w:tc>
        <w:tc>
          <w:tcPr>
            <w:tcW w:w="2130" w:type="dxa"/>
            <w:vAlign w:val="center"/>
          </w:tcPr>
          <w:p w14:paraId="09066D4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建筑工业化</w:t>
            </w:r>
          </w:p>
        </w:tc>
        <w:tc>
          <w:tcPr>
            <w:tcW w:w="5327" w:type="dxa"/>
            <w:vAlign w:val="center"/>
          </w:tcPr>
          <w:p w14:paraId="3D3A3DA7">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呈现全市</w:t>
            </w:r>
            <w:r>
              <w:rPr>
                <w:rFonts w:ascii="仿宋" w:hAnsi="仿宋" w:eastAsia="仿宋"/>
                <w:lang w:bidi="en-US"/>
              </w:rPr>
              <w:t>建筑工业化发展概览</w:t>
            </w:r>
            <w:r>
              <w:rPr>
                <w:rFonts w:hint="eastAsia" w:ascii="仿宋" w:hAnsi="仿宋" w:eastAsia="仿宋"/>
                <w:lang w:bidi="en-US"/>
              </w:rPr>
              <w:t>和全景数据；展示</w:t>
            </w:r>
            <w:r>
              <w:rPr>
                <w:rFonts w:ascii="仿宋" w:hAnsi="仿宋" w:eastAsia="仿宋"/>
                <w:lang w:bidi="en-US"/>
              </w:rPr>
              <w:t>装配式建筑</w:t>
            </w:r>
            <w:r>
              <w:rPr>
                <w:rFonts w:hint="eastAsia" w:ascii="仿宋" w:hAnsi="仿宋" w:eastAsia="仿宋"/>
                <w:lang w:bidi="en-US"/>
              </w:rPr>
              <w:t>、</w:t>
            </w:r>
            <w:r>
              <w:rPr>
                <w:rFonts w:ascii="仿宋" w:hAnsi="仿宋" w:eastAsia="仿宋"/>
                <w:lang w:bidi="en-US"/>
              </w:rPr>
              <w:t>智能建造项目规模、分类分布</w:t>
            </w:r>
            <w:r>
              <w:rPr>
                <w:rFonts w:hint="eastAsia" w:ascii="仿宋" w:hAnsi="仿宋" w:eastAsia="仿宋"/>
                <w:lang w:bidi="en-US"/>
              </w:rPr>
              <w:t>等信息；</w:t>
            </w:r>
            <w:r>
              <w:rPr>
                <w:rFonts w:ascii="仿宋" w:hAnsi="仿宋" w:eastAsia="仿宋"/>
                <w:lang w:bidi="en-US"/>
              </w:rPr>
              <w:t>记录预制构件生产过程</w:t>
            </w:r>
            <w:r>
              <w:rPr>
                <w:rFonts w:hint="eastAsia" w:ascii="仿宋" w:hAnsi="仿宋" w:eastAsia="仿宋"/>
                <w:lang w:bidi="en-US"/>
              </w:rPr>
              <w:t>、运输等各阶段能碳情况。</w:t>
            </w:r>
          </w:p>
        </w:tc>
      </w:tr>
      <w:tr w14:paraId="41BBA5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7FEA9F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17</w:t>
            </w:r>
          </w:p>
        </w:tc>
        <w:tc>
          <w:tcPr>
            <w:tcW w:w="2130" w:type="dxa"/>
            <w:vAlign w:val="center"/>
          </w:tcPr>
          <w:p w14:paraId="53F07E7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绿色城区</w:t>
            </w:r>
          </w:p>
        </w:tc>
        <w:tc>
          <w:tcPr>
            <w:tcW w:w="5327" w:type="dxa"/>
            <w:vAlign w:val="center"/>
          </w:tcPr>
          <w:p w14:paraId="3D2B553C">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w:t>
            </w:r>
            <w:r>
              <w:rPr>
                <w:rFonts w:ascii="仿宋" w:hAnsi="仿宋" w:eastAsia="仿宋"/>
                <w:lang w:bidi="en-US"/>
              </w:rPr>
              <w:t>绿色生态城区</w:t>
            </w:r>
            <w:r>
              <w:rPr>
                <w:rFonts w:hint="eastAsia" w:ascii="仿宋" w:hAnsi="仿宋" w:eastAsia="仿宋"/>
                <w:lang w:bidi="en-US"/>
              </w:rPr>
              <w:t>发展概览；介绍绿色城区</w:t>
            </w:r>
            <w:r>
              <w:rPr>
                <w:rFonts w:ascii="仿宋" w:hAnsi="仿宋" w:eastAsia="仿宋"/>
                <w:lang w:bidi="en-US"/>
              </w:rPr>
              <w:t>典型案例</w:t>
            </w:r>
            <w:r>
              <w:rPr>
                <w:rFonts w:hint="eastAsia" w:ascii="仿宋" w:hAnsi="仿宋" w:eastAsia="仿宋"/>
                <w:lang w:bidi="en-US"/>
              </w:rPr>
              <w:t>、</w:t>
            </w:r>
            <w:r>
              <w:rPr>
                <w:rFonts w:ascii="仿宋" w:hAnsi="仿宋" w:eastAsia="仿宋"/>
                <w:lang w:bidi="en-US"/>
              </w:rPr>
              <w:t>碳排情况</w:t>
            </w:r>
            <w:r>
              <w:rPr>
                <w:rFonts w:hint="eastAsia" w:ascii="仿宋" w:hAnsi="仿宋" w:eastAsia="仿宋"/>
                <w:lang w:bidi="en-US"/>
              </w:rPr>
              <w:t>和</w:t>
            </w:r>
            <w:r>
              <w:rPr>
                <w:rFonts w:ascii="仿宋" w:hAnsi="仿宋" w:eastAsia="仿宋"/>
                <w:lang w:bidi="en-US"/>
              </w:rPr>
              <w:t>项目亮点</w:t>
            </w:r>
            <w:r>
              <w:rPr>
                <w:rFonts w:hint="eastAsia" w:ascii="仿宋" w:hAnsi="仿宋" w:eastAsia="仿宋"/>
                <w:lang w:bidi="en-US"/>
              </w:rPr>
              <w:t>。</w:t>
            </w:r>
          </w:p>
        </w:tc>
      </w:tr>
      <w:tr w14:paraId="52B58F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545E3B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18</w:t>
            </w:r>
          </w:p>
        </w:tc>
        <w:tc>
          <w:tcPr>
            <w:tcW w:w="2130" w:type="dxa"/>
            <w:vAlign w:val="center"/>
          </w:tcPr>
          <w:p w14:paraId="3ACB263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低碳建造</w:t>
            </w:r>
          </w:p>
        </w:tc>
        <w:tc>
          <w:tcPr>
            <w:tcW w:w="5327" w:type="dxa"/>
            <w:vAlign w:val="center"/>
          </w:tcPr>
          <w:p w14:paraId="56B29BAA">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呈现全市绿色建材使用、</w:t>
            </w:r>
            <w:r>
              <w:rPr>
                <w:rFonts w:ascii="仿宋" w:hAnsi="仿宋" w:eastAsia="仿宋"/>
                <w:lang w:bidi="en-US"/>
              </w:rPr>
              <w:t>废弃混凝土处置</w:t>
            </w:r>
            <w:r>
              <w:rPr>
                <w:rFonts w:hint="eastAsia" w:ascii="仿宋" w:hAnsi="仿宋" w:eastAsia="仿宋"/>
                <w:lang w:bidi="en-US"/>
              </w:rPr>
              <w:t>和再利用情况；展示全市在建建筑项目的基本信息和各阶段流程监管情况。</w:t>
            </w:r>
          </w:p>
        </w:tc>
      </w:tr>
      <w:tr w14:paraId="4210E5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67D68D6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19</w:t>
            </w:r>
          </w:p>
        </w:tc>
        <w:tc>
          <w:tcPr>
            <w:tcW w:w="2130" w:type="dxa"/>
            <w:vAlign w:val="center"/>
          </w:tcPr>
          <w:p w14:paraId="0EF87BE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运行管理</w:t>
            </w:r>
          </w:p>
        </w:tc>
        <w:tc>
          <w:tcPr>
            <w:tcW w:w="5327" w:type="dxa"/>
            <w:vAlign w:val="center"/>
          </w:tcPr>
          <w:p w14:paraId="56DBE05D">
            <w:pPr>
              <w:pStyle w:val="25"/>
              <w:spacing w:line="400" w:lineRule="exact"/>
              <w:ind w:firstLine="0" w:firstLineChars="0"/>
              <w:jc w:val="left"/>
              <w:rPr>
                <w:rFonts w:ascii="仿宋" w:hAnsi="仿宋" w:eastAsia="仿宋"/>
                <w:lang w:bidi="en-US"/>
              </w:rPr>
            </w:pPr>
            <w:r>
              <w:rPr>
                <w:rFonts w:hint="eastAsia" w:ascii="仿宋" w:hAnsi="仿宋" w:eastAsia="仿宋"/>
                <w:lang w:bidi="en-US"/>
              </w:rPr>
              <w:t>展示年度能源审计情况、</w:t>
            </w:r>
            <w:r>
              <w:rPr>
                <w:rFonts w:ascii="仿宋" w:hAnsi="仿宋" w:eastAsia="仿宋"/>
                <w:lang w:bidi="en-US"/>
              </w:rPr>
              <w:t>能耗公示目标完成</w:t>
            </w:r>
            <w:r>
              <w:rPr>
                <w:rFonts w:hint="eastAsia" w:ascii="仿宋" w:hAnsi="仿宋" w:eastAsia="仿宋"/>
                <w:lang w:bidi="en-US"/>
              </w:rPr>
              <w:t>情况；对</w:t>
            </w:r>
            <w:r>
              <w:rPr>
                <w:rFonts w:ascii="仿宋" w:hAnsi="仿宋" w:eastAsia="仿宋"/>
                <w:lang w:bidi="en-US"/>
              </w:rPr>
              <w:t>重点用能建筑</w:t>
            </w:r>
            <w:r>
              <w:rPr>
                <w:rFonts w:hint="eastAsia" w:ascii="仿宋" w:hAnsi="仿宋" w:eastAsia="仿宋"/>
                <w:lang w:bidi="en-US"/>
              </w:rPr>
              <w:t>进行</w:t>
            </w:r>
            <w:r>
              <w:rPr>
                <w:rFonts w:ascii="仿宋" w:hAnsi="仿宋" w:eastAsia="仿宋"/>
                <w:lang w:bidi="en-US"/>
              </w:rPr>
              <w:t>合理用能指南对标标准</w:t>
            </w:r>
            <w:r>
              <w:rPr>
                <w:rFonts w:hint="eastAsia" w:ascii="仿宋" w:hAnsi="仿宋" w:eastAsia="仿宋"/>
                <w:lang w:bidi="en-US"/>
              </w:rPr>
              <w:t>。</w:t>
            </w:r>
          </w:p>
        </w:tc>
      </w:tr>
      <w:tr w14:paraId="1CA64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879097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20</w:t>
            </w:r>
          </w:p>
        </w:tc>
        <w:tc>
          <w:tcPr>
            <w:tcW w:w="2130" w:type="dxa"/>
            <w:vAlign w:val="center"/>
          </w:tcPr>
          <w:p w14:paraId="0A13E94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节能改造</w:t>
            </w:r>
          </w:p>
        </w:tc>
        <w:tc>
          <w:tcPr>
            <w:tcW w:w="5327" w:type="dxa"/>
            <w:vAlign w:val="center"/>
          </w:tcPr>
          <w:p w14:paraId="76868CDE">
            <w:pPr>
              <w:pStyle w:val="25"/>
              <w:spacing w:line="400" w:lineRule="exact"/>
              <w:ind w:firstLine="0" w:firstLineChars="0"/>
              <w:jc w:val="left"/>
              <w:rPr>
                <w:rFonts w:ascii="仿宋" w:hAnsi="仿宋" w:eastAsia="仿宋"/>
                <w:lang w:bidi="en-US"/>
              </w:rPr>
            </w:pPr>
            <w:r>
              <w:rPr>
                <w:rFonts w:hint="eastAsia" w:ascii="仿宋" w:hAnsi="仿宋" w:eastAsia="仿宋"/>
                <w:lang w:bidi="en-US"/>
              </w:rPr>
              <w:t>呈现全市</w:t>
            </w:r>
            <w:r>
              <w:rPr>
                <w:rFonts w:ascii="仿宋" w:hAnsi="仿宋" w:eastAsia="仿宋"/>
                <w:lang w:bidi="en-US"/>
              </w:rPr>
              <w:t>既有建筑节能改造项目发展概览</w:t>
            </w:r>
            <w:r>
              <w:rPr>
                <w:rFonts w:hint="eastAsia" w:ascii="仿宋" w:hAnsi="仿宋" w:eastAsia="仿宋"/>
                <w:lang w:bidi="en-US"/>
              </w:rPr>
              <w:t>和全景数据；</w:t>
            </w:r>
            <w:r>
              <w:rPr>
                <w:rFonts w:ascii="仿宋" w:hAnsi="仿宋" w:eastAsia="仿宋"/>
                <w:lang w:bidi="en-US"/>
              </w:rPr>
              <w:t>展示节能改造优秀案例项目情况</w:t>
            </w:r>
            <w:r>
              <w:rPr>
                <w:rFonts w:hint="eastAsia" w:ascii="仿宋" w:hAnsi="仿宋" w:eastAsia="仿宋"/>
                <w:lang w:bidi="en-US"/>
              </w:rPr>
              <w:t>。</w:t>
            </w:r>
          </w:p>
        </w:tc>
      </w:tr>
    </w:tbl>
    <w:p w14:paraId="2C90A71B">
      <w:pPr>
        <w:ind w:firstLine="643" w:firstLineChars="200"/>
        <w:outlineLvl w:val="1"/>
        <w:rPr>
          <w:rFonts w:ascii="仿宋" w:hAnsi="仿宋" w:eastAsia="仿宋"/>
          <w:b/>
          <w:color w:val="auto"/>
          <w:sz w:val="32"/>
          <w:szCs w:val="32"/>
        </w:rPr>
      </w:pPr>
      <w:bookmarkStart w:id="8" w:name="_Toc193918258"/>
      <w:r>
        <w:rPr>
          <w:rFonts w:hint="eastAsia" w:ascii="仿宋" w:hAnsi="仿宋" w:eastAsia="仿宋"/>
          <w:b/>
          <w:color w:val="auto"/>
          <w:sz w:val="32"/>
          <w:szCs w:val="32"/>
        </w:rPr>
        <w:t>（二）公共建筑虚拟电厂管理</w:t>
      </w:r>
      <w:bookmarkEnd w:id="8"/>
    </w:p>
    <w:p w14:paraId="0EB34E81">
      <w:pPr>
        <w:pStyle w:val="25"/>
        <w:spacing w:line="240" w:lineRule="auto"/>
        <w:ind w:firstLine="640"/>
        <w:rPr>
          <w:rFonts w:ascii="仿宋" w:hAnsi="仿宋" w:eastAsia="仿宋"/>
          <w:sz w:val="32"/>
          <w:szCs w:val="32"/>
        </w:rPr>
      </w:pPr>
      <w:r>
        <w:rPr>
          <w:rFonts w:hint="eastAsia" w:ascii="仿宋" w:hAnsi="仿宋" w:eastAsia="仿宋"/>
          <w:sz w:val="32"/>
          <w:szCs w:val="32"/>
        </w:rPr>
        <w:t>围绕信息看板、资源数据管理、资源对象管理、可调容量评估、负荷预测、策略建议与模拟、响应结果汇总与分析、响应资源类型分析及虚拟电厂综合态势与决策可视化分析展示九大核心功能进行建设。</w:t>
      </w:r>
    </w:p>
    <w:p w14:paraId="1CDE503C">
      <w:pPr>
        <w:pStyle w:val="25"/>
        <w:spacing w:line="240" w:lineRule="auto"/>
        <w:ind w:firstLine="640"/>
        <w:rPr>
          <w:rFonts w:ascii="仿宋" w:hAnsi="仿宋" w:eastAsia="仿宋"/>
          <w:sz w:val="32"/>
          <w:szCs w:val="32"/>
        </w:rPr>
      </w:pPr>
      <w:r>
        <w:rPr>
          <w:rFonts w:hint="eastAsia" w:ascii="仿宋" w:hAnsi="仿宋" w:eastAsia="仿宋"/>
          <w:sz w:val="32"/>
          <w:szCs w:val="32"/>
        </w:rPr>
        <w:t>通过接入规模与资源统计、响应结果概览、可调能力总览、关键指标变化趋势等功能，直观呈现已接入虚拟电厂的公共建筑数量、可调设备总量等关键指标，并支持呈现聚合能力与区域调峰效能和优秀示范案例管理与展示等。</w:t>
      </w:r>
    </w:p>
    <w:p w14:paraId="024EC9E5">
      <w:pPr>
        <w:pStyle w:val="25"/>
        <w:spacing w:line="240" w:lineRule="auto"/>
        <w:ind w:firstLine="640"/>
        <w:rPr>
          <w:rFonts w:ascii="仿宋" w:hAnsi="仿宋" w:eastAsia="仿宋"/>
          <w:sz w:val="32"/>
          <w:szCs w:val="32"/>
        </w:rPr>
      </w:pPr>
      <w:r>
        <w:rPr>
          <w:rFonts w:hint="eastAsia" w:ascii="仿宋" w:hAnsi="仿宋" w:eastAsia="仿宋"/>
          <w:sz w:val="32"/>
          <w:szCs w:val="32"/>
        </w:rPr>
        <w:t>公共建筑虚拟电厂管理子系统需开发功能清单如下：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7E79BD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4708CACB">
            <w:pPr>
              <w:pStyle w:val="25"/>
              <w:spacing w:line="400" w:lineRule="exact"/>
              <w:ind w:firstLine="0" w:firstLineChars="0"/>
              <w:jc w:val="center"/>
              <w:rPr>
                <w:rFonts w:ascii="仿宋" w:hAnsi="仿宋" w:eastAsia="仿宋"/>
                <w:lang w:bidi="en-US"/>
              </w:rPr>
            </w:pPr>
            <w:bookmarkStart w:id="9" w:name="_Toc193918259"/>
            <w:r>
              <w:rPr>
                <w:rFonts w:hint="eastAsia" w:ascii="仿宋" w:hAnsi="仿宋" w:eastAsia="仿宋"/>
                <w:lang w:bidi="en-US"/>
              </w:rPr>
              <w:t>序号</w:t>
            </w:r>
          </w:p>
        </w:tc>
        <w:tc>
          <w:tcPr>
            <w:tcW w:w="2130" w:type="dxa"/>
            <w:vAlign w:val="center"/>
          </w:tcPr>
          <w:p w14:paraId="762B042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1E982A0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4EF4B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965434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18AEDDA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信息看板</w:t>
            </w:r>
          </w:p>
        </w:tc>
        <w:tc>
          <w:tcPr>
            <w:tcW w:w="5327" w:type="dxa"/>
            <w:vAlign w:val="center"/>
          </w:tcPr>
          <w:p w14:paraId="4FC472EC">
            <w:pPr>
              <w:pStyle w:val="25"/>
              <w:spacing w:line="400" w:lineRule="exact"/>
              <w:ind w:firstLine="0" w:firstLineChars="0"/>
              <w:jc w:val="left"/>
              <w:rPr>
                <w:rFonts w:ascii="仿宋" w:hAnsi="仿宋" w:eastAsia="仿宋"/>
                <w:lang w:bidi="en-US"/>
              </w:rPr>
            </w:pPr>
            <w:r>
              <w:rPr>
                <w:rFonts w:ascii="仿宋" w:hAnsi="仿宋" w:eastAsia="仿宋"/>
                <w:lang w:bidi="en-US"/>
              </w:rPr>
              <w:t>汇总展示已接入虚拟电厂的公共建筑</w:t>
            </w:r>
            <w:r>
              <w:rPr>
                <w:rFonts w:hint="eastAsia" w:ascii="仿宋" w:hAnsi="仿宋" w:eastAsia="仿宋"/>
                <w:lang w:bidi="en-US"/>
              </w:rPr>
              <w:t>规模、资源统计量；展示调峰响应核心数据信息；</w:t>
            </w:r>
            <w:r>
              <w:rPr>
                <w:rFonts w:ascii="仿宋" w:hAnsi="仿宋" w:eastAsia="仿宋"/>
                <w:lang w:bidi="en-US"/>
              </w:rPr>
              <w:t>汇总计算并展示当前所有接入资源可调节</w:t>
            </w:r>
            <w:r>
              <w:rPr>
                <w:rFonts w:hint="eastAsia" w:ascii="仿宋" w:hAnsi="仿宋" w:eastAsia="仿宋"/>
                <w:lang w:bidi="en-US"/>
              </w:rPr>
              <w:t>量，分析</w:t>
            </w:r>
            <w:r>
              <w:rPr>
                <w:rFonts w:ascii="仿宋" w:hAnsi="仿宋" w:eastAsia="仿宋"/>
                <w:lang w:bidi="en-US"/>
              </w:rPr>
              <w:t>关键指标变化趋势</w:t>
            </w:r>
            <w:r>
              <w:rPr>
                <w:rFonts w:hint="eastAsia" w:ascii="仿宋" w:hAnsi="仿宋" w:eastAsia="仿宋"/>
                <w:lang w:bidi="en-US"/>
              </w:rPr>
              <w:t>，</w:t>
            </w:r>
            <w:r>
              <w:rPr>
                <w:rFonts w:ascii="仿宋" w:hAnsi="仿宋" w:eastAsia="仿宋"/>
                <w:lang w:bidi="en-US"/>
              </w:rPr>
              <w:t>对分布式能源进行台账管理与潜力评估</w:t>
            </w:r>
            <w:r>
              <w:rPr>
                <w:rFonts w:hint="eastAsia" w:ascii="仿宋" w:hAnsi="仿宋" w:eastAsia="仿宋"/>
                <w:lang w:bidi="en-US"/>
              </w:rPr>
              <w:t>。</w:t>
            </w:r>
          </w:p>
        </w:tc>
      </w:tr>
      <w:tr w14:paraId="3D741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C3FB3E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442E5D2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资源数据管理</w:t>
            </w:r>
          </w:p>
        </w:tc>
        <w:tc>
          <w:tcPr>
            <w:tcW w:w="5327" w:type="dxa"/>
            <w:vAlign w:val="center"/>
          </w:tcPr>
          <w:p w14:paraId="635AFDEA">
            <w:pPr>
              <w:pStyle w:val="25"/>
              <w:spacing w:line="400" w:lineRule="exact"/>
              <w:ind w:firstLine="0" w:firstLineChars="0"/>
              <w:jc w:val="left"/>
              <w:rPr>
                <w:rFonts w:ascii="仿宋" w:hAnsi="仿宋" w:eastAsia="仿宋"/>
                <w:lang w:bidi="en-US"/>
              </w:rPr>
            </w:pPr>
            <w:r>
              <w:rPr>
                <w:rFonts w:hint="eastAsia" w:ascii="仿宋" w:hAnsi="仿宋" w:eastAsia="仿宋"/>
                <w:lang w:bidi="en-US"/>
              </w:rPr>
              <w:t>提供</w:t>
            </w:r>
            <w:r>
              <w:rPr>
                <w:rFonts w:ascii="仿宋" w:hAnsi="仿宋" w:eastAsia="仿宋"/>
                <w:lang w:bidi="en-US"/>
              </w:rPr>
              <w:t>公共建筑及用能设备的能耗数据</w:t>
            </w:r>
            <w:r>
              <w:rPr>
                <w:rFonts w:hint="eastAsia" w:ascii="仿宋" w:hAnsi="仿宋" w:eastAsia="仿宋"/>
                <w:lang w:bidi="en-US"/>
              </w:rPr>
              <w:t>资源</w:t>
            </w:r>
            <w:r>
              <w:rPr>
                <w:rFonts w:ascii="仿宋" w:hAnsi="仿宋" w:eastAsia="仿宋"/>
                <w:lang w:bidi="en-US"/>
              </w:rPr>
              <w:t>接入</w:t>
            </w:r>
            <w:r>
              <w:rPr>
                <w:rFonts w:hint="eastAsia" w:ascii="仿宋" w:hAnsi="仿宋" w:eastAsia="仿宋"/>
                <w:lang w:bidi="en-US"/>
              </w:rPr>
              <w:t>，并对资源数据进行统一处理、数据校验，确保数据接入的准确完整；</w:t>
            </w:r>
            <w:r>
              <w:rPr>
                <w:rFonts w:ascii="仿宋" w:hAnsi="仿宋" w:eastAsia="仿宋"/>
                <w:lang w:bidi="en-US"/>
              </w:rPr>
              <w:t>结合建筑基础信息与历史能耗数据分析，对虚拟电厂建筑进行特征标签化</w:t>
            </w:r>
            <w:r>
              <w:rPr>
                <w:rFonts w:hint="eastAsia" w:ascii="仿宋" w:hAnsi="仿宋" w:eastAsia="仿宋"/>
                <w:lang w:bidi="en-US"/>
              </w:rPr>
              <w:t>处理。</w:t>
            </w:r>
          </w:p>
        </w:tc>
      </w:tr>
      <w:tr w14:paraId="2CBC9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64E5B9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349F1B5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资源对象管理</w:t>
            </w:r>
          </w:p>
        </w:tc>
        <w:tc>
          <w:tcPr>
            <w:tcW w:w="5327" w:type="dxa"/>
            <w:vAlign w:val="center"/>
          </w:tcPr>
          <w:p w14:paraId="1D092AF3">
            <w:pPr>
              <w:pStyle w:val="25"/>
              <w:spacing w:line="400" w:lineRule="exact"/>
              <w:ind w:firstLine="0" w:firstLineChars="0"/>
              <w:jc w:val="left"/>
              <w:rPr>
                <w:rFonts w:ascii="仿宋" w:hAnsi="仿宋" w:eastAsia="仿宋"/>
                <w:lang w:bidi="en-US"/>
              </w:rPr>
            </w:pPr>
            <w:r>
              <w:rPr>
                <w:rFonts w:ascii="仿宋" w:hAnsi="仿宋" w:eastAsia="仿宋"/>
                <w:lang w:bidi="en-US"/>
              </w:rPr>
              <w:t>收录并维护建筑</w:t>
            </w:r>
            <w:r>
              <w:rPr>
                <w:rFonts w:hint="eastAsia" w:ascii="仿宋" w:hAnsi="仿宋" w:eastAsia="仿宋"/>
                <w:lang w:bidi="en-US"/>
              </w:rPr>
              <w:t>基础信息；</w:t>
            </w:r>
            <w:r>
              <w:rPr>
                <w:rFonts w:ascii="仿宋" w:hAnsi="仿宋" w:eastAsia="仿宋"/>
                <w:lang w:bidi="en-US"/>
              </w:rPr>
              <w:t>管理负荷聚合商基础信息</w:t>
            </w:r>
            <w:r>
              <w:rPr>
                <w:rFonts w:hint="eastAsia" w:ascii="仿宋" w:hAnsi="仿宋" w:eastAsia="仿宋"/>
                <w:lang w:bidi="en-US"/>
              </w:rPr>
              <w:t>；</w:t>
            </w:r>
            <w:r>
              <w:rPr>
                <w:rFonts w:ascii="仿宋" w:hAnsi="仿宋" w:eastAsia="仿宋"/>
                <w:lang w:bidi="en-US"/>
              </w:rPr>
              <w:t>展示可调负荷资源详情</w:t>
            </w:r>
            <w:r>
              <w:rPr>
                <w:rFonts w:hint="eastAsia" w:ascii="仿宋" w:hAnsi="仿宋" w:eastAsia="仿宋"/>
                <w:lang w:bidi="en-US"/>
              </w:rPr>
              <w:t>；</w:t>
            </w:r>
            <w:r>
              <w:rPr>
                <w:rFonts w:ascii="仿宋" w:hAnsi="仿宋" w:eastAsia="仿宋"/>
                <w:lang w:bidi="en-US"/>
              </w:rPr>
              <w:t>提供虚拟电厂建筑信息列表查询与维护</w:t>
            </w:r>
            <w:r>
              <w:rPr>
                <w:rFonts w:hint="eastAsia" w:ascii="仿宋" w:hAnsi="仿宋" w:eastAsia="仿宋"/>
                <w:lang w:bidi="en-US"/>
              </w:rPr>
              <w:t>功能。</w:t>
            </w:r>
          </w:p>
        </w:tc>
      </w:tr>
      <w:tr w14:paraId="6127B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B82C78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4</w:t>
            </w:r>
          </w:p>
        </w:tc>
        <w:tc>
          <w:tcPr>
            <w:tcW w:w="2130" w:type="dxa"/>
            <w:vAlign w:val="center"/>
          </w:tcPr>
          <w:p w14:paraId="734E73F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可调容量评估</w:t>
            </w:r>
          </w:p>
        </w:tc>
        <w:tc>
          <w:tcPr>
            <w:tcW w:w="5327" w:type="dxa"/>
            <w:vAlign w:val="center"/>
          </w:tcPr>
          <w:p w14:paraId="3BAFC6A6">
            <w:pPr>
              <w:pStyle w:val="25"/>
              <w:tabs>
                <w:tab w:val="left" w:pos="820"/>
              </w:tabs>
              <w:spacing w:line="400" w:lineRule="exact"/>
              <w:ind w:firstLine="0" w:firstLineChars="0"/>
              <w:jc w:val="left"/>
              <w:rPr>
                <w:rFonts w:ascii="仿宋" w:hAnsi="仿宋" w:eastAsia="仿宋"/>
                <w:lang w:bidi="en-US"/>
              </w:rPr>
            </w:pPr>
            <w:r>
              <w:rPr>
                <w:rFonts w:ascii="仿宋" w:hAnsi="仿宋" w:eastAsia="仿宋"/>
                <w:lang w:bidi="en-US"/>
              </w:rPr>
              <w:t>计算</w:t>
            </w:r>
            <w:r>
              <w:rPr>
                <w:rFonts w:hint="eastAsia" w:ascii="仿宋" w:hAnsi="仿宋" w:eastAsia="仿宋"/>
                <w:lang w:bidi="en-US"/>
              </w:rPr>
              <w:t>评估建筑</w:t>
            </w:r>
            <w:r>
              <w:rPr>
                <w:rFonts w:ascii="仿宋" w:hAnsi="仿宋" w:eastAsia="仿宋"/>
                <w:lang w:bidi="en-US"/>
              </w:rPr>
              <w:t>可调节负荷</w:t>
            </w:r>
            <w:r>
              <w:rPr>
                <w:rFonts w:hint="eastAsia" w:ascii="仿宋" w:hAnsi="仿宋" w:eastAsia="仿宋"/>
                <w:lang w:bidi="en-US"/>
              </w:rPr>
              <w:t>量，</w:t>
            </w:r>
            <w:r>
              <w:rPr>
                <w:rFonts w:ascii="仿宋" w:hAnsi="仿宋" w:eastAsia="仿宋"/>
                <w:lang w:bidi="en-US"/>
              </w:rPr>
              <w:t>对资源响应能力进行分级和特性标签化管理</w:t>
            </w:r>
            <w:r>
              <w:rPr>
                <w:rFonts w:hint="eastAsia" w:ascii="仿宋" w:hAnsi="仿宋" w:eastAsia="仿宋"/>
                <w:lang w:bidi="en-US"/>
              </w:rPr>
              <w:t>。</w:t>
            </w:r>
          </w:p>
        </w:tc>
      </w:tr>
      <w:tr w14:paraId="38F4F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035C5E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5</w:t>
            </w:r>
          </w:p>
        </w:tc>
        <w:tc>
          <w:tcPr>
            <w:tcW w:w="2130" w:type="dxa"/>
            <w:vAlign w:val="center"/>
          </w:tcPr>
          <w:p w14:paraId="038058F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负荷预测</w:t>
            </w:r>
          </w:p>
        </w:tc>
        <w:tc>
          <w:tcPr>
            <w:tcW w:w="5327" w:type="dxa"/>
            <w:vAlign w:val="center"/>
          </w:tcPr>
          <w:p w14:paraId="7E99DA97">
            <w:pPr>
              <w:pStyle w:val="25"/>
              <w:spacing w:line="400" w:lineRule="exact"/>
              <w:ind w:firstLine="0" w:firstLineChars="0"/>
              <w:jc w:val="left"/>
              <w:rPr>
                <w:rFonts w:ascii="仿宋" w:hAnsi="仿宋" w:eastAsia="仿宋"/>
                <w:lang w:bidi="en-US"/>
              </w:rPr>
            </w:pPr>
            <w:r>
              <w:rPr>
                <w:rFonts w:hint="eastAsia" w:ascii="仿宋" w:hAnsi="仿宋" w:eastAsia="仿宋"/>
                <w:lang w:bidi="en-US"/>
              </w:rPr>
              <w:t>基于历史能耗、用能</w:t>
            </w:r>
            <w:r>
              <w:rPr>
                <w:rFonts w:ascii="仿宋" w:hAnsi="仿宋" w:eastAsia="仿宋"/>
                <w:lang w:bidi="en-US"/>
              </w:rPr>
              <w:t>负荷、气象数据实现短期负荷预测</w:t>
            </w:r>
            <w:r>
              <w:rPr>
                <w:rFonts w:hint="eastAsia" w:ascii="仿宋" w:hAnsi="仿宋" w:eastAsia="仿宋"/>
                <w:lang w:bidi="en-US"/>
              </w:rPr>
              <w:t>功能。</w:t>
            </w:r>
          </w:p>
        </w:tc>
      </w:tr>
      <w:tr w14:paraId="3976B6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188F18C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6</w:t>
            </w:r>
          </w:p>
        </w:tc>
        <w:tc>
          <w:tcPr>
            <w:tcW w:w="2130" w:type="dxa"/>
            <w:vAlign w:val="center"/>
          </w:tcPr>
          <w:p w14:paraId="1F21BB5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策略推优</w:t>
            </w:r>
          </w:p>
        </w:tc>
        <w:tc>
          <w:tcPr>
            <w:tcW w:w="5327" w:type="dxa"/>
            <w:vAlign w:val="center"/>
          </w:tcPr>
          <w:p w14:paraId="69BF501F">
            <w:pPr>
              <w:pStyle w:val="25"/>
              <w:spacing w:line="400" w:lineRule="exact"/>
              <w:ind w:firstLine="0" w:firstLineChars="0"/>
              <w:jc w:val="left"/>
              <w:rPr>
                <w:rFonts w:ascii="仿宋" w:hAnsi="仿宋" w:eastAsia="仿宋"/>
                <w:lang w:bidi="en-US"/>
              </w:rPr>
            </w:pPr>
            <w:r>
              <w:rPr>
                <w:rFonts w:ascii="仿宋" w:hAnsi="仿宋" w:eastAsia="仿宋"/>
                <w:lang w:bidi="en-US"/>
              </w:rPr>
              <w:t>提供标准化策略模</w:t>
            </w:r>
            <w:r>
              <w:rPr>
                <w:rFonts w:hint="eastAsia" w:ascii="仿宋" w:hAnsi="仿宋" w:eastAsia="仿宋"/>
                <w:lang w:bidi="en-US"/>
              </w:rPr>
              <w:t>版，可</w:t>
            </w:r>
            <w:r>
              <w:rPr>
                <w:rFonts w:ascii="仿宋" w:hAnsi="仿宋" w:eastAsia="仿宋"/>
                <w:lang w:bidi="en-US"/>
              </w:rPr>
              <w:t>根据资源类型匹配生成推荐策略并支持效果比较</w:t>
            </w:r>
            <w:r>
              <w:rPr>
                <w:rFonts w:hint="eastAsia" w:ascii="仿宋" w:hAnsi="仿宋" w:eastAsia="仿宋"/>
                <w:lang w:bidi="en-US"/>
              </w:rPr>
              <w:t>。</w:t>
            </w:r>
          </w:p>
        </w:tc>
      </w:tr>
      <w:tr w14:paraId="31CD1A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2D739C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7</w:t>
            </w:r>
          </w:p>
        </w:tc>
        <w:tc>
          <w:tcPr>
            <w:tcW w:w="2130" w:type="dxa"/>
            <w:vAlign w:val="center"/>
          </w:tcPr>
          <w:p w14:paraId="2C2888B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响应结果汇总与分析</w:t>
            </w:r>
          </w:p>
        </w:tc>
        <w:tc>
          <w:tcPr>
            <w:tcW w:w="5327" w:type="dxa"/>
            <w:vAlign w:val="center"/>
          </w:tcPr>
          <w:p w14:paraId="3149A89C">
            <w:pPr>
              <w:pStyle w:val="25"/>
              <w:spacing w:line="400" w:lineRule="exact"/>
              <w:ind w:firstLine="0" w:firstLineChars="0"/>
              <w:jc w:val="left"/>
              <w:rPr>
                <w:rFonts w:ascii="仿宋" w:hAnsi="仿宋" w:eastAsia="仿宋"/>
                <w:lang w:bidi="en-US"/>
              </w:rPr>
            </w:pPr>
            <w:r>
              <w:rPr>
                <w:rFonts w:hint="eastAsia" w:ascii="仿宋" w:hAnsi="仿宋" w:eastAsia="仿宋"/>
                <w:lang w:bidi="en-US"/>
              </w:rPr>
              <w:t>可查询响应事件核心数据信息；统计分析区域实际总响应量，</w:t>
            </w:r>
            <w:r>
              <w:rPr>
                <w:rFonts w:ascii="仿宋" w:hAnsi="仿宋" w:eastAsia="仿宋"/>
                <w:lang w:bidi="en-US"/>
              </w:rPr>
              <w:t>分析响应结束后负荷恢复时间及可能出现的“反弹效应”，评估响应对后续负荷的短期影响</w:t>
            </w:r>
            <w:r>
              <w:rPr>
                <w:rFonts w:hint="eastAsia" w:ascii="仿宋" w:hAnsi="仿宋" w:eastAsia="仿宋"/>
                <w:lang w:bidi="en-US"/>
              </w:rPr>
              <w:t>，输出响应报告。</w:t>
            </w:r>
          </w:p>
        </w:tc>
      </w:tr>
      <w:tr w14:paraId="14743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74B6E96C">
            <w:pPr>
              <w:pStyle w:val="25"/>
              <w:spacing w:line="400" w:lineRule="exact"/>
              <w:ind w:firstLine="0" w:firstLineChars="0"/>
              <w:jc w:val="center"/>
              <w:rPr>
                <w:rFonts w:ascii="仿宋" w:hAnsi="仿宋" w:eastAsia="仿宋"/>
                <w:lang w:bidi="en-US"/>
              </w:rPr>
            </w:pPr>
            <w:r>
              <w:rPr>
                <w:rFonts w:hint="eastAsia" w:ascii="仿宋" w:hAnsi="仿宋" w:eastAsia="仿宋"/>
                <w:lang w:bidi="en-US"/>
              </w:rPr>
              <w:t>8</w:t>
            </w:r>
          </w:p>
        </w:tc>
        <w:tc>
          <w:tcPr>
            <w:tcW w:w="2130" w:type="dxa"/>
            <w:vAlign w:val="center"/>
          </w:tcPr>
          <w:p w14:paraId="4E140F1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响应资源类型分析</w:t>
            </w:r>
          </w:p>
        </w:tc>
        <w:tc>
          <w:tcPr>
            <w:tcW w:w="5327" w:type="dxa"/>
            <w:vAlign w:val="center"/>
          </w:tcPr>
          <w:p w14:paraId="62DE712F">
            <w:pPr>
              <w:pStyle w:val="25"/>
              <w:spacing w:line="400" w:lineRule="exact"/>
              <w:ind w:firstLine="0" w:firstLineChars="0"/>
              <w:jc w:val="left"/>
              <w:rPr>
                <w:rFonts w:ascii="仿宋" w:hAnsi="仿宋" w:eastAsia="仿宋"/>
                <w:lang w:bidi="en-US"/>
              </w:rPr>
            </w:pPr>
            <w:r>
              <w:rPr>
                <w:rFonts w:ascii="仿宋" w:hAnsi="仿宋" w:eastAsia="仿宋"/>
                <w:lang w:bidi="en-US"/>
              </w:rPr>
              <w:t>统计</w:t>
            </w:r>
            <w:r>
              <w:rPr>
                <w:rFonts w:hint="eastAsia" w:ascii="仿宋" w:hAnsi="仿宋" w:eastAsia="仿宋"/>
                <w:lang w:bidi="en-US"/>
              </w:rPr>
              <w:t>各类型</w:t>
            </w:r>
            <w:r>
              <w:rPr>
                <w:rFonts w:ascii="仿宋" w:hAnsi="仿宋" w:eastAsia="仿宋"/>
                <w:lang w:bidi="en-US"/>
              </w:rPr>
              <w:t>资源的设备数量及可调容量</w:t>
            </w:r>
            <w:r>
              <w:rPr>
                <w:rFonts w:hint="eastAsia" w:ascii="仿宋" w:hAnsi="仿宋" w:eastAsia="仿宋"/>
                <w:lang w:bidi="en-US"/>
              </w:rPr>
              <w:t>，</w:t>
            </w:r>
            <w:r>
              <w:rPr>
                <w:rFonts w:ascii="仿宋" w:hAnsi="仿宋" w:eastAsia="仿宋"/>
                <w:lang w:bidi="en-US"/>
              </w:rPr>
              <w:t>分析典型调峰时段内负荷类型与关键指</w:t>
            </w:r>
            <w:r>
              <w:rPr>
                <w:rFonts w:hint="eastAsia" w:ascii="仿宋" w:hAnsi="仿宋" w:eastAsia="仿宋"/>
                <w:lang w:bidi="en-US"/>
              </w:rPr>
              <w:t>标关联关系。</w:t>
            </w:r>
          </w:p>
        </w:tc>
      </w:tr>
      <w:tr w14:paraId="0766B2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2B5735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9</w:t>
            </w:r>
          </w:p>
        </w:tc>
        <w:tc>
          <w:tcPr>
            <w:tcW w:w="2130" w:type="dxa"/>
            <w:vAlign w:val="center"/>
          </w:tcPr>
          <w:p w14:paraId="7FAED0B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虚拟电厂综合态势与决策可视化分析展示</w:t>
            </w:r>
          </w:p>
        </w:tc>
        <w:tc>
          <w:tcPr>
            <w:tcW w:w="5327" w:type="dxa"/>
            <w:vAlign w:val="center"/>
          </w:tcPr>
          <w:p w14:paraId="4ADD1C40">
            <w:pPr>
              <w:pStyle w:val="25"/>
              <w:spacing w:line="400" w:lineRule="exact"/>
              <w:ind w:firstLine="0" w:firstLineChars="0"/>
              <w:jc w:val="left"/>
              <w:rPr>
                <w:rFonts w:ascii="仿宋" w:hAnsi="仿宋" w:eastAsia="仿宋"/>
                <w:lang w:bidi="en-US"/>
              </w:rPr>
            </w:pPr>
            <w:r>
              <w:rPr>
                <w:rFonts w:hint="eastAsia" w:ascii="仿宋" w:hAnsi="仿宋" w:eastAsia="仿宋"/>
                <w:lang w:bidi="en-US"/>
              </w:rPr>
              <w:t>综合展示</w:t>
            </w:r>
            <w:r>
              <w:rPr>
                <w:rFonts w:ascii="仿宋" w:hAnsi="仿宋" w:eastAsia="仿宋"/>
                <w:lang w:bidi="en-US"/>
              </w:rPr>
              <w:t>资源类型容量</w:t>
            </w:r>
            <w:r>
              <w:rPr>
                <w:rFonts w:hint="eastAsia" w:ascii="仿宋" w:hAnsi="仿宋" w:eastAsia="仿宋"/>
                <w:lang w:bidi="en-US"/>
              </w:rPr>
              <w:t>、调峰次数、调峰策略；</w:t>
            </w:r>
            <w:r>
              <w:rPr>
                <w:rFonts w:ascii="仿宋" w:hAnsi="仿宋" w:eastAsia="仿宋"/>
                <w:lang w:bidi="en-US"/>
              </w:rPr>
              <w:t>展示可调资源在各区域的容量分布及占比</w:t>
            </w:r>
            <w:r>
              <w:rPr>
                <w:rFonts w:hint="eastAsia" w:ascii="仿宋" w:hAnsi="仿宋" w:eastAsia="仿宋"/>
                <w:lang w:bidi="en-US"/>
              </w:rPr>
              <w:t>；展示区域可调潜力空间分布、历史调峰效果；展示</w:t>
            </w:r>
            <w:r>
              <w:rPr>
                <w:rFonts w:ascii="仿宋" w:hAnsi="仿宋" w:eastAsia="仿宋"/>
                <w:lang w:bidi="en-US"/>
              </w:rPr>
              <w:t>聚合单元服务关系</w:t>
            </w:r>
            <w:r>
              <w:rPr>
                <w:rFonts w:hint="eastAsia" w:ascii="仿宋" w:hAnsi="仿宋" w:eastAsia="仿宋"/>
                <w:lang w:bidi="en-US"/>
              </w:rPr>
              <w:t>及优秀示范案例项目。</w:t>
            </w:r>
          </w:p>
        </w:tc>
      </w:tr>
    </w:tbl>
    <w:p w14:paraId="0D7DEF10">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（三）施工过程碳排放监管</w:t>
      </w:r>
      <w:bookmarkEnd w:id="9"/>
    </w:p>
    <w:p w14:paraId="7D295BCC">
      <w:pPr>
        <w:pStyle w:val="25"/>
        <w:spacing w:line="240" w:lineRule="auto"/>
        <w:ind w:firstLine="640"/>
        <w:rPr>
          <w:rFonts w:ascii="仿宋" w:hAnsi="仿宋" w:eastAsia="仿宋"/>
          <w:sz w:val="32"/>
          <w:szCs w:val="32"/>
        </w:rPr>
      </w:pPr>
      <w:r>
        <w:rPr>
          <w:rFonts w:hint="eastAsia" w:ascii="仿宋" w:hAnsi="仿宋" w:eastAsia="仿宋"/>
          <w:sz w:val="32"/>
          <w:szCs w:val="32"/>
        </w:rPr>
        <w:t>施工过程碳排放监管是围绕施工过程中产生的碳排放作为关键环节构建监管体系。施工过程中的基础信息和能源消耗信息通过人工填报或上传相应的附件方式作为施工进度管理和相关碳排放计算的数据支撑。根据上传的项目基本信息和项目建设进度安排，开展定期填报工作，实现对项目进度的监管。依据上传到系统的能源消耗数据和主要建材碳排放量情况，后台将进行施工过程的碳排放计算，包括直接碳排放、间接碳排放和</w:t>
      </w:r>
      <w:bookmarkStart w:id="10" w:name="OLE_LINK9"/>
      <w:r>
        <w:rPr>
          <w:rFonts w:hint="eastAsia" w:ascii="仿宋" w:hAnsi="仿宋" w:eastAsia="仿宋"/>
          <w:sz w:val="32"/>
          <w:szCs w:val="32"/>
        </w:rPr>
        <w:t>主要建材</w:t>
      </w:r>
      <w:bookmarkEnd w:id="10"/>
      <w:r>
        <w:rPr>
          <w:rFonts w:hint="eastAsia" w:ascii="仿宋" w:hAnsi="仿宋" w:eastAsia="仿宋"/>
          <w:sz w:val="32"/>
          <w:szCs w:val="32"/>
        </w:rPr>
        <w:t>碳排放计算。施工过程碳排放监管系统提供碳排放分时段、分范围的分析和相关碳排放统计报表的功能。同时收集各建筑项目施工期减碳措施信息，跟踪其执行进展，汇总分析其对降低施工过程碳排放的宏观贡献，支撑区域减排成效评估。最后，为了实现对施工过程碳排放的精细化监管，系统将在大屏展示出施工过程碳排放总量和碳排放强度。</w:t>
      </w:r>
    </w:p>
    <w:p w14:paraId="32D1F90A">
      <w:pPr>
        <w:pStyle w:val="25"/>
        <w:spacing w:line="240" w:lineRule="auto"/>
        <w:ind w:firstLine="640"/>
        <w:rPr>
          <w:rFonts w:ascii="仿宋" w:hAnsi="仿宋" w:eastAsia="仿宋"/>
          <w:sz w:val="32"/>
          <w:szCs w:val="32"/>
        </w:rPr>
      </w:pPr>
      <w:r>
        <w:rPr>
          <w:rFonts w:hint="eastAsia" w:ascii="仿宋" w:hAnsi="仿宋" w:eastAsia="仿宋"/>
          <w:sz w:val="32"/>
          <w:szCs w:val="32"/>
        </w:rPr>
        <w:t>施工过程碳排放监管子系统需开发功能清单如下：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509882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02E29A8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序号</w:t>
            </w:r>
          </w:p>
        </w:tc>
        <w:tc>
          <w:tcPr>
            <w:tcW w:w="2130" w:type="dxa"/>
            <w:vAlign w:val="center"/>
          </w:tcPr>
          <w:p w14:paraId="1AE140E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3103A78D">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260A27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3D4D96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01971D7C">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数据填报</w:t>
            </w:r>
          </w:p>
        </w:tc>
        <w:tc>
          <w:tcPr>
            <w:tcW w:w="5327" w:type="dxa"/>
            <w:vAlign w:val="center"/>
          </w:tcPr>
          <w:p w14:paraId="338B8922">
            <w:pPr>
              <w:pStyle w:val="25"/>
              <w:spacing w:line="400" w:lineRule="exact"/>
              <w:ind w:firstLine="0" w:firstLineChars="0"/>
              <w:rPr>
                <w:rFonts w:ascii="仿宋" w:hAnsi="仿宋" w:eastAsia="仿宋"/>
                <w:lang w:bidi="en-US"/>
              </w:rPr>
            </w:pPr>
            <w:r>
              <w:rPr>
                <w:rFonts w:hint="eastAsia" w:ascii="仿宋" w:hAnsi="仿宋" w:eastAsia="仿宋"/>
                <w:lang w:bidi="en-US"/>
              </w:rPr>
              <w:t>填报施工建筑项目基本信息；录入施工信息、人员数量、能源消耗、材料消耗等数据；填写施工进度信息、施工阶段碳排放设置预警信息等。</w:t>
            </w:r>
          </w:p>
        </w:tc>
      </w:tr>
      <w:tr w14:paraId="01AE2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102805A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5BFC54E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碳排计算</w:t>
            </w:r>
          </w:p>
        </w:tc>
        <w:tc>
          <w:tcPr>
            <w:tcW w:w="5327" w:type="dxa"/>
            <w:vAlign w:val="center"/>
          </w:tcPr>
          <w:p w14:paraId="5354E998">
            <w:pPr>
              <w:pStyle w:val="25"/>
              <w:spacing w:line="400" w:lineRule="exact"/>
              <w:ind w:firstLine="0" w:firstLineChars="0"/>
              <w:rPr>
                <w:rFonts w:ascii="仿宋" w:hAnsi="仿宋" w:eastAsia="仿宋"/>
                <w:lang w:bidi="en-US"/>
              </w:rPr>
            </w:pPr>
            <w:r>
              <w:rPr>
                <w:rFonts w:hint="eastAsia" w:ascii="仿宋" w:hAnsi="仿宋" w:eastAsia="仿宋"/>
                <w:lang w:bidi="en-US"/>
              </w:rPr>
              <w:t>计算</w:t>
            </w:r>
            <w:r>
              <w:rPr>
                <w:rFonts w:ascii="仿宋" w:hAnsi="仿宋" w:eastAsia="仿宋"/>
                <w:lang w:bidi="en-US"/>
              </w:rPr>
              <w:t>施工过程中</w:t>
            </w:r>
            <w:r>
              <w:rPr>
                <w:rFonts w:hint="eastAsia" w:ascii="仿宋" w:hAnsi="仿宋" w:eastAsia="仿宋"/>
                <w:lang w:bidi="en-US"/>
              </w:rPr>
              <w:t>的直接碳排放、间接碳排放及</w:t>
            </w:r>
            <w:r>
              <w:rPr>
                <w:rFonts w:ascii="仿宋" w:hAnsi="仿宋" w:eastAsia="仿宋"/>
                <w:lang w:bidi="en-US"/>
              </w:rPr>
              <w:t>其它相关碳排</w:t>
            </w:r>
            <w:r>
              <w:rPr>
                <w:rFonts w:hint="eastAsia" w:ascii="仿宋" w:hAnsi="仿宋" w:eastAsia="仿宋"/>
                <w:lang w:bidi="en-US"/>
              </w:rPr>
              <w:t>放量。</w:t>
            </w:r>
          </w:p>
        </w:tc>
      </w:tr>
      <w:tr w14:paraId="7780B9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4C910B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05C8E24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统计分析</w:t>
            </w:r>
          </w:p>
        </w:tc>
        <w:tc>
          <w:tcPr>
            <w:tcW w:w="5327" w:type="dxa"/>
            <w:vAlign w:val="center"/>
          </w:tcPr>
          <w:p w14:paraId="27D85F4A">
            <w:pPr>
              <w:pStyle w:val="25"/>
              <w:spacing w:line="400" w:lineRule="exact"/>
              <w:ind w:firstLine="0" w:firstLineChars="0"/>
              <w:rPr>
                <w:rFonts w:ascii="仿宋" w:hAnsi="仿宋" w:eastAsia="仿宋"/>
                <w:lang w:bidi="en-US"/>
              </w:rPr>
            </w:pPr>
            <w:r>
              <w:rPr>
                <w:rFonts w:hint="eastAsia" w:ascii="仿宋" w:hAnsi="仿宋" w:eastAsia="仿宋"/>
                <w:lang w:bidi="en-US"/>
              </w:rPr>
              <w:t>按项目施工过程中分时段、分范围统计分析碳排放情况。</w:t>
            </w:r>
          </w:p>
        </w:tc>
      </w:tr>
      <w:tr w14:paraId="565EAF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D0C94D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4</w:t>
            </w:r>
          </w:p>
        </w:tc>
        <w:tc>
          <w:tcPr>
            <w:tcW w:w="2130" w:type="dxa"/>
            <w:vAlign w:val="center"/>
          </w:tcPr>
          <w:p w14:paraId="772EFDD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减碳措施管理</w:t>
            </w:r>
          </w:p>
        </w:tc>
        <w:tc>
          <w:tcPr>
            <w:tcW w:w="5327" w:type="dxa"/>
            <w:vAlign w:val="center"/>
          </w:tcPr>
          <w:p w14:paraId="2AE5A4B7">
            <w:pPr>
              <w:pStyle w:val="25"/>
              <w:spacing w:line="400" w:lineRule="exact"/>
              <w:ind w:firstLine="0" w:firstLineChars="0"/>
              <w:rPr>
                <w:rFonts w:ascii="仿宋" w:hAnsi="仿宋" w:eastAsia="仿宋"/>
                <w:lang w:bidi="en-US"/>
              </w:rPr>
            </w:pPr>
            <w:r>
              <w:rPr>
                <w:rFonts w:hint="eastAsia" w:ascii="仿宋" w:hAnsi="仿宋" w:eastAsia="仿宋"/>
                <w:lang w:bidi="en-US"/>
              </w:rPr>
              <w:t>填报项目相应的减碳措施，并对措施执行状态进行持续跟踪。汇总分析市区在建项目的措施执行情况及减碳成果。</w:t>
            </w:r>
          </w:p>
        </w:tc>
      </w:tr>
      <w:tr w14:paraId="74A80C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11C279D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5</w:t>
            </w:r>
          </w:p>
        </w:tc>
        <w:tc>
          <w:tcPr>
            <w:tcW w:w="2130" w:type="dxa"/>
            <w:vAlign w:val="center"/>
          </w:tcPr>
          <w:p w14:paraId="4E3AC15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看板展示</w:t>
            </w:r>
          </w:p>
        </w:tc>
        <w:tc>
          <w:tcPr>
            <w:tcW w:w="5327" w:type="dxa"/>
            <w:vAlign w:val="center"/>
          </w:tcPr>
          <w:p w14:paraId="008E6956">
            <w:pPr>
              <w:pStyle w:val="25"/>
              <w:spacing w:line="400" w:lineRule="exact"/>
              <w:ind w:firstLine="0" w:firstLineChars="0"/>
              <w:rPr>
                <w:rFonts w:ascii="仿宋" w:hAnsi="仿宋" w:eastAsia="仿宋"/>
                <w:lang w:bidi="en-US"/>
              </w:rPr>
            </w:pPr>
            <w:r>
              <w:rPr>
                <w:rFonts w:hint="eastAsia" w:ascii="仿宋" w:hAnsi="仿宋" w:eastAsia="仿宋"/>
                <w:lang w:bidi="en-US"/>
              </w:rPr>
              <w:t>统计展示市、区</w:t>
            </w:r>
            <w:r>
              <w:rPr>
                <w:rFonts w:ascii="仿宋" w:hAnsi="仿宋" w:eastAsia="仿宋"/>
                <w:lang w:bidi="en-US"/>
              </w:rPr>
              <w:t>两级</w:t>
            </w:r>
            <w:r>
              <w:rPr>
                <w:rFonts w:hint="eastAsia" w:ascii="仿宋" w:hAnsi="仿宋" w:eastAsia="仿宋"/>
                <w:lang w:bidi="en-US"/>
              </w:rPr>
              <w:t>施工项目</w:t>
            </w:r>
            <w:r>
              <w:rPr>
                <w:rFonts w:ascii="仿宋" w:hAnsi="仿宋" w:eastAsia="仿宋"/>
                <w:lang w:bidi="en-US"/>
              </w:rPr>
              <w:t>碳排放总量和碳排强度对比</w:t>
            </w:r>
            <w:r>
              <w:rPr>
                <w:rFonts w:hint="eastAsia" w:ascii="仿宋" w:hAnsi="仿宋" w:eastAsia="仿宋"/>
                <w:lang w:bidi="en-US"/>
              </w:rPr>
              <w:t>。汇总展示施工项目的节能减碳场景及减碳成效。</w:t>
            </w:r>
          </w:p>
        </w:tc>
      </w:tr>
    </w:tbl>
    <w:p w14:paraId="158EA3AF">
      <w:pPr>
        <w:ind w:firstLine="643" w:firstLineChars="200"/>
        <w:outlineLvl w:val="1"/>
        <w:rPr>
          <w:rFonts w:ascii="仿宋" w:hAnsi="仿宋" w:eastAsia="仿宋"/>
          <w:b/>
          <w:color w:val="auto"/>
          <w:sz w:val="32"/>
          <w:szCs w:val="32"/>
        </w:rPr>
      </w:pPr>
      <w:bookmarkStart w:id="11" w:name="OLE_LINK10"/>
      <w:r>
        <w:rPr>
          <w:rFonts w:hint="eastAsia" w:ascii="仿宋" w:hAnsi="仿宋" w:eastAsia="仿宋"/>
          <w:b/>
          <w:color w:val="auto"/>
          <w:sz w:val="32"/>
          <w:szCs w:val="32"/>
        </w:rPr>
        <w:t>（四）建筑能碳智能体</w:t>
      </w:r>
    </w:p>
    <w:bookmarkEnd w:id="11"/>
    <w:p w14:paraId="065E6ED2">
      <w:pPr>
        <w:pStyle w:val="25"/>
        <w:spacing w:line="240" w:lineRule="auto"/>
        <w:ind w:firstLine="640"/>
        <w:rPr>
          <w:rFonts w:ascii="仿宋" w:hAnsi="仿宋" w:eastAsia="仿宋"/>
          <w:sz w:val="32"/>
          <w:szCs w:val="32"/>
        </w:rPr>
      </w:pPr>
      <w:r>
        <w:rPr>
          <w:rFonts w:hint="eastAsia" w:ascii="仿宋" w:hAnsi="仿宋" w:eastAsia="仿宋"/>
          <w:sz w:val="32"/>
          <w:szCs w:val="32"/>
        </w:rPr>
        <w:t>以建筑与城市能碳管理智能化转型为目标，通过基于AI的用能诊断系统以及结合相应的AI建筑能碳领域知识库，构建“AI诊断+知识支撑”双引擎体系的建筑能碳领域智能体。</w:t>
      </w:r>
    </w:p>
    <w:p w14:paraId="4163D8DA">
      <w:pPr>
        <w:pStyle w:val="25"/>
        <w:spacing w:line="240" w:lineRule="auto"/>
        <w:ind w:firstLine="640"/>
        <w:rPr>
          <w:rFonts w:ascii="仿宋" w:hAnsi="仿宋" w:eastAsia="仿宋"/>
          <w:sz w:val="32"/>
          <w:szCs w:val="32"/>
        </w:rPr>
      </w:pPr>
      <w:r>
        <w:rPr>
          <w:rFonts w:hint="eastAsia" w:ascii="仿宋" w:hAnsi="仿宋" w:eastAsia="仿宋"/>
          <w:sz w:val="32"/>
          <w:szCs w:val="32"/>
        </w:rPr>
        <w:t>基于AI的用能诊断系统通过智能化的数据分析和优化聚焦建筑与城市两大维度：在建筑层面，依托多源数据融合与智能评估模型，实现建筑用能状态的能效等级动态分级管理。同时基于建筑全生命周期碳足迹追踪，提出适配绿色标准的能效提升方向以及符合经济学效益的技改措施路径的决策支撑依据。在城市层面，通过对历史数据智能剖析和建筑未来发展趋势的预测，构建市区能碳画像与动态评价体系，为城市碳达峰路径规划与资源调配提供科学依据。</w:t>
      </w:r>
    </w:p>
    <w:p w14:paraId="3A8B636E">
      <w:pPr>
        <w:pStyle w:val="25"/>
        <w:spacing w:line="240" w:lineRule="auto"/>
        <w:ind w:firstLine="640"/>
        <w:rPr>
          <w:rFonts w:ascii="仿宋" w:hAnsi="仿宋" w:eastAsia="仿宋"/>
          <w:sz w:val="32"/>
          <w:szCs w:val="32"/>
        </w:rPr>
      </w:pPr>
      <w:r>
        <w:rPr>
          <w:rFonts w:hint="eastAsia" w:ascii="仿宋" w:hAnsi="仿宋" w:eastAsia="仿宋"/>
          <w:sz w:val="32"/>
          <w:szCs w:val="32"/>
        </w:rPr>
        <w:t>AI建筑能碳知识库作为建筑能碳领域智能体的核心支撑系统，集成建筑领域相关的能源政策、技术标准、案例库及动态研究成果，赋能建筑与城市能碳管理向精细化、智能化升级，助力双碳目标实现。</w:t>
      </w:r>
    </w:p>
    <w:p w14:paraId="05A17A56">
      <w:pPr>
        <w:pStyle w:val="25"/>
        <w:spacing w:line="240" w:lineRule="auto"/>
        <w:ind w:firstLine="640"/>
        <w:rPr>
          <w:rFonts w:ascii="仿宋" w:hAnsi="仿宋" w:eastAsia="仿宋"/>
          <w:sz w:val="32"/>
          <w:szCs w:val="32"/>
        </w:rPr>
      </w:pPr>
      <w:r>
        <w:rPr>
          <w:rFonts w:hint="eastAsia" w:ascii="仿宋" w:hAnsi="仿宋" w:eastAsia="仿宋"/>
          <w:sz w:val="32"/>
          <w:szCs w:val="32"/>
        </w:rPr>
        <w:t>建筑能碳智能体子系统需开发功能清单如下：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6A61E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73532EE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序号</w:t>
            </w:r>
          </w:p>
        </w:tc>
        <w:tc>
          <w:tcPr>
            <w:tcW w:w="2130" w:type="dxa"/>
            <w:vAlign w:val="center"/>
          </w:tcPr>
          <w:p w14:paraId="22650E6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210F0D2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1149DD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FE2A07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5DC61A9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动态能效分级评估</w:t>
            </w:r>
          </w:p>
        </w:tc>
        <w:tc>
          <w:tcPr>
            <w:tcW w:w="5327" w:type="dxa"/>
            <w:vAlign w:val="center"/>
          </w:tcPr>
          <w:p w14:paraId="7971C4FA">
            <w:pPr>
              <w:pStyle w:val="25"/>
              <w:spacing w:line="400" w:lineRule="exact"/>
              <w:ind w:firstLine="0" w:firstLineChars="0"/>
              <w:rPr>
                <w:rFonts w:ascii="仿宋" w:hAnsi="仿宋" w:eastAsia="仿宋"/>
                <w:lang w:bidi="en-US"/>
              </w:rPr>
            </w:pPr>
            <w:r>
              <w:rPr>
                <w:rFonts w:ascii="仿宋" w:hAnsi="仿宋" w:eastAsia="仿宋"/>
                <w:lang w:bidi="en-US"/>
              </w:rPr>
              <w:t>结合建筑历史运行数据</w:t>
            </w:r>
            <w:r>
              <w:rPr>
                <w:rFonts w:hint="eastAsia" w:ascii="仿宋" w:hAnsi="仿宋" w:eastAsia="仿宋"/>
                <w:lang w:bidi="en-US"/>
              </w:rPr>
              <w:t>及能耗数据</w:t>
            </w:r>
            <w:r>
              <w:rPr>
                <w:rFonts w:ascii="仿宋" w:hAnsi="仿宋" w:eastAsia="仿宋"/>
                <w:lang w:bidi="en-US"/>
              </w:rPr>
              <w:t>，采用智能算法，建立建筑独有的动态</w:t>
            </w:r>
            <w:r>
              <w:rPr>
                <w:rFonts w:hint="eastAsia" w:ascii="仿宋" w:hAnsi="仿宋" w:eastAsia="仿宋"/>
                <w:lang w:bidi="en-US"/>
              </w:rPr>
              <w:t>能效</w:t>
            </w:r>
            <w:r>
              <w:rPr>
                <w:rFonts w:ascii="仿宋" w:hAnsi="仿宋" w:eastAsia="仿宋"/>
                <w:lang w:bidi="en-US"/>
              </w:rPr>
              <w:t>评价指标</w:t>
            </w:r>
            <w:r>
              <w:rPr>
                <w:rFonts w:hint="eastAsia" w:ascii="仿宋" w:hAnsi="仿宋" w:eastAsia="仿宋"/>
                <w:lang w:bidi="en-US"/>
              </w:rPr>
              <w:t>模型，实现能效等级判定与分级管理，并自动生成</w:t>
            </w:r>
            <w:r>
              <w:rPr>
                <w:rFonts w:ascii="仿宋" w:hAnsi="仿宋" w:eastAsia="仿宋"/>
                <w:lang w:bidi="en-US"/>
              </w:rPr>
              <w:t>建筑分级评价报告</w:t>
            </w:r>
            <w:r>
              <w:rPr>
                <w:rFonts w:hint="eastAsia" w:ascii="仿宋" w:hAnsi="仿宋" w:eastAsia="仿宋"/>
                <w:lang w:bidi="en-US"/>
              </w:rPr>
              <w:t>；</w:t>
            </w:r>
          </w:p>
        </w:tc>
      </w:tr>
      <w:tr w14:paraId="5C30B6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5778D6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3944C16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全局性节能优化建议</w:t>
            </w:r>
          </w:p>
        </w:tc>
        <w:tc>
          <w:tcPr>
            <w:tcW w:w="5327" w:type="dxa"/>
            <w:vAlign w:val="center"/>
          </w:tcPr>
          <w:p w14:paraId="24F9E758">
            <w:pPr>
              <w:pStyle w:val="25"/>
              <w:spacing w:line="400" w:lineRule="exact"/>
              <w:ind w:firstLine="0" w:firstLineChars="0"/>
              <w:rPr>
                <w:rFonts w:ascii="仿宋" w:hAnsi="仿宋" w:eastAsia="仿宋"/>
                <w:lang w:bidi="en-US"/>
              </w:rPr>
            </w:pPr>
            <w:r>
              <w:rPr>
                <w:rFonts w:hint="eastAsia" w:ascii="仿宋" w:hAnsi="仿宋" w:eastAsia="仿宋"/>
                <w:lang w:bidi="en-US"/>
              </w:rPr>
              <w:t>基于人工智能算法，自动生成</w:t>
            </w:r>
            <w:r>
              <w:rPr>
                <w:rFonts w:ascii="仿宋" w:hAnsi="仿宋" w:eastAsia="仿宋"/>
                <w:lang w:bidi="en-US"/>
              </w:rPr>
              <w:t>能耗异常判断标准</w:t>
            </w:r>
            <w:r>
              <w:rPr>
                <w:rFonts w:hint="eastAsia" w:ascii="仿宋" w:hAnsi="仿宋" w:eastAsia="仿宋"/>
                <w:lang w:bidi="en-US"/>
              </w:rPr>
              <w:t>并基于能耗运行数据进行能耗异常识别和运行低效识别，提出节能措施建议，并预估执行措施后的减碳量。</w:t>
            </w:r>
          </w:p>
        </w:tc>
      </w:tr>
      <w:tr w14:paraId="2BCF11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710A391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4CFE5F0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低碳改造决策支持</w:t>
            </w:r>
          </w:p>
        </w:tc>
        <w:tc>
          <w:tcPr>
            <w:tcW w:w="5327" w:type="dxa"/>
            <w:vAlign w:val="center"/>
          </w:tcPr>
          <w:p w14:paraId="6825DC01">
            <w:pPr>
              <w:pStyle w:val="25"/>
              <w:spacing w:line="400" w:lineRule="exact"/>
              <w:ind w:firstLine="0" w:firstLineChars="0"/>
              <w:rPr>
                <w:rFonts w:ascii="仿宋" w:hAnsi="仿宋" w:eastAsia="仿宋"/>
                <w:lang w:bidi="en-US"/>
              </w:rPr>
            </w:pPr>
            <w:r>
              <w:rPr>
                <w:rFonts w:hint="eastAsia" w:ascii="仿宋" w:hAnsi="仿宋" w:eastAsia="仿宋"/>
                <w:lang w:bidi="en-US"/>
              </w:rPr>
              <w:t>搭建建筑低碳改造技术目录；基于历史能源数据、节能措施参数，生成改造增量成本效益；根据策略算法形成最优的节能策略，自动生成节能改造方案。</w:t>
            </w:r>
          </w:p>
        </w:tc>
      </w:tr>
      <w:tr w14:paraId="1D1474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65B6490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4</w:t>
            </w:r>
          </w:p>
        </w:tc>
        <w:tc>
          <w:tcPr>
            <w:tcW w:w="2130" w:type="dxa"/>
            <w:vAlign w:val="center"/>
          </w:tcPr>
          <w:p w14:paraId="53F677C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城市能碳智能管理</w:t>
            </w:r>
          </w:p>
        </w:tc>
        <w:tc>
          <w:tcPr>
            <w:tcW w:w="5327" w:type="dxa"/>
            <w:vAlign w:val="center"/>
          </w:tcPr>
          <w:p w14:paraId="6759C120">
            <w:pPr>
              <w:pStyle w:val="25"/>
              <w:spacing w:line="400" w:lineRule="exact"/>
              <w:ind w:firstLine="0" w:firstLineChars="0"/>
              <w:rPr>
                <w:rFonts w:ascii="仿宋" w:hAnsi="仿宋" w:eastAsia="仿宋"/>
                <w:lang w:bidi="en-US"/>
              </w:rPr>
            </w:pPr>
            <w:r>
              <w:rPr>
                <w:rFonts w:hint="eastAsia" w:ascii="仿宋" w:hAnsi="仿宋" w:eastAsia="仿宋"/>
                <w:lang w:bidi="en-US"/>
              </w:rPr>
              <w:t>采用算法自动分析全市、各区的能碳水平及用能差异；按照不同时间维度分析</w:t>
            </w:r>
            <w:r>
              <w:rPr>
                <w:rFonts w:ascii="仿宋" w:hAnsi="仿宋" w:eastAsia="仿宋"/>
                <w:lang w:bidi="en-US"/>
              </w:rPr>
              <w:t>供热季、过渡季、制冷季用电量情况、工作日与非工作日用电</w:t>
            </w:r>
            <w:r>
              <w:rPr>
                <w:rFonts w:hint="eastAsia" w:ascii="仿宋" w:hAnsi="仿宋" w:eastAsia="仿宋"/>
                <w:lang w:bidi="en-US"/>
              </w:rPr>
              <w:t>情况；结合应用算法，针对各建筑运行特征、参照历史能耗、室外环境等影响参数，预测全市、各区能碳变化趋势。</w:t>
            </w:r>
          </w:p>
        </w:tc>
      </w:tr>
      <w:tr w14:paraId="7E9E1E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34BC59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5</w:t>
            </w:r>
          </w:p>
        </w:tc>
        <w:tc>
          <w:tcPr>
            <w:tcW w:w="2130" w:type="dxa"/>
            <w:vAlign w:val="center"/>
          </w:tcPr>
          <w:p w14:paraId="5BBA264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建筑能碳专业知识库</w:t>
            </w:r>
          </w:p>
        </w:tc>
        <w:tc>
          <w:tcPr>
            <w:tcW w:w="5327" w:type="dxa"/>
            <w:vAlign w:val="center"/>
          </w:tcPr>
          <w:p w14:paraId="0E5563EA">
            <w:pPr>
              <w:pStyle w:val="25"/>
              <w:spacing w:line="400" w:lineRule="exact"/>
              <w:ind w:firstLine="0" w:firstLineChars="0"/>
              <w:rPr>
                <w:rFonts w:ascii="仿宋" w:hAnsi="仿宋" w:eastAsia="仿宋"/>
                <w:lang w:bidi="en-US"/>
              </w:rPr>
            </w:pPr>
            <w:r>
              <w:rPr>
                <w:rFonts w:ascii="仿宋" w:hAnsi="仿宋" w:eastAsia="仿宋"/>
                <w:lang w:bidi="en-US"/>
              </w:rPr>
              <w:t>通过多模态理解、自然语言处理</w:t>
            </w:r>
            <w:r>
              <w:rPr>
                <w:rFonts w:hint="eastAsia" w:ascii="仿宋" w:hAnsi="仿宋" w:eastAsia="仿宋"/>
                <w:lang w:bidi="en-US"/>
              </w:rPr>
              <w:t>、</w:t>
            </w:r>
            <w:r>
              <w:rPr>
                <w:rFonts w:ascii="仿宋" w:hAnsi="仿宋" w:eastAsia="仿宋"/>
                <w:lang w:bidi="en-US"/>
              </w:rPr>
              <w:t>结构化拆分和智能合成</w:t>
            </w:r>
            <w:r>
              <w:rPr>
                <w:rFonts w:hint="eastAsia" w:ascii="仿宋" w:hAnsi="仿宋" w:eastAsia="仿宋"/>
                <w:lang w:bidi="en-US"/>
              </w:rPr>
              <w:t>等人工智能</w:t>
            </w:r>
            <w:r>
              <w:rPr>
                <w:rFonts w:ascii="仿宋" w:hAnsi="仿宋" w:eastAsia="仿宋"/>
                <w:lang w:bidi="en-US"/>
              </w:rPr>
              <w:t>技术</w:t>
            </w:r>
            <w:r>
              <w:rPr>
                <w:rFonts w:hint="eastAsia" w:ascii="仿宋" w:hAnsi="仿宋" w:eastAsia="仿宋"/>
                <w:lang w:bidi="en-US"/>
              </w:rPr>
              <w:t>，实现相关建筑能碳专业信息文档的自动化处理分析；文本类、表格类、图像类信息向量化及存储;</w:t>
            </w:r>
            <w:r>
              <w:rPr>
                <w:rFonts w:ascii="仿宋" w:hAnsi="仿宋" w:eastAsia="仿宋"/>
                <w:lang w:bidi="en-US"/>
              </w:rPr>
              <w:t>提取文档中的关键实体，建立实体间的语义关联</w:t>
            </w:r>
            <w:r>
              <w:rPr>
                <w:rFonts w:hint="eastAsia" w:ascii="仿宋" w:hAnsi="仿宋" w:eastAsia="仿宋"/>
                <w:lang w:bidi="en-US"/>
              </w:rPr>
              <w:t>;基于生成式大模型，支持适用于建筑能碳专业领域的人机交互对话与问题解答。</w:t>
            </w:r>
          </w:p>
        </w:tc>
      </w:tr>
      <w:tr w14:paraId="5A2039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20CAFE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6</w:t>
            </w:r>
          </w:p>
        </w:tc>
        <w:tc>
          <w:tcPr>
            <w:tcW w:w="2130" w:type="dxa"/>
            <w:vAlign w:val="center"/>
          </w:tcPr>
          <w:p w14:paraId="43A206B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服务器虚拟机设备日志/访问控制信息完整性模块</w:t>
            </w:r>
          </w:p>
        </w:tc>
        <w:tc>
          <w:tcPr>
            <w:tcW w:w="5327" w:type="dxa"/>
            <w:vAlign w:val="center"/>
          </w:tcPr>
          <w:p w14:paraId="1E862178">
            <w:pPr>
              <w:pStyle w:val="25"/>
              <w:spacing w:line="400" w:lineRule="exact"/>
              <w:ind w:firstLine="0" w:firstLineChars="0"/>
              <w:rPr>
                <w:rFonts w:ascii="仿宋" w:hAnsi="仿宋" w:eastAsia="仿宋"/>
                <w:lang w:bidi="en-US"/>
              </w:rPr>
            </w:pPr>
            <w:r>
              <w:rPr>
                <w:rFonts w:hint="eastAsia" w:ascii="仿宋" w:hAnsi="仿宋" w:eastAsia="仿宋"/>
                <w:lang w:bidi="en-US"/>
              </w:rPr>
              <w:t>基于系统密码应用适配，设置服务器虚拟机设备日志/访问控制信息完整性模块。</w:t>
            </w:r>
          </w:p>
        </w:tc>
      </w:tr>
      <w:tr w14:paraId="7A538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51520D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7</w:t>
            </w:r>
          </w:p>
        </w:tc>
        <w:tc>
          <w:tcPr>
            <w:tcW w:w="2130" w:type="dxa"/>
            <w:vAlign w:val="center"/>
          </w:tcPr>
          <w:p w14:paraId="19BFD1F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重要可执行程序签名验签模块</w:t>
            </w:r>
          </w:p>
        </w:tc>
        <w:tc>
          <w:tcPr>
            <w:tcW w:w="5327" w:type="dxa"/>
            <w:vAlign w:val="center"/>
          </w:tcPr>
          <w:p w14:paraId="29C94DD7">
            <w:pPr>
              <w:pStyle w:val="15"/>
              <w:spacing w:beforeAutospacing="0" w:afterAutospacing="0" w:line="400" w:lineRule="exact"/>
              <w:jc w:val="both"/>
              <w:rPr>
                <w:rFonts w:ascii="仿宋" w:hAnsi="仿宋" w:eastAsia="仿宋"/>
                <w:bCs/>
                <w:sz w:val="28"/>
                <w:szCs w:val="28"/>
                <w:lang w:val="zh-CN" w:bidi="en-US"/>
              </w:rPr>
            </w:pPr>
            <w:r>
              <w:rPr>
                <w:rFonts w:hint="eastAsia" w:ascii="仿宋" w:hAnsi="仿宋" w:eastAsia="仿宋"/>
                <w:bCs/>
                <w:sz w:val="28"/>
                <w:szCs w:val="28"/>
                <w:lang w:val="zh-CN" w:bidi="en-US"/>
              </w:rPr>
              <w:t>基于系统密码应用适配，设置重要可执行程序签名验签模块。</w:t>
            </w:r>
          </w:p>
        </w:tc>
      </w:tr>
      <w:tr w14:paraId="55E4C0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735CED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8</w:t>
            </w:r>
          </w:p>
        </w:tc>
        <w:tc>
          <w:tcPr>
            <w:tcW w:w="2130" w:type="dxa"/>
            <w:vAlign w:val="center"/>
          </w:tcPr>
          <w:p w14:paraId="520BE92D">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应用系统重要数据加解密模块</w:t>
            </w:r>
          </w:p>
        </w:tc>
        <w:tc>
          <w:tcPr>
            <w:tcW w:w="5327" w:type="dxa"/>
            <w:vAlign w:val="center"/>
          </w:tcPr>
          <w:p w14:paraId="4D5F6ADB">
            <w:pPr>
              <w:pStyle w:val="25"/>
              <w:spacing w:line="400" w:lineRule="exact"/>
              <w:ind w:firstLine="0" w:firstLineChars="0"/>
              <w:rPr>
                <w:rFonts w:ascii="仿宋" w:hAnsi="仿宋" w:eastAsia="仿宋"/>
                <w:lang w:bidi="en-US"/>
              </w:rPr>
            </w:pPr>
            <w:r>
              <w:rPr>
                <w:rFonts w:hint="eastAsia" w:ascii="仿宋" w:hAnsi="仿宋" w:eastAsia="仿宋"/>
                <w:lang w:bidi="en-US"/>
              </w:rPr>
              <w:t>基于系统密码应用适配，设置应用系统重要数据加解密模块。</w:t>
            </w:r>
          </w:p>
        </w:tc>
      </w:tr>
      <w:tr w14:paraId="735E64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634B833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9</w:t>
            </w:r>
          </w:p>
        </w:tc>
        <w:tc>
          <w:tcPr>
            <w:tcW w:w="2130" w:type="dxa"/>
            <w:vAlign w:val="center"/>
          </w:tcPr>
          <w:p w14:paraId="099E6BA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应用系统重要数据加解密模块</w:t>
            </w:r>
          </w:p>
        </w:tc>
        <w:tc>
          <w:tcPr>
            <w:tcW w:w="5327" w:type="dxa"/>
            <w:vAlign w:val="center"/>
          </w:tcPr>
          <w:p w14:paraId="2DDDED26">
            <w:pPr>
              <w:pStyle w:val="25"/>
              <w:spacing w:line="400" w:lineRule="exact"/>
              <w:ind w:firstLine="0" w:firstLineChars="0"/>
              <w:rPr>
                <w:rFonts w:ascii="仿宋" w:hAnsi="仿宋" w:eastAsia="仿宋"/>
                <w:lang w:bidi="en-US"/>
              </w:rPr>
            </w:pPr>
            <w:r>
              <w:rPr>
                <w:rFonts w:hint="eastAsia" w:ascii="仿宋" w:hAnsi="仿宋" w:eastAsia="仿宋"/>
                <w:lang w:bidi="en-US"/>
              </w:rPr>
              <w:t>基于系统密码应用适配，设置应用系统重要数据加解密模块。</w:t>
            </w:r>
          </w:p>
        </w:tc>
      </w:tr>
    </w:tbl>
    <w:p w14:paraId="214BC95A">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（五）CIM碳地图适配</w:t>
      </w:r>
    </w:p>
    <w:p w14:paraId="4F17EA27">
      <w:pPr>
        <w:ind w:firstLine="640" w:firstLineChars="200"/>
        <w:rPr>
          <w:rFonts w:ascii="仿宋" w:hAnsi="仿宋" w:eastAsia="仿宋"/>
          <w:bCs/>
          <w:color w:val="auto"/>
          <w:kern w:val="0"/>
          <w:sz w:val="32"/>
          <w:szCs w:val="32"/>
          <w:lang w:val="zh-CN"/>
        </w:rPr>
      </w:pPr>
      <w:r>
        <w:rPr>
          <w:rFonts w:hint="eastAsia" w:ascii="仿宋" w:hAnsi="仿宋" w:eastAsia="仿宋"/>
          <w:bCs/>
          <w:color w:val="auto"/>
          <w:kern w:val="0"/>
          <w:sz w:val="32"/>
          <w:szCs w:val="32"/>
          <w:lang w:val="zh-CN"/>
        </w:rPr>
        <w:t>将平台与CIM地图进行深度适配融合及场景应用，对平台中的相关基础信息、能碳数据（包括区域、建筑碳排放监测数据、相关统计分析数据等）与上海市CIM地图的数据格式和标准进行对接和整合。建立CIM地图模型适配与更新机制，保证建筑碳排放数据能够及时、动态地在CIM地图上进行联动展示和及时更新。对平台的数据接口、交互接口进行开发与集成，以实现与CIM地图的可视化、查询、分析等功能的构建与集成，并应用到上海地标，各行政区、新城及特定区域，各单体建筑及建筑绿色低碳等多场景的应用展示。</w:t>
      </w:r>
    </w:p>
    <w:p w14:paraId="1928F0EB">
      <w:pPr>
        <w:pStyle w:val="25"/>
        <w:spacing w:line="240" w:lineRule="auto"/>
        <w:ind w:firstLine="640"/>
        <w:rPr>
          <w:rFonts w:ascii="仿宋" w:hAnsi="仿宋" w:eastAsia="仿宋"/>
          <w:sz w:val="32"/>
          <w:szCs w:val="32"/>
        </w:rPr>
      </w:pPr>
      <w:r>
        <w:rPr>
          <w:rFonts w:hint="eastAsia" w:ascii="仿宋" w:hAnsi="仿宋" w:eastAsia="仿宋"/>
          <w:sz w:val="32"/>
          <w:szCs w:val="32"/>
        </w:rPr>
        <w:t>CIM碳地图适配子系统需开发功能清单如下：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49B7BC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5E569E2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序号</w:t>
            </w:r>
          </w:p>
        </w:tc>
        <w:tc>
          <w:tcPr>
            <w:tcW w:w="2130" w:type="dxa"/>
            <w:vAlign w:val="center"/>
          </w:tcPr>
          <w:p w14:paraId="3286FB1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42F5566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343FF1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47D445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3AA9283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CIM地图引擎服务集成适配</w:t>
            </w:r>
          </w:p>
        </w:tc>
        <w:tc>
          <w:tcPr>
            <w:tcW w:w="5327" w:type="dxa"/>
            <w:vAlign w:val="center"/>
          </w:tcPr>
          <w:p w14:paraId="78B08F1E">
            <w:pPr>
              <w:pStyle w:val="25"/>
              <w:spacing w:line="400" w:lineRule="exact"/>
              <w:ind w:firstLine="0" w:firstLineChars="0"/>
              <w:rPr>
                <w:rFonts w:ascii="仿宋" w:hAnsi="仿宋" w:eastAsia="仿宋"/>
                <w:lang w:bidi="en-US"/>
              </w:rPr>
            </w:pPr>
            <w:r>
              <w:rPr>
                <w:rFonts w:ascii="仿宋" w:hAnsi="仿宋" w:eastAsia="仿宋"/>
                <w:lang w:bidi="en-US"/>
              </w:rPr>
              <w:t>调用上海市CIM地图可视化引擎服务，利用CIM地图已有的服务引擎工具完成城市地图与碳排放数据展示融合</w:t>
            </w:r>
            <w:r>
              <w:rPr>
                <w:rFonts w:hint="eastAsia" w:ascii="仿宋" w:hAnsi="仿宋" w:eastAsia="仿宋"/>
                <w:lang w:bidi="en-US"/>
              </w:rPr>
              <w:t>及</w:t>
            </w:r>
            <w:r>
              <w:rPr>
                <w:rFonts w:ascii="仿宋" w:hAnsi="仿宋" w:eastAsia="仿宋"/>
                <w:lang w:bidi="en-US"/>
              </w:rPr>
              <w:t>各类</w:t>
            </w:r>
            <w:r>
              <w:rPr>
                <w:rFonts w:hint="eastAsia" w:ascii="仿宋" w:hAnsi="仿宋" w:eastAsia="仿宋"/>
                <w:lang w:bidi="en-US"/>
              </w:rPr>
              <w:t>操作</w:t>
            </w:r>
            <w:r>
              <w:rPr>
                <w:rFonts w:ascii="仿宋" w:hAnsi="仿宋" w:eastAsia="仿宋"/>
                <w:lang w:bidi="en-US"/>
              </w:rPr>
              <w:t>交互</w:t>
            </w:r>
            <w:r>
              <w:rPr>
                <w:rFonts w:hint="eastAsia" w:ascii="仿宋" w:hAnsi="仿宋" w:eastAsia="仿宋"/>
                <w:lang w:bidi="en-US"/>
              </w:rPr>
              <w:t>互</w:t>
            </w:r>
            <w:r>
              <w:rPr>
                <w:rFonts w:ascii="仿宋" w:hAnsi="仿宋" w:eastAsia="仿宋"/>
                <w:lang w:bidi="en-US"/>
              </w:rPr>
              <w:t>动</w:t>
            </w:r>
            <w:r>
              <w:rPr>
                <w:rFonts w:hint="eastAsia" w:ascii="仿宋" w:hAnsi="仿宋" w:eastAsia="仿宋"/>
                <w:lang w:bidi="en-US"/>
              </w:rPr>
              <w:t>。</w:t>
            </w:r>
          </w:p>
        </w:tc>
      </w:tr>
      <w:tr w14:paraId="26D0B9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09F65D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3155B18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CIM地图定制化适配</w:t>
            </w:r>
          </w:p>
        </w:tc>
        <w:tc>
          <w:tcPr>
            <w:tcW w:w="5327" w:type="dxa"/>
            <w:vAlign w:val="center"/>
          </w:tcPr>
          <w:p w14:paraId="037CDF8B">
            <w:pPr>
              <w:pStyle w:val="25"/>
              <w:spacing w:line="400" w:lineRule="exact"/>
              <w:ind w:firstLine="0" w:firstLineChars="0"/>
              <w:rPr>
                <w:rFonts w:ascii="仿宋" w:hAnsi="仿宋" w:eastAsia="仿宋"/>
                <w:lang w:bidi="en-US"/>
              </w:rPr>
            </w:pPr>
            <w:r>
              <w:rPr>
                <w:rFonts w:hint="eastAsia" w:ascii="仿宋" w:hAnsi="仿宋" w:eastAsia="仿宋"/>
                <w:lang w:bidi="en-US"/>
              </w:rPr>
              <w:t>基于</w:t>
            </w:r>
            <w:r>
              <w:rPr>
                <w:rFonts w:ascii="仿宋" w:hAnsi="仿宋" w:eastAsia="仿宋"/>
                <w:lang w:bidi="en-US"/>
              </w:rPr>
              <w:t>CIM地图底座</w:t>
            </w:r>
            <w:r>
              <w:rPr>
                <w:rFonts w:hint="eastAsia" w:ascii="仿宋" w:hAnsi="仿宋" w:eastAsia="仿宋"/>
                <w:lang w:bidi="en-US"/>
              </w:rPr>
              <w:t>进行</w:t>
            </w:r>
            <w:r>
              <w:rPr>
                <w:rFonts w:ascii="仿宋" w:hAnsi="仿宋" w:eastAsia="仿宋"/>
                <w:lang w:bidi="en-US"/>
              </w:rPr>
              <w:t>展示效果适配</w:t>
            </w:r>
            <w:r>
              <w:rPr>
                <w:rFonts w:hint="eastAsia" w:ascii="仿宋" w:hAnsi="仿宋" w:eastAsia="仿宋"/>
                <w:lang w:bidi="en-US"/>
              </w:rPr>
              <w:t>，定制绘制全市、各行政区域域边界、</w:t>
            </w:r>
            <w:r>
              <w:rPr>
                <w:rFonts w:ascii="仿宋" w:hAnsi="仿宋" w:eastAsia="仿宋"/>
                <w:lang w:bidi="en-US"/>
              </w:rPr>
              <w:t>特定区域边界</w:t>
            </w:r>
            <w:r>
              <w:rPr>
                <w:rFonts w:hint="eastAsia" w:ascii="仿宋" w:hAnsi="仿宋" w:eastAsia="仿宋"/>
                <w:lang w:bidi="en-US"/>
              </w:rPr>
              <w:t>；绘制</w:t>
            </w:r>
            <w:r>
              <w:rPr>
                <w:rFonts w:ascii="仿宋" w:hAnsi="仿宋" w:eastAsia="仿宋"/>
                <w:lang w:bidi="en-US"/>
              </w:rPr>
              <w:t>全市能碳热力图层</w:t>
            </w:r>
            <w:r>
              <w:rPr>
                <w:rFonts w:hint="eastAsia" w:ascii="仿宋" w:hAnsi="仿宋" w:eastAsia="仿宋"/>
                <w:lang w:bidi="en-US"/>
              </w:rPr>
              <w:t>、</w:t>
            </w:r>
            <w:r>
              <w:rPr>
                <w:rFonts w:ascii="仿宋" w:hAnsi="仿宋" w:eastAsia="仿宋"/>
                <w:lang w:bidi="en-US"/>
              </w:rPr>
              <w:t>区域能碳热力图层</w:t>
            </w:r>
            <w:r>
              <w:rPr>
                <w:rFonts w:hint="eastAsia" w:ascii="仿宋" w:hAnsi="仿宋" w:eastAsia="仿宋"/>
                <w:lang w:bidi="en-US"/>
              </w:rPr>
              <w:t>；定制设计建筑属性标签、项目弹窗信息；</w:t>
            </w:r>
            <w:r>
              <w:rPr>
                <w:rFonts w:ascii="仿宋" w:hAnsi="仿宋" w:eastAsia="仿宋"/>
                <w:lang w:bidi="en-US"/>
              </w:rPr>
              <w:t>对既有建筑基础三维模型进行优化处理</w:t>
            </w:r>
            <w:r>
              <w:rPr>
                <w:rFonts w:hint="eastAsia" w:ascii="仿宋" w:hAnsi="仿宋" w:eastAsia="仿宋"/>
                <w:lang w:bidi="en-US"/>
              </w:rPr>
              <w:t>，</w:t>
            </w:r>
            <w:r>
              <w:rPr>
                <w:rFonts w:ascii="仿宋" w:hAnsi="仿宋" w:eastAsia="仿宋"/>
                <w:lang w:bidi="en-US"/>
              </w:rPr>
              <w:t>对CIM地图中未有的新建成建筑绘制三维模型</w:t>
            </w:r>
            <w:r>
              <w:rPr>
                <w:rFonts w:hint="eastAsia" w:ascii="仿宋" w:hAnsi="仿宋" w:eastAsia="仿宋"/>
                <w:lang w:bidi="en-US"/>
              </w:rPr>
              <w:t>，并将建筑在地图中进行地理信息定位绑定。</w:t>
            </w:r>
          </w:p>
        </w:tc>
      </w:tr>
      <w:tr w14:paraId="0AE41E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05331B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6DA815C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CIM地图碳场景适配应用</w:t>
            </w:r>
          </w:p>
        </w:tc>
        <w:tc>
          <w:tcPr>
            <w:tcW w:w="5327" w:type="dxa"/>
            <w:vAlign w:val="center"/>
          </w:tcPr>
          <w:p w14:paraId="007BAAE8">
            <w:pPr>
              <w:pStyle w:val="25"/>
              <w:spacing w:line="400" w:lineRule="exact"/>
              <w:ind w:firstLine="0" w:firstLineChars="0"/>
              <w:rPr>
                <w:rFonts w:ascii="仿宋" w:hAnsi="仿宋" w:eastAsia="仿宋"/>
                <w:lang w:bidi="en-US"/>
              </w:rPr>
            </w:pPr>
            <w:r>
              <w:rPr>
                <w:rFonts w:hint="eastAsia" w:ascii="仿宋" w:hAnsi="仿宋" w:eastAsia="仿宋"/>
                <w:lang w:bidi="en-US"/>
              </w:rPr>
              <w:t>结合CIM地图开展能碳全景展示适配应用，包括</w:t>
            </w:r>
            <w:r>
              <w:rPr>
                <w:rFonts w:ascii="仿宋" w:hAnsi="仿宋" w:eastAsia="仿宋"/>
                <w:lang w:bidi="en-US"/>
              </w:rPr>
              <w:t>上海地标建筑群碳场景适配应用、全市碳场景适配应用、各行政区、五大新城碳场景适配应用、特定区域碳场景适配应用、各单体建筑碳场景适配应用、绿色建筑全过程监管碳场景适配应用、施工过程碳排放监管碳场景适配应用、绿色城区低碳业务场景适配应用。</w:t>
            </w:r>
          </w:p>
        </w:tc>
      </w:tr>
    </w:tbl>
    <w:p w14:paraId="4FD1232A">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（六）</w:t>
      </w:r>
      <w:bookmarkStart w:id="12" w:name="_Hlk217331263"/>
      <w:r>
        <w:rPr>
          <w:rFonts w:hint="eastAsia" w:ascii="仿宋" w:hAnsi="仿宋" w:eastAsia="仿宋"/>
          <w:b/>
          <w:color w:val="auto"/>
          <w:sz w:val="32"/>
          <w:szCs w:val="32"/>
        </w:rPr>
        <w:t>采用市级政务大模型底座MAP平台开展大模型建设</w:t>
      </w:r>
      <w:bookmarkEnd w:id="12"/>
    </w:p>
    <w:p w14:paraId="05A8DFED">
      <w:pPr>
        <w:ind w:firstLine="640" w:firstLineChars="200"/>
        <w:rPr>
          <w:rFonts w:ascii="仿宋" w:hAnsi="仿宋" w:eastAsia="仿宋"/>
          <w:bCs/>
          <w:color w:val="auto"/>
          <w:kern w:val="0"/>
          <w:sz w:val="32"/>
          <w:szCs w:val="32"/>
          <w:lang w:val="zh-CN"/>
        </w:rPr>
      </w:pPr>
      <w:bookmarkStart w:id="13" w:name="_Hlk217331292"/>
      <w:r>
        <w:rPr>
          <w:rFonts w:hint="eastAsia" w:ascii="仿宋" w:hAnsi="仿宋" w:eastAsia="仿宋"/>
          <w:bCs/>
          <w:color w:val="auto"/>
          <w:kern w:val="0"/>
          <w:sz w:val="32"/>
          <w:szCs w:val="32"/>
          <w:lang w:val="zh-CN"/>
        </w:rPr>
        <w:t>需基于全市统一的政务大模型底座MAP平台，开展大模型通用能力支撑与快速应用构建服务。平台需实现对大模型智能化应用的一站式开发，利用大模型对海量政务数据进行深度分析、支持文本、图像等文件内容智能识别与自动校验，形成平台与市级政务大模型的协同应用，为科学决策提供支持。</w:t>
      </w:r>
      <w:bookmarkEnd w:id="13"/>
    </w:p>
    <w:p w14:paraId="3EFB28FA">
      <w:pPr>
        <w:pStyle w:val="25"/>
        <w:spacing w:line="240" w:lineRule="auto"/>
        <w:ind w:firstLine="640"/>
        <w:rPr>
          <w:rFonts w:ascii="仿宋" w:hAnsi="仿宋" w:eastAsia="仿宋"/>
          <w:sz w:val="32"/>
          <w:szCs w:val="32"/>
        </w:rPr>
      </w:pPr>
      <w:r>
        <w:rPr>
          <w:rFonts w:ascii="仿宋" w:hAnsi="仿宋" w:eastAsia="仿宋"/>
          <w:sz w:val="32"/>
          <w:szCs w:val="32"/>
        </w:rPr>
        <w:t>采用市级政务大模型底座MAP平台开展大模型建设</w:t>
      </w:r>
      <w:r>
        <w:rPr>
          <w:rFonts w:hint="eastAsia" w:ascii="仿宋" w:hAnsi="仿宋" w:eastAsia="仿宋"/>
          <w:sz w:val="32"/>
          <w:szCs w:val="32"/>
        </w:rPr>
        <w:t>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3A074C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4F837A3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序号</w:t>
            </w:r>
          </w:p>
        </w:tc>
        <w:tc>
          <w:tcPr>
            <w:tcW w:w="2130" w:type="dxa"/>
            <w:vAlign w:val="center"/>
          </w:tcPr>
          <w:p w14:paraId="1D9E552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4187DEE2">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11E4A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10E8DD4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4C23994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多格式文档标准化</w:t>
            </w:r>
          </w:p>
        </w:tc>
        <w:tc>
          <w:tcPr>
            <w:tcW w:w="5327" w:type="dxa"/>
            <w:vAlign w:val="center"/>
          </w:tcPr>
          <w:p w14:paraId="176FD287">
            <w:pPr>
              <w:pStyle w:val="25"/>
              <w:spacing w:line="400" w:lineRule="exact"/>
              <w:ind w:firstLine="0" w:firstLineChars="0"/>
              <w:rPr>
                <w:rFonts w:ascii="仿宋" w:hAnsi="仿宋" w:eastAsia="仿宋"/>
                <w:lang w:bidi="en-US"/>
              </w:rPr>
            </w:pPr>
            <w:r>
              <w:rPr>
                <w:rFonts w:hint="eastAsia" w:ascii="仿宋" w:hAnsi="仿宋" w:eastAsia="仿宋"/>
                <w:lang w:bidi="en-US"/>
              </w:rPr>
              <w:t>将主流文档类型</w:t>
            </w:r>
            <w:r>
              <w:rPr>
                <w:rFonts w:ascii="仿宋" w:hAnsi="仿宋" w:eastAsia="仿宋"/>
                <w:lang w:bidi="en-US"/>
              </w:rPr>
              <w:t>文件统一转换为结构化文本格式，确保数据兼容性</w:t>
            </w:r>
            <w:r>
              <w:rPr>
                <w:rFonts w:hint="eastAsia" w:ascii="仿宋" w:hAnsi="仿宋" w:eastAsia="仿宋"/>
                <w:lang w:bidi="en-US"/>
              </w:rPr>
              <w:t>。</w:t>
            </w:r>
          </w:p>
        </w:tc>
      </w:tr>
      <w:tr w14:paraId="620C92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6CE02F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6CCCB76D">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扫描件OCR识别与纠错</w:t>
            </w:r>
          </w:p>
        </w:tc>
        <w:tc>
          <w:tcPr>
            <w:tcW w:w="5327" w:type="dxa"/>
            <w:vAlign w:val="center"/>
          </w:tcPr>
          <w:p w14:paraId="3EA0D908">
            <w:pPr>
              <w:pStyle w:val="25"/>
              <w:spacing w:line="400" w:lineRule="exact"/>
              <w:ind w:firstLine="0" w:firstLineChars="0"/>
              <w:rPr>
                <w:rFonts w:ascii="仿宋" w:hAnsi="仿宋" w:eastAsia="仿宋"/>
                <w:lang w:bidi="en-US"/>
              </w:rPr>
            </w:pPr>
            <w:r>
              <w:rPr>
                <w:rFonts w:ascii="仿宋" w:hAnsi="仿宋" w:eastAsia="仿宋"/>
                <w:lang w:bidi="en-US"/>
              </w:rPr>
              <w:t>利用OCR技术提取扫描文档文字及表格图表，自动校正识别错误</w:t>
            </w:r>
            <w:r>
              <w:rPr>
                <w:rFonts w:hint="eastAsia" w:ascii="仿宋" w:hAnsi="仿宋" w:eastAsia="仿宋"/>
                <w:lang w:bidi="en-US"/>
              </w:rPr>
              <w:t>。</w:t>
            </w:r>
          </w:p>
        </w:tc>
      </w:tr>
      <w:tr w14:paraId="0A0639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AD8290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2674B2E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术语归一化</w:t>
            </w:r>
          </w:p>
        </w:tc>
        <w:tc>
          <w:tcPr>
            <w:tcW w:w="5327" w:type="dxa"/>
            <w:vAlign w:val="center"/>
          </w:tcPr>
          <w:p w14:paraId="2C7F73CD">
            <w:pPr>
              <w:pStyle w:val="25"/>
              <w:spacing w:line="400" w:lineRule="exact"/>
              <w:ind w:firstLine="0" w:firstLineChars="0"/>
              <w:rPr>
                <w:rFonts w:ascii="仿宋" w:hAnsi="仿宋" w:eastAsia="仿宋"/>
                <w:lang w:bidi="en-US"/>
              </w:rPr>
            </w:pPr>
            <w:r>
              <w:rPr>
                <w:rFonts w:ascii="仿宋" w:hAnsi="仿宋" w:eastAsia="仿宋"/>
                <w:lang w:bidi="en-US"/>
              </w:rPr>
              <w:t>统一文档中术语表达，提升数据一致性</w:t>
            </w:r>
            <w:r>
              <w:rPr>
                <w:rFonts w:hint="eastAsia" w:ascii="仿宋" w:hAnsi="仿宋" w:eastAsia="仿宋"/>
                <w:lang w:bidi="en-US"/>
              </w:rPr>
              <w:t>。</w:t>
            </w:r>
          </w:p>
        </w:tc>
      </w:tr>
      <w:tr w14:paraId="6E9894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6A353C9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4</w:t>
            </w:r>
          </w:p>
        </w:tc>
        <w:tc>
          <w:tcPr>
            <w:tcW w:w="2130" w:type="dxa"/>
            <w:vAlign w:val="center"/>
          </w:tcPr>
          <w:p w14:paraId="131AA957">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元数据提取（标题/作者/时间/关键词）</w:t>
            </w:r>
          </w:p>
        </w:tc>
        <w:tc>
          <w:tcPr>
            <w:tcW w:w="5327" w:type="dxa"/>
            <w:vAlign w:val="center"/>
          </w:tcPr>
          <w:p w14:paraId="59107342">
            <w:pPr>
              <w:pStyle w:val="25"/>
              <w:spacing w:line="400" w:lineRule="exact"/>
              <w:ind w:firstLine="0" w:firstLineChars="0"/>
              <w:rPr>
                <w:rFonts w:ascii="仿宋" w:hAnsi="仿宋" w:eastAsia="仿宋"/>
                <w:lang w:bidi="en-US"/>
              </w:rPr>
            </w:pPr>
            <w:r>
              <w:rPr>
                <w:rFonts w:ascii="仿宋" w:hAnsi="仿宋" w:eastAsia="仿宋"/>
                <w:lang w:bidi="en-US"/>
              </w:rPr>
              <w:t>自动抽取文档标题、作者、时间、关键词等基本信息并结构化存储</w:t>
            </w:r>
            <w:r>
              <w:rPr>
                <w:rFonts w:hint="eastAsia" w:ascii="仿宋" w:hAnsi="仿宋" w:eastAsia="仿宋"/>
                <w:lang w:bidi="en-US"/>
              </w:rPr>
              <w:t>。</w:t>
            </w:r>
          </w:p>
        </w:tc>
      </w:tr>
      <w:tr w14:paraId="22102A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C23BC9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5</w:t>
            </w:r>
          </w:p>
        </w:tc>
        <w:tc>
          <w:tcPr>
            <w:tcW w:w="2130" w:type="dxa"/>
            <w:vAlign w:val="center"/>
          </w:tcPr>
          <w:p w14:paraId="7ACA874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文档分类标签体系构建</w:t>
            </w:r>
          </w:p>
        </w:tc>
        <w:tc>
          <w:tcPr>
            <w:tcW w:w="5327" w:type="dxa"/>
            <w:vAlign w:val="center"/>
          </w:tcPr>
          <w:p w14:paraId="306322D2">
            <w:pPr>
              <w:pStyle w:val="25"/>
              <w:spacing w:line="400" w:lineRule="exact"/>
              <w:ind w:firstLine="0" w:firstLineChars="0"/>
              <w:rPr>
                <w:rFonts w:ascii="仿宋" w:hAnsi="仿宋" w:eastAsia="仿宋"/>
                <w:lang w:bidi="en-US"/>
              </w:rPr>
            </w:pPr>
            <w:r>
              <w:rPr>
                <w:rFonts w:ascii="仿宋" w:hAnsi="仿宋" w:eastAsia="仿宋"/>
                <w:lang w:bidi="en-US"/>
              </w:rPr>
              <w:t>基于内容建立多级分类标签，支持精准检索</w:t>
            </w:r>
            <w:r>
              <w:rPr>
                <w:rFonts w:hint="eastAsia" w:ascii="仿宋" w:hAnsi="仿宋" w:eastAsia="仿宋"/>
                <w:lang w:bidi="en-US"/>
              </w:rPr>
              <w:t>。</w:t>
            </w:r>
          </w:p>
        </w:tc>
      </w:tr>
      <w:tr w14:paraId="3D11EA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898591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6</w:t>
            </w:r>
          </w:p>
        </w:tc>
        <w:tc>
          <w:tcPr>
            <w:tcW w:w="2130" w:type="dxa"/>
            <w:vAlign w:val="center"/>
          </w:tcPr>
          <w:p w14:paraId="2E31DC2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相似度检测与去重</w:t>
            </w:r>
          </w:p>
        </w:tc>
        <w:tc>
          <w:tcPr>
            <w:tcW w:w="5327" w:type="dxa"/>
            <w:vAlign w:val="center"/>
          </w:tcPr>
          <w:p w14:paraId="55E7C51B">
            <w:pPr>
              <w:pStyle w:val="25"/>
              <w:spacing w:line="400" w:lineRule="exact"/>
              <w:ind w:firstLine="0" w:firstLineChars="0"/>
              <w:rPr>
                <w:rFonts w:ascii="仿宋" w:hAnsi="仿宋" w:eastAsia="仿宋"/>
                <w:lang w:bidi="en-US"/>
              </w:rPr>
            </w:pPr>
            <w:r>
              <w:rPr>
                <w:rFonts w:ascii="仿宋" w:hAnsi="仿宋" w:eastAsia="仿宋"/>
                <w:lang w:bidi="en-US"/>
              </w:rPr>
              <w:t>通过算法识别并删除重复或高度相似文档，确保知识库内容唯一性</w:t>
            </w:r>
            <w:r>
              <w:rPr>
                <w:rFonts w:hint="eastAsia" w:ascii="仿宋" w:hAnsi="仿宋" w:eastAsia="仿宋"/>
                <w:lang w:bidi="en-US"/>
              </w:rPr>
              <w:t>。</w:t>
            </w:r>
          </w:p>
        </w:tc>
      </w:tr>
      <w:tr w14:paraId="4067E4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AE944E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7</w:t>
            </w:r>
          </w:p>
        </w:tc>
        <w:tc>
          <w:tcPr>
            <w:tcW w:w="2130" w:type="dxa"/>
            <w:vAlign w:val="center"/>
          </w:tcPr>
          <w:p w14:paraId="70C2C2D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文档内容完整性校验</w:t>
            </w:r>
          </w:p>
        </w:tc>
        <w:tc>
          <w:tcPr>
            <w:tcW w:w="5327" w:type="dxa"/>
            <w:vAlign w:val="center"/>
          </w:tcPr>
          <w:p w14:paraId="4B6AE503">
            <w:pPr>
              <w:pStyle w:val="25"/>
              <w:spacing w:line="400" w:lineRule="exact"/>
              <w:ind w:firstLine="0" w:firstLineChars="0"/>
              <w:rPr>
                <w:rFonts w:ascii="仿宋" w:hAnsi="仿宋" w:eastAsia="仿宋"/>
                <w:lang w:bidi="en-US"/>
              </w:rPr>
            </w:pPr>
            <w:r>
              <w:rPr>
                <w:rFonts w:ascii="仿宋" w:hAnsi="仿宋" w:eastAsia="仿宋"/>
                <w:lang w:bidi="en-US"/>
              </w:rPr>
              <w:t>检查文档完整性（如页码、章节、图表），标记缺失或异常内容</w:t>
            </w:r>
            <w:r>
              <w:rPr>
                <w:rFonts w:hint="eastAsia" w:ascii="仿宋" w:hAnsi="仿宋" w:eastAsia="仿宋"/>
                <w:lang w:bidi="en-US"/>
              </w:rPr>
              <w:t>。</w:t>
            </w:r>
          </w:p>
        </w:tc>
      </w:tr>
    </w:tbl>
    <w:p w14:paraId="5159BCB7">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（七）接口建设</w:t>
      </w:r>
    </w:p>
    <w:p w14:paraId="54BA31ED">
      <w:pPr>
        <w:ind w:firstLine="640" w:firstLineChars="200"/>
        <w:rPr>
          <w:rFonts w:ascii="仿宋" w:hAnsi="仿宋" w:eastAsia="仿宋"/>
          <w:bCs/>
          <w:color w:val="auto"/>
          <w:kern w:val="0"/>
          <w:sz w:val="32"/>
          <w:szCs w:val="32"/>
          <w:lang w:val="zh-CN"/>
        </w:rPr>
      </w:pPr>
      <w:bookmarkStart w:id="14" w:name="_Hlk217331207"/>
      <w:r>
        <w:rPr>
          <w:rFonts w:hint="eastAsia" w:ascii="仿宋" w:hAnsi="仿宋" w:eastAsia="仿宋"/>
          <w:bCs/>
          <w:color w:val="auto"/>
          <w:kern w:val="0"/>
          <w:sz w:val="32"/>
          <w:szCs w:val="32"/>
          <w:lang w:val="zh-CN"/>
        </w:rPr>
        <w:t>根据上述系统功能场景配套建设应用接口，需支持文件上传、区域能耗数据自动分析、能耗异常识别、报告生成、能碳模型的评估决策预测等后端功能，并接入本市“一网通办”登陆，</w:t>
      </w:r>
      <w:r>
        <w:rPr>
          <w:rFonts w:ascii="仿宋" w:hAnsi="仿宋" w:eastAsia="仿宋"/>
          <w:bCs/>
          <w:color w:val="auto"/>
          <w:kern w:val="0"/>
          <w:sz w:val="32"/>
          <w:szCs w:val="32"/>
        </w:rPr>
        <w:t>实现多源</w:t>
      </w:r>
      <w:r>
        <w:rPr>
          <w:rFonts w:hint="eastAsia" w:ascii="仿宋" w:hAnsi="仿宋" w:eastAsia="仿宋"/>
          <w:bCs/>
          <w:color w:val="auto"/>
          <w:kern w:val="0"/>
          <w:sz w:val="32"/>
          <w:szCs w:val="32"/>
        </w:rPr>
        <w:t>信息</w:t>
      </w:r>
      <w:r>
        <w:rPr>
          <w:rFonts w:ascii="仿宋" w:hAnsi="仿宋" w:eastAsia="仿宋"/>
          <w:bCs/>
          <w:color w:val="auto"/>
          <w:kern w:val="0"/>
          <w:sz w:val="32"/>
          <w:szCs w:val="32"/>
        </w:rPr>
        <w:t>接入、</w:t>
      </w:r>
      <w:r>
        <w:rPr>
          <w:rFonts w:hint="eastAsia" w:ascii="仿宋" w:hAnsi="仿宋" w:eastAsia="仿宋"/>
          <w:bCs/>
          <w:color w:val="auto"/>
          <w:kern w:val="0"/>
          <w:sz w:val="32"/>
          <w:szCs w:val="32"/>
        </w:rPr>
        <w:t>数据深度</w:t>
      </w:r>
      <w:r>
        <w:rPr>
          <w:rFonts w:ascii="仿宋" w:hAnsi="仿宋" w:eastAsia="仿宋"/>
          <w:bCs/>
          <w:color w:val="auto"/>
          <w:kern w:val="0"/>
          <w:sz w:val="32"/>
          <w:szCs w:val="32"/>
        </w:rPr>
        <w:t>分析</w:t>
      </w:r>
      <w:r>
        <w:rPr>
          <w:rFonts w:hint="eastAsia" w:ascii="仿宋" w:hAnsi="仿宋" w:eastAsia="仿宋"/>
          <w:bCs/>
          <w:color w:val="auto"/>
          <w:kern w:val="0"/>
          <w:sz w:val="32"/>
          <w:szCs w:val="32"/>
        </w:rPr>
        <w:t>、报告自动生</w:t>
      </w:r>
      <w:r>
        <w:rPr>
          <w:rFonts w:hint="eastAsia" w:ascii="仿宋" w:hAnsi="仿宋" w:eastAsia="仿宋"/>
          <w:bCs/>
          <w:color w:val="auto"/>
          <w:kern w:val="0"/>
          <w:sz w:val="32"/>
          <w:szCs w:val="32"/>
          <w:lang w:val="zh-CN"/>
        </w:rPr>
        <w:t>成</w:t>
      </w:r>
      <w:r>
        <w:rPr>
          <w:rFonts w:ascii="仿宋" w:hAnsi="仿宋" w:eastAsia="仿宋"/>
          <w:bCs/>
          <w:color w:val="auto"/>
          <w:kern w:val="0"/>
          <w:sz w:val="32"/>
          <w:szCs w:val="32"/>
          <w:lang w:val="zh-CN"/>
        </w:rPr>
        <w:t>和</w:t>
      </w:r>
      <w:r>
        <w:rPr>
          <w:rFonts w:hint="eastAsia" w:ascii="仿宋" w:hAnsi="仿宋" w:eastAsia="仿宋"/>
          <w:bCs/>
          <w:color w:val="auto"/>
          <w:kern w:val="0"/>
          <w:sz w:val="32"/>
          <w:szCs w:val="32"/>
          <w:lang w:val="zh-CN"/>
        </w:rPr>
        <w:t>模型</w:t>
      </w:r>
      <w:r>
        <w:rPr>
          <w:rFonts w:ascii="仿宋" w:hAnsi="仿宋" w:eastAsia="仿宋"/>
          <w:bCs/>
          <w:color w:val="auto"/>
          <w:kern w:val="0"/>
          <w:sz w:val="32"/>
          <w:szCs w:val="32"/>
          <w:lang w:val="zh-CN"/>
        </w:rPr>
        <w:t>智能评估</w:t>
      </w:r>
      <w:r>
        <w:rPr>
          <w:rFonts w:hint="eastAsia" w:ascii="仿宋" w:hAnsi="仿宋" w:eastAsia="仿宋"/>
          <w:bCs/>
          <w:color w:val="auto"/>
          <w:kern w:val="0"/>
          <w:sz w:val="32"/>
          <w:szCs w:val="32"/>
          <w:lang w:val="zh-CN"/>
        </w:rPr>
        <w:t>，</w:t>
      </w:r>
      <w:r>
        <w:rPr>
          <w:rFonts w:ascii="仿宋" w:hAnsi="仿宋" w:eastAsia="仿宋"/>
          <w:bCs/>
          <w:color w:val="auto"/>
          <w:kern w:val="0"/>
          <w:sz w:val="32"/>
          <w:szCs w:val="32"/>
          <w:lang w:val="zh-CN"/>
        </w:rPr>
        <w:t>为上层应用提供技术保障。</w:t>
      </w:r>
      <w:bookmarkEnd w:id="14"/>
    </w:p>
    <w:p w14:paraId="6F5F6C8F">
      <w:pPr>
        <w:pStyle w:val="25"/>
        <w:spacing w:line="240" w:lineRule="auto"/>
        <w:ind w:firstLine="640"/>
        <w:rPr>
          <w:rFonts w:ascii="仿宋" w:hAnsi="仿宋" w:eastAsia="仿宋"/>
          <w:sz w:val="32"/>
          <w:szCs w:val="32"/>
        </w:rPr>
      </w:pPr>
      <w:r>
        <w:rPr>
          <w:rFonts w:hint="eastAsia" w:ascii="仿宋" w:hAnsi="仿宋" w:eastAsia="仿宋"/>
          <w:sz w:val="32"/>
          <w:szCs w:val="32"/>
        </w:rPr>
        <w:t>接口建设需开发功能清单如下：</w:t>
      </w: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5"/>
        <w:gridCol w:w="2130"/>
        <w:gridCol w:w="5327"/>
      </w:tblGrid>
      <w:tr w14:paraId="1DB247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blHeader/>
        </w:trPr>
        <w:tc>
          <w:tcPr>
            <w:tcW w:w="1065" w:type="dxa"/>
            <w:vAlign w:val="center"/>
          </w:tcPr>
          <w:p w14:paraId="338DEAD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序号</w:t>
            </w:r>
          </w:p>
        </w:tc>
        <w:tc>
          <w:tcPr>
            <w:tcW w:w="2130" w:type="dxa"/>
            <w:vAlign w:val="center"/>
          </w:tcPr>
          <w:p w14:paraId="3B8EE0FE">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功能名称</w:t>
            </w:r>
          </w:p>
        </w:tc>
        <w:tc>
          <w:tcPr>
            <w:tcW w:w="5327" w:type="dxa"/>
            <w:vAlign w:val="center"/>
          </w:tcPr>
          <w:p w14:paraId="1DE66E0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功能描述</w:t>
            </w:r>
          </w:p>
        </w:tc>
      </w:tr>
      <w:tr w14:paraId="5D7748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C30E5D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w:t>
            </w:r>
          </w:p>
        </w:tc>
        <w:tc>
          <w:tcPr>
            <w:tcW w:w="2130" w:type="dxa"/>
            <w:vAlign w:val="center"/>
          </w:tcPr>
          <w:p w14:paraId="2D032C54">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文件上传</w:t>
            </w:r>
          </w:p>
        </w:tc>
        <w:tc>
          <w:tcPr>
            <w:tcW w:w="5327" w:type="dxa"/>
            <w:vAlign w:val="center"/>
          </w:tcPr>
          <w:p w14:paraId="558D8CC9">
            <w:pPr>
              <w:pStyle w:val="25"/>
              <w:spacing w:line="400" w:lineRule="exact"/>
              <w:ind w:firstLine="0" w:firstLineChars="0"/>
              <w:rPr>
                <w:rFonts w:ascii="仿宋" w:hAnsi="仿宋" w:eastAsia="仿宋"/>
                <w:lang w:bidi="en-US"/>
              </w:rPr>
            </w:pPr>
            <w:r>
              <w:rPr>
                <w:rFonts w:hint="eastAsia" w:ascii="仿宋" w:hAnsi="仿宋" w:eastAsia="仿宋"/>
                <w:lang w:bidi="en-US"/>
              </w:rPr>
              <w:t>文件上传接口，支持PDF、Word、Excel等主流文档格式上传系统，且能对文件格式、大小进行控制。</w:t>
            </w:r>
          </w:p>
        </w:tc>
      </w:tr>
      <w:tr w14:paraId="0B768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9571EA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2</w:t>
            </w:r>
          </w:p>
        </w:tc>
        <w:tc>
          <w:tcPr>
            <w:tcW w:w="2130" w:type="dxa"/>
            <w:vAlign w:val="center"/>
          </w:tcPr>
          <w:p w14:paraId="44AB0ABB">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单体建筑能耗查询分析</w:t>
            </w:r>
          </w:p>
        </w:tc>
        <w:tc>
          <w:tcPr>
            <w:tcW w:w="5327" w:type="dxa"/>
            <w:vAlign w:val="center"/>
          </w:tcPr>
          <w:p w14:paraId="655D0310">
            <w:pPr>
              <w:pStyle w:val="25"/>
              <w:spacing w:line="400" w:lineRule="exact"/>
              <w:ind w:firstLine="0" w:firstLineChars="0"/>
              <w:rPr>
                <w:rFonts w:ascii="仿宋" w:hAnsi="仿宋" w:eastAsia="仿宋"/>
                <w:lang w:bidi="en-US"/>
              </w:rPr>
            </w:pPr>
            <w:r>
              <w:rPr>
                <w:rFonts w:hint="eastAsia" w:ascii="仿宋" w:hAnsi="仿宋" w:eastAsia="仿宋"/>
                <w:lang w:bidi="en-US"/>
              </w:rPr>
              <w:t>根据建筑名称、时间范围、能源类型等条件查询建筑的用能及碳排放数据。</w:t>
            </w:r>
          </w:p>
        </w:tc>
      </w:tr>
      <w:tr w14:paraId="67FA8C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4DABFB9">
            <w:pPr>
              <w:pStyle w:val="25"/>
              <w:spacing w:line="400" w:lineRule="exact"/>
              <w:ind w:firstLine="0" w:firstLineChars="0"/>
              <w:jc w:val="center"/>
              <w:rPr>
                <w:rFonts w:ascii="仿宋" w:hAnsi="仿宋" w:eastAsia="仿宋"/>
                <w:lang w:bidi="en-US"/>
              </w:rPr>
            </w:pPr>
            <w:r>
              <w:rPr>
                <w:rFonts w:hint="eastAsia" w:ascii="仿宋" w:hAnsi="仿宋" w:eastAsia="仿宋"/>
                <w:lang w:bidi="en-US"/>
              </w:rPr>
              <w:t>3</w:t>
            </w:r>
          </w:p>
        </w:tc>
        <w:tc>
          <w:tcPr>
            <w:tcW w:w="2130" w:type="dxa"/>
            <w:vAlign w:val="center"/>
          </w:tcPr>
          <w:p w14:paraId="2F75473C">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城区建筑能耗查询分析</w:t>
            </w:r>
          </w:p>
        </w:tc>
        <w:tc>
          <w:tcPr>
            <w:tcW w:w="5327" w:type="dxa"/>
            <w:vAlign w:val="center"/>
          </w:tcPr>
          <w:p w14:paraId="52619138">
            <w:pPr>
              <w:pStyle w:val="25"/>
              <w:spacing w:line="400" w:lineRule="exact"/>
              <w:ind w:firstLine="0" w:firstLineChars="0"/>
              <w:rPr>
                <w:rFonts w:ascii="仿宋" w:hAnsi="仿宋" w:eastAsia="仿宋"/>
                <w:lang w:bidi="en-US"/>
              </w:rPr>
            </w:pPr>
            <w:r>
              <w:rPr>
                <w:rFonts w:hint="eastAsia" w:ascii="仿宋" w:hAnsi="仿宋" w:eastAsia="仿宋"/>
                <w:lang w:bidi="en-US"/>
              </w:rPr>
              <w:t>根据城区名称、时间范围、能源类型等条件查询行政区或特定区域的用能及碳排放数据。</w:t>
            </w:r>
          </w:p>
        </w:tc>
      </w:tr>
      <w:tr w14:paraId="0A1D83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2E3095E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4</w:t>
            </w:r>
          </w:p>
        </w:tc>
        <w:tc>
          <w:tcPr>
            <w:tcW w:w="2130" w:type="dxa"/>
            <w:vAlign w:val="center"/>
          </w:tcPr>
          <w:p w14:paraId="389A53F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评估模型</w:t>
            </w:r>
          </w:p>
        </w:tc>
        <w:tc>
          <w:tcPr>
            <w:tcW w:w="5327" w:type="dxa"/>
            <w:vAlign w:val="center"/>
          </w:tcPr>
          <w:p w14:paraId="5B7B9FEF">
            <w:pPr>
              <w:pStyle w:val="25"/>
              <w:spacing w:line="400" w:lineRule="exact"/>
              <w:ind w:firstLine="0" w:firstLineChars="0"/>
              <w:rPr>
                <w:rFonts w:ascii="仿宋" w:hAnsi="仿宋" w:eastAsia="仿宋"/>
                <w:lang w:bidi="en-US"/>
              </w:rPr>
            </w:pPr>
            <w:r>
              <w:rPr>
                <w:rFonts w:hint="eastAsia" w:ascii="仿宋" w:hAnsi="仿宋" w:eastAsia="仿宋"/>
                <w:lang w:bidi="en-US"/>
              </w:rPr>
              <w:t>根据历史能耗数据，按照同类型建筑年综合能耗强度统计并建立累积分布函数，按不同区间进行取值确定分级指标值，并每年动态调整。</w:t>
            </w:r>
          </w:p>
        </w:tc>
      </w:tr>
      <w:tr w14:paraId="01BB15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B46717C">
            <w:pPr>
              <w:pStyle w:val="25"/>
              <w:spacing w:line="400" w:lineRule="exact"/>
              <w:ind w:firstLine="0" w:firstLineChars="0"/>
              <w:jc w:val="center"/>
              <w:rPr>
                <w:rFonts w:ascii="仿宋" w:hAnsi="仿宋" w:eastAsia="仿宋"/>
                <w:lang w:bidi="en-US"/>
              </w:rPr>
            </w:pPr>
            <w:r>
              <w:rPr>
                <w:rFonts w:hint="eastAsia" w:ascii="仿宋" w:hAnsi="仿宋" w:eastAsia="仿宋"/>
                <w:lang w:bidi="en-US"/>
              </w:rPr>
              <w:t>5</w:t>
            </w:r>
          </w:p>
        </w:tc>
        <w:tc>
          <w:tcPr>
            <w:tcW w:w="2130" w:type="dxa"/>
            <w:vAlign w:val="center"/>
          </w:tcPr>
          <w:p w14:paraId="734B11F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分级评估报告</w:t>
            </w:r>
          </w:p>
        </w:tc>
        <w:tc>
          <w:tcPr>
            <w:tcW w:w="5327" w:type="dxa"/>
            <w:vAlign w:val="center"/>
          </w:tcPr>
          <w:p w14:paraId="340F5C31">
            <w:pPr>
              <w:pStyle w:val="25"/>
              <w:spacing w:line="400" w:lineRule="exact"/>
              <w:ind w:firstLine="0" w:firstLineChars="0"/>
              <w:rPr>
                <w:rFonts w:ascii="仿宋" w:hAnsi="仿宋" w:eastAsia="仿宋"/>
                <w:lang w:bidi="en-US"/>
              </w:rPr>
            </w:pPr>
            <w:r>
              <w:rPr>
                <w:rFonts w:hint="eastAsia" w:ascii="仿宋" w:hAnsi="仿宋" w:eastAsia="仿宋"/>
                <w:lang w:bidi="en-US"/>
              </w:rPr>
              <w:t>基于建筑已有的基础信息，结合能效分级评价标准、评价结果以及细节数据，系统根据已有的数据自动生成分级评估报告。</w:t>
            </w:r>
          </w:p>
        </w:tc>
      </w:tr>
      <w:tr w14:paraId="0418A0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733AAA7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6</w:t>
            </w:r>
          </w:p>
        </w:tc>
        <w:tc>
          <w:tcPr>
            <w:tcW w:w="2130" w:type="dxa"/>
            <w:vAlign w:val="center"/>
          </w:tcPr>
          <w:p w14:paraId="6EB716D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能耗异常识别</w:t>
            </w:r>
          </w:p>
        </w:tc>
        <w:tc>
          <w:tcPr>
            <w:tcW w:w="5327" w:type="dxa"/>
            <w:vAlign w:val="center"/>
          </w:tcPr>
          <w:p w14:paraId="231202B2">
            <w:pPr>
              <w:pStyle w:val="25"/>
              <w:spacing w:line="400" w:lineRule="exact"/>
              <w:ind w:firstLine="0" w:firstLineChars="0"/>
              <w:rPr>
                <w:rFonts w:ascii="仿宋" w:hAnsi="仿宋" w:eastAsia="仿宋"/>
                <w:lang w:bidi="en-US"/>
              </w:rPr>
            </w:pPr>
            <w:r>
              <w:rPr>
                <w:rFonts w:hint="eastAsia" w:ascii="仿宋" w:hAnsi="仿宋" w:eastAsia="仿宋"/>
                <w:lang w:bidi="en-US"/>
              </w:rPr>
              <w:t>根据建筑历史数据的能耗数据可以分析出每幢建筑自己特有的能耗上下限阈值，根据这些阈值识别异常能耗。</w:t>
            </w:r>
          </w:p>
        </w:tc>
      </w:tr>
      <w:tr w14:paraId="23990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5995C51D">
            <w:pPr>
              <w:pStyle w:val="25"/>
              <w:spacing w:line="400" w:lineRule="exact"/>
              <w:ind w:firstLine="0" w:firstLineChars="0"/>
              <w:jc w:val="center"/>
              <w:rPr>
                <w:rFonts w:ascii="仿宋" w:hAnsi="仿宋" w:eastAsia="仿宋"/>
                <w:lang w:bidi="en-US"/>
              </w:rPr>
            </w:pPr>
            <w:r>
              <w:rPr>
                <w:rFonts w:hint="eastAsia" w:ascii="仿宋" w:hAnsi="仿宋" w:eastAsia="仿宋"/>
                <w:lang w:bidi="en-US"/>
              </w:rPr>
              <w:t>7</w:t>
            </w:r>
          </w:p>
        </w:tc>
        <w:tc>
          <w:tcPr>
            <w:tcW w:w="2130" w:type="dxa"/>
            <w:vAlign w:val="center"/>
          </w:tcPr>
          <w:p w14:paraId="7EFF6E30">
            <w:pPr>
              <w:pStyle w:val="25"/>
              <w:spacing w:line="400" w:lineRule="exact"/>
              <w:ind w:firstLine="0" w:firstLineChars="0"/>
              <w:jc w:val="center"/>
              <w:rPr>
                <w:rFonts w:ascii="仿宋" w:hAnsi="仿宋" w:eastAsia="仿宋"/>
                <w:lang w:bidi="en-US"/>
              </w:rPr>
            </w:pPr>
            <w:r>
              <w:rPr>
                <w:rFonts w:hint="eastAsia" w:ascii="仿宋" w:hAnsi="仿宋" w:eastAsia="仿宋"/>
                <w:lang w:bidi="en-US"/>
              </w:rPr>
              <w:t>低效环节</w:t>
            </w:r>
          </w:p>
        </w:tc>
        <w:tc>
          <w:tcPr>
            <w:tcW w:w="5327" w:type="dxa"/>
            <w:vAlign w:val="center"/>
          </w:tcPr>
          <w:p w14:paraId="16655688">
            <w:pPr>
              <w:pStyle w:val="25"/>
              <w:spacing w:line="400" w:lineRule="exact"/>
              <w:ind w:firstLine="0" w:firstLineChars="0"/>
              <w:rPr>
                <w:rFonts w:ascii="仿宋" w:hAnsi="仿宋" w:eastAsia="仿宋"/>
                <w:lang w:bidi="en-US"/>
              </w:rPr>
            </w:pPr>
            <w:r>
              <w:rPr>
                <w:rFonts w:hint="eastAsia" w:ascii="仿宋" w:hAnsi="仿宋" w:eastAsia="仿宋"/>
                <w:lang w:bidi="en-US"/>
              </w:rPr>
              <w:t>根据建筑实时监测数据，自动诊断分析建筑能耗异常增高时间段并发出预警。</w:t>
            </w:r>
          </w:p>
        </w:tc>
      </w:tr>
      <w:tr w14:paraId="20860D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6A767E83">
            <w:pPr>
              <w:pStyle w:val="25"/>
              <w:spacing w:line="400" w:lineRule="exact"/>
              <w:ind w:firstLine="0" w:firstLineChars="0"/>
              <w:jc w:val="center"/>
              <w:rPr>
                <w:rFonts w:ascii="仿宋" w:hAnsi="仿宋" w:eastAsia="仿宋"/>
                <w:lang w:bidi="en-US"/>
              </w:rPr>
            </w:pPr>
            <w:r>
              <w:rPr>
                <w:rFonts w:hint="eastAsia" w:ascii="仿宋" w:hAnsi="仿宋" w:eastAsia="仿宋"/>
                <w:lang w:bidi="en-US"/>
              </w:rPr>
              <w:t>8</w:t>
            </w:r>
          </w:p>
        </w:tc>
        <w:tc>
          <w:tcPr>
            <w:tcW w:w="2130" w:type="dxa"/>
            <w:vAlign w:val="center"/>
          </w:tcPr>
          <w:p w14:paraId="561AF4FF">
            <w:pPr>
              <w:pStyle w:val="25"/>
              <w:spacing w:line="400" w:lineRule="exact"/>
              <w:ind w:firstLine="0" w:firstLineChars="0"/>
              <w:jc w:val="center"/>
              <w:rPr>
                <w:rFonts w:ascii="仿宋" w:hAnsi="仿宋" w:eastAsia="仿宋"/>
                <w:lang w:bidi="en-US"/>
              </w:rPr>
            </w:pPr>
            <w:r>
              <w:rPr>
                <w:rFonts w:hint="eastAsia" w:ascii="仿宋" w:hAnsi="仿宋" w:eastAsia="仿宋"/>
                <w:lang w:bidi="en-US"/>
              </w:rPr>
              <w:t>节能建议</w:t>
            </w:r>
          </w:p>
        </w:tc>
        <w:tc>
          <w:tcPr>
            <w:tcW w:w="5327" w:type="dxa"/>
            <w:vAlign w:val="center"/>
          </w:tcPr>
          <w:p w14:paraId="037210AD">
            <w:pPr>
              <w:pStyle w:val="25"/>
              <w:spacing w:line="400" w:lineRule="exact"/>
              <w:ind w:firstLine="0" w:firstLineChars="0"/>
              <w:rPr>
                <w:rFonts w:ascii="仿宋" w:hAnsi="仿宋" w:eastAsia="仿宋"/>
                <w:lang w:bidi="en-US"/>
              </w:rPr>
            </w:pPr>
            <w:r>
              <w:rPr>
                <w:rFonts w:hint="eastAsia" w:ascii="仿宋" w:hAnsi="仿宋" w:eastAsia="仿宋"/>
                <w:lang w:bidi="en-US"/>
              </w:rPr>
              <w:t>系统结合上述的接口返回结果并结合历史知识库信息，智能化给出节能建议或措施。</w:t>
            </w:r>
          </w:p>
        </w:tc>
      </w:tr>
      <w:tr w14:paraId="22FD6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43342835">
            <w:pPr>
              <w:pStyle w:val="25"/>
              <w:spacing w:line="400" w:lineRule="exact"/>
              <w:ind w:firstLine="0" w:firstLineChars="0"/>
              <w:jc w:val="center"/>
              <w:rPr>
                <w:rFonts w:ascii="仿宋" w:hAnsi="仿宋" w:eastAsia="仿宋"/>
                <w:lang w:bidi="en-US"/>
              </w:rPr>
            </w:pPr>
            <w:r>
              <w:rPr>
                <w:rFonts w:hint="eastAsia" w:ascii="仿宋" w:hAnsi="仿宋" w:eastAsia="仿宋"/>
                <w:lang w:bidi="en-US"/>
              </w:rPr>
              <w:t>9</w:t>
            </w:r>
          </w:p>
        </w:tc>
        <w:tc>
          <w:tcPr>
            <w:tcW w:w="2130" w:type="dxa"/>
            <w:vAlign w:val="center"/>
          </w:tcPr>
          <w:p w14:paraId="11781086">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决策模型</w:t>
            </w:r>
          </w:p>
        </w:tc>
        <w:tc>
          <w:tcPr>
            <w:tcW w:w="5327" w:type="dxa"/>
            <w:vAlign w:val="center"/>
          </w:tcPr>
          <w:p w14:paraId="6EE6B79B">
            <w:pPr>
              <w:pStyle w:val="25"/>
              <w:spacing w:line="400" w:lineRule="exact"/>
              <w:ind w:firstLine="0" w:firstLineChars="0"/>
              <w:rPr>
                <w:rFonts w:ascii="仿宋" w:hAnsi="仿宋" w:eastAsia="仿宋"/>
                <w:lang w:bidi="en-US"/>
              </w:rPr>
            </w:pPr>
            <w:r>
              <w:rPr>
                <w:rFonts w:hint="eastAsia" w:ascii="仿宋" w:hAnsi="仿宋" w:eastAsia="仿宋"/>
                <w:lang w:bidi="en-US"/>
              </w:rPr>
              <w:t>基于年度能源数据、节能措施相关参数，计算并生成增量成本效益比，并根据罗列的参数得出这项技术的综合成本。</w:t>
            </w:r>
          </w:p>
        </w:tc>
      </w:tr>
      <w:tr w14:paraId="66AACF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3AF91DF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10</w:t>
            </w:r>
          </w:p>
        </w:tc>
        <w:tc>
          <w:tcPr>
            <w:tcW w:w="2130" w:type="dxa"/>
            <w:vAlign w:val="center"/>
          </w:tcPr>
          <w:p w14:paraId="50A88DBA">
            <w:pPr>
              <w:pStyle w:val="25"/>
              <w:spacing w:line="400" w:lineRule="exact"/>
              <w:ind w:firstLine="0" w:firstLineChars="0"/>
              <w:jc w:val="center"/>
              <w:rPr>
                <w:rFonts w:ascii="仿宋" w:hAnsi="仿宋" w:eastAsia="仿宋"/>
                <w:lang w:bidi="en-US"/>
              </w:rPr>
            </w:pPr>
            <w:r>
              <w:rPr>
                <w:rFonts w:hint="eastAsia" w:ascii="仿宋" w:hAnsi="仿宋" w:eastAsia="仿宋"/>
                <w:lang w:bidi="en-US"/>
              </w:rPr>
              <w:t>分析报告</w:t>
            </w:r>
          </w:p>
        </w:tc>
        <w:tc>
          <w:tcPr>
            <w:tcW w:w="5327" w:type="dxa"/>
            <w:vAlign w:val="center"/>
          </w:tcPr>
          <w:p w14:paraId="67C76C33">
            <w:pPr>
              <w:pStyle w:val="25"/>
              <w:spacing w:line="400" w:lineRule="exact"/>
              <w:ind w:firstLine="0" w:firstLineChars="0"/>
              <w:rPr>
                <w:rFonts w:ascii="仿宋" w:hAnsi="仿宋" w:eastAsia="仿宋"/>
                <w:lang w:bidi="en-US"/>
              </w:rPr>
            </w:pPr>
            <w:r>
              <w:rPr>
                <w:rFonts w:hint="eastAsia" w:ascii="仿宋" w:hAnsi="仿宋" w:eastAsia="仿宋"/>
                <w:lang w:bidi="en-US"/>
              </w:rPr>
              <w:t>系统生成节能减碳分析报告，包括减碳量、实施成本、维护成本、增量成本、能源费用增益等，以及结论方案的可行性。</w:t>
            </w:r>
          </w:p>
        </w:tc>
      </w:tr>
      <w:tr w14:paraId="1E24C5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9C577CC">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11</w:t>
            </w:r>
          </w:p>
        </w:tc>
        <w:tc>
          <w:tcPr>
            <w:tcW w:w="2130" w:type="dxa"/>
            <w:vAlign w:val="center"/>
          </w:tcPr>
          <w:p w14:paraId="10BEADA1">
            <w:pPr>
              <w:pStyle w:val="25"/>
              <w:spacing w:line="400" w:lineRule="exact"/>
              <w:ind w:firstLine="0" w:firstLineChars="0"/>
              <w:jc w:val="center"/>
              <w:rPr>
                <w:rFonts w:ascii="仿宋" w:hAnsi="仿宋" w:eastAsia="仿宋"/>
                <w:lang w:bidi="en-US"/>
              </w:rPr>
            </w:pPr>
            <w:r>
              <w:rPr>
                <w:rFonts w:hint="eastAsia" w:ascii="仿宋" w:hAnsi="仿宋" w:eastAsia="仿宋"/>
                <w:lang w:bidi="en-US"/>
              </w:rPr>
              <w:t>预测模型</w:t>
            </w:r>
          </w:p>
        </w:tc>
        <w:tc>
          <w:tcPr>
            <w:tcW w:w="5327" w:type="dxa"/>
            <w:vAlign w:val="center"/>
          </w:tcPr>
          <w:p w14:paraId="389239E7">
            <w:pPr>
              <w:pStyle w:val="25"/>
              <w:spacing w:line="400" w:lineRule="exact"/>
              <w:ind w:firstLine="0" w:firstLineChars="0"/>
              <w:rPr>
                <w:rFonts w:ascii="仿宋" w:hAnsi="仿宋" w:eastAsia="仿宋"/>
                <w:lang w:bidi="en-US"/>
              </w:rPr>
            </w:pPr>
            <w:r>
              <w:rPr>
                <w:rFonts w:hint="eastAsia" w:ascii="仿宋" w:hAnsi="仿宋" w:eastAsia="仿宋"/>
                <w:lang w:bidi="en-US"/>
              </w:rPr>
              <w:t>依据时间参数、历史同期能耗值、气象数据、建筑面积等信息，对建筑能耗的短期、中期、长期的总量进行预测。</w:t>
            </w:r>
          </w:p>
        </w:tc>
      </w:tr>
      <w:tr w14:paraId="0F504C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065" w:type="dxa"/>
            <w:vAlign w:val="center"/>
          </w:tcPr>
          <w:p w14:paraId="05018DFD">
            <w:pPr>
              <w:pStyle w:val="25"/>
              <w:spacing w:line="400" w:lineRule="exact"/>
              <w:ind w:firstLine="0" w:firstLineChars="0"/>
              <w:jc w:val="center"/>
              <w:rPr>
                <w:rFonts w:ascii="仿宋" w:hAnsi="仿宋" w:eastAsia="仿宋"/>
                <w:lang w:bidi="en-US"/>
              </w:rPr>
            </w:pPr>
            <w:r>
              <w:rPr>
                <w:rFonts w:hint="eastAsia" w:ascii="仿宋" w:hAnsi="仿宋" w:eastAsia="仿宋"/>
                <w:lang w:bidi="en-US"/>
              </w:rPr>
              <w:t>12</w:t>
            </w:r>
          </w:p>
        </w:tc>
        <w:tc>
          <w:tcPr>
            <w:tcW w:w="2130" w:type="dxa"/>
            <w:vAlign w:val="center"/>
          </w:tcPr>
          <w:p w14:paraId="5E739318">
            <w:pPr>
              <w:pStyle w:val="25"/>
              <w:spacing w:line="400" w:lineRule="exact"/>
              <w:ind w:firstLine="0" w:firstLineChars="0"/>
              <w:jc w:val="center"/>
              <w:rPr>
                <w:rFonts w:ascii="仿宋" w:hAnsi="仿宋" w:eastAsia="仿宋"/>
                <w:lang w:bidi="en-US"/>
              </w:rPr>
            </w:pPr>
            <w:r>
              <w:rPr>
                <w:rFonts w:hint="eastAsia" w:ascii="仿宋" w:hAnsi="仿宋" w:eastAsia="仿宋"/>
                <w:lang w:bidi="en-US"/>
              </w:rPr>
              <w:t>水平分析</w:t>
            </w:r>
          </w:p>
        </w:tc>
        <w:tc>
          <w:tcPr>
            <w:tcW w:w="5327" w:type="dxa"/>
            <w:vAlign w:val="center"/>
          </w:tcPr>
          <w:p w14:paraId="173032C0">
            <w:pPr>
              <w:pStyle w:val="25"/>
              <w:spacing w:line="400" w:lineRule="exact"/>
              <w:ind w:firstLine="0" w:firstLineChars="0"/>
              <w:rPr>
                <w:rFonts w:ascii="仿宋" w:hAnsi="仿宋" w:eastAsia="仿宋"/>
                <w:lang w:bidi="en-US"/>
              </w:rPr>
            </w:pPr>
            <w:r>
              <w:rPr>
                <w:rFonts w:hint="eastAsia" w:ascii="仿宋" w:hAnsi="仿宋" w:eastAsia="仿宋"/>
                <w:lang w:bidi="en-US"/>
              </w:rPr>
              <w:t>提供建筑物或区域在供热季、过渡季、制冷季或者工作日与非工作日的碳排放水平分析功能。</w:t>
            </w:r>
          </w:p>
        </w:tc>
      </w:tr>
    </w:tbl>
    <w:p w14:paraId="2E1FC346">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四、系统技术要求</w:t>
      </w:r>
    </w:p>
    <w:p w14:paraId="01B94866">
      <w:pPr>
        <w:ind w:firstLine="643" w:firstLineChars="200"/>
        <w:outlineLvl w:val="1"/>
        <w:rPr>
          <w:rFonts w:ascii="楷体" w:hAnsi="楷体" w:eastAsia="楷体"/>
          <w:b/>
          <w:color w:val="auto"/>
          <w:sz w:val="32"/>
          <w:szCs w:val="32"/>
        </w:rPr>
      </w:pPr>
      <w:bookmarkStart w:id="15" w:name="_Toc24721897"/>
      <w:bookmarkStart w:id="16" w:name="_Toc101009881"/>
      <w:bookmarkStart w:id="17" w:name="_Toc230256484"/>
      <w:bookmarkStart w:id="18" w:name="_Toc165513778"/>
      <w:bookmarkStart w:id="19" w:name="_Toc225756012"/>
      <w:r>
        <w:rPr>
          <w:rFonts w:hint="eastAsia" w:ascii="楷体" w:hAnsi="楷体" w:eastAsia="楷体"/>
          <w:b/>
          <w:color w:val="auto"/>
          <w:sz w:val="32"/>
          <w:szCs w:val="32"/>
        </w:rPr>
        <w:t>（一）软件</w:t>
      </w:r>
      <w:r>
        <w:rPr>
          <w:rFonts w:ascii="楷体" w:hAnsi="楷体" w:eastAsia="楷体"/>
          <w:b/>
          <w:color w:val="auto"/>
          <w:sz w:val="32"/>
          <w:szCs w:val="32"/>
        </w:rPr>
        <w:t>开发要求</w:t>
      </w:r>
      <w:bookmarkEnd w:id="15"/>
    </w:p>
    <w:p w14:paraId="71AA13B3">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系统开发需符合国家和上海市对政府机构信息化XC建设的相关政策要求，项目所涉及到的操作系统、数据库、中间件等基础软件产品需在国产化产品名录内，系统需部署于</w:t>
      </w:r>
      <w:r>
        <w:rPr>
          <w:rFonts w:ascii="仿宋" w:hAnsi="仿宋" w:eastAsia="仿宋" w:cs="宋体"/>
          <w:color w:val="auto"/>
          <w:sz w:val="32"/>
          <w:szCs w:val="32"/>
        </w:rPr>
        <w:t>上海市电子政务云</w:t>
      </w:r>
      <w:r>
        <w:rPr>
          <w:rFonts w:hint="eastAsia" w:ascii="仿宋" w:hAnsi="仿宋" w:eastAsia="仿宋" w:cs="宋体"/>
          <w:color w:val="auto"/>
          <w:sz w:val="32"/>
          <w:szCs w:val="32"/>
        </w:rPr>
        <w:t>，适配XC环境要求。</w:t>
      </w:r>
    </w:p>
    <w:p w14:paraId="2558F094">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系统应采用B/S</w:t>
      </w:r>
      <w:r>
        <w:rPr>
          <w:rFonts w:ascii="仿宋" w:hAnsi="仿宋" w:eastAsia="仿宋" w:cs="宋体"/>
          <w:color w:val="auto"/>
          <w:sz w:val="32"/>
          <w:szCs w:val="32"/>
        </w:rPr>
        <w:t>开发框架进行设计开发</w:t>
      </w:r>
      <w:r>
        <w:rPr>
          <w:rFonts w:hint="eastAsia" w:ascii="仿宋" w:hAnsi="仿宋" w:eastAsia="仿宋" w:cs="宋体"/>
          <w:color w:val="auto"/>
          <w:sz w:val="32"/>
          <w:szCs w:val="32"/>
        </w:rPr>
        <w:t>，应采用达梦、人大金仓等主流国产化数据库和金蝶、东方通等国产主流中间件。</w:t>
      </w:r>
    </w:p>
    <w:p w14:paraId="7C58F08A">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系统需符合密码应用相关要求，</w:t>
      </w:r>
      <w:r>
        <w:rPr>
          <w:rFonts w:hint="eastAsia" w:ascii="仿宋" w:hAnsi="仿宋" w:eastAsia="仿宋"/>
          <w:color w:val="auto"/>
          <w:sz w:val="32"/>
          <w:szCs w:val="32"/>
        </w:rPr>
        <w:t>安全认证网关服务、签名验签服务等相关密码资源均复用现有系统密码资源，并需对本次升级改造内容进行服务器虚拟机设备日志</w:t>
      </w:r>
      <w:r>
        <w:rPr>
          <w:rFonts w:ascii="仿宋" w:hAnsi="仿宋" w:eastAsia="仿宋"/>
          <w:color w:val="auto"/>
          <w:sz w:val="32"/>
          <w:szCs w:val="32"/>
        </w:rPr>
        <w:t>/访问控制信息完整性模块、重要可执行程序签名验签模块、应用系统重要数据加解密模块、应用系统重要数据签名验签模块相关密码应用改造开发工作。</w:t>
      </w:r>
    </w:p>
    <w:p w14:paraId="33D4C6E2">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（二）系统性能要求</w:t>
      </w:r>
    </w:p>
    <w:p w14:paraId="504935AC">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w:t>
      </w:r>
      <w:r>
        <w:rPr>
          <w:rFonts w:ascii="仿宋" w:hAnsi="仿宋" w:eastAsia="仿宋" w:cs="宋体"/>
          <w:color w:val="auto"/>
          <w:sz w:val="32"/>
          <w:szCs w:val="32"/>
        </w:rPr>
        <w:t>注册用户</w:t>
      </w:r>
      <w:r>
        <w:rPr>
          <w:rFonts w:hint="eastAsia" w:ascii="仿宋" w:hAnsi="仿宋" w:eastAsia="仿宋" w:cs="宋体"/>
          <w:color w:val="auto"/>
          <w:sz w:val="32"/>
          <w:szCs w:val="32"/>
        </w:rPr>
        <w:t>数</w:t>
      </w:r>
      <w:r>
        <w:rPr>
          <w:rFonts w:ascii="仿宋" w:hAnsi="仿宋" w:eastAsia="仿宋" w:cs="宋体"/>
          <w:color w:val="auto"/>
          <w:sz w:val="32"/>
          <w:szCs w:val="32"/>
        </w:rPr>
        <w:t>≥3000；</w:t>
      </w:r>
    </w:p>
    <w:p w14:paraId="3820698E">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w:t>
      </w:r>
      <w:r>
        <w:rPr>
          <w:rFonts w:ascii="仿宋" w:hAnsi="仿宋" w:eastAsia="仿宋" w:cs="宋体"/>
          <w:color w:val="auto"/>
          <w:sz w:val="32"/>
          <w:szCs w:val="32"/>
        </w:rPr>
        <w:t>同时在线用户数≥500；</w:t>
      </w:r>
    </w:p>
    <w:p w14:paraId="4904822E">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w:t>
      </w:r>
      <w:r>
        <w:rPr>
          <w:rFonts w:ascii="仿宋" w:hAnsi="仿宋" w:eastAsia="仿宋" w:cs="宋体"/>
          <w:color w:val="auto"/>
          <w:sz w:val="32"/>
          <w:szCs w:val="32"/>
        </w:rPr>
        <w:t>并发用户数≥50；</w:t>
      </w:r>
    </w:p>
    <w:p w14:paraId="42FA2870">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4、</w:t>
      </w:r>
      <w:r>
        <w:rPr>
          <w:rFonts w:ascii="仿宋" w:hAnsi="仿宋" w:eastAsia="仿宋" w:cs="宋体"/>
          <w:color w:val="auto"/>
          <w:sz w:val="32"/>
          <w:szCs w:val="32"/>
        </w:rPr>
        <w:t>系统登陆时间≤5秒；</w:t>
      </w:r>
    </w:p>
    <w:p w14:paraId="04746AB7">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w:t>
      </w:r>
      <w:r>
        <w:rPr>
          <w:rFonts w:ascii="仿宋" w:hAnsi="仿宋" w:eastAsia="仿宋" w:cs="宋体"/>
          <w:color w:val="auto"/>
          <w:sz w:val="32"/>
          <w:szCs w:val="32"/>
        </w:rPr>
        <w:t>页面平均访问响应速度≤5秒；</w:t>
      </w:r>
    </w:p>
    <w:p w14:paraId="42FDA0CD">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6、</w:t>
      </w:r>
      <w:r>
        <w:rPr>
          <w:rFonts w:ascii="仿宋" w:hAnsi="仿宋" w:eastAsia="仿宋" w:cs="宋体"/>
          <w:color w:val="auto"/>
          <w:sz w:val="32"/>
          <w:szCs w:val="32"/>
        </w:rPr>
        <w:t>一般性统计报表等统计性数据查询响应时间≤1-3秒；</w:t>
      </w:r>
    </w:p>
    <w:p w14:paraId="1693C968">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7、</w:t>
      </w:r>
      <w:r>
        <w:rPr>
          <w:rFonts w:ascii="仿宋" w:hAnsi="仿宋" w:eastAsia="仿宋" w:cs="宋体"/>
          <w:color w:val="auto"/>
          <w:sz w:val="32"/>
          <w:szCs w:val="32"/>
        </w:rPr>
        <w:t>复杂关联性大数据批量统计性数据查询响应时间≤6-10秒；</w:t>
      </w:r>
    </w:p>
    <w:p w14:paraId="212C4F06">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8、响应时间较长的操作页面应显示进度条。</w:t>
      </w:r>
    </w:p>
    <w:bookmarkEnd w:id="16"/>
    <w:bookmarkEnd w:id="17"/>
    <w:bookmarkEnd w:id="18"/>
    <w:bookmarkEnd w:id="19"/>
    <w:p w14:paraId="61F75281">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（三）系统安全保障要求</w:t>
      </w:r>
    </w:p>
    <w:p w14:paraId="70C366B0">
      <w:pPr>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本项目系统应用申请接入本市“一网通办”，需保障本市企业、个人通过法人一证通登陆本系统，应用软件密码应用部分参照国密标准进行设计开发，需提供密码应用方案及</w:t>
      </w:r>
      <w:r>
        <w:rPr>
          <w:rFonts w:ascii="仿宋" w:hAnsi="仿宋" w:eastAsia="仿宋" w:cs="宋体"/>
          <w:color w:val="auto"/>
          <w:sz w:val="32"/>
          <w:szCs w:val="32"/>
        </w:rPr>
        <w:t>信息</w:t>
      </w:r>
      <w:r>
        <w:rPr>
          <w:rFonts w:hint="eastAsia" w:ascii="仿宋" w:hAnsi="仿宋" w:eastAsia="仿宋" w:cs="宋体"/>
          <w:color w:val="auto"/>
          <w:sz w:val="32"/>
          <w:szCs w:val="32"/>
        </w:rPr>
        <w:t>系统</w:t>
      </w:r>
      <w:r>
        <w:rPr>
          <w:rFonts w:ascii="仿宋" w:hAnsi="仿宋" w:eastAsia="仿宋" w:cs="宋体"/>
          <w:color w:val="auto"/>
          <w:sz w:val="32"/>
          <w:szCs w:val="32"/>
        </w:rPr>
        <w:t>安全方案</w:t>
      </w:r>
      <w:r>
        <w:rPr>
          <w:rFonts w:hint="eastAsia" w:ascii="仿宋" w:hAnsi="仿宋" w:eastAsia="仿宋" w:cs="宋体"/>
          <w:color w:val="auto"/>
          <w:sz w:val="32"/>
          <w:szCs w:val="32"/>
        </w:rPr>
        <w:t>。</w:t>
      </w:r>
    </w:p>
    <w:p w14:paraId="24772F9A">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五、项目管理要求</w:t>
      </w:r>
    </w:p>
    <w:p w14:paraId="01CF661D">
      <w:pPr>
        <w:tabs>
          <w:tab w:val="left" w:pos="720"/>
          <w:tab w:val="left" w:pos="84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（一）设立专业项目开发和管理团队，团队组长由项目负责人担任，成员包括所有各专项工作任务的负责人，工作组制定各项工作计划，协调各专项工作任务的进度计划和相互协作，确保任务按计划实施；</w:t>
      </w:r>
    </w:p>
    <w:p w14:paraId="6C9B5AB4">
      <w:pPr>
        <w:tabs>
          <w:tab w:val="left" w:pos="720"/>
          <w:tab w:val="left" w:pos="84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（二）各专项工作任务分别成立工作小组，在项目总体工作组的宏观指导、各自负责人的具体把握下按照预定计划开展实施；</w:t>
      </w:r>
    </w:p>
    <w:p w14:paraId="0D9CAB2B">
      <w:pPr>
        <w:tabs>
          <w:tab w:val="left" w:pos="720"/>
          <w:tab w:val="left" w:pos="84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（三）定期召开各工作小组、总体工作组的工作会议，对项目任务、工作进度等进行讨论与审核；</w:t>
      </w:r>
    </w:p>
    <w:p w14:paraId="2AD5BF59">
      <w:pPr>
        <w:tabs>
          <w:tab w:val="left" w:pos="720"/>
          <w:tab w:val="left" w:pos="84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（四）设立独立的项目财务账户，实行单独管理，单独核算，专款专用，按计划使用项目经费和定期检查经费使用情况。</w:t>
      </w:r>
    </w:p>
    <w:p w14:paraId="3B0A32C3">
      <w:pPr>
        <w:tabs>
          <w:tab w:val="left" w:pos="720"/>
          <w:tab w:val="left" w:pos="84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（五）实行动态管理制度和专项任务负责制，根据专项任务进展情况及时调整任务内容，严格执行项目经费预算制度；</w:t>
      </w:r>
    </w:p>
    <w:p w14:paraId="533C8BF2">
      <w:pPr>
        <w:tabs>
          <w:tab w:val="left" w:pos="720"/>
          <w:tab w:val="left" w:pos="840"/>
        </w:tabs>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（六）建立专项工作例会制度，定期召开会议和研讨，确保项目的协同工作。</w:t>
      </w:r>
    </w:p>
    <w:p w14:paraId="32D49AF6">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六、服务要求</w:t>
      </w:r>
    </w:p>
    <w:p w14:paraId="2EE9AFA4">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（一）项目运行保证</w:t>
      </w:r>
    </w:p>
    <w:p w14:paraId="08156441">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自合同签订之日起，项目需要在采购人指定现场驻场开发，直至项目结束，中标人需负责驻场开发期间产生的费用，包括不限于房租、水电、网络、开发测试环境等费用。</w:t>
      </w:r>
    </w:p>
    <w:p w14:paraId="387F9C85">
      <w:pPr>
        <w:tabs>
          <w:tab w:val="left" w:pos="720"/>
        </w:tabs>
        <w:ind w:firstLine="640" w:firstLineChars="200"/>
        <w:rPr>
          <w:rFonts w:ascii="仿宋" w:hAnsi="仿宋" w:eastAsia="仿宋" w:cs="宋体"/>
          <w:color w:val="auto"/>
          <w:sz w:val="32"/>
          <w:szCs w:val="32"/>
        </w:rPr>
      </w:pPr>
      <w:bookmarkStart w:id="20" w:name="OLE_LINK8"/>
      <w:r>
        <w:rPr>
          <w:rFonts w:hint="eastAsia" w:ascii="仿宋" w:hAnsi="仿宋" w:eastAsia="仿宋" w:cs="宋体"/>
          <w:color w:val="auto"/>
          <w:sz w:val="32"/>
          <w:szCs w:val="32"/>
        </w:rPr>
        <w:t>中标人</w:t>
      </w:r>
      <w:bookmarkEnd w:id="20"/>
      <w:r>
        <w:rPr>
          <w:rFonts w:hint="eastAsia" w:ascii="仿宋" w:hAnsi="仿宋" w:eastAsia="仿宋" w:cs="宋体"/>
          <w:color w:val="auto"/>
          <w:sz w:val="32"/>
          <w:szCs w:val="32"/>
        </w:rPr>
        <w:t>在项目建设期和保修期内，负责本项目的维护工作，确保系统安全、稳定、正常地运行并对由于设计、功能的缺陷而产生的故障负责。提供5*8小时的市级平台现场驻场服务以及后台支持，提供7*24小时的电话咨询及响应维护服务。在此期间如发生系统运作故障，或出现瑕疵，中标人将按照售后服务的承诺提供保修和维护服务。中标人将通过以下三种服务方式进行技术支持：</w:t>
      </w:r>
    </w:p>
    <w:p w14:paraId="0E4B3AEB">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（1）电话支持：客户通过拨打中标人指定的维护工程师电话，由中标人工程师进行电话支持。</w:t>
      </w:r>
    </w:p>
    <w:p w14:paraId="587EBC20">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（2）远程技术支持：在采购人保证服务器网络联通的情况下，通过远程诊断、电话支持、电子邮件等方式进行技术支持。</w:t>
      </w:r>
    </w:p>
    <w:p w14:paraId="624F3332">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（3）现场支持：如果不能通过远程技术支持方式解决系统的技术故障，在用户提出现场支持要求后的2-4小时内，中标人将派遣工程师赶赴现场分析故障原因，制定故障排除方案，提供故障排除服务。</w:t>
      </w:r>
    </w:p>
    <w:p w14:paraId="288E6AB3">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（二）项目维护要求</w:t>
      </w:r>
    </w:p>
    <w:p w14:paraId="513FF9AB">
      <w:pPr>
        <w:tabs>
          <w:tab w:val="left" w:pos="720"/>
        </w:tabs>
        <w:ind w:firstLine="640" w:firstLineChars="200"/>
        <w:rPr>
          <w:rFonts w:ascii="仿宋" w:hAnsi="仿宋" w:eastAsia="仿宋" w:cs="宋体"/>
          <w:color w:val="auto"/>
          <w:sz w:val="32"/>
          <w:szCs w:val="32"/>
        </w:rPr>
      </w:pPr>
      <w:r>
        <w:rPr>
          <w:rFonts w:ascii="仿宋" w:hAnsi="仿宋" w:eastAsia="仿宋" w:cs="宋体"/>
          <w:color w:val="auto"/>
          <w:sz w:val="32"/>
          <w:szCs w:val="32"/>
        </w:rPr>
        <w:t>1</w:t>
      </w:r>
      <w:r>
        <w:rPr>
          <w:rFonts w:hint="eastAsia" w:ascii="仿宋" w:hAnsi="仿宋" w:eastAsia="仿宋" w:cs="宋体"/>
          <w:color w:val="auto"/>
          <w:sz w:val="32"/>
          <w:szCs w:val="32"/>
        </w:rPr>
        <w:t>、项目建设期和保修期内，中标人指定运维人员进行系统巡检和维护工作，保障平台运行良好。</w:t>
      </w:r>
    </w:p>
    <w:p w14:paraId="5F1CCCC3">
      <w:pPr>
        <w:tabs>
          <w:tab w:val="left" w:pos="720"/>
        </w:tabs>
        <w:ind w:firstLine="640" w:firstLineChars="200"/>
        <w:rPr>
          <w:rFonts w:ascii="仿宋" w:hAnsi="仿宋" w:eastAsia="仿宋" w:cs="宋体"/>
          <w:color w:val="auto"/>
          <w:sz w:val="32"/>
          <w:szCs w:val="32"/>
        </w:rPr>
      </w:pPr>
      <w:r>
        <w:rPr>
          <w:rFonts w:ascii="仿宋" w:hAnsi="仿宋" w:eastAsia="仿宋" w:cs="宋体"/>
          <w:color w:val="auto"/>
          <w:sz w:val="32"/>
          <w:szCs w:val="32"/>
        </w:rPr>
        <w:t>2</w:t>
      </w:r>
      <w:r>
        <w:rPr>
          <w:rFonts w:hint="eastAsia" w:ascii="仿宋" w:hAnsi="仿宋" w:eastAsia="仿宋" w:cs="宋体"/>
          <w:color w:val="auto"/>
          <w:sz w:val="32"/>
          <w:szCs w:val="32"/>
        </w:rPr>
        <w:t>、遇有节日、重大活动、保卫任务、突发事件时，中标人将根据采购人的要求无偿派出技术人员到现场进行系统技术保障。</w:t>
      </w:r>
    </w:p>
    <w:p w14:paraId="248AF585">
      <w:pPr>
        <w:tabs>
          <w:tab w:val="left" w:pos="720"/>
        </w:tabs>
        <w:ind w:firstLine="640" w:firstLineChars="200"/>
        <w:rPr>
          <w:rFonts w:ascii="仿宋" w:hAnsi="仿宋" w:eastAsia="仿宋" w:cs="宋体"/>
          <w:color w:val="auto"/>
          <w:sz w:val="32"/>
          <w:szCs w:val="32"/>
        </w:rPr>
      </w:pPr>
      <w:r>
        <w:rPr>
          <w:rFonts w:ascii="仿宋" w:hAnsi="仿宋" w:eastAsia="仿宋" w:cs="宋体"/>
          <w:color w:val="auto"/>
          <w:sz w:val="32"/>
          <w:szCs w:val="32"/>
        </w:rPr>
        <w:t>3</w:t>
      </w:r>
      <w:r>
        <w:rPr>
          <w:rFonts w:hint="eastAsia" w:ascii="仿宋" w:hAnsi="仿宋" w:eastAsia="仿宋" w:cs="宋体"/>
          <w:color w:val="auto"/>
          <w:sz w:val="32"/>
          <w:szCs w:val="32"/>
        </w:rPr>
        <w:t>、项目建设期和保修期内，由中标人负责日常性管理工作，包括信息更新、数据维护和系统管理，中标人负责本项目所涉及的技术性维护，其工作范围为：软件日常运行维护、软件版本升级和错误更正；合同所界定的功能范围内的局部调整。</w:t>
      </w:r>
    </w:p>
    <w:p w14:paraId="58EA606F">
      <w:pPr>
        <w:tabs>
          <w:tab w:val="left" w:pos="720"/>
        </w:tabs>
        <w:ind w:firstLine="640" w:firstLineChars="200"/>
        <w:rPr>
          <w:rFonts w:ascii="仿宋" w:hAnsi="仿宋" w:eastAsia="仿宋" w:cs="宋体"/>
          <w:color w:val="auto"/>
          <w:sz w:val="32"/>
          <w:szCs w:val="32"/>
        </w:rPr>
      </w:pPr>
      <w:r>
        <w:rPr>
          <w:rFonts w:ascii="仿宋" w:hAnsi="仿宋" w:eastAsia="仿宋" w:cs="宋体"/>
          <w:color w:val="auto"/>
          <w:sz w:val="32"/>
          <w:szCs w:val="32"/>
        </w:rPr>
        <w:t>4、</w:t>
      </w:r>
      <w:r>
        <w:rPr>
          <w:rFonts w:hint="eastAsia" w:ascii="仿宋" w:hAnsi="仿宋" w:eastAsia="仿宋" w:cs="宋体"/>
          <w:color w:val="auto"/>
          <w:sz w:val="32"/>
          <w:szCs w:val="32"/>
        </w:rPr>
        <w:t>当出现故障时，采购人应立即通知到中标人。操作性问题及软件运行故障1小时候内响应，2小时内解决、重大软件问题或软件变更由双方协商后决定解决期限。</w:t>
      </w:r>
    </w:p>
    <w:p w14:paraId="1265A86D">
      <w:pPr>
        <w:tabs>
          <w:tab w:val="left" w:pos="720"/>
        </w:tabs>
        <w:ind w:firstLine="640" w:firstLineChars="200"/>
        <w:rPr>
          <w:rFonts w:ascii="仿宋" w:hAnsi="仿宋" w:eastAsia="仿宋" w:cs="宋体"/>
          <w:color w:val="auto"/>
          <w:sz w:val="32"/>
          <w:szCs w:val="32"/>
        </w:rPr>
      </w:pPr>
      <w:r>
        <w:rPr>
          <w:rFonts w:ascii="仿宋" w:hAnsi="仿宋" w:eastAsia="仿宋" w:cs="宋体"/>
          <w:color w:val="auto"/>
          <w:sz w:val="32"/>
          <w:szCs w:val="32"/>
        </w:rPr>
        <w:t>5</w:t>
      </w:r>
      <w:r>
        <w:rPr>
          <w:rFonts w:hint="eastAsia" w:ascii="仿宋" w:hAnsi="仿宋" w:eastAsia="仿宋" w:cs="宋体"/>
          <w:color w:val="auto"/>
          <w:sz w:val="32"/>
          <w:szCs w:val="32"/>
        </w:rPr>
        <w:t>、中标人在约定的时间内未能弥补缺陷，采购人可采取必要的补救措施，但其风险和费用将由中标人承担，采购人根据合同规定对中标人行使的其他权利不受影响。</w:t>
      </w:r>
    </w:p>
    <w:p w14:paraId="1414A011">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6</w:t>
      </w:r>
      <w:r>
        <w:rPr>
          <w:rFonts w:ascii="仿宋" w:hAnsi="仿宋" w:eastAsia="仿宋" w:cs="宋体"/>
          <w:color w:val="auto"/>
          <w:sz w:val="32"/>
          <w:szCs w:val="32"/>
        </w:rPr>
        <w:t>、</w:t>
      </w:r>
      <w:r>
        <w:rPr>
          <w:rFonts w:hint="eastAsia" w:ascii="仿宋" w:hAnsi="仿宋" w:eastAsia="仿宋" w:cs="宋体"/>
          <w:color w:val="auto"/>
          <w:sz w:val="32"/>
          <w:szCs w:val="32"/>
        </w:rPr>
        <w:t>对于软件系统的缺陷或BUG的响应与修复，严格按照市级平台对开发单位的约定执行；</w:t>
      </w:r>
    </w:p>
    <w:p w14:paraId="6F80F1F3">
      <w:pPr>
        <w:tabs>
          <w:tab w:val="left" w:pos="720"/>
        </w:tabs>
        <w:ind w:firstLine="640" w:firstLineChars="200"/>
        <w:rPr>
          <w:rFonts w:ascii="仿宋" w:hAnsi="仿宋" w:eastAsia="仿宋" w:cs="宋体"/>
          <w:color w:val="auto"/>
          <w:sz w:val="32"/>
          <w:szCs w:val="32"/>
        </w:rPr>
      </w:pPr>
      <w:r>
        <w:rPr>
          <w:rFonts w:ascii="仿宋" w:hAnsi="仿宋" w:eastAsia="仿宋" w:cs="宋体"/>
          <w:color w:val="auto"/>
          <w:sz w:val="32"/>
          <w:szCs w:val="32"/>
        </w:rPr>
        <w:t>7</w:t>
      </w:r>
      <w:r>
        <w:rPr>
          <w:rFonts w:hint="eastAsia" w:ascii="仿宋" w:hAnsi="仿宋" w:eastAsia="仿宋" w:cs="宋体"/>
          <w:color w:val="auto"/>
          <w:sz w:val="32"/>
          <w:szCs w:val="32"/>
        </w:rPr>
        <w:t>、在保修期结束前，须由中标人工程师和采购人代表进行一次全面检查，任何缺陷必须由中标人负责修理，在修理之后，中标人应将缺陷原因、修理内容、完成修理及恢复正常的时间和日期等报告给用户。</w:t>
      </w:r>
    </w:p>
    <w:p w14:paraId="58DF2B36">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七、中标人与人员要求</w:t>
      </w:r>
    </w:p>
    <w:p w14:paraId="43A16239">
      <w:pPr>
        <w:tabs>
          <w:tab w:val="left" w:pos="720"/>
        </w:tabs>
        <w:ind w:firstLine="643" w:firstLineChars="200"/>
        <w:outlineLvl w:val="1"/>
        <w:rPr>
          <w:rFonts w:ascii="楷体" w:hAnsi="楷体" w:eastAsia="楷体" w:cs="宋体"/>
          <w:b/>
          <w:color w:val="auto"/>
          <w:sz w:val="32"/>
          <w:szCs w:val="32"/>
        </w:rPr>
      </w:pPr>
      <w:r>
        <w:rPr>
          <w:rFonts w:hint="eastAsia" w:ascii="楷体" w:hAnsi="楷体" w:eastAsia="楷体" w:cs="宋体"/>
          <w:b/>
          <w:color w:val="auto"/>
          <w:sz w:val="32"/>
          <w:szCs w:val="32"/>
        </w:rPr>
        <w:t>（一）中标人要求</w:t>
      </w:r>
    </w:p>
    <w:p w14:paraId="0CC092C6">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1、中标人具有企业认证体系、社会声誉、与本项目相关领域的企业资质、行业影响力、科研能力、技术研究中心建设等综合能力的优先考虑。</w:t>
      </w:r>
    </w:p>
    <w:p w14:paraId="345098A6">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w:t>
      </w:r>
      <w:bookmarkStart w:id="21" w:name="OLE_LINK6"/>
      <w:r>
        <w:rPr>
          <w:rFonts w:hint="eastAsia" w:ascii="仿宋" w:hAnsi="仿宋" w:eastAsia="仿宋" w:cs="宋体"/>
          <w:color w:val="auto"/>
          <w:sz w:val="32"/>
          <w:szCs w:val="32"/>
        </w:rPr>
        <w:t>中标人</w:t>
      </w:r>
      <w:bookmarkEnd w:id="21"/>
      <w:r>
        <w:rPr>
          <w:rFonts w:hint="eastAsia" w:ascii="仿宋" w:hAnsi="仿宋" w:eastAsia="仿宋" w:cs="宋体"/>
          <w:color w:val="auto"/>
          <w:sz w:val="32"/>
          <w:szCs w:val="32"/>
        </w:rPr>
        <w:t>具有建筑能耗平台、</w:t>
      </w:r>
      <w:r>
        <w:rPr>
          <w:rFonts w:ascii="仿宋" w:hAnsi="仿宋" w:eastAsia="仿宋" w:cs="宋体"/>
          <w:color w:val="auto"/>
          <w:sz w:val="32"/>
          <w:szCs w:val="32"/>
        </w:rPr>
        <w:t>建筑运行管理、建筑用能特征分析等与本项目所需专业技术相关的软件开发经验及技术成果</w:t>
      </w:r>
      <w:r>
        <w:rPr>
          <w:rFonts w:hint="eastAsia" w:ascii="仿宋" w:hAnsi="仿宋" w:eastAsia="仿宋" w:cs="宋体"/>
          <w:color w:val="auto"/>
          <w:sz w:val="32"/>
          <w:szCs w:val="32"/>
        </w:rPr>
        <w:t>的优先考虑。</w:t>
      </w:r>
    </w:p>
    <w:p w14:paraId="51B53ACF">
      <w:pPr>
        <w:tabs>
          <w:tab w:val="left" w:pos="720"/>
        </w:tabs>
        <w:ind w:firstLine="643" w:firstLineChars="200"/>
        <w:outlineLvl w:val="1"/>
        <w:rPr>
          <w:rFonts w:ascii="楷体" w:hAnsi="楷体" w:eastAsia="楷体" w:cs="宋体"/>
          <w:b/>
          <w:color w:val="auto"/>
          <w:sz w:val="32"/>
          <w:szCs w:val="32"/>
        </w:rPr>
      </w:pPr>
      <w:r>
        <w:rPr>
          <w:rFonts w:hint="eastAsia" w:ascii="楷体" w:hAnsi="楷体" w:eastAsia="楷体" w:cs="宋体"/>
          <w:b/>
          <w:color w:val="auto"/>
          <w:sz w:val="32"/>
          <w:szCs w:val="32"/>
        </w:rPr>
        <w:t>（二）人员要求</w:t>
      </w:r>
    </w:p>
    <w:p w14:paraId="0DD33FC7">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1、项目负责人应具备5年以上相关项目管理经验。</w:t>
      </w:r>
    </w:p>
    <w:p w14:paraId="481362CC">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2、项目负责人应具</w:t>
      </w:r>
      <w:bookmarkStart w:id="22" w:name="OLE_LINK4"/>
      <w:r>
        <w:rPr>
          <w:rFonts w:hint="eastAsia" w:ascii="仿宋" w:hAnsi="仿宋" w:eastAsia="仿宋" w:cs="宋体"/>
          <w:color w:val="auto"/>
          <w:sz w:val="32"/>
          <w:szCs w:val="32"/>
        </w:rPr>
        <w:t>由人社部颁发的专业技术职称证书或信息化领域项目管理相关证书</w:t>
      </w:r>
      <w:bookmarkEnd w:id="22"/>
      <w:r>
        <w:rPr>
          <w:rFonts w:hint="eastAsia" w:ascii="仿宋" w:hAnsi="仿宋" w:eastAsia="仿宋" w:cs="宋体"/>
          <w:color w:val="auto"/>
          <w:sz w:val="32"/>
          <w:szCs w:val="32"/>
        </w:rPr>
        <w:t>或工信部颁发的信息系统项目管理师。</w:t>
      </w:r>
    </w:p>
    <w:p w14:paraId="5A8852FC">
      <w:pPr>
        <w:tabs>
          <w:tab w:val="left" w:pos="720"/>
        </w:tabs>
        <w:ind w:firstLine="640" w:firstLineChars="200"/>
        <w:rPr>
          <w:color w:val="auto"/>
        </w:rPr>
      </w:pPr>
      <w:r>
        <w:rPr>
          <w:rFonts w:hint="eastAsia" w:ascii="仿宋" w:hAnsi="仿宋" w:eastAsia="仿宋" w:cs="宋体"/>
          <w:color w:val="auto"/>
          <w:sz w:val="32"/>
          <w:szCs w:val="32"/>
        </w:rPr>
        <w:t>3、安排专业团队，按需设置各类管理和技术人员，依据市级平台管理办法开展相关工作。</w:t>
      </w:r>
      <w:r>
        <w:rPr>
          <w:rFonts w:ascii="仿宋" w:hAnsi="仿宋" w:eastAsia="仿宋" w:cs="宋体"/>
          <w:color w:val="auto"/>
          <w:sz w:val="32"/>
          <w:szCs w:val="32"/>
        </w:rPr>
        <w:t>项目组人员配备数量充足、结构合理</w:t>
      </w:r>
      <w:r>
        <w:rPr>
          <w:rFonts w:hint="eastAsia" w:ascii="仿宋" w:hAnsi="仿宋" w:eastAsia="仿宋" w:cs="宋体"/>
          <w:color w:val="auto"/>
          <w:sz w:val="32"/>
          <w:szCs w:val="32"/>
        </w:rPr>
        <w:t>，取得相关职称或持有相应技能证书。</w:t>
      </w:r>
    </w:p>
    <w:p w14:paraId="3F0A86AC">
      <w:pPr>
        <w:tabs>
          <w:tab w:val="left" w:pos="720"/>
        </w:tabs>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项目团队人员配置要求如下：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126"/>
        <w:gridCol w:w="850"/>
        <w:gridCol w:w="2977"/>
        <w:gridCol w:w="901"/>
      </w:tblGrid>
      <w:tr w14:paraId="12E0E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43BF3944">
            <w:pPr>
              <w:widowControl/>
              <w:spacing w:line="400" w:lineRule="exact"/>
              <w:jc w:val="center"/>
              <w:rPr>
                <w:rFonts w:ascii="仿宋" w:hAnsi="仿宋" w:eastAsia="仿宋"/>
                <w:b/>
                <w:color w:val="auto"/>
                <w:sz w:val="28"/>
                <w:szCs w:val="28"/>
              </w:rPr>
            </w:pPr>
            <w:r>
              <w:rPr>
                <w:rFonts w:hint="eastAsia" w:ascii="仿宋" w:hAnsi="仿宋" w:eastAsia="仿宋"/>
                <w:b/>
                <w:color w:val="auto"/>
                <w:sz w:val="28"/>
                <w:szCs w:val="28"/>
              </w:rPr>
              <w:t>角色</w:t>
            </w:r>
          </w:p>
        </w:tc>
        <w:tc>
          <w:tcPr>
            <w:tcW w:w="2126" w:type="dxa"/>
            <w:noWrap/>
            <w:vAlign w:val="center"/>
          </w:tcPr>
          <w:p w14:paraId="3C06ED53">
            <w:pPr>
              <w:widowControl/>
              <w:spacing w:line="400" w:lineRule="exact"/>
              <w:jc w:val="center"/>
              <w:rPr>
                <w:rFonts w:ascii="仿宋" w:hAnsi="仿宋" w:eastAsia="仿宋"/>
                <w:b/>
                <w:color w:val="auto"/>
                <w:sz w:val="28"/>
                <w:szCs w:val="28"/>
              </w:rPr>
            </w:pPr>
            <w:r>
              <w:rPr>
                <w:rFonts w:hint="eastAsia" w:ascii="仿宋" w:hAnsi="仿宋" w:eastAsia="仿宋"/>
                <w:b/>
                <w:color w:val="auto"/>
                <w:sz w:val="28"/>
                <w:szCs w:val="28"/>
              </w:rPr>
              <w:t>主要职责</w:t>
            </w:r>
          </w:p>
        </w:tc>
        <w:tc>
          <w:tcPr>
            <w:tcW w:w="850" w:type="dxa"/>
            <w:noWrap/>
            <w:vAlign w:val="center"/>
          </w:tcPr>
          <w:p w14:paraId="1345F843">
            <w:pPr>
              <w:widowControl/>
              <w:spacing w:line="400" w:lineRule="exact"/>
              <w:jc w:val="center"/>
              <w:rPr>
                <w:rFonts w:ascii="仿宋" w:hAnsi="仿宋" w:eastAsia="仿宋"/>
                <w:b/>
                <w:color w:val="auto"/>
                <w:sz w:val="28"/>
                <w:szCs w:val="28"/>
              </w:rPr>
            </w:pPr>
            <w:r>
              <w:rPr>
                <w:rFonts w:hint="eastAsia" w:ascii="仿宋" w:hAnsi="仿宋" w:eastAsia="仿宋"/>
                <w:b/>
                <w:color w:val="auto"/>
                <w:sz w:val="28"/>
                <w:szCs w:val="28"/>
              </w:rPr>
              <w:t>人员数量</w:t>
            </w:r>
          </w:p>
        </w:tc>
        <w:tc>
          <w:tcPr>
            <w:tcW w:w="2977" w:type="dxa"/>
            <w:vAlign w:val="center"/>
          </w:tcPr>
          <w:p w14:paraId="7C469A95">
            <w:pPr>
              <w:widowControl/>
              <w:spacing w:line="400" w:lineRule="exact"/>
              <w:jc w:val="center"/>
              <w:rPr>
                <w:rFonts w:ascii="仿宋" w:hAnsi="仿宋" w:eastAsia="仿宋"/>
                <w:b/>
                <w:color w:val="auto"/>
                <w:sz w:val="28"/>
                <w:szCs w:val="28"/>
              </w:rPr>
            </w:pPr>
            <w:r>
              <w:rPr>
                <w:rFonts w:hint="eastAsia" w:ascii="仿宋" w:hAnsi="仿宋" w:eastAsia="仿宋"/>
                <w:b/>
                <w:color w:val="auto"/>
                <w:sz w:val="28"/>
                <w:szCs w:val="28"/>
              </w:rPr>
              <w:t>人员要求</w:t>
            </w:r>
          </w:p>
        </w:tc>
        <w:tc>
          <w:tcPr>
            <w:tcW w:w="901" w:type="dxa"/>
            <w:noWrap/>
            <w:vAlign w:val="center"/>
          </w:tcPr>
          <w:p w14:paraId="0175EFC4">
            <w:pPr>
              <w:widowControl/>
              <w:spacing w:line="400" w:lineRule="exact"/>
              <w:jc w:val="center"/>
              <w:rPr>
                <w:rFonts w:ascii="仿宋" w:hAnsi="仿宋" w:eastAsia="仿宋"/>
                <w:b/>
                <w:color w:val="auto"/>
                <w:sz w:val="28"/>
                <w:szCs w:val="28"/>
              </w:rPr>
            </w:pPr>
            <w:r>
              <w:rPr>
                <w:rFonts w:hint="eastAsia" w:ascii="仿宋" w:hAnsi="仿宋" w:eastAsia="仿宋"/>
                <w:b/>
                <w:color w:val="auto"/>
                <w:sz w:val="28"/>
                <w:szCs w:val="28"/>
              </w:rPr>
              <w:t>驻场要求</w:t>
            </w:r>
          </w:p>
        </w:tc>
      </w:tr>
      <w:tr w14:paraId="05B5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17792EDC">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项目负责人</w:t>
            </w:r>
          </w:p>
        </w:tc>
        <w:tc>
          <w:tcPr>
            <w:tcW w:w="2126" w:type="dxa"/>
            <w:vAlign w:val="center"/>
          </w:tcPr>
          <w:p w14:paraId="366D5865">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负责项目质量和整体进度控制、协调项目资源</w:t>
            </w:r>
          </w:p>
        </w:tc>
        <w:tc>
          <w:tcPr>
            <w:tcW w:w="850" w:type="dxa"/>
            <w:noWrap/>
            <w:vAlign w:val="center"/>
          </w:tcPr>
          <w:p w14:paraId="63833F07">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1人</w:t>
            </w:r>
          </w:p>
        </w:tc>
        <w:tc>
          <w:tcPr>
            <w:tcW w:w="2977" w:type="dxa"/>
            <w:vAlign w:val="center"/>
          </w:tcPr>
          <w:p w14:paraId="2F5F5423">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具备信息技术等相关专业之一，由人社部颁发的专业技术职称证书或信息系统项目管理师证书</w:t>
            </w:r>
            <w:r>
              <w:rPr>
                <w:rFonts w:hint="eastAsia" w:ascii="仿宋" w:hAnsi="仿宋" w:eastAsia="仿宋"/>
                <w:color w:val="auto"/>
                <w:sz w:val="28"/>
                <w:szCs w:val="28"/>
                <w:lang w:eastAsia="zh-CN"/>
              </w:rPr>
              <w:t>证书或人社局颁发的建筑节能高级以上职称，具有</w:t>
            </w:r>
            <w:r>
              <w:rPr>
                <w:rFonts w:hint="eastAsia" w:ascii="仿宋" w:hAnsi="仿宋" w:eastAsia="仿宋"/>
                <w:color w:val="auto"/>
                <w:sz w:val="28"/>
                <w:szCs w:val="28"/>
              </w:rPr>
              <w:t>相关专业</w:t>
            </w:r>
            <w:r>
              <w:rPr>
                <w:rFonts w:hint="eastAsia" w:ascii="仿宋" w:hAnsi="仿宋" w:eastAsia="仿宋"/>
                <w:color w:val="auto"/>
                <w:sz w:val="28"/>
                <w:szCs w:val="28"/>
                <w:lang w:eastAsia="zh-CN"/>
              </w:rPr>
              <w:t>硕士及以上</w:t>
            </w:r>
            <w:r>
              <w:rPr>
                <w:rFonts w:hint="eastAsia" w:ascii="仿宋" w:hAnsi="仿宋" w:eastAsia="仿宋"/>
                <w:color w:val="auto"/>
                <w:sz w:val="28"/>
                <w:szCs w:val="28"/>
              </w:rPr>
              <w:t>学历。</w:t>
            </w:r>
          </w:p>
        </w:tc>
        <w:tc>
          <w:tcPr>
            <w:tcW w:w="901" w:type="dxa"/>
            <w:noWrap/>
            <w:vAlign w:val="center"/>
          </w:tcPr>
          <w:p w14:paraId="74D2D778">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36A5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5E3DEE63">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技术负责人</w:t>
            </w:r>
          </w:p>
        </w:tc>
        <w:tc>
          <w:tcPr>
            <w:tcW w:w="2126" w:type="dxa"/>
            <w:vAlign w:val="center"/>
          </w:tcPr>
          <w:p w14:paraId="5311AD22">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负责项目需求技术评估、产品架 技术设计</w:t>
            </w:r>
          </w:p>
        </w:tc>
        <w:tc>
          <w:tcPr>
            <w:tcW w:w="850" w:type="dxa"/>
            <w:noWrap/>
            <w:vAlign w:val="center"/>
          </w:tcPr>
          <w:p w14:paraId="3586FBB6">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1人</w:t>
            </w:r>
          </w:p>
        </w:tc>
        <w:tc>
          <w:tcPr>
            <w:tcW w:w="2977" w:type="dxa"/>
            <w:vAlign w:val="center"/>
          </w:tcPr>
          <w:p w14:paraId="7834262E">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具备信息技术等相关专业之一，由人社部颁发的专业技术职称证书或相关专业学历。</w:t>
            </w:r>
          </w:p>
        </w:tc>
        <w:tc>
          <w:tcPr>
            <w:tcW w:w="901" w:type="dxa"/>
            <w:noWrap/>
            <w:vAlign w:val="center"/>
          </w:tcPr>
          <w:p w14:paraId="0EC776B0">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180C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37CAAFCB">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项目经理</w:t>
            </w:r>
          </w:p>
        </w:tc>
        <w:tc>
          <w:tcPr>
            <w:tcW w:w="2126" w:type="dxa"/>
            <w:noWrap/>
            <w:vAlign w:val="center"/>
          </w:tcPr>
          <w:p w14:paraId="70B5ABE0">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负责项目具体开发与实施推进</w:t>
            </w:r>
          </w:p>
        </w:tc>
        <w:tc>
          <w:tcPr>
            <w:tcW w:w="850" w:type="dxa"/>
            <w:noWrap/>
            <w:vAlign w:val="center"/>
          </w:tcPr>
          <w:p w14:paraId="297EE380">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1人</w:t>
            </w:r>
          </w:p>
        </w:tc>
        <w:tc>
          <w:tcPr>
            <w:tcW w:w="2977" w:type="dxa"/>
            <w:vAlign w:val="center"/>
          </w:tcPr>
          <w:p w14:paraId="763BA826">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具备信息技术或相关专业，由人社部颁发的专业技术职称证书或相关专业学历。</w:t>
            </w:r>
          </w:p>
        </w:tc>
        <w:tc>
          <w:tcPr>
            <w:tcW w:w="901" w:type="dxa"/>
            <w:noWrap/>
            <w:vAlign w:val="center"/>
          </w:tcPr>
          <w:p w14:paraId="6CE41A36">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19F6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7A11E3D1">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专家顾问</w:t>
            </w:r>
          </w:p>
        </w:tc>
        <w:tc>
          <w:tcPr>
            <w:tcW w:w="2126" w:type="dxa"/>
            <w:noWrap/>
            <w:vAlign w:val="center"/>
          </w:tcPr>
          <w:p w14:paraId="7CE7B240">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为项目提供专业技术及业务指导，参与重大需求、技术方案评审</w:t>
            </w:r>
          </w:p>
        </w:tc>
        <w:tc>
          <w:tcPr>
            <w:tcW w:w="850" w:type="dxa"/>
            <w:noWrap/>
            <w:vAlign w:val="center"/>
          </w:tcPr>
          <w:p w14:paraId="745E41CD">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2人</w:t>
            </w:r>
          </w:p>
        </w:tc>
        <w:tc>
          <w:tcPr>
            <w:tcW w:w="2977" w:type="dxa"/>
            <w:vAlign w:val="center"/>
          </w:tcPr>
          <w:p w14:paraId="066C743C">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具备建筑节能、绿色建筑或相关专业，由人社部颁发的专业技术职</w:t>
            </w:r>
            <w:r>
              <w:rPr>
                <w:rFonts w:hint="eastAsia" w:ascii="仿宋" w:hAnsi="仿宋" w:eastAsia="仿宋"/>
                <w:color w:val="auto"/>
                <w:sz w:val="28"/>
                <w:szCs w:val="28"/>
                <w:lang w:eastAsia="zh-CN"/>
              </w:rPr>
              <w:t>高级</w:t>
            </w:r>
            <w:r>
              <w:rPr>
                <w:rFonts w:hint="eastAsia" w:ascii="仿宋" w:hAnsi="仿宋" w:eastAsia="仿宋"/>
                <w:color w:val="auto"/>
                <w:sz w:val="28"/>
                <w:szCs w:val="28"/>
              </w:rPr>
              <w:t>称证书或咨询工程师证书或相关专业学历。</w:t>
            </w:r>
          </w:p>
        </w:tc>
        <w:tc>
          <w:tcPr>
            <w:tcW w:w="901" w:type="dxa"/>
            <w:noWrap/>
            <w:vAlign w:val="center"/>
          </w:tcPr>
          <w:p w14:paraId="2BA74319">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4BA8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0226461F">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需求分析主管</w:t>
            </w:r>
          </w:p>
        </w:tc>
        <w:tc>
          <w:tcPr>
            <w:tcW w:w="2126" w:type="dxa"/>
            <w:noWrap/>
            <w:vAlign w:val="center"/>
          </w:tcPr>
          <w:p w14:paraId="011A56DC">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统筹需求管理工作，开展需求调研、梳理、分析与确认</w:t>
            </w:r>
          </w:p>
        </w:tc>
        <w:tc>
          <w:tcPr>
            <w:tcW w:w="850" w:type="dxa"/>
            <w:noWrap/>
            <w:vAlign w:val="center"/>
          </w:tcPr>
          <w:p w14:paraId="233015BC">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1人</w:t>
            </w:r>
          </w:p>
        </w:tc>
        <w:tc>
          <w:tcPr>
            <w:tcW w:w="2977" w:type="dxa"/>
            <w:vAlign w:val="center"/>
          </w:tcPr>
          <w:p w14:paraId="0C151975">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具备建筑节能、绿色建筑或相关专业，由人社部颁发的专业技术</w:t>
            </w:r>
            <w:r>
              <w:rPr>
                <w:rFonts w:hint="eastAsia" w:ascii="仿宋" w:hAnsi="仿宋" w:eastAsia="仿宋"/>
                <w:color w:val="auto"/>
                <w:sz w:val="28"/>
                <w:szCs w:val="28"/>
                <w:lang w:eastAsia="zh-CN"/>
              </w:rPr>
              <w:t>高级</w:t>
            </w:r>
            <w:r>
              <w:rPr>
                <w:rFonts w:hint="eastAsia" w:ascii="仿宋" w:hAnsi="仿宋" w:eastAsia="仿宋"/>
                <w:color w:val="auto"/>
                <w:sz w:val="28"/>
                <w:szCs w:val="28"/>
              </w:rPr>
              <w:t>职称证书或咨询工程师证书或相关专业学历。</w:t>
            </w:r>
          </w:p>
        </w:tc>
        <w:tc>
          <w:tcPr>
            <w:tcW w:w="901" w:type="dxa"/>
            <w:noWrap/>
            <w:vAlign w:val="center"/>
          </w:tcPr>
          <w:p w14:paraId="51279E08">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0B43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57541318">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专项需求分析员</w:t>
            </w:r>
          </w:p>
        </w:tc>
        <w:tc>
          <w:tcPr>
            <w:tcW w:w="2126" w:type="dxa"/>
            <w:noWrap/>
            <w:vAlign w:val="center"/>
          </w:tcPr>
          <w:p w14:paraId="6F1C6C43">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负责展精细化需求调研、梳理，跟踪需求落地</w:t>
            </w:r>
          </w:p>
        </w:tc>
        <w:tc>
          <w:tcPr>
            <w:tcW w:w="850" w:type="dxa"/>
            <w:noWrap/>
            <w:vAlign w:val="center"/>
          </w:tcPr>
          <w:p w14:paraId="73AC91BB">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5人</w:t>
            </w:r>
          </w:p>
        </w:tc>
        <w:tc>
          <w:tcPr>
            <w:tcW w:w="2977" w:type="dxa"/>
            <w:vAlign w:val="center"/>
          </w:tcPr>
          <w:p w14:paraId="73441B26">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具备建筑节能、绿色建筑等相关专业之一的，由人社部颁发的专业技术</w:t>
            </w:r>
            <w:r>
              <w:rPr>
                <w:rFonts w:hint="eastAsia" w:ascii="仿宋" w:hAnsi="仿宋" w:eastAsia="仿宋"/>
                <w:color w:val="auto"/>
                <w:sz w:val="28"/>
                <w:szCs w:val="28"/>
                <w:lang w:eastAsia="zh-CN"/>
              </w:rPr>
              <w:t>高级</w:t>
            </w:r>
            <w:r>
              <w:rPr>
                <w:rFonts w:hint="eastAsia" w:ascii="仿宋" w:hAnsi="仿宋" w:eastAsia="仿宋"/>
                <w:color w:val="auto"/>
                <w:sz w:val="28"/>
                <w:szCs w:val="28"/>
              </w:rPr>
              <w:t>职称证书或咨询工程师证书或相关专业学历。</w:t>
            </w:r>
          </w:p>
        </w:tc>
        <w:tc>
          <w:tcPr>
            <w:tcW w:w="901" w:type="dxa"/>
            <w:noWrap/>
            <w:vAlign w:val="center"/>
          </w:tcPr>
          <w:p w14:paraId="14C7897C">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4E3B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08DEB49A">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软件开发主管</w:t>
            </w:r>
          </w:p>
        </w:tc>
        <w:tc>
          <w:tcPr>
            <w:tcW w:w="2126" w:type="dxa"/>
            <w:noWrap/>
            <w:vAlign w:val="center"/>
          </w:tcPr>
          <w:p w14:paraId="24FF85D5">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统筹开发团队工作，负责制定开发计划，分配开发任务，把控代码开发质量、开发进度</w:t>
            </w:r>
          </w:p>
        </w:tc>
        <w:tc>
          <w:tcPr>
            <w:tcW w:w="850" w:type="dxa"/>
            <w:noWrap/>
            <w:vAlign w:val="center"/>
          </w:tcPr>
          <w:p w14:paraId="4FEC87C6">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1人</w:t>
            </w:r>
          </w:p>
        </w:tc>
        <w:tc>
          <w:tcPr>
            <w:tcW w:w="2977" w:type="dxa"/>
            <w:vAlign w:val="center"/>
          </w:tcPr>
          <w:p w14:paraId="25BA4A4A">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具备信息技术等相关专业之一的，由人社部颁发的专业技术职称证书或相关专业学历。</w:t>
            </w:r>
          </w:p>
        </w:tc>
        <w:tc>
          <w:tcPr>
            <w:tcW w:w="901" w:type="dxa"/>
            <w:noWrap/>
            <w:vAlign w:val="center"/>
          </w:tcPr>
          <w:p w14:paraId="2C28064E">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39F7A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1C661B8F">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软件工程师</w:t>
            </w:r>
          </w:p>
        </w:tc>
        <w:tc>
          <w:tcPr>
            <w:tcW w:w="2126" w:type="dxa"/>
            <w:noWrap/>
            <w:vAlign w:val="center"/>
          </w:tcPr>
          <w:p w14:paraId="0442350E">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负责功能模块的代码开发、测试</w:t>
            </w:r>
          </w:p>
        </w:tc>
        <w:tc>
          <w:tcPr>
            <w:tcW w:w="850" w:type="dxa"/>
            <w:noWrap/>
            <w:vAlign w:val="center"/>
          </w:tcPr>
          <w:p w14:paraId="6CA6EC01">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10人</w:t>
            </w:r>
          </w:p>
        </w:tc>
        <w:tc>
          <w:tcPr>
            <w:tcW w:w="2977" w:type="dxa"/>
            <w:vAlign w:val="center"/>
          </w:tcPr>
          <w:p w14:paraId="3736E5CE">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具备三年以上软件开发工作经验。</w:t>
            </w:r>
          </w:p>
        </w:tc>
        <w:tc>
          <w:tcPr>
            <w:tcW w:w="901" w:type="dxa"/>
            <w:noWrap/>
            <w:vAlign w:val="center"/>
          </w:tcPr>
          <w:p w14:paraId="7B7F3921">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不驻场</w:t>
            </w:r>
          </w:p>
        </w:tc>
      </w:tr>
      <w:tr w14:paraId="30CE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8" w:type="dxa"/>
            <w:noWrap/>
            <w:vAlign w:val="center"/>
          </w:tcPr>
          <w:p w14:paraId="2E65D849">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项目运维工程师</w:t>
            </w:r>
          </w:p>
        </w:tc>
        <w:tc>
          <w:tcPr>
            <w:tcW w:w="2126" w:type="dxa"/>
            <w:noWrap/>
            <w:vAlign w:val="center"/>
          </w:tcPr>
          <w:p w14:paraId="15A82046">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负责系统部署及系统上线后的运行保障、故障排查</w:t>
            </w:r>
          </w:p>
        </w:tc>
        <w:tc>
          <w:tcPr>
            <w:tcW w:w="850" w:type="dxa"/>
            <w:noWrap/>
            <w:vAlign w:val="center"/>
          </w:tcPr>
          <w:p w14:paraId="0D5D1CBE">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2人</w:t>
            </w:r>
          </w:p>
        </w:tc>
        <w:tc>
          <w:tcPr>
            <w:tcW w:w="2977" w:type="dxa"/>
            <w:vAlign w:val="center"/>
          </w:tcPr>
          <w:p w14:paraId="63E58A72">
            <w:pPr>
              <w:widowControl/>
              <w:spacing w:line="400" w:lineRule="exact"/>
              <w:jc w:val="left"/>
              <w:rPr>
                <w:rFonts w:ascii="仿宋" w:hAnsi="仿宋" w:eastAsia="仿宋"/>
                <w:color w:val="auto"/>
                <w:sz w:val="28"/>
                <w:szCs w:val="28"/>
              </w:rPr>
            </w:pPr>
            <w:r>
              <w:rPr>
                <w:rFonts w:hint="eastAsia" w:ascii="仿宋" w:hAnsi="仿宋" w:eastAsia="仿宋"/>
                <w:color w:val="auto"/>
                <w:sz w:val="28"/>
                <w:szCs w:val="28"/>
              </w:rPr>
              <w:t>具备由人社部颁发的信息化专业中级专业技术职称证书或三年以上软件开发、运维工作经验</w:t>
            </w:r>
            <w:r>
              <w:rPr>
                <w:rFonts w:hint="eastAsia" w:ascii="仿宋" w:hAnsi="仿宋" w:eastAsia="仿宋" w:cs="宋体"/>
                <w:bCs/>
                <w:color w:val="auto"/>
                <w:sz w:val="28"/>
                <w:szCs w:val="28"/>
              </w:rPr>
              <w:t>。</w:t>
            </w:r>
          </w:p>
        </w:tc>
        <w:tc>
          <w:tcPr>
            <w:tcW w:w="901" w:type="dxa"/>
            <w:noWrap/>
            <w:vAlign w:val="center"/>
          </w:tcPr>
          <w:p w14:paraId="739F2188">
            <w:pPr>
              <w:widowControl/>
              <w:spacing w:line="400" w:lineRule="exact"/>
              <w:jc w:val="center"/>
              <w:rPr>
                <w:rFonts w:ascii="仿宋" w:hAnsi="仿宋" w:eastAsia="仿宋"/>
                <w:color w:val="auto"/>
                <w:sz w:val="28"/>
                <w:szCs w:val="28"/>
              </w:rPr>
            </w:pPr>
            <w:r>
              <w:rPr>
                <w:rFonts w:hint="eastAsia" w:ascii="仿宋" w:hAnsi="仿宋" w:eastAsia="仿宋"/>
                <w:color w:val="auto"/>
                <w:sz w:val="28"/>
                <w:szCs w:val="28"/>
              </w:rPr>
              <w:t>驻场</w:t>
            </w:r>
          </w:p>
        </w:tc>
      </w:tr>
    </w:tbl>
    <w:p w14:paraId="1949F005">
      <w:pPr>
        <w:tabs>
          <w:tab w:val="left" w:pos="720"/>
        </w:tabs>
        <w:ind w:firstLine="480" w:firstLineChars="200"/>
        <w:rPr>
          <w:color w:val="auto"/>
        </w:rPr>
      </w:pPr>
    </w:p>
    <w:p w14:paraId="67B4987F">
      <w:pPr>
        <w:pStyle w:val="35"/>
        <w:widowControl w:val="0"/>
        <w:spacing w:line="240" w:lineRule="auto"/>
        <w:ind w:firstLine="640"/>
        <w:rPr>
          <w:rFonts w:ascii="仿宋" w:hAnsi="仿宋" w:eastAsia="仿宋"/>
          <w:sz w:val="32"/>
          <w:szCs w:val="32"/>
        </w:rPr>
      </w:pPr>
      <w:r>
        <w:rPr>
          <w:rFonts w:hint="eastAsia" w:ascii="仿宋" w:hAnsi="仿宋" w:eastAsia="仿宋" w:cs="宋体"/>
          <w:sz w:val="32"/>
          <w:szCs w:val="32"/>
        </w:rPr>
        <w:t>4、中标人</w:t>
      </w:r>
      <w:r>
        <w:rPr>
          <w:rFonts w:hint="eastAsia" w:ascii="仿宋" w:hAnsi="仿宋" w:eastAsia="仿宋"/>
          <w:sz w:val="32"/>
          <w:szCs w:val="32"/>
        </w:rPr>
        <w:t>应保持项目团队稳定。未经用户方同意，项目总负责人及项目经理在项目整体验收前不得变更；项目实施全过程中，项目团队成员变更不得大于30%，且须经用户方同意。</w:t>
      </w:r>
    </w:p>
    <w:p w14:paraId="594ED7EE">
      <w:pPr>
        <w:ind w:firstLine="640" w:firstLineChars="200"/>
        <w:outlineLvl w:val="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八、企业实力要求</w:t>
      </w:r>
    </w:p>
    <w:p w14:paraId="4F9E1F7A">
      <w:pPr>
        <w:tabs>
          <w:tab w:val="left" w:pos="720"/>
          <w:tab w:val="left" w:pos="840"/>
        </w:tabs>
        <w:ind w:firstLine="640" w:firstLineChars="200"/>
        <w:outlineLvl w:val="1"/>
        <w:rPr>
          <w:rFonts w:hint="eastAsia" w:ascii="仿宋" w:hAnsi="仿宋" w:eastAsia="仿宋" w:cs="宋体"/>
          <w:color w:val="auto"/>
          <w:sz w:val="32"/>
          <w:szCs w:val="32"/>
          <w:lang w:eastAsia="zh-CN"/>
        </w:rPr>
      </w:pPr>
      <w:r>
        <w:rPr>
          <w:rFonts w:hint="eastAsia" w:ascii="仿宋" w:hAnsi="仿宋" w:eastAsia="仿宋" w:cs="宋体"/>
          <w:color w:val="auto"/>
          <w:sz w:val="32"/>
          <w:szCs w:val="32"/>
          <w:lang w:val="en-US" w:eastAsia="zh-CN"/>
        </w:rPr>
        <w:t>1、</w:t>
      </w:r>
      <w:r>
        <w:rPr>
          <w:rFonts w:hint="eastAsia" w:ascii="仿宋" w:hAnsi="仿宋" w:eastAsia="仿宋" w:cs="宋体"/>
          <w:color w:val="auto"/>
          <w:sz w:val="32"/>
          <w:szCs w:val="32"/>
          <w:lang w:eastAsia="zh-CN"/>
        </w:rPr>
        <w:t>开展过绿色建筑全过程监管（含能效/碳效分级管理）、公共建筑虚拟电厂、施工过程碳排放监管相关的咨询服务、课题研究、标准编制的经验的企业优先考虑</w:t>
      </w:r>
    </w:p>
    <w:p w14:paraId="1AC36403">
      <w:pPr>
        <w:tabs>
          <w:tab w:val="left" w:pos="720"/>
          <w:tab w:val="left" w:pos="840"/>
        </w:tabs>
        <w:ind w:firstLine="640" w:firstLineChars="200"/>
        <w:outlineLvl w:val="1"/>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2、承接过类似的政务信息系统项目的企业优先考虑</w:t>
      </w:r>
    </w:p>
    <w:p w14:paraId="452C7323">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lang w:eastAsia="zh-CN"/>
        </w:rPr>
        <w:t>九、</w:t>
      </w:r>
      <w:r>
        <w:rPr>
          <w:rFonts w:hint="eastAsia" w:ascii="黑体" w:hAnsi="黑体" w:eastAsia="黑体"/>
          <w:color w:val="auto"/>
          <w:sz w:val="32"/>
          <w:szCs w:val="32"/>
        </w:rPr>
        <w:t>建设周期要求</w:t>
      </w:r>
    </w:p>
    <w:p w14:paraId="04CA6A9F">
      <w:pPr>
        <w:ind w:firstLine="640" w:firstLineChars="200"/>
        <w:rPr>
          <w:rFonts w:ascii="仿宋" w:hAnsi="仿宋" w:eastAsia="仿宋"/>
          <w:color w:val="auto"/>
          <w:kern w:val="0"/>
          <w:sz w:val="32"/>
          <w:szCs w:val="32"/>
          <w:lang w:val="zh-CN" w:bidi="en-US"/>
        </w:rPr>
      </w:pPr>
      <w:r>
        <w:rPr>
          <w:rFonts w:hint="eastAsia" w:ascii="仿宋" w:hAnsi="仿宋" w:eastAsia="仿宋"/>
          <w:color w:val="auto"/>
          <w:kern w:val="0"/>
          <w:sz w:val="32"/>
          <w:szCs w:val="32"/>
          <w:lang w:val="zh-CN" w:bidi="en-US"/>
        </w:rPr>
        <w:t>本项目应自合同签订之日起1</w:t>
      </w:r>
      <w:r>
        <w:rPr>
          <w:rFonts w:hint="eastAsia" w:ascii="仿宋" w:hAnsi="仿宋" w:eastAsia="仿宋"/>
          <w:color w:val="auto"/>
          <w:kern w:val="0"/>
          <w:sz w:val="32"/>
          <w:szCs w:val="32"/>
          <w:lang w:bidi="en-US"/>
        </w:rPr>
        <w:t>6</w:t>
      </w:r>
      <w:r>
        <w:rPr>
          <w:rFonts w:hint="eastAsia" w:ascii="仿宋" w:hAnsi="仿宋" w:eastAsia="仿宋"/>
          <w:color w:val="auto"/>
          <w:kern w:val="0"/>
          <w:sz w:val="32"/>
          <w:szCs w:val="32"/>
          <w:lang w:val="zh-CN" w:bidi="en-US"/>
        </w:rPr>
        <w:t>个月内完成项目建设内容并通过验收，</w:t>
      </w:r>
    </w:p>
    <w:p w14:paraId="1DD595FF">
      <w:pPr>
        <w:ind w:firstLine="640" w:firstLineChars="200"/>
        <w:rPr>
          <w:rFonts w:ascii="仿宋" w:hAnsi="仿宋" w:eastAsia="仿宋"/>
          <w:color w:val="auto"/>
          <w:kern w:val="0"/>
          <w:sz w:val="32"/>
          <w:szCs w:val="32"/>
          <w:lang w:val="zh-CN" w:bidi="en-US"/>
        </w:rPr>
      </w:pPr>
      <w:r>
        <w:rPr>
          <w:rFonts w:hint="eastAsia" w:ascii="仿宋" w:hAnsi="仿宋" w:eastAsia="仿宋"/>
          <w:color w:val="auto"/>
          <w:kern w:val="0"/>
          <w:sz w:val="32"/>
          <w:szCs w:val="32"/>
          <w:lang w:val="zh-CN" w:bidi="en-US"/>
        </w:rPr>
        <w:t>合同签订后</w:t>
      </w:r>
      <w:r>
        <w:rPr>
          <w:rFonts w:hint="eastAsia" w:ascii="仿宋" w:hAnsi="仿宋" w:eastAsia="仿宋"/>
          <w:color w:val="auto"/>
          <w:kern w:val="0"/>
          <w:sz w:val="32"/>
          <w:szCs w:val="32"/>
          <w:lang w:bidi="en-US"/>
        </w:rPr>
        <w:t>5个月内完成</w:t>
      </w:r>
      <w:r>
        <w:rPr>
          <w:rFonts w:hint="eastAsia" w:ascii="仿宋" w:hAnsi="仿宋" w:eastAsia="仿宋"/>
          <w:color w:val="auto"/>
          <w:kern w:val="0"/>
          <w:sz w:val="32"/>
          <w:szCs w:val="32"/>
          <w:lang w:val="zh-CN" w:bidi="en-US"/>
        </w:rPr>
        <w:t>完成绿色建筑全过程监管、公共建筑虚拟电厂管理、建筑能碳智能体等3个功能模块的开发并通过中期验收。</w:t>
      </w:r>
    </w:p>
    <w:p w14:paraId="0E39AE7E">
      <w:pPr>
        <w:ind w:firstLine="640" w:firstLineChars="200"/>
        <w:rPr>
          <w:rFonts w:ascii="仿宋" w:hAnsi="仿宋" w:eastAsia="仿宋"/>
          <w:color w:val="auto"/>
          <w:kern w:val="0"/>
          <w:sz w:val="32"/>
          <w:szCs w:val="32"/>
          <w:lang w:val="zh-CN" w:bidi="en-US"/>
        </w:rPr>
      </w:pPr>
      <w:r>
        <w:rPr>
          <w:rFonts w:hint="eastAsia" w:ascii="仿宋" w:hAnsi="仿宋" w:eastAsia="仿宋"/>
          <w:color w:val="auto"/>
          <w:kern w:val="0"/>
          <w:sz w:val="32"/>
          <w:szCs w:val="32"/>
          <w:lang w:val="zh-CN" w:bidi="en-US"/>
        </w:rPr>
        <w:t>合同签订后1</w:t>
      </w:r>
      <w:r>
        <w:rPr>
          <w:rFonts w:hint="eastAsia" w:ascii="仿宋" w:hAnsi="仿宋" w:eastAsia="仿宋"/>
          <w:color w:val="auto"/>
          <w:kern w:val="0"/>
          <w:sz w:val="32"/>
          <w:szCs w:val="32"/>
          <w:lang w:bidi="en-US"/>
        </w:rPr>
        <w:t>3</w:t>
      </w:r>
      <w:r>
        <w:rPr>
          <w:rFonts w:hint="eastAsia" w:ascii="仿宋" w:hAnsi="仿宋" w:eastAsia="仿宋"/>
          <w:color w:val="auto"/>
          <w:kern w:val="0"/>
          <w:sz w:val="32"/>
          <w:szCs w:val="32"/>
          <w:lang w:val="zh-CN" w:bidi="en-US"/>
        </w:rPr>
        <w:t>个月内完成施工过程碳排放监管、</w:t>
      </w:r>
      <w:r>
        <w:rPr>
          <w:rFonts w:ascii="仿宋" w:hAnsi="仿宋" w:eastAsia="仿宋"/>
          <w:color w:val="auto"/>
          <w:kern w:val="0"/>
          <w:sz w:val="32"/>
          <w:szCs w:val="32"/>
          <w:lang w:val="zh-CN" w:bidi="en-US"/>
        </w:rPr>
        <w:t>CIM碳地图适配、</w:t>
      </w:r>
      <w:r>
        <w:rPr>
          <w:rFonts w:hint="eastAsia" w:ascii="仿宋" w:hAnsi="仿宋" w:eastAsia="仿宋"/>
          <w:color w:val="auto"/>
          <w:kern w:val="0"/>
          <w:sz w:val="32"/>
          <w:szCs w:val="32"/>
          <w:lang w:val="zh-CN" w:bidi="en-US"/>
        </w:rPr>
        <w:t>采用市级政务大模型底座</w:t>
      </w:r>
      <w:r>
        <w:rPr>
          <w:rFonts w:ascii="仿宋" w:hAnsi="仿宋" w:eastAsia="仿宋"/>
          <w:color w:val="auto"/>
          <w:kern w:val="0"/>
          <w:sz w:val="32"/>
          <w:szCs w:val="32"/>
          <w:lang w:val="zh-CN" w:bidi="en-US"/>
        </w:rPr>
        <w:t>MAP平台开展大模型建设、</w:t>
      </w:r>
      <w:r>
        <w:rPr>
          <w:rFonts w:hint="eastAsia" w:ascii="仿宋" w:hAnsi="仿宋" w:eastAsia="仿宋"/>
          <w:color w:val="auto"/>
          <w:kern w:val="0"/>
          <w:sz w:val="32"/>
          <w:szCs w:val="32"/>
          <w:lang w:val="zh-CN" w:bidi="en-US"/>
        </w:rPr>
        <w:t>接口建设、密码应用改造等功能模块的开发并通过预验收。</w:t>
      </w:r>
    </w:p>
    <w:p w14:paraId="0C9B5F3A">
      <w:pPr>
        <w:ind w:firstLine="640" w:firstLineChars="200"/>
        <w:rPr>
          <w:rFonts w:ascii="仿宋" w:hAnsi="仿宋" w:eastAsia="仿宋"/>
          <w:color w:val="auto"/>
          <w:kern w:val="0"/>
          <w:sz w:val="32"/>
          <w:szCs w:val="32"/>
          <w:lang w:val="zh-CN" w:bidi="en-US"/>
        </w:rPr>
      </w:pPr>
      <w:r>
        <w:rPr>
          <w:rFonts w:hint="eastAsia" w:ascii="仿宋" w:hAnsi="仿宋" w:eastAsia="仿宋"/>
          <w:color w:val="auto"/>
          <w:kern w:val="0"/>
          <w:sz w:val="32"/>
          <w:szCs w:val="32"/>
          <w:lang w:val="zh-CN" w:bidi="en-US"/>
        </w:rPr>
        <w:t>合同签订后的第14、15个月开展试运行、培训以及软件测评、安全测评、密码应用测评等。</w:t>
      </w:r>
    </w:p>
    <w:p w14:paraId="177C6900">
      <w:pPr>
        <w:ind w:firstLine="640" w:firstLineChars="200"/>
        <w:rPr>
          <w:rFonts w:ascii="仿宋" w:hAnsi="仿宋" w:eastAsia="仿宋"/>
          <w:color w:val="auto"/>
          <w:kern w:val="0"/>
          <w:sz w:val="32"/>
          <w:szCs w:val="32"/>
          <w:lang w:val="zh-CN" w:bidi="en-US"/>
        </w:rPr>
      </w:pPr>
      <w:r>
        <w:rPr>
          <w:rFonts w:hint="eastAsia" w:ascii="仿宋" w:hAnsi="仿宋" w:eastAsia="仿宋"/>
          <w:color w:val="auto"/>
          <w:kern w:val="0"/>
          <w:sz w:val="32"/>
          <w:szCs w:val="32"/>
          <w:lang w:val="zh-CN" w:bidi="en-US"/>
        </w:rPr>
        <w:t>合同签订后的第16个月开展竣工验收。</w:t>
      </w:r>
    </w:p>
    <w:p w14:paraId="249FD922">
      <w:pPr>
        <w:ind w:firstLine="640" w:firstLineChars="200"/>
        <w:outlineLvl w:val="0"/>
        <w:rPr>
          <w:rFonts w:ascii="黑体" w:hAnsi="黑体" w:eastAsia="黑体"/>
          <w:color w:val="auto"/>
          <w:sz w:val="32"/>
          <w:szCs w:val="32"/>
        </w:rPr>
      </w:pPr>
      <w:bookmarkStart w:id="23" w:name="_Toc165513783"/>
      <w:bookmarkStart w:id="24" w:name="_Toc225756016"/>
      <w:bookmarkStart w:id="25" w:name="_Toc230256488"/>
      <w:bookmarkStart w:id="26" w:name="_Toc101009882"/>
      <w:r>
        <w:rPr>
          <w:rFonts w:hint="eastAsia" w:ascii="黑体" w:hAnsi="黑体" w:eastAsia="黑体"/>
          <w:color w:val="auto"/>
          <w:sz w:val="32"/>
          <w:szCs w:val="32"/>
          <w:lang w:eastAsia="zh-CN"/>
        </w:rPr>
        <w:t>十</w:t>
      </w:r>
      <w:r>
        <w:rPr>
          <w:rFonts w:hint="eastAsia" w:ascii="黑体" w:hAnsi="黑体" w:eastAsia="黑体"/>
          <w:color w:val="auto"/>
          <w:sz w:val="32"/>
          <w:szCs w:val="32"/>
        </w:rPr>
        <w:t>、项目验收及培训要求</w:t>
      </w:r>
    </w:p>
    <w:p w14:paraId="73EDD249">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（一）项目中期验收</w:t>
      </w:r>
    </w:p>
    <w:p w14:paraId="3B8260A2">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项目承建单位完成</w:t>
      </w:r>
      <w:r>
        <w:rPr>
          <w:rFonts w:hint="eastAsia" w:ascii="仿宋" w:hAnsi="仿宋" w:eastAsia="仿宋"/>
          <w:sz w:val="32"/>
          <w:szCs w:val="32"/>
        </w:rPr>
        <w:t>绿色建筑全过程监管、公共建筑虚拟电厂管理、建筑能碳智能体等3个主要功能模块的开发及测试工作。</w:t>
      </w:r>
    </w:p>
    <w:p w14:paraId="0725F766">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（二）项目预验收</w:t>
      </w:r>
    </w:p>
    <w:p w14:paraId="736C8B40">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项目承建单位完成应用系统建设全部功能开发及单元测试和集成测试工作，提出预验收申请并准备相关预验收文档。</w:t>
      </w:r>
    </w:p>
    <w:p w14:paraId="5177583A">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预验收通过且预验收遗留问题已解决，项目承建单位提出系统具备正常运行条件，经监理单位确认后，通知建设单位系统试运行准备工作已完成，经建设单位批准后开展试运行及相关第三方测评工作。</w:t>
      </w:r>
    </w:p>
    <w:p w14:paraId="383AA64D">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（三）项目竣工验收</w:t>
      </w:r>
    </w:p>
    <w:p w14:paraId="496A4E15">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1、验收标准：采用专家验收会验收模式，由项目建设单位组织专家对项目进行验收；竣工验收之前应完成第三方安全测评、软件测试、密码应用测评，承建单位应根据测评结果和整改要求进行整改，提交整改结果，测评公司验证整改情况，直至测评结果最终符合验收要求。</w:t>
      </w:r>
    </w:p>
    <w:p w14:paraId="0F2E3B2A">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2、项目承建单位须</w:t>
      </w:r>
      <w:bookmarkStart w:id="27" w:name="OLE_LINK5"/>
      <w:bookmarkStart w:id="28" w:name="OLE_LINK7"/>
      <w:r>
        <w:rPr>
          <w:rFonts w:hint="eastAsia" w:ascii="仿宋" w:hAnsi="仿宋" w:eastAsia="仿宋" w:cs="宋体"/>
          <w:sz w:val="32"/>
          <w:szCs w:val="32"/>
        </w:rPr>
        <w:t>根据上海市市级数字化预算项目验收操作规程</w:t>
      </w:r>
      <w:bookmarkEnd w:id="27"/>
      <w:bookmarkEnd w:id="28"/>
      <w:r>
        <w:rPr>
          <w:rFonts w:hint="eastAsia" w:ascii="仿宋" w:hAnsi="仿宋" w:eastAsia="仿宋" w:cs="宋体"/>
          <w:sz w:val="32"/>
          <w:szCs w:val="32"/>
        </w:rPr>
        <w:t>，提供全套完善的资料文档，文档包括但不限于项目建设总结报告、方案预算、需求分析、设计说明书、测评报告、用户手册等。</w:t>
      </w:r>
    </w:p>
    <w:p w14:paraId="0B1EB243">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（四）培训要求</w:t>
      </w:r>
    </w:p>
    <w:p w14:paraId="108FBB1B">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1、提供对软件使用人员和管理人员的培训，培训内容包括软件的使用及维护培训，使受训者能够独立、熟练地完成系统运行维护与操作，实现依据本合同所规定的系统运行保障的目标。</w:t>
      </w:r>
    </w:p>
    <w:p w14:paraId="7263CF30">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2、为所有被培训人员提供培训用文字资料。</w:t>
      </w:r>
    </w:p>
    <w:p w14:paraId="6EDB5A5F">
      <w:pPr>
        <w:pStyle w:val="35"/>
        <w:widowControl w:val="0"/>
        <w:spacing w:line="240" w:lineRule="auto"/>
        <w:ind w:firstLine="640"/>
        <w:rPr>
          <w:rFonts w:ascii="仿宋" w:hAnsi="仿宋" w:eastAsia="仿宋" w:cs="宋体"/>
          <w:sz w:val="32"/>
          <w:szCs w:val="32"/>
        </w:rPr>
      </w:pPr>
      <w:r>
        <w:rPr>
          <w:rFonts w:hint="eastAsia" w:ascii="仿宋" w:hAnsi="仿宋" w:eastAsia="仿宋" w:cs="宋体"/>
          <w:sz w:val="32"/>
          <w:szCs w:val="32"/>
        </w:rPr>
        <w:t>3、培训时间与日期应在软件开发完毕后由采购人和中标人共同商定，并提供具体的培训方案。</w:t>
      </w:r>
    </w:p>
    <w:p w14:paraId="056A894A">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（五）审计要求</w:t>
      </w:r>
    </w:p>
    <w:p w14:paraId="5627A7E6">
      <w:pPr>
        <w:pStyle w:val="35"/>
        <w:widowControl w:val="0"/>
        <w:spacing w:line="240" w:lineRule="auto"/>
        <w:ind w:firstLine="640"/>
        <w:rPr>
          <w:rFonts w:ascii="仿宋" w:hAnsi="仿宋" w:eastAsia="仿宋" w:cs="宋体"/>
          <w:sz w:val="32"/>
          <w:szCs w:val="32"/>
        </w:rPr>
      </w:pPr>
      <w:r>
        <w:rPr>
          <w:rFonts w:ascii="仿宋" w:hAnsi="仿宋" w:eastAsia="仿宋" w:cs="宋体"/>
          <w:sz w:val="32"/>
          <w:szCs w:val="32"/>
        </w:rPr>
        <w:t>中标人应在项目竣工通过验收后</w:t>
      </w:r>
      <w:r>
        <w:rPr>
          <w:rFonts w:hint="eastAsia" w:ascii="仿宋" w:hAnsi="仿宋" w:eastAsia="仿宋" w:cs="宋体"/>
          <w:sz w:val="32"/>
          <w:szCs w:val="32"/>
        </w:rPr>
        <w:t>3个月内，向采购人提交项目专项审计报告。</w:t>
      </w:r>
    </w:p>
    <w:bookmarkEnd w:id="23"/>
    <w:bookmarkEnd w:id="24"/>
    <w:bookmarkEnd w:id="25"/>
    <w:bookmarkEnd w:id="26"/>
    <w:p w14:paraId="530DD39A">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十、其他</w:t>
      </w:r>
    </w:p>
    <w:p w14:paraId="3F0154FC">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（一）管理制度</w:t>
      </w:r>
    </w:p>
    <w:p w14:paraId="3F37532E">
      <w:pPr>
        <w:ind w:firstLine="640" w:firstLineChars="200"/>
        <w:rPr>
          <w:rFonts w:ascii="仿宋" w:hAnsi="仿宋" w:eastAsia="仿宋"/>
          <w:color w:val="auto"/>
          <w:sz w:val="32"/>
          <w:szCs w:val="32"/>
        </w:rPr>
      </w:pPr>
      <w:r>
        <w:rPr>
          <w:rFonts w:hint="eastAsia" w:ascii="仿宋" w:hAnsi="仿宋" w:eastAsia="仿宋"/>
          <w:color w:val="auto"/>
          <w:sz w:val="32"/>
          <w:szCs w:val="32"/>
        </w:rPr>
        <w:t>中标人应严格按照采购人制定的管理制度及管理流程开展本项目及后续相关工作。</w:t>
      </w:r>
    </w:p>
    <w:p w14:paraId="3BAE245A">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（二）系统布置</w:t>
      </w:r>
    </w:p>
    <w:p w14:paraId="11FE63DA">
      <w:pPr>
        <w:ind w:firstLine="640" w:firstLineChars="200"/>
        <w:rPr>
          <w:rFonts w:ascii="仿宋" w:hAnsi="仿宋" w:eastAsia="仿宋"/>
          <w:color w:val="auto"/>
          <w:sz w:val="32"/>
          <w:szCs w:val="32"/>
        </w:rPr>
      </w:pPr>
      <w:r>
        <w:rPr>
          <w:rFonts w:hint="eastAsia" w:ascii="仿宋" w:hAnsi="仿宋" w:eastAsia="仿宋"/>
          <w:color w:val="auto"/>
          <w:sz w:val="32"/>
          <w:szCs w:val="32"/>
        </w:rPr>
        <w:t>本项目系统</w:t>
      </w:r>
      <w:r>
        <w:rPr>
          <w:rFonts w:ascii="仿宋" w:hAnsi="仿宋" w:eastAsia="仿宋"/>
          <w:color w:val="auto"/>
          <w:sz w:val="32"/>
          <w:szCs w:val="32"/>
        </w:rPr>
        <w:t>部署</w:t>
      </w:r>
      <w:r>
        <w:rPr>
          <w:rFonts w:hint="eastAsia" w:ascii="仿宋" w:hAnsi="仿宋" w:eastAsia="仿宋"/>
          <w:color w:val="auto"/>
          <w:sz w:val="32"/>
          <w:szCs w:val="32"/>
        </w:rPr>
        <w:t>于</w:t>
      </w:r>
      <w:r>
        <w:rPr>
          <w:rFonts w:ascii="仿宋" w:hAnsi="仿宋" w:eastAsia="仿宋"/>
          <w:color w:val="auto"/>
          <w:sz w:val="32"/>
          <w:szCs w:val="32"/>
        </w:rPr>
        <w:t>上海市电子政务云上，</w:t>
      </w:r>
      <w:r>
        <w:rPr>
          <w:rFonts w:hint="eastAsia" w:ascii="仿宋" w:hAnsi="仿宋" w:eastAsia="仿宋"/>
          <w:color w:val="auto"/>
          <w:sz w:val="32"/>
          <w:szCs w:val="32"/>
        </w:rPr>
        <w:t>适配</w:t>
      </w:r>
      <w:r>
        <w:rPr>
          <w:rFonts w:ascii="仿宋" w:hAnsi="仿宋" w:eastAsia="仿宋"/>
          <w:color w:val="auto"/>
          <w:sz w:val="32"/>
          <w:szCs w:val="32"/>
        </w:rPr>
        <w:t>XC</w:t>
      </w:r>
      <w:r>
        <w:rPr>
          <w:rFonts w:hint="eastAsia" w:ascii="仿宋" w:hAnsi="仿宋" w:eastAsia="仿宋"/>
          <w:color w:val="auto"/>
          <w:sz w:val="32"/>
          <w:szCs w:val="32"/>
        </w:rPr>
        <w:t>环境。中标人如有展示等需求的，应与采购人协商，经双方协商一致后确定具体形式。</w:t>
      </w:r>
    </w:p>
    <w:p w14:paraId="63EEC9C8">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（三）数据保密</w:t>
      </w:r>
    </w:p>
    <w:p w14:paraId="7B8AB5AF">
      <w:pPr>
        <w:ind w:firstLine="640" w:firstLineChars="200"/>
        <w:rPr>
          <w:rFonts w:ascii="仿宋" w:hAnsi="仿宋" w:eastAsia="仿宋"/>
          <w:color w:val="auto"/>
          <w:sz w:val="32"/>
          <w:szCs w:val="32"/>
        </w:rPr>
      </w:pPr>
      <w:r>
        <w:rPr>
          <w:rFonts w:hint="eastAsia" w:ascii="仿宋" w:hAnsi="仿宋" w:eastAsia="仿宋"/>
          <w:color w:val="auto"/>
          <w:sz w:val="32"/>
          <w:szCs w:val="32"/>
        </w:rPr>
        <w:t>中标人对本项目所涉及的资料和相关数据负有保密义务，未经采购人同意，不得向任何单位或个人泄密，如泄密，应承担相应的法律和经济赔偿责任。</w:t>
      </w:r>
    </w:p>
    <w:p w14:paraId="59E80957">
      <w:pPr>
        <w:ind w:firstLine="643" w:firstLineChars="200"/>
        <w:outlineLvl w:val="1"/>
        <w:rPr>
          <w:rFonts w:ascii="楷体" w:hAnsi="楷体" w:eastAsia="楷体"/>
          <w:b/>
          <w:color w:val="auto"/>
          <w:sz w:val="32"/>
          <w:szCs w:val="32"/>
        </w:rPr>
      </w:pPr>
      <w:r>
        <w:rPr>
          <w:rFonts w:hint="eastAsia" w:ascii="楷体" w:hAnsi="楷体" w:eastAsia="楷体"/>
          <w:b/>
          <w:color w:val="auto"/>
          <w:sz w:val="32"/>
          <w:szCs w:val="32"/>
        </w:rPr>
        <w:t>（四）对外宣传</w:t>
      </w:r>
    </w:p>
    <w:p w14:paraId="4B705DD8">
      <w:pPr>
        <w:ind w:firstLine="640" w:firstLineChars="200"/>
        <w:rPr>
          <w:rFonts w:ascii="仿宋" w:hAnsi="仿宋" w:eastAsia="仿宋"/>
          <w:color w:val="auto"/>
          <w:sz w:val="32"/>
          <w:szCs w:val="32"/>
        </w:rPr>
      </w:pPr>
      <w:r>
        <w:rPr>
          <w:rFonts w:hint="eastAsia" w:ascii="仿宋" w:hAnsi="仿宋" w:eastAsia="仿宋"/>
          <w:color w:val="auto"/>
          <w:sz w:val="32"/>
          <w:szCs w:val="32"/>
        </w:rPr>
        <w:t>中标人完成本项目后，如有接待、展示等对外宣传需求的，应与采购人协商，经双方协商一致后确定具体接待、宣传形式。</w:t>
      </w:r>
    </w:p>
    <w:p w14:paraId="16F8FA52">
      <w:pPr>
        <w:ind w:firstLine="640" w:firstLineChars="200"/>
        <w:rPr>
          <w:rFonts w:ascii="仿宋" w:hAnsi="仿宋" w:eastAsia="仿宋"/>
          <w:color w:val="auto"/>
          <w:sz w:val="32"/>
          <w:szCs w:val="32"/>
        </w:rPr>
      </w:pPr>
      <w:r>
        <w:rPr>
          <w:rFonts w:hint="eastAsia" w:ascii="仿宋" w:hAnsi="仿宋" w:eastAsia="仿宋"/>
          <w:color w:val="auto"/>
          <w:sz w:val="32"/>
          <w:szCs w:val="32"/>
        </w:rPr>
        <w:t>基于该平台数据产生的相关研究结果，如需对外提供或发布，应征得采购人同意。</w:t>
      </w:r>
    </w:p>
    <w:p w14:paraId="79DB9AE9">
      <w:pPr>
        <w:ind w:firstLine="640" w:firstLineChars="200"/>
        <w:rPr>
          <w:rFonts w:ascii="仿宋" w:hAnsi="仿宋" w:eastAsia="仿宋"/>
          <w:color w:val="auto"/>
          <w:sz w:val="32"/>
          <w:szCs w:val="32"/>
        </w:rPr>
      </w:pPr>
    </w:p>
    <w:p w14:paraId="466C67CE">
      <w:pPr>
        <w:ind w:firstLine="640" w:firstLineChars="200"/>
        <w:rPr>
          <w:rFonts w:ascii="仿宋" w:hAnsi="仿宋" w:eastAsia="仿宋"/>
          <w:color w:val="auto"/>
          <w:sz w:val="32"/>
          <w:szCs w:val="32"/>
        </w:rPr>
      </w:pPr>
      <w:r>
        <w:rPr>
          <w:rFonts w:hint="eastAsia" w:ascii="仿宋" w:hAnsi="仿宋" w:eastAsia="仿宋"/>
          <w:color w:val="auto"/>
          <w:sz w:val="32"/>
          <w:szCs w:val="32"/>
        </w:rPr>
        <w:t>附件：分项报价参考格式</w:t>
      </w:r>
    </w:p>
    <w:p w14:paraId="2738BBEE">
      <w:pPr>
        <w:ind w:firstLine="640" w:firstLineChars="200"/>
        <w:rPr>
          <w:rFonts w:ascii="仿宋" w:hAnsi="仿宋" w:eastAsia="仿宋"/>
          <w:color w:val="auto"/>
          <w:sz w:val="32"/>
          <w:szCs w:val="32"/>
        </w:rPr>
      </w:pPr>
      <w:r>
        <w:rPr>
          <w:rFonts w:ascii="仿宋" w:hAnsi="仿宋" w:eastAsia="仿宋"/>
          <w:color w:val="auto"/>
          <w:sz w:val="32"/>
          <w:szCs w:val="32"/>
        </w:rPr>
        <w:br w:type="page"/>
      </w:r>
    </w:p>
    <w:p w14:paraId="36E27FBD">
      <w:pPr>
        <w:ind w:firstLine="640" w:firstLineChars="200"/>
        <w:rPr>
          <w:rFonts w:ascii="仿宋" w:hAnsi="仿宋" w:eastAsia="仿宋"/>
          <w:color w:val="auto"/>
          <w:sz w:val="32"/>
          <w:szCs w:val="32"/>
        </w:rPr>
      </w:pPr>
    </w:p>
    <w:p w14:paraId="22375999">
      <w:pPr>
        <w:jc w:val="center"/>
        <w:outlineLvl w:val="0"/>
        <w:rPr>
          <w:b/>
          <w:color w:val="auto"/>
          <w:sz w:val="36"/>
          <w:szCs w:val="36"/>
        </w:rPr>
      </w:pPr>
      <w:r>
        <w:rPr>
          <w:rFonts w:hint="eastAsia"/>
          <w:b/>
          <w:color w:val="auto"/>
          <w:sz w:val="36"/>
          <w:szCs w:val="36"/>
        </w:rPr>
        <w:t>分项报价参考格式</w:t>
      </w:r>
    </w:p>
    <w:p w14:paraId="200A280C">
      <w:pPr>
        <w:ind w:firstLine="640" w:firstLineChars="200"/>
        <w:rPr>
          <w:rFonts w:ascii="仿宋" w:hAnsi="仿宋" w:eastAsia="仿宋"/>
          <w:color w:val="auto"/>
          <w:sz w:val="32"/>
          <w:szCs w:val="32"/>
        </w:rPr>
      </w:pPr>
    </w:p>
    <w:p w14:paraId="4AFC6320">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一、报价规则</w:t>
      </w:r>
    </w:p>
    <w:p w14:paraId="5F753DBE">
      <w:pPr>
        <w:ind w:firstLine="640" w:firstLineChars="200"/>
        <w:rPr>
          <w:rFonts w:ascii="仿宋" w:hAnsi="仿宋" w:eastAsia="仿宋"/>
          <w:color w:val="auto"/>
          <w:sz w:val="32"/>
          <w:szCs w:val="32"/>
        </w:rPr>
      </w:pPr>
      <w:r>
        <w:rPr>
          <w:rFonts w:hint="eastAsia" w:ascii="仿宋" w:hAnsi="仿宋" w:eastAsia="仿宋"/>
          <w:color w:val="auto"/>
          <w:sz w:val="32"/>
          <w:szCs w:val="32"/>
        </w:rPr>
        <w:t>1、本项目按功能模块工作量及人工费计价。</w:t>
      </w:r>
    </w:p>
    <w:p w14:paraId="710DD21B">
      <w:pPr>
        <w:ind w:firstLine="640" w:firstLineChars="200"/>
        <w:rPr>
          <w:rFonts w:ascii="仿宋" w:hAnsi="仿宋" w:eastAsia="仿宋"/>
          <w:color w:val="auto"/>
          <w:sz w:val="32"/>
          <w:szCs w:val="32"/>
        </w:rPr>
      </w:pPr>
      <w:r>
        <w:rPr>
          <w:rFonts w:hint="eastAsia" w:ascii="仿宋" w:hAnsi="仿宋" w:eastAsia="仿宋"/>
          <w:color w:val="auto"/>
          <w:sz w:val="32"/>
          <w:szCs w:val="32"/>
        </w:rPr>
        <w:t>2、报价单位为：元/人月。</w:t>
      </w:r>
    </w:p>
    <w:p w14:paraId="43390C56">
      <w:pPr>
        <w:ind w:firstLine="640" w:firstLineChars="200"/>
        <w:outlineLvl w:val="0"/>
        <w:rPr>
          <w:rFonts w:ascii="黑体" w:hAnsi="黑体" w:eastAsia="黑体"/>
          <w:color w:val="auto"/>
          <w:sz w:val="32"/>
          <w:szCs w:val="32"/>
        </w:rPr>
      </w:pPr>
      <w:r>
        <w:rPr>
          <w:rFonts w:hint="eastAsia" w:ascii="黑体" w:hAnsi="黑体" w:eastAsia="黑体"/>
          <w:color w:val="auto"/>
          <w:sz w:val="32"/>
          <w:szCs w:val="32"/>
        </w:rPr>
        <w:t>二、功能模块明细</w:t>
      </w:r>
    </w:p>
    <w:p w14:paraId="26D5DEEA">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1、绿色建筑全过程监管绿色审查</w:t>
      </w:r>
    </w:p>
    <w:p w14:paraId="369461B0">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1.1 </w:t>
      </w:r>
      <w:bookmarkStart w:id="29" w:name="OLE_LINK3"/>
      <w:r>
        <w:rPr>
          <w:rFonts w:hint="eastAsia" w:ascii="仿宋" w:hAnsi="仿宋" w:eastAsia="仿宋"/>
          <w:color w:val="auto"/>
          <w:sz w:val="32"/>
          <w:szCs w:val="32"/>
        </w:rPr>
        <w:t>绿色审查</w:t>
      </w:r>
    </w:p>
    <w:p w14:paraId="6533FA12">
      <w:pPr>
        <w:ind w:firstLine="1120" w:firstLineChars="350"/>
        <w:rPr>
          <w:rFonts w:ascii="仿宋" w:hAnsi="仿宋" w:eastAsia="仿宋"/>
          <w:color w:val="auto"/>
          <w:sz w:val="32"/>
          <w:szCs w:val="32"/>
        </w:rPr>
      </w:pPr>
      <w:r>
        <w:rPr>
          <w:rFonts w:hint="eastAsia" w:ascii="仿宋" w:hAnsi="仿宋" w:eastAsia="仿宋"/>
          <w:color w:val="auto"/>
          <w:sz w:val="32"/>
          <w:szCs w:val="32"/>
        </w:rPr>
        <w:t>1.2 施工监管</w:t>
      </w:r>
    </w:p>
    <w:p w14:paraId="00BC67D6">
      <w:pPr>
        <w:ind w:firstLine="1120" w:firstLineChars="350"/>
        <w:rPr>
          <w:rFonts w:ascii="仿宋" w:hAnsi="仿宋" w:eastAsia="仿宋"/>
          <w:color w:val="auto"/>
          <w:sz w:val="32"/>
          <w:szCs w:val="32"/>
        </w:rPr>
      </w:pPr>
      <w:r>
        <w:rPr>
          <w:rFonts w:hint="eastAsia" w:ascii="仿宋" w:hAnsi="仿宋" w:eastAsia="仿宋"/>
          <w:color w:val="auto"/>
          <w:sz w:val="32"/>
          <w:szCs w:val="32"/>
        </w:rPr>
        <w:t>1.3 整改预警与跟踪</w:t>
      </w:r>
    </w:p>
    <w:p w14:paraId="3BF43422">
      <w:pPr>
        <w:ind w:firstLine="1120" w:firstLineChars="350"/>
        <w:rPr>
          <w:rFonts w:ascii="仿宋" w:hAnsi="仿宋" w:eastAsia="仿宋"/>
          <w:color w:val="auto"/>
          <w:sz w:val="32"/>
          <w:szCs w:val="32"/>
        </w:rPr>
      </w:pPr>
      <w:r>
        <w:rPr>
          <w:rFonts w:hint="eastAsia" w:ascii="仿宋" w:hAnsi="仿宋" w:eastAsia="仿宋"/>
          <w:color w:val="auto"/>
          <w:sz w:val="32"/>
          <w:szCs w:val="32"/>
        </w:rPr>
        <w:t>1.4 动态抽样检查</w:t>
      </w:r>
    </w:p>
    <w:p w14:paraId="6805857A">
      <w:pPr>
        <w:ind w:firstLine="1120" w:firstLineChars="350"/>
        <w:rPr>
          <w:rFonts w:ascii="仿宋" w:hAnsi="仿宋" w:eastAsia="仿宋"/>
          <w:color w:val="auto"/>
          <w:sz w:val="32"/>
          <w:szCs w:val="32"/>
        </w:rPr>
      </w:pPr>
      <w:r>
        <w:rPr>
          <w:rFonts w:hint="eastAsia" w:ascii="仿宋" w:hAnsi="仿宋" w:eastAsia="仿宋"/>
          <w:color w:val="auto"/>
          <w:sz w:val="32"/>
          <w:szCs w:val="32"/>
        </w:rPr>
        <w:t>1.5 验收核查</w:t>
      </w:r>
    </w:p>
    <w:p w14:paraId="6AF392B9">
      <w:pPr>
        <w:ind w:firstLine="1120" w:firstLineChars="350"/>
        <w:rPr>
          <w:rFonts w:ascii="仿宋" w:hAnsi="仿宋" w:eastAsia="仿宋"/>
          <w:color w:val="auto"/>
          <w:sz w:val="32"/>
          <w:szCs w:val="32"/>
        </w:rPr>
      </w:pPr>
      <w:r>
        <w:rPr>
          <w:rFonts w:hint="eastAsia" w:ascii="仿宋" w:hAnsi="仿宋" w:eastAsia="仿宋"/>
          <w:color w:val="auto"/>
          <w:sz w:val="32"/>
          <w:szCs w:val="32"/>
        </w:rPr>
        <w:t>1.6 运维管控</w:t>
      </w:r>
    </w:p>
    <w:p w14:paraId="62D71CFD">
      <w:pPr>
        <w:ind w:firstLine="1120" w:firstLineChars="350"/>
        <w:rPr>
          <w:rFonts w:ascii="仿宋" w:hAnsi="仿宋" w:eastAsia="仿宋"/>
          <w:color w:val="auto"/>
          <w:sz w:val="32"/>
          <w:szCs w:val="32"/>
        </w:rPr>
      </w:pPr>
      <w:r>
        <w:rPr>
          <w:rFonts w:hint="eastAsia" w:ascii="仿宋" w:hAnsi="仿宋" w:eastAsia="仿宋"/>
          <w:color w:val="auto"/>
          <w:sz w:val="32"/>
          <w:szCs w:val="32"/>
        </w:rPr>
        <w:t>1.7 绿建标识管理</w:t>
      </w:r>
    </w:p>
    <w:p w14:paraId="74F5BF0E">
      <w:pPr>
        <w:ind w:firstLine="1120" w:firstLineChars="350"/>
        <w:rPr>
          <w:rFonts w:ascii="仿宋" w:hAnsi="仿宋" w:eastAsia="仿宋"/>
          <w:color w:val="auto"/>
          <w:sz w:val="32"/>
          <w:szCs w:val="32"/>
        </w:rPr>
      </w:pPr>
      <w:r>
        <w:rPr>
          <w:rFonts w:hint="eastAsia" w:ascii="仿宋" w:hAnsi="仿宋" w:eastAsia="仿宋"/>
          <w:color w:val="auto"/>
          <w:sz w:val="32"/>
          <w:szCs w:val="32"/>
        </w:rPr>
        <w:t>1.8 能效分级管理</w:t>
      </w:r>
    </w:p>
    <w:p w14:paraId="25B45187">
      <w:pPr>
        <w:ind w:firstLine="1120" w:firstLineChars="350"/>
        <w:rPr>
          <w:rFonts w:ascii="仿宋" w:hAnsi="仿宋" w:eastAsia="仿宋"/>
          <w:color w:val="auto"/>
          <w:sz w:val="32"/>
          <w:szCs w:val="32"/>
        </w:rPr>
      </w:pPr>
      <w:r>
        <w:rPr>
          <w:rFonts w:hint="eastAsia" w:ascii="仿宋" w:hAnsi="仿宋" w:eastAsia="仿宋"/>
          <w:color w:val="auto"/>
          <w:sz w:val="32"/>
          <w:szCs w:val="32"/>
        </w:rPr>
        <w:t>1.9 绿建看板</w:t>
      </w:r>
    </w:p>
    <w:p w14:paraId="64B5DEA7">
      <w:pPr>
        <w:ind w:firstLine="1120" w:firstLineChars="350"/>
        <w:rPr>
          <w:rFonts w:ascii="仿宋" w:hAnsi="仿宋" w:eastAsia="仿宋"/>
          <w:color w:val="auto"/>
          <w:sz w:val="32"/>
          <w:szCs w:val="32"/>
        </w:rPr>
      </w:pPr>
      <w:r>
        <w:rPr>
          <w:rFonts w:hint="eastAsia" w:ascii="仿宋" w:hAnsi="仿宋" w:eastAsia="仿宋"/>
          <w:color w:val="auto"/>
          <w:sz w:val="32"/>
          <w:szCs w:val="32"/>
        </w:rPr>
        <w:t>1.10 外部系统对接</w:t>
      </w:r>
    </w:p>
    <w:p w14:paraId="6E58BEFC">
      <w:pPr>
        <w:ind w:firstLine="1120" w:firstLineChars="350"/>
        <w:rPr>
          <w:rFonts w:ascii="仿宋" w:hAnsi="仿宋" w:eastAsia="仿宋"/>
          <w:color w:val="auto"/>
          <w:sz w:val="32"/>
          <w:szCs w:val="32"/>
        </w:rPr>
      </w:pPr>
      <w:r>
        <w:rPr>
          <w:rFonts w:hint="eastAsia" w:ascii="仿宋" w:hAnsi="仿宋" w:eastAsia="仿宋"/>
          <w:color w:val="auto"/>
          <w:sz w:val="32"/>
          <w:szCs w:val="32"/>
        </w:rPr>
        <w:t>1.11 全市民用建筑建筑碳排放</w:t>
      </w:r>
    </w:p>
    <w:p w14:paraId="3F0DE281">
      <w:pPr>
        <w:ind w:firstLine="1120" w:firstLineChars="350"/>
        <w:rPr>
          <w:rFonts w:ascii="仿宋" w:hAnsi="仿宋" w:eastAsia="仿宋"/>
          <w:color w:val="auto"/>
          <w:sz w:val="32"/>
          <w:szCs w:val="32"/>
        </w:rPr>
      </w:pPr>
      <w:r>
        <w:rPr>
          <w:rFonts w:hint="eastAsia" w:ascii="仿宋" w:hAnsi="仿宋" w:eastAsia="仿宋"/>
          <w:color w:val="auto"/>
          <w:sz w:val="32"/>
          <w:szCs w:val="32"/>
        </w:rPr>
        <w:t>1.12 联网公共建筑碳排放分析</w:t>
      </w:r>
    </w:p>
    <w:p w14:paraId="0C662BF3">
      <w:pPr>
        <w:ind w:firstLine="1120" w:firstLineChars="350"/>
        <w:rPr>
          <w:rFonts w:ascii="仿宋" w:hAnsi="仿宋" w:eastAsia="仿宋"/>
          <w:color w:val="auto"/>
          <w:sz w:val="32"/>
          <w:szCs w:val="32"/>
        </w:rPr>
      </w:pPr>
      <w:r>
        <w:rPr>
          <w:rFonts w:hint="eastAsia" w:ascii="仿宋" w:hAnsi="仿宋" w:eastAsia="仿宋"/>
          <w:color w:val="auto"/>
          <w:sz w:val="32"/>
          <w:szCs w:val="32"/>
        </w:rPr>
        <w:t>1.13 单栋建筑能碳详情分析</w:t>
      </w:r>
    </w:p>
    <w:p w14:paraId="736B704C">
      <w:pPr>
        <w:ind w:firstLine="1120" w:firstLineChars="350"/>
        <w:rPr>
          <w:rFonts w:ascii="仿宋" w:hAnsi="仿宋" w:eastAsia="仿宋"/>
          <w:color w:val="auto"/>
          <w:sz w:val="32"/>
          <w:szCs w:val="32"/>
        </w:rPr>
      </w:pPr>
      <w:r>
        <w:rPr>
          <w:rFonts w:hint="eastAsia" w:ascii="仿宋" w:hAnsi="仿宋" w:eastAsia="仿宋"/>
          <w:color w:val="auto"/>
          <w:sz w:val="32"/>
          <w:szCs w:val="32"/>
        </w:rPr>
        <w:t>1.14 绿色建筑</w:t>
      </w:r>
    </w:p>
    <w:p w14:paraId="22527F32">
      <w:pPr>
        <w:ind w:firstLine="1120" w:firstLineChars="350"/>
        <w:rPr>
          <w:rFonts w:ascii="仿宋" w:hAnsi="仿宋" w:eastAsia="仿宋"/>
          <w:color w:val="auto"/>
          <w:sz w:val="32"/>
          <w:szCs w:val="32"/>
        </w:rPr>
      </w:pPr>
      <w:r>
        <w:rPr>
          <w:rFonts w:hint="eastAsia" w:ascii="仿宋" w:hAnsi="仿宋" w:eastAsia="仿宋"/>
          <w:color w:val="auto"/>
          <w:sz w:val="32"/>
          <w:szCs w:val="32"/>
        </w:rPr>
        <w:t>1.15 超低能耗建筑</w:t>
      </w:r>
    </w:p>
    <w:p w14:paraId="608CCB3B">
      <w:pPr>
        <w:ind w:firstLine="1120" w:firstLineChars="350"/>
        <w:rPr>
          <w:rFonts w:ascii="仿宋" w:hAnsi="仿宋" w:eastAsia="仿宋"/>
          <w:color w:val="auto"/>
          <w:sz w:val="32"/>
          <w:szCs w:val="32"/>
        </w:rPr>
      </w:pPr>
      <w:r>
        <w:rPr>
          <w:rFonts w:hint="eastAsia" w:ascii="仿宋" w:hAnsi="仿宋" w:eastAsia="仿宋"/>
          <w:color w:val="auto"/>
          <w:sz w:val="32"/>
          <w:szCs w:val="32"/>
        </w:rPr>
        <w:t>1.16 建筑工业化</w:t>
      </w:r>
    </w:p>
    <w:p w14:paraId="0DC6E01F">
      <w:pPr>
        <w:ind w:firstLine="1120" w:firstLineChars="350"/>
        <w:rPr>
          <w:rFonts w:ascii="仿宋" w:hAnsi="仿宋" w:eastAsia="仿宋"/>
          <w:color w:val="auto"/>
          <w:sz w:val="32"/>
          <w:szCs w:val="32"/>
        </w:rPr>
      </w:pPr>
      <w:r>
        <w:rPr>
          <w:rFonts w:hint="eastAsia" w:ascii="仿宋" w:hAnsi="仿宋" w:eastAsia="仿宋"/>
          <w:color w:val="auto"/>
          <w:sz w:val="32"/>
          <w:szCs w:val="32"/>
        </w:rPr>
        <w:t>1.17 绿色城区</w:t>
      </w:r>
    </w:p>
    <w:p w14:paraId="052DD83C">
      <w:pPr>
        <w:ind w:firstLine="1120" w:firstLineChars="350"/>
        <w:rPr>
          <w:rFonts w:ascii="仿宋" w:hAnsi="仿宋" w:eastAsia="仿宋"/>
          <w:color w:val="auto"/>
          <w:sz w:val="32"/>
          <w:szCs w:val="32"/>
        </w:rPr>
      </w:pPr>
      <w:r>
        <w:rPr>
          <w:rFonts w:hint="eastAsia" w:ascii="仿宋" w:hAnsi="仿宋" w:eastAsia="仿宋"/>
          <w:color w:val="auto"/>
          <w:sz w:val="32"/>
          <w:szCs w:val="32"/>
        </w:rPr>
        <w:t>1.18 低碳建造</w:t>
      </w:r>
    </w:p>
    <w:p w14:paraId="4CEBB4A3">
      <w:pPr>
        <w:ind w:firstLine="1120" w:firstLineChars="350"/>
        <w:rPr>
          <w:rFonts w:ascii="仿宋" w:hAnsi="仿宋" w:eastAsia="仿宋"/>
          <w:color w:val="auto"/>
          <w:sz w:val="32"/>
          <w:szCs w:val="32"/>
        </w:rPr>
      </w:pPr>
      <w:r>
        <w:rPr>
          <w:rFonts w:hint="eastAsia" w:ascii="仿宋" w:hAnsi="仿宋" w:eastAsia="仿宋"/>
          <w:color w:val="auto"/>
          <w:sz w:val="32"/>
          <w:szCs w:val="32"/>
        </w:rPr>
        <w:t>1.19 运行管理</w:t>
      </w:r>
    </w:p>
    <w:p w14:paraId="395B1374">
      <w:pPr>
        <w:ind w:firstLine="1120" w:firstLineChars="350"/>
        <w:rPr>
          <w:rFonts w:ascii="仿宋" w:hAnsi="仿宋" w:eastAsia="仿宋"/>
          <w:color w:val="auto"/>
          <w:sz w:val="32"/>
          <w:szCs w:val="32"/>
        </w:rPr>
      </w:pPr>
      <w:r>
        <w:rPr>
          <w:rFonts w:hint="eastAsia" w:ascii="仿宋" w:hAnsi="仿宋" w:eastAsia="仿宋"/>
          <w:color w:val="auto"/>
          <w:sz w:val="32"/>
          <w:szCs w:val="32"/>
        </w:rPr>
        <w:t>1.20 节能改造</w:t>
      </w:r>
    </w:p>
    <w:bookmarkEnd w:id="29"/>
    <w:p w14:paraId="512B5791">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2、公共建筑虚拟电厂管理</w:t>
      </w:r>
    </w:p>
    <w:p w14:paraId="368DEAC2">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2.1 </w:t>
      </w:r>
      <w:r>
        <w:rPr>
          <w:rFonts w:ascii="仿宋" w:hAnsi="仿宋" w:eastAsia="仿宋"/>
          <w:color w:val="auto"/>
          <w:sz w:val="32"/>
          <w:szCs w:val="32"/>
        </w:rPr>
        <w:t>信息看板</w:t>
      </w:r>
    </w:p>
    <w:p w14:paraId="77772E04">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2.2 </w:t>
      </w:r>
      <w:r>
        <w:rPr>
          <w:rFonts w:ascii="仿宋" w:hAnsi="仿宋" w:eastAsia="仿宋"/>
          <w:color w:val="auto"/>
          <w:sz w:val="32"/>
          <w:szCs w:val="32"/>
        </w:rPr>
        <w:t>资源数据管理</w:t>
      </w:r>
    </w:p>
    <w:p w14:paraId="0EE4E13F">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2.3 </w:t>
      </w:r>
      <w:r>
        <w:rPr>
          <w:rFonts w:ascii="仿宋" w:hAnsi="仿宋" w:eastAsia="仿宋"/>
          <w:color w:val="auto"/>
          <w:sz w:val="32"/>
          <w:szCs w:val="32"/>
        </w:rPr>
        <w:t>资源对象管理</w:t>
      </w:r>
    </w:p>
    <w:p w14:paraId="7A678E46">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2.4 </w:t>
      </w:r>
      <w:r>
        <w:rPr>
          <w:rFonts w:ascii="仿宋" w:hAnsi="仿宋" w:eastAsia="仿宋"/>
          <w:color w:val="auto"/>
          <w:sz w:val="32"/>
          <w:szCs w:val="32"/>
        </w:rPr>
        <w:t>可调容量评估</w:t>
      </w:r>
    </w:p>
    <w:p w14:paraId="3710B397">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2.5 </w:t>
      </w:r>
      <w:r>
        <w:rPr>
          <w:rFonts w:ascii="仿宋" w:hAnsi="仿宋" w:eastAsia="仿宋"/>
          <w:color w:val="auto"/>
          <w:sz w:val="32"/>
          <w:szCs w:val="32"/>
        </w:rPr>
        <w:t>负荷预测</w:t>
      </w:r>
    </w:p>
    <w:p w14:paraId="0DF33EE9">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2.6 </w:t>
      </w:r>
      <w:r>
        <w:rPr>
          <w:rFonts w:ascii="仿宋" w:hAnsi="仿宋" w:eastAsia="仿宋"/>
          <w:color w:val="auto"/>
          <w:sz w:val="32"/>
          <w:szCs w:val="32"/>
        </w:rPr>
        <w:t>策略推优</w:t>
      </w:r>
    </w:p>
    <w:p w14:paraId="17F3B0A0">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2.7 </w:t>
      </w:r>
      <w:r>
        <w:rPr>
          <w:rFonts w:ascii="仿宋" w:hAnsi="仿宋" w:eastAsia="仿宋"/>
          <w:color w:val="auto"/>
          <w:sz w:val="32"/>
          <w:szCs w:val="32"/>
        </w:rPr>
        <w:t>响应结果汇总与分析</w:t>
      </w:r>
    </w:p>
    <w:p w14:paraId="094CC31F">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2.8 </w:t>
      </w:r>
      <w:r>
        <w:rPr>
          <w:rFonts w:ascii="仿宋" w:hAnsi="仿宋" w:eastAsia="仿宋"/>
          <w:color w:val="auto"/>
          <w:sz w:val="32"/>
          <w:szCs w:val="32"/>
        </w:rPr>
        <w:t>响应资源类型分析</w:t>
      </w:r>
    </w:p>
    <w:p w14:paraId="2BF5A76F">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2.9 </w:t>
      </w:r>
      <w:r>
        <w:rPr>
          <w:rFonts w:ascii="仿宋" w:hAnsi="仿宋" w:eastAsia="仿宋"/>
          <w:color w:val="auto"/>
          <w:sz w:val="32"/>
          <w:szCs w:val="32"/>
        </w:rPr>
        <w:t>虚拟电厂综合态势与决策可视化分析展示</w:t>
      </w:r>
    </w:p>
    <w:p w14:paraId="15F04729">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3、施工过程碳排放监管</w:t>
      </w:r>
      <w:r>
        <w:rPr>
          <w:rFonts w:ascii="仿宋" w:hAnsi="仿宋" w:eastAsia="仿宋"/>
          <w:b/>
          <w:color w:val="auto"/>
          <w:sz w:val="32"/>
          <w:szCs w:val="32"/>
        </w:rPr>
        <w:tab/>
      </w:r>
    </w:p>
    <w:p w14:paraId="7786416E">
      <w:pPr>
        <w:ind w:firstLine="1120" w:firstLineChars="350"/>
        <w:rPr>
          <w:rFonts w:ascii="仿宋" w:hAnsi="仿宋" w:eastAsia="仿宋"/>
          <w:color w:val="auto"/>
          <w:sz w:val="32"/>
          <w:szCs w:val="32"/>
        </w:rPr>
      </w:pPr>
      <w:r>
        <w:rPr>
          <w:rFonts w:hint="eastAsia" w:ascii="仿宋" w:hAnsi="仿宋" w:eastAsia="仿宋"/>
          <w:color w:val="auto"/>
          <w:sz w:val="32"/>
          <w:szCs w:val="32"/>
        </w:rPr>
        <w:t>3.1 数据填报</w:t>
      </w:r>
    </w:p>
    <w:p w14:paraId="7C166CFB">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3.2 </w:t>
      </w:r>
      <w:r>
        <w:rPr>
          <w:rFonts w:ascii="仿宋" w:hAnsi="仿宋" w:eastAsia="仿宋"/>
          <w:color w:val="auto"/>
          <w:sz w:val="32"/>
          <w:szCs w:val="32"/>
        </w:rPr>
        <w:t>碳排计算</w:t>
      </w:r>
    </w:p>
    <w:p w14:paraId="79A5810E">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3.3 </w:t>
      </w:r>
      <w:r>
        <w:rPr>
          <w:rFonts w:ascii="仿宋" w:hAnsi="仿宋" w:eastAsia="仿宋"/>
          <w:color w:val="auto"/>
          <w:sz w:val="32"/>
          <w:szCs w:val="32"/>
        </w:rPr>
        <w:t>统计分析</w:t>
      </w:r>
    </w:p>
    <w:p w14:paraId="3E8151B2">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3.4 </w:t>
      </w:r>
      <w:r>
        <w:rPr>
          <w:rFonts w:ascii="仿宋" w:hAnsi="仿宋" w:eastAsia="仿宋"/>
          <w:color w:val="auto"/>
          <w:sz w:val="32"/>
          <w:szCs w:val="32"/>
        </w:rPr>
        <w:t>减碳措施管理</w:t>
      </w:r>
    </w:p>
    <w:p w14:paraId="3CFEEFA5">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3.5 </w:t>
      </w:r>
      <w:r>
        <w:rPr>
          <w:rFonts w:ascii="仿宋" w:hAnsi="仿宋" w:eastAsia="仿宋"/>
          <w:color w:val="auto"/>
          <w:sz w:val="32"/>
          <w:szCs w:val="32"/>
        </w:rPr>
        <w:t>看板展示</w:t>
      </w:r>
    </w:p>
    <w:p w14:paraId="7AC41B1B">
      <w:pPr>
        <w:ind w:firstLine="643" w:firstLineChars="200"/>
        <w:outlineLvl w:val="1"/>
        <w:rPr>
          <w:rFonts w:ascii="仿宋" w:hAnsi="仿宋" w:eastAsia="仿宋"/>
          <w:b/>
          <w:color w:val="auto"/>
          <w:sz w:val="32"/>
          <w:szCs w:val="32"/>
        </w:rPr>
      </w:pPr>
      <w:r>
        <w:rPr>
          <w:rFonts w:hint="eastAsia" w:ascii="仿宋" w:hAnsi="仿宋" w:eastAsia="仿宋"/>
          <w:b/>
          <w:color w:val="auto"/>
          <w:sz w:val="32"/>
          <w:szCs w:val="32"/>
        </w:rPr>
        <w:t>4、建筑能碳智能体</w:t>
      </w:r>
    </w:p>
    <w:p w14:paraId="4505A6CA">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4.1 </w:t>
      </w:r>
      <w:r>
        <w:rPr>
          <w:rFonts w:ascii="仿宋" w:hAnsi="仿宋" w:eastAsia="仿宋"/>
          <w:color w:val="auto"/>
          <w:sz w:val="32"/>
          <w:szCs w:val="32"/>
        </w:rPr>
        <w:t>动态能效分级评估</w:t>
      </w:r>
    </w:p>
    <w:p w14:paraId="1E9404A4">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4.2 </w:t>
      </w:r>
      <w:r>
        <w:rPr>
          <w:rFonts w:ascii="仿宋" w:hAnsi="仿宋" w:eastAsia="仿宋"/>
          <w:color w:val="auto"/>
          <w:sz w:val="32"/>
          <w:szCs w:val="32"/>
        </w:rPr>
        <w:t>全局性节能优化建议</w:t>
      </w:r>
    </w:p>
    <w:p w14:paraId="75052B88">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4.3 </w:t>
      </w:r>
      <w:r>
        <w:rPr>
          <w:rFonts w:ascii="仿宋" w:hAnsi="仿宋" w:eastAsia="仿宋"/>
          <w:color w:val="auto"/>
          <w:sz w:val="32"/>
          <w:szCs w:val="32"/>
        </w:rPr>
        <w:t>低碳改造决策支持</w:t>
      </w:r>
    </w:p>
    <w:p w14:paraId="2FA26FF8">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4.4 </w:t>
      </w:r>
      <w:r>
        <w:rPr>
          <w:rFonts w:ascii="仿宋" w:hAnsi="仿宋" w:eastAsia="仿宋"/>
          <w:color w:val="auto"/>
          <w:sz w:val="32"/>
          <w:szCs w:val="32"/>
        </w:rPr>
        <w:t>城市能碳智能管理</w:t>
      </w:r>
    </w:p>
    <w:p w14:paraId="43DEEA3D">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4.5 </w:t>
      </w:r>
      <w:r>
        <w:rPr>
          <w:rFonts w:ascii="仿宋" w:hAnsi="仿宋" w:eastAsia="仿宋"/>
          <w:color w:val="auto"/>
          <w:sz w:val="32"/>
          <w:szCs w:val="32"/>
        </w:rPr>
        <w:t>建筑能碳专业知识库</w:t>
      </w:r>
    </w:p>
    <w:p w14:paraId="5A195857">
      <w:pPr>
        <w:ind w:firstLine="1120" w:firstLineChars="350"/>
        <w:rPr>
          <w:rFonts w:ascii="仿宋" w:hAnsi="仿宋" w:eastAsia="仿宋"/>
          <w:color w:val="auto"/>
          <w:sz w:val="32"/>
          <w:szCs w:val="32"/>
        </w:rPr>
      </w:pPr>
      <w:r>
        <w:rPr>
          <w:rFonts w:hint="eastAsia" w:ascii="仿宋" w:hAnsi="仿宋" w:eastAsia="仿宋"/>
          <w:color w:val="auto"/>
          <w:sz w:val="32"/>
          <w:szCs w:val="32"/>
        </w:rPr>
        <w:t>4.6 服务器虚拟机设备日志</w:t>
      </w:r>
      <w:r>
        <w:rPr>
          <w:rFonts w:ascii="仿宋" w:hAnsi="仿宋" w:eastAsia="仿宋"/>
          <w:color w:val="auto"/>
          <w:sz w:val="32"/>
          <w:szCs w:val="32"/>
        </w:rPr>
        <w:t>/访问控制信息完整性模块</w:t>
      </w:r>
    </w:p>
    <w:p w14:paraId="2648ED77">
      <w:pPr>
        <w:ind w:firstLine="1120" w:firstLineChars="350"/>
        <w:rPr>
          <w:rFonts w:ascii="仿宋" w:hAnsi="仿宋" w:eastAsia="仿宋"/>
          <w:color w:val="auto"/>
          <w:sz w:val="32"/>
          <w:szCs w:val="32"/>
        </w:rPr>
      </w:pPr>
      <w:r>
        <w:rPr>
          <w:rFonts w:hint="eastAsia" w:ascii="仿宋" w:hAnsi="仿宋" w:eastAsia="仿宋"/>
          <w:color w:val="auto"/>
          <w:sz w:val="32"/>
          <w:szCs w:val="32"/>
        </w:rPr>
        <w:t>4.7 重要可执行程序签名验签模块</w:t>
      </w:r>
    </w:p>
    <w:p w14:paraId="58F530A1">
      <w:pPr>
        <w:ind w:firstLine="1120" w:firstLineChars="350"/>
        <w:rPr>
          <w:rFonts w:ascii="仿宋" w:hAnsi="仿宋" w:eastAsia="仿宋"/>
          <w:color w:val="auto"/>
          <w:sz w:val="32"/>
          <w:szCs w:val="32"/>
        </w:rPr>
      </w:pPr>
      <w:r>
        <w:rPr>
          <w:rFonts w:hint="eastAsia" w:ascii="仿宋" w:hAnsi="仿宋" w:eastAsia="仿宋"/>
          <w:color w:val="auto"/>
          <w:sz w:val="32"/>
          <w:szCs w:val="32"/>
        </w:rPr>
        <w:t>4.8 应用系统重要数据加解密模块</w:t>
      </w:r>
    </w:p>
    <w:p w14:paraId="65BC6D4C">
      <w:pPr>
        <w:ind w:firstLine="1120" w:firstLineChars="350"/>
        <w:rPr>
          <w:rFonts w:ascii="仿宋" w:hAnsi="仿宋" w:eastAsia="仿宋"/>
          <w:color w:val="auto"/>
          <w:sz w:val="32"/>
          <w:szCs w:val="32"/>
        </w:rPr>
      </w:pPr>
      <w:r>
        <w:rPr>
          <w:rFonts w:hint="eastAsia" w:ascii="仿宋" w:hAnsi="仿宋" w:eastAsia="仿宋"/>
          <w:color w:val="auto"/>
          <w:sz w:val="32"/>
          <w:szCs w:val="32"/>
        </w:rPr>
        <w:t>4.9 应用系统重要数据签名验签模块</w:t>
      </w:r>
    </w:p>
    <w:p w14:paraId="27CBEB54">
      <w:pPr>
        <w:ind w:firstLine="643" w:firstLineChars="200"/>
        <w:outlineLvl w:val="1"/>
        <w:rPr>
          <w:rFonts w:ascii="仿宋" w:hAnsi="仿宋" w:eastAsia="仿宋"/>
          <w:b/>
          <w:color w:val="auto"/>
          <w:sz w:val="32"/>
          <w:szCs w:val="32"/>
        </w:rPr>
      </w:pPr>
      <w:r>
        <w:rPr>
          <w:rFonts w:ascii="仿宋" w:hAnsi="仿宋" w:eastAsia="仿宋"/>
          <w:b/>
          <w:color w:val="auto"/>
          <w:sz w:val="32"/>
          <w:szCs w:val="32"/>
        </w:rPr>
        <w:t>5、CIM碳地图适配</w:t>
      </w:r>
    </w:p>
    <w:p w14:paraId="7E4D5EF1">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5.1 </w:t>
      </w:r>
      <w:r>
        <w:rPr>
          <w:rFonts w:ascii="仿宋" w:hAnsi="仿宋" w:eastAsia="仿宋"/>
          <w:color w:val="auto"/>
          <w:sz w:val="32"/>
          <w:szCs w:val="32"/>
        </w:rPr>
        <w:t>CIM地图引擎服务集成适配</w:t>
      </w:r>
    </w:p>
    <w:p w14:paraId="1DF3FB3E">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5.2 </w:t>
      </w:r>
      <w:r>
        <w:rPr>
          <w:rFonts w:ascii="仿宋" w:hAnsi="仿宋" w:eastAsia="仿宋"/>
          <w:color w:val="auto"/>
          <w:sz w:val="32"/>
          <w:szCs w:val="32"/>
        </w:rPr>
        <w:t>CIM地图定制化适配</w:t>
      </w:r>
    </w:p>
    <w:p w14:paraId="0CA5A11D">
      <w:pPr>
        <w:ind w:firstLine="1120" w:firstLineChars="350"/>
        <w:rPr>
          <w:rFonts w:ascii="仿宋" w:hAnsi="仿宋" w:eastAsia="仿宋"/>
          <w:color w:val="auto"/>
          <w:sz w:val="32"/>
          <w:szCs w:val="32"/>
        </w:rPr>
      </w:pPr>
      <w:r>
        <w:rPr>
          <w:rFonts w:hint="eastAsia" w:ascii="仿宋" w:hAnsi="仿宋" w:eastAsia="仿宋"/>
          <w:color w:val="auto"/>
          <w:sz w:val="32"/>
          <w:szCs w:val="32"/>
        </w:rPr>
        <w:t xml:space="preserve">5.3 </w:t>
      </w:r>
      <w:r>
        <w:rPr>
          <w:rFonts w:ascii="仿宋" w:hAnsi="仿宋" w:eastAsia="仿宋"/>
          <w:color w:val="auto"/>
          <w:sz w:val="32"/>
          <w:szCs w:val="32"/>
        </w:rPr>
        <w:t>CIM地图碳场景适配应用</w:t>
      </w:r>
    </w:p>
    <w:p w14:paraId="4DCD004D">
      <w:pPr>
        <w:ind w:firstLine="643" w:firstLineChars="200"/>
        <w:outlineLvl w:val="1"/>
        <w:rPr>
          <w:rFonts w:ascii="仿宋" w:hAnsi="仿宋" w:eastAsia="仿宋"/>
          <w:b/>
          <w:color w:val="auto"/>
          <w:sz w:val="32"/>
          <w:szCs w:val="32"/>
        </w:rPr>
      </w:pPr>
      <w:r>
        <w:rPr>
          <w:rFonts w:ascii="仿宋" w:hAnsi="仿宋" w:eastAsia="仿宋"/>
          <w:b/>
          <w:color w:val="auto"/>
          <w:sz w:val="32"/>
          <w:szCs w:val="32"/>
        </w:rPr>
        <w:t>6、采用市级政务大模型底座MAP平台开展大模型建设</w:t>
      </w:r>
    </w:p>
    <w:p w14:paraId="2E016CF4">
      <w:pPr>
        <w:ind w:firstLine="1120" w:firstLineChars="350"/>
        <w:rPr>
          <w:rFonts w:ascii="仿宋" w:hAnsi="仿宋" w:eastAsia="仿宋"/>
          <w:color w:val="auto"/>
          <w:sz w:val="32"/>
          <w:szCs w:val="32"/>
        </w:rPr>
      </w:pPr>
      <w:r>
        <w:rPr>
          <w:rFonts w:hint="eastAsia" w:ascii="仿宋" w:hAnsi="仿宋" w:eastAsia="仿宋"/>
          <w:color w:val="auto"/>
          <w:sz w:val="32"/>
          <w:szCs w:val="32"/>
        </w:rPr>
        <w:t>6.1 多格式文档标准化</w:t>
      </w:r>
    </w:p>
    <w:p w14:paraId="7DBBE7FE">
      <w:pPr>
        <w:ind w:firstLine="1120" w:firstLineChars="350"/>
        <w:rPr>
          <w:rFonts w:ascii="仿宋" w:hAnsi="仿宋" w:eastAsia="仿宋"/>
          <w:color w:val="auto"/>
          <w:sz w:val="32"/>
          <w:szCs w:val="32"/>
        </w:rPr>
      </w:pPr>
      <w:r>
        <w:rPr>
          <w:rFonts w:hint="eastAsia" w:ascii="仿宋" w:hAnsi="仿宋" w:eastAsia="仿宋"/>
          <w:color w:val="auto"/>
          <w:sz w:val="32"/>
          <w:szCs w:val="32"/>
        </w:rPr>
        <w:t>6.2 扫描件</w:t>
      </w:r>
      <w:r>
        <w:rPr>
          <w:rFonts w:ascii="仿宋" w:hAnsi="仿宋" w:eastAsia="仿宋"/>
          <w:color w:val="auto"/>
          <w:sz w:val="32"/>
          <w:szCs w:val="32"/>
        </w:rPr>
        <w:t>OCR识别与纠错</w:t>
      </w:r>
    </w:p>
    <w:p w14:paraId="13FAD5D0">
      <w:pPr>
        <w:ind w:firstLine="1120" w:firstLineChars="350"/>
        <w:rPr>
          <w:rFonts w:ascii="仿宋" w:hAnsi="仿宋" w:eastAsia="仿宋"/>
          <w:color w:val="auto"/>
          <w:sz w:val="32"/>
          <w:szCs w:val="32"/>
        </w:rPr>
      </w:pPr>
      <w:r>
        <w:rPr>
          <w:rFonts w:hint="eastAsia" w:ascii="仿宋" w:hAnsi="仿宋" w:eastAsia="仿宋"/>
          <w:color w:val="auto"/>
          <w:sz w:val="32"/>
          <w:szCs w:val="32"/>
        </w:rPr>
        <w:t>6.3 术语归一化</w:t>
      </w:r>
    </w:p>
    <w:p w14:paraId="26F746CF">
      <w:pPr>
        <w:ind w:firstLine="1120" w:firstLineChars="350"/>
        <w:rPr>
          <w:rFonts w:ascii="仿宋" w:hAnsi="仿宋" w:eastAsia="仿宋"/>
          <w:color w:val="auto"/>
          <w:sz w:val="32"/>
          <w:szCs w:val="32"/>
        </w:rPr>
      </w:pPr>
      <w:r>
        <w:rPr>
          <w:rFonts w:hint="eastAsia" w:ascii="仿宋" w:hAnsi="仿宋" w:eastAsia="仿宋"/>
          <w:color w:val="auto"/>
          <w:sz w:val="32"/>
          <w:szCs w:val="32"/>
        </w:rPr>
        <w:t>6.4 元数据提取（标题</w:t>
      </w:r>
      <w:r>
        <w:rPr>
          <w:rFonts w:ascii="仿宋" w:hAnsi="仿宋" w:eastAsia="仿宋"/>
          <w:color w:val="auto"/>
          <w:sz w:val="32"/>
          <w:szCs w:val="32"/>
        </w:rPr>
        <w:t>/作者/时间/关键词）</w:t>
      </w:r>
    </w:p>
    <w:p w14:paraId="52FDF288">
      <w:pPr>
        <w:ind w:firstLine="1120" w:firstLineChars="350"/>
        <w:rPr>
          <w:rFonts w:ascii="仿宋" w:hAnsi="仿宋" w:eastAsia="仿宋"/>
          <w:color w:val="auto"/>
          <w:sz w:val="32"/>
          <w:szCs w:val="32"/>
        </w:rPr>
      </w:pPr>
      <w:r>
        <w:rPr>
          <w:rFonts w:hint="eastAsia" w:ascii="仿宋" w:hAnsi="仿宋" w:eastAsia="仿宋"/>
          <w:color w:val="auto"/>
          <w:sz w:val="32"/>
          <w:szCs w:val="32"/>
        </w:rPr>
        <w:t>6.5 文档分类标签体系构建</w:t>
      </w:r>
    </w:p>
    <w:p w14:paraId="44F441D5">
      <w:pPr>
        <w:ind w:firstLine="1120" w:firstLineChars="350"/>
        <w:rPr>
          <w:rFonts w:ascii="仿宋" w:hAnsi="仿宋" w:eastAsia="仿宋"/>
          <w:color w:val="auto"/>
          <w:sz w:val="32"/>
          <w:szCs w:val="32"/>
        </w:rPr>
      </w:pPr>
      <w:r>
        <w:rPr>
          <w:rFonts w:hint="eastAsia" w:ascii="仿宋" w:hAnsi="仿宋" w:eastAsia="仿宋"/>
          <w:color w:val="auto"/>
          <w:sz w:val="32"/>
          <w:szCs w:val="32"/>
        </w:rPr>
        <w:t>6.6 相似度检测与去重</w:t>
      </w:r>
    </w:p>
    <w:p w14:paraId="25995222">
      <w:pPr>
        <w:ind w:firstLine="1120" w:firstLineChars="350"/>
        <w:rPr>
          <w:rFonts w:ascii="仿宋" w:hAnsi="仿宋" w:eastAsia="仿宋"/>
          <w:color w:val="auto"/>
          <w:sz w:val="32"/>
          <w:szCs w:val="32"/>
        </w:rPr>
      </w:pPr>
      <w:r>
        <w:rPr>
          <w:rFonts w:hint="eastAsia" w:ascii="仿宋" w:hAnsi="仿宋" w:eastAsia="仿宋"/>
          <w:color w:val="auto"/>
          <w:sz w:val="32"/>
          <w:szCs w:val="32"/>
        </w:rPr>
        <w:t>6.7 文档内容完整性校验</w:t>
      </w:r>
    </w:p>
    <w:p w14:paraId="5446632D">
      <w:pPr>
        <w:ind w:firstLine="643" w:firstLineChars="200"/>
        <w:outlineLvl w:val="1"/>
        <w:rPr>
          <w:rFonts w:ascii="仿宋" w:hAnsi="仿宋" w:eastAsia="仿宋"/>
          <w:b/>
          <w:color w:val="auto"/>
          <w:sz w:val="32"/>
          <w:szCs w:val="32"/>
        </w:rPr>
      </w:pPr>
      <w:r>
        <w:rPr>
          <w:rFonts w:ascii="仿宋" w:hAnsi="仿宋" w:eastAsia="仿宋"/>
          <w:b/>
          <w:color w:val="auto"/>
          <w:sz w:val="32"/>
          <w:szCs w:val="32"/>
        </w:rPr>
        <w:t>7、接口建设</w:t>
      </w:r>
    </w:p>
    <w:p w14:paraId="5FDBECF3">
      <w:pPr>
        <w:ind w:firstLine="1120" w:firstLineChars="350"/>
        <w:rPr>
          <w:rFonts w:ascii="仿宋" w:hAnsi="仿宋" w:eastAsia="仿宋"/>
          <w:color w:val="auto"/>
          <w:sz w:val="32"/>
          <w:szCs w:val="32"/>
        </w:rPr>
      </w:pPr>
      <w:r>
        <w:rPr>
          <w:rFonts w:hint="eastAsia" w:ascii="仿宋" w:hAnsi="仿宋" w:eastAsia="仿宋"/>
          <w:color w:val="auto"/>
          <w:sz w:val="32"/>
          <w:szCs w:val="32"/>
        </w:rPr>
        <w:t>7.1 文件上传</w:t>
      </w:r>
    </w:p>
    <w:p w14:paraId="0E33A8B2">
      <w:pPr>
        <w:ind w:firstLine="1120" w:firstLineChars="350"/>
        <w:rPr>
          <w:rFonts w:ascii="仿宋" w:hAnsi="仿宋" w:eastAsia="仿宋"/>
          <w:color w:val="auto"/>
          <w:sz w:val="32"/>
          <w:szCs w:val="32"/>
        </w:rPr>
      </w:pPr>
      <w:r>
        <w:rPr>
          <w:rFonts w:hint="eastAsia" w:ascii="仿宋" w:hAnsi="仿宋" w:eastAsia="仿宋"/>
          <w:color w:val="auto"/>
          <w:sz w:val="32"/>
          <w:szCs w:val="32"/>
        </w:rPr>
        <w:t>7.2 单体建筑能耗查询分析</w:t>
      </w:r>
    </w:p>
    <w:p w14:paraId="1CDB7E74">
      <w:pPr>
        <w:ind w:firstLine="1120" w:firstLineChars="350"/>
        <w:rPr>
          <w:rFonts w:ascii="仿宋" w:hAnsi="仿宋" w:eastAsia="仿宋"/>
          <w:color w:val="auto"/>
          <w:sz w:val="32"/>
          <w:szCs w:val="32"/>
        </w:rPr>
      </w:pPr>
      <w:r>
        <w:rPr>
          <w:rFonts w:hint="eastAsia" w:ascii="仿宋" w:hAnsi="仿宋" w:eastAsia="仿宋"/>
          <w:color w:val="auto"/>
          <w:sz w:val="32"/>
          <w:szCs w:val="32"/>
        </w:rPr>
        <w:t>7.3 城区建筑能耗查询分析</w:t>
      </w:r>
    </w:p>
    <w:p w14:paraId="64CCF0DC">
      <w:pPr>
        <w:ind w:firstLine="1120" w:firstLineChars="350"/>
        <w:rPr>
          <w:rFonts w:ascii="仿宋" w:hAnsi="仿宋" w:eastAsia="仿宋"/>
          <w:color w:val="auto"/>
          <w:sz w:val="32"/>
          <w:szCs w:val="32"/>
        </w:rPr>
      </w:pPr>
      <w:r>
        <w:rPr>
          <w:rFonts w:hint="eastAsia" w:ascii="仿宋" w:hAnsi="仿宋" w:eastAsia="仿宋"/>
          <w:color w:val="auto"/>
          <w:sz w:val="32"/>
          <w:szCs w:val="32"/>
        </w:rPr>
        <w:t>7.4 评估模型</w:t>
      </w:r>
    </w:p>
    <w:p w14:paraId="0C4891B6">
      <w:pPr>
        <w:ind w:firstLine="1120" w:firstLineChars="350"/>
        <w:rPr>
          <w:rFonts w:ascii="仿宋" w:hAnsi="仿宋" w:eastAsia="仿宋"/>
          <w:color w:val="auto"/>
          <w:sz w:val="32"/>
          <w:szCs w:val="32"/>
        </w:rPr>
      </w:pPr>
      <w:r>
        <w:rPr>
          <w:rFonts w:hint="eastAsia" w:ascii="仿宋" w:hAnsi="仿宋" w:eastAsia="仿宋"/>
          <w:color w:val="auto"/>
          <w:sz w:val="32"/>
          <w:szCs w:val="32"/>
        </w:rPr>
        <w:t>7.5 分级评估报告</w:t>
      </w:r>
    </w:p>
    <w:p w14:paraId="5F949FFD">
      <w:pPr>
        <w:ind w:firstLine="1120" w:firstLineChars="350"/>
        <w:rPr>
          <w:rFonts w:ascii="仿宋" w:hAnsi="仿宋" w:eastAsia="仿宋"/>
          <w:color w:val="auto"/>
          <w:sz w:val="32"/>
          <w:szCs w:val="32"/>
        </w:rPr>
      </w:pPr>
      <w:r>
        <w:rPr>
          <w:rFonts w:hint="eastAsia" w:ascii="仿宋" w:hAnsi="仿宋" w:eastAsia="仿宋"/>
          <w:color w:val="auto"/>
          <w:sz w:val="32"/>
          <w:szCs w:val="32"/>
        </w:rPr>
        <w:t>7.6 能耗异常识别</w:t>
      </w:r>
    </w:p>
    <w:p w14:paraId="3109AC08">
      <w:pPr>
        <w:ind w:firstLine="1120" w:firstLineChars="350"/>
        <w:rPr>
          <w:rFonts w:ascii="仿宋" w:hAnsi="仿宋" w:eastAsia="仿宋"/>
          <w:color w:val="auto"/>
          <w:sz w:val="32"/>
          <w:szCs w:val="32"/>
        </w:rPr>
      </w:pPr>
      <w:r>
        <w:rPr>
          <w:rFonts w:hint="eastAsia" w:ascii="仿宋" w:hAnsi="仿宋" w:eastAsia="仿宋"/>
          <w:color w:val="auto"/>
          <w:sz w:val="32"/>
          <w:szCs w:val="32"/>
        </w:rPr>
        <w:t>7.7 低效环节</w:t>
      </w:r>
    </w:p>
    <w:p w14:paraId="60EBF819">
      <w:pPr>
        <w:ind w:firstLine="1120" w:firstLineChars="350"/>
        <w:rPr>
          <w:rFonts w:ascii="仿宋" w:hAnsi="仿宋" w:eastAsia="仿宋"/>
          <w:color w:val="auto"/>
          <w:sz w:val="32"/>
          <w:szCs w:val="32"/>
        </w:rPr>
      </w:pPr>
      <w:r>
        <w:rPr>
          <w:rFonts w:hint="eastAsia" w:ascii="仿宋" w:hAnsi="仿宋" w:eastAsia="仿宋"/>
          <w:color w:val="auto"/>
          <w:sz w:val="32"/>
          <w:szCs w:val="32"/>
        </w:rPr>
        <w:t>7.8 节能建议</w:t>
      </w:r>
    </w:p>
    <w:p w14:paraId="5F9F5811">
      <w:pPr>
        <w:ind w:firstLine="1120" w:firstLineChars="350"/>
        <w:rPr>
          <w:rFonts w:ascii="仿宋" w:hAnsi="仿宋" w:eastAsia="仿宋"/>
          <w:color w:val="auto"/>
          <w:sz w:val="32"/>
          <w:szCs w:val="32"/>
        </w:rPr>
      </w:pPr>
      <w:r>
        <w:rPr>
          <w:rFonts w:hint="eastAsia" w:ascii="仿宋" w:hAnsi="仿宋" w:eastAsia="仿宋"/>
          <w:color w:val="auto"/>
          <w:sz w:val="32"/>
          <w:szCs w:val="32"/>
        </w:rPr>
        <w:t>7.9 决策模型</w:t>
      </w:r>
    </w:p>
    <w:p w14:paraId="010589E1">
      <w:pPr>
        <w:ind w:firstLine="1120" w:firstLineChars="350"/>
        <w:rPr>
          <w:rFonts w:ascii="仿宋" w:hAnsi="仿宋" w:eastAsia="仿宋"/>
          <w:color w:val="auto"/>
          <w:sz w:val="32"/>
          <w:szCs w:val="32"/>
        </w:rPr>
      </w:pPr>
      <w:r>
        <w:rPr>
          <w:rFonts w:hint="eastAsia" w:ascii="仿宋" w:hAnsi="仿宋" w:eastAsia="仿宋"/>
          <w:color w:val="auto"/>
          <w:sz w:val="32"/>
          <w:szCs w:val="32"/>
        </w:rPr>
        <w:t>7.10 分析报告</w:t>
      </w:r>
    </w:p>
    <w:p w14:paraId="4B68F76D">
      <w:pPr>
        <w:ind w:firstLine="1120" w:firstLineChars="350"/>
        <w:rPr>
          <w:rFonts w:ascii="仿宋" w:hAnsi="仿宋" w:eastAsia="仿宋"/>
          <w:color w:val="auto"/>
          <w:sz w:val="32"/>
          <w:szCs w:val="32"/>
        </w:rPr>
      </w:pPr>
      <w:r>
        <w:rPr>
          <w:rFonts w:hint="eastAsia" w:ascii="仿宋" w:hAnsi="仿宋" w:eastAsia="仿宋"/>
          <w:color w:val="auto"/>
          <w:sz w:val="32"/>
          <w:szCs w:val="32"/>
        </w:rPr>
        <w:t>7.11 预测模型</w:t>
      </w:r>
    </w:p>
    <w:p w14:paraId="4366D3D6">
      <w:pPr>
        <w:ind w:firstLine="1120" w:firstLineChars="350"/>
        <w:rPr>
          <w:rFonts w:ascii="仿宋" w:hAnsi="仿宋" w:eastAsia="仿宋"/>
          <w:color w:val="auto"/>
          <w:sz w:val="32"/>
          <w:szCs w:val="32"/>
        </w:rPr>
      </w:pPr>
      <w:r>
        <w:rPr>
          <w:rFonts w:hint="eastAsia" w:ascii="仿宋" w:hAnsi="仿宋" w:eastAsia="仿宋"/>
          <w:color w:val="auto"/>
          <w:sz w:val="32"/>
          <w:szCs w:val="32"/>
        </w:rPr>
        <w:t>7.12 水平分析</w:t>
      </w:r>
    </w:p>
    <w:p w14:paraId="7514BEC6">
      <w:pPr>
        <w:ind w:firstLine="640" w:firstLineChars="200"/>
        <w:rPr>
          <w:rFonts w:ascii="仿宋" w:hAnsi="仿宋" w:eastAsia="仿宋"/>
          <w:color w:val="auto"/>
          <w:sz w:val="32"/>
          <w:szCs w:val="32"/>
        </w:rPr>
      </w:pPr>
    </w:p>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Tw Cen MT">
    <w:altName w:val="Liberation Sans"/>
    <w:panose1 w:val="020B0602020104020603"/>
    <w:charset w:val="00"/>
    <w:family w:val="swiss"/>
    <w:pitch w:val="default"/>
    <w:sig w:usb0="00000000" w:usb1="00000000" w:usb2="00000000" w:usb3="00000000" w:csb0="00000003" w:csb1="00000000"/>
  </w:font>
  <w:font w:name="Liberation Sans">
    <w:panose1 w:val="020B0604020202020204"/>
    <w:charset w:val="00"/>
    <w:family w:val="auto"/>
    <w:pitch w:val="default"/>
    <w:sig w:usb0="A00002AF" w:usb1="500078FB" w:usb2="00000000" w:usb3="00000000" w:csb0="6000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990698"/>
    </w:sdtPr>
    <w:sdtEndPr>
      <w:rPr>
        <w:rFonts w:ascii="宋体" w:hAnsi="宋体"/>
        <w:sz w:val="30"/>
        <w:szCs w:val="30"/>
      </w:rPr>
    </w:sdtEndPr>
    <w:sdtContent>
      <w:p w14:paraId="2728031A">
        <w:pPr>
          <w:pStyle w:val="13"/>
          <w:jc w:val="right"/>
          <w:rPr>
            <w:rFonts w:ascii="宋体" w:hAnsi="宋体"/>
            <w:sz w:val="30"/>
            <w:szCs w:val="30"/>
          </w:rPr>
        </w:pPr>
        <w:r>
          <w:rPr>
            <w:rFonts w:ascii="宋体" w:hAnsi="宋体"/>
            <w:sz w:val="30"/>
            <w:szCs w:val="30"/>
          </w:rPr>
          <w:t>—</w:t>
        </w:r>
        <w:r>
          <w:rPr>
            <w:rFonts w:ascii="宋体" w:hAnsi="宋体"/>
            <w:sz w:val="30"/>
            <w:szCs w:val="30"/>
          </w:rPr>
          <w:fldChar w:fldCharType="begin"/>
        </w:r>
        <w:r>
          <w:rPr>
            <w:rFonts w:ascii="宋体" w:hAnsi="宋体"/>
            <w:sz w:val="30"/>
            <w:szCs w:val="30"/>
          </w:rPr>
          <w:instrText xml:space="preserve"> PAGE   \* MERGEFORMAT </w:instrText>
        </w:r>
        <w:r>
          <w:rPr>
            <w:rFonts w:ascii="宋体" w:hAnsi="宋体"/>
            <w:sz w:val="30"/>
            <w:szCs w:val="30"/>
          </w:rPr>
          <w:fldChar w:fldCharType="separate"/>
        </w:r>
        <w:r>
          <w:rPr>
            <w:rFonts w:ascii="宋体" w:hAnsi="宋体"/>
            <w:sz w:val="30"/>
            <w:szCs w:val="30"/>
          </w:rPr>
          <w:t>1</w:t>
        </w:r>
        <w:r>
          <w:rPr>
            <w:rFonts w:ascii="宋体" w:hAnsi="宋体"/>
            <w:sz w:val="30"/>
            <w:szCs w:val="30"/>
          </w:rPr>
          <w:fldChar w:fldCharType="end"/>
        </w:r>
        <w:r>
          <w:rPr>
            <w:rFonts w:hint="eastAsia" w:ascii="宋体" w:hAnsi="宋体"/>
            <w:sz w:val="30"/>
            <w:szCs w:val="30"/>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30"/>
        <w:szCs w:val="30"/>
      </w:rPr>
      <w:id w:val="1119990711"/>
    </w:sdtPr>
    <w:sdtEndPr>
      <w:rPr>
        <w:rFonts w:ascii="宋体" w:hAnsi="宋体"/>
        <w:sz w:val="30"/>
        <w:szCs w:val="30"/>
      </w:rPr>
    </w:sdtEndPr>
    <w:sdtContent>
      <w:p w14:paraId="1A0F5A43">
        <w:pPr>
          <w:pStyle w:val="13"/>
          <w:rPr>
            <w:rFonts w:ascii="宋体" w:hAnsi="宋体"/>
            <w:sz w:val="30"/>
            <w:szCs w:val="30"/>
          </w:rPr>
        </w:pPr>
        <w:r>
          <w:rPr>
            <w:rFonts w:ascii="宋体" w:hAnsi="宋体"/>
            <w:sz w:val="30"/>
            <w:szCs w:val="30"/>
          </w:rPr>
          <w:t>—</w:t>
        </w:r>
        <w:r>
          <w:rPr>
            <w:rFonts w:ascii="宋体" w:hAnsi="宋体"/>
            <w:sz w:val="30"/>
            <w:szCs w:val="30"/>
          </w:rPr>
          <w:fldChar w:fldCharType="begin"/>
        </w:r>
        <w:r>
          <w:rPr>
            <w:rFonts w:ascii="宋体" w:hAnsi="宋体"/>
            <w:sz w:val="30"/>
            <w:szCs w:val="30"/>
          </w:rPr>
          <w:instrText xml:space="preserve"> PAGE   \* MERGEFORMAT </w:instrText>
        </w:r>
        <w:r>
          <w:rPr>
            <w:rFonts w:ascii="宋体" w:hAnsi="宋体"/>
            <w:sz w:val="30"/>
            <w:szCs w:val="30"/>
          </w:rPr>
          <w:fldChar w:fldCharType="separate"/>
        </w:r>
        <w:r>
          <w:rPr>
            <w:rFonts w:ascii="宋体" w:hAnsi="宋体"/>
            <w:sz w:val="30"/>
            <w:szCs w:val="30"/>
          </w:rPr>
          <w:t>2</w:t>
        </w:r>
        <w:r>
          <w:rPr>
            <w:rFonts w:ascii="宋体" w:hAnsi="宋体"/>
            <w:sz w:val="30"/>
            <w:szCs w:val="30"/>
          </w:rPr>
          <w:fldChar w:fldCharType="end"/>
        </w:r>
        <w:r>
          <w:rPr>
            <w:rFonts w:hint="eastAsia" w:ascii="宋体" w:hAnsi="宋体"/>
            <w:sz w:val="30"/>
            <w:szCs w:val="30"/>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9990688"/>
    </w:sdtPr>
    <w:sdtEndPr>
      <w:rPr>
        <w:rFonts w:ascii="宋体" w:hAnsi="宋体"/>
        <w:sz w:val="30"/>
        <w:szCs w:val="30"/>
      </w:rPr>
    </w:sdtEndPr>
    <w:sdtContent>
      <w:p w14:paraId="0FE02AFD">
        <w:pPr>
          <w:pStyle w:val="13"/>
          <w:jc w:val="right"/>
          <w:rPr>
            <w:rFonts w:ascii="宋体" w:hAnsi="宋体"/>
            <w:sz w:val="30"/>
            <w:szCs w:val="30"/>
          </w:rPr>
        </w:pPr>
        <w:r>
          <w:rPr>
            <w:rFonts w:ascii="宋体" w:hAnsi="宋体"/>
            <w:sz w:val="30"/>
            <w:szCs w:val="30"/>
          </w:rPr>
          <w:t>—</w:t>
        </w:r>
        <w:r>
          <w:rPr>
            <w:rFonts w:ascii="宋体" w:hAnsi="宋体"/>
            <w:sz w:val="30"/>
            <w:szCs w:val="30"/>
          </w:rPr>
          <w:fldChar w:fldCharType="begin"/>
        </w:r>
        <w:r>
          <w:rPr>
            <w:rFonts w:ascii="宋体" w:hAnsi="宋体"/>
            <w:sz w:val="30"/>
            <w:szCs w:val="30"/>
          </w:rPr>
          <w:instrText xml:space="preserve"> PAGE   \* MERGEFORMAT </w:instrText>
        </w:r>
        <w:r>
          <w:rPr>
            <w:rFonts w:ascii="宋体" w:hAnsi="宋体"/>
            <w:sz w:val="30"/>
            <w:szCs w:val="30"/>
          </w:rPr>
          <w:fldChar w:fldCharType="separate"/>
        </w:r>
        <w:r>
          <w:rPr>
            <w:rFonts w:ascii="宋体" w:hAnsi="宋体"/>
            <w:sz w:val="30"/>
            <w:szCs w:val="30"/>
          </w:rPr>
          <w:t>1</w:t>
        </w:r>
        <w:r>
          <w:rPr>
            <w:rFonts w:ascii="宋体" w:hAnsi="宋体"/>
            <w:sz w:val="30"/>
            <w:szCs w:val="30"/>
          </w:rPr>
          <w:fldChar w:fldCharType="end"/>
        </w:r>
        <w:r>
          <w:rPr>
            <w:rFonts w:ascii="宋体" w:hAnsi="宋体"/>
            <w:sz w:val="30"/>
            <w:szCs w:val="30"/>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1D650">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lvlText w:val="第%1部分"/>
      <w:legacy w:legacy="1" w:legacySpace="0" w:legacyIndent="0"/>
      <w:lvlJc w:val="left"/>
    </w:lvl>
    <w:lvl w:ilvl="1" w:tentative="0">
      <w:start w:val="1"/>
      <w:numFmt w:val="none"/>
      <w:pStyle w:val="3"/>
      <w:suff w:val="nothing"/>
      <w:lvlText w:val=""/>
      <w:lvlJc w:val="left"/>
    </w:lvl>
    <w:lvl w:ilvl="2" w:tentative="0">
      <w:start w:val="1"/>
      <w:numFmt w:val="none"/>
      <w:pStyle w:val="4"/>
      <w:suff w:val="nothing"/>
      <w:lvlText w:val=""/>
      <w:lvlJc w:val="left"/>
    </w:lvl>
    <w:lvl w:ilvl="3" w:tentative="0">
      <w:start w:val="1"/>
      <w:numFmt w:val="none"/>
      <w:pStyle w:val="5"/>
      <w:suff w:val="nothing"/>
      <w:lvlText w:val=""/>
      <w:lvlJc w:val="left"/>
    </w:lvl>
    <w:lvl w:ilvl="4" w:tentative="0">
      <w:start w:val="1"/>
      <w:numFmt w:val="none"/>
      <w:pStyle w:val="6"/>
      <w:suff w:val="nothing"/>
      <w:lvlText w:val=""/>
      <w:lvlJc w:val="left"/>
    </w:lvl>
    <w:lvl w:ilvl="5" w:tentative="0">
      <w:start w:val="1"/>
      <w:numFmt w:val="none"/>
      <w:pStyle w:val="7"/>
      <w:suff w:val="nothing"/>
      <w:lvlText w:val=""/>
      <w:lvlJc w:val="left"/>
    </w:lvl>
    <w:lvl w:ilvl="6" w:tentative="0">
      <w:start w:val="1"/>
      <w:numFmt w:val="none"/>
      <w:pStyle w:val="8"/>
      <w:suff w:val="nothing"/>
      <w:lvlText w:val=""/>
      <w:lvlJc w:val="left"/>
    </w:lvl>
    <w:lvl w:ilvl="7" w:tentative="0">
      <w:start w:val="1"/>
      <w:numFmt w:val="none"/>
      <w:pStyle w:val="9"/>
      <w:suff w:val="nothing"/>
      <w:lvlText w:val=""/>
      <w:lvlJc w:val="left"/>
    </w:lvl>
    <w:lvl w:ilvl="8" w:tentative="0">
      <w:start w:val="1"/>
      <w:numFmt w:val="none"/>
      <w:pStyle w:val="10"/>
      <w:suff w:val="nothing"/>
      <w:lvlText w:val=""/>
      <w:lvlJc w:val="left"/>
    </w:lvl>
  </w:abstractNum>
  <w:abstractNum w:abstractNumId="1">
    <w:nsid w:val="7F68129A"/>
    <w:multiLevelType w:val="multilevel"/>
    <w:tmpl w:val="7F68129A"/>
    <w:lvl w:ilvl="0" w:tentative="0">
      <w:start w:val="1"/>
      <w:numFmt w:val="decimal"/>
      <w:pStyle w:val="48"/>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hideGrammaticalErrors/>
  <w:trackRevisions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50"/>
    <w:rsid w:val="0000143C"/>
    <w:rsid w:val="000019D3"/>
    <w:rsid w:val="00001F1D"/>
    <w:rsid w:val="0000254B"/>
    <w:rsid w:val="000043C9"/>
    <w:rsid w:val="00005068"/>
    <w:rsid w:val="00005329"/>
    <w:rsid w:val="0000573E"/>
    <w:rsid w:val="0000627A"/>
    <w:rsid w:val="000100AF"/>
    <w:rsid w:val="00011554"/>
    <w:rsid w:val="00012867"/>
    <w:rsid w:val="000128FF"/>
    <w:rsid w:val="00012E8C"/>
    <w:rsid w:val="00014E8F"/>
    <w:rsid w:val="00016552"/>
    <w:rsid w:val="00017AF7"/>
    <w:rsid w:val="00017CC6"/>
    <w:rsid w:val="00021A02"/>
    <w:rsid w:val="00023E92"/>
    <w:rsid w:val="00025531"/>
    <w:rsid w:val="000261B2"/>
    <w:rsid w:val="00026287"/>
    <w:rsid w:val="000273F8"/>
    <w:rsid w:val="000304F2"/>
    <w:rsid w:val="00030F36"/>
    <w:rsid w:val="00032585"/>
    <w:rsid w:val="000330D2"/>
    <w:rsid w:val="000351BA"/>
    <w:rsid w:val="00042F4C"/>
    <w:rsid w:val="000433A6"/>
    <w:rsid w:val="00043603"/>
    <w:rsid w:val="00043AA6"/>
    <w:rsid w:val="00044DC2"/>
    <w:rsid w:val="000452A6"/>
    <w:rsid w:val="00045D21"/>
    <w:rsid w:val="00046A0F"/>
    <w:rsid w:val="00047883"/>
    <w:rsid w:val="00050C8A"/>
    <w:rsid w:val="00051538"/>
    <w:rsid w:val="00051FCF"/>
    <w:rsid w:val="000521AC"/>
    <w:rsid w:val="00052654"/>
    <w:rsid w:val="0005466F"/>
    <w:rsid w:val="00054FDE"/>
    <w:rsid w:val="00055418"/>
    <w:rsid w:val="00055501"/>
    <w:rsid w:val="000559EA"/>
    <w:rsid w:val="000568B2"/>
    <w:rsid w:val="000614EB"/>
    <w:rsid w:val="00062009"/>
    <w:rsid w:val="000630AE"/>
    <w:rsid w:val="00063B57"/>
    <w:rsid w:val="00063C55"/>
    <w:rsid w:val="000646FE"/>
    <w:rsid w:val="00065F7B"/>
    <w:rsid w:val="00066752"/>
    <w:rsid w:val="00066C91"/>
    <w:rsid w:val="000701B0"/>
    <w:rsid w:val="000703EF"/>
    <w:rsid w:val="000703F6"/>
    <w:rsid w:val="00071033"/>
    <w:rsid w:val="00071C42"/>
    <w:rsid w:val="000739D5"/>
    <w:rsid w:val="000741C2"/>
    <w:rsid w:val="00074EDD"/>
    <w:rsid w:val="00076381"/>
    <w:rsid w:val="00076D95"/>
    <w:rsid w:val="000806AC"/>
    <w:rsid w:val="00080923"/>
    <w:rsid w:val="00080B49"/>
    <w:rsid w:val="00080BF6"/>
    <w:rsid w:val="0008199D"/>
    <w:rsid w:val="000823FD"/>
    <w:rsid w:val="00083C52"/>
    <w:rsid w:val="00085126"/>
    <w:rsid w:val="0008543F"/>
    <w:rsid w:val="000876E8"/>
    <w:rsid w:val="00091E62"/>
    <w:rsid w:val="00092C2D"/>
    <w:rsid w:val="000965D5"/>
    <w:rsid w:val="00096BDF"/>
    <w:rsid w:val="00097E27"/>
    <w:rsid w:val="000A43D2"/>
    <w:rsid w:val="000A4FB7"/>
    <w:rsid w:val="000A7B35"/>
    <w:rsid w:val="000B054E"/>
    <w:rsid w:val="000B4019"/>
    <w:rsid w:val="000B44FB"/>
    <w:rsid w:val="000B66F6"/>
    <w:rsid w:val="000B79FD"/>
    <w:rsid w:val="000B7EF8"/>
    <w:rsid w:val="000C0DF1"/>
    <w:rsid w:val="000C22F4"/>
    <w:rsid w:val="000C2C20"/>
    <w:rsid w:val="000C39B4"/>
    <w:rsid w:val="000C3C57"/>
    <w:rsid w:val="000C506D"/>
    <w:rsid w:val="000C5E21"/>
    <w:rsid w:val="000C7961"/>
    <w:rsid w:val="000D0314"/>
    <w:rsid w:val="000D1103"/>
    <w:rsid w:val="000D1C65"/>
    <w:rsid w:val="000D1E30"/>
    <w:rsid w:val="000D1E67"/>
    <w:rsid w:val="000D2178"/>
    <w:rsid w:val="000D23E4"/>
    <w:rsid w:val="000D28CC"/>
    <w:rsid w:val="000D2A8D"/>
    <w:rsid w:val="000D38B8"/>
    <w:rsid w:val="000D7123"/>
    <w:rsid w:val="000D7916"/>
    <w:rsid w:val="000D7BB2"/>
    <w:rsid w:val="000D7F40"/>
    <w:rsid w:val="000E1263"/>
    <w:rsid w:val="000E131D"/>
    <w:rsid w:val="000E1B20"/>
    <w:rsid w:val="000E1BC7"/>
    <w:rsid w:val="000E41CF"/>
    <w:rsid w:val="000E5733"/>
    <w:rsid w:val="000E79F2"/>
    <w:rsid w:val="000F1D98"/>
    <w:rsid w:val="000F1F7A"/>
    <w:rsid w:val="000F2304"/>
    <w:rsid w:val="000F42D0"/>
    <w:rsid w:val="000F45D1"/>
    <w:rsid w:val="000F57D0"/>
    <w:rsid w:val="000F61F6"/>
    <w:rsid w:val="000F7131"/>
    <w:rsid w:val="000F79C9"/>
    <w:rsid w:val="0010011D"/>
    <w:rsid w:val="001004A3"/>
    <w:rsid w:val="001014F7"/>
    <w:rsid w:val="00101C48"/>
    <w:rsid w:val="0010279C"/>
    <w:rsid w:val="00102AE7"/>
    <w:rsid w:val="0010307A"/>
    <w:rsid w:val="00103608"/>
    <w:rsid w:val="00103746"/>
    <w:rsid w:val="00103D52"/>
    <w:rsid w:val="0010497B"/>
    <w:rsid w:val="00104D94"/>
    <w:rsid w:val="0010500F"/>
    <w:rsid w:val="00105891"/>
    <w:rsid w:val="00107CFF"/>
    <w:rsid w:val="00110422"/>
    <w:rsid w:val="0011144D"/>
    <w:rsid w:val="001118D7"/>
    <w:rsid w:val="00111A5E"/>
    <w:rsid w:val="001150DB"/>
    <w:rsid w:val="001154DC"/>
    <w:rsid w:val="00115860"/>
    <w:rsid w:val="00115E9C"/>
    <w:rsid w:val="00116074"/>
    <w:rsid w:val="00116F1E"/>
    <w:rsid w:val="00120574"/>
    <w:rsid w:val="0012064A"/>
    <w:rsid w:val="001231DF"/>
    <w:rsid w:val="001239FB"/>
    <w:rsid w:val="0012459D"/>
    <w:rsid w:val="00125B24"/>
    <w:rsid w:val="00126BD8"/>
    <w:rsid w:val="0012781D"/>
    <w:rsid w:val="00130473"/>
    <w:rsid w:val="00130790"/>
    <w:rsid w:val="001327B6"/>
    <w:rsid w:val="0013282B"/>
    <w:rsid w:val="001328D9"/>
    <w:rsid w:val="0013319E"/>
    <w:rsid w:val="0013371A"/>
    <w:rsid w:val="001339F0"/>
    <w:rsid w:val="00133E38"/>
    <w:rsid w:val="001352F7"/>
    <w:rsid w:val="00135A53"/>
    <w:rsid w:val="001368AE"/>
    <w:rsid w:val="00141B7B"/>
    <w:rsid w:val="00142B1C"/>
    <w:rsid w:val="0014676D"/>
    <w:rsid w:val="001477D9"/>
    <w:rsid w:val="00147D47"/>
    <w:rsid w:val="00150890"/>
    <w:rsid w:val="001511DC"/>
    <w:rsid w:val="00151CAB"/>
    <w:rsid w:val="00151D80"/>
    <w:rsid w:val="0015339E"/>
    <w:rsid w:val="0015429F"/>
    <w:rsid w:val="00154EC0"/>
    <w:rsid w:val="00155EE2"/>
    <w:rsid w:val="0015764D"/>
    <w:rsid w:val="00157AC6"/>
    <w:rsid w:val="001605DF"/>
    <w:rsid w:val="00160697"/>
    <w:rsid w:val="001661CF"/>
    <w:rsid w:val="00166379"/>
    <w:rsid w:val="001673AB"/>
    <w:rsid w:val="001718F9"/>
    <w:rsid w:val="00172128"/>
    <w:rsid w:val="00172BAE"/>
    <w:rsid w:val="00173FA3"/>
    <w:rsid w:val="00174925"/>
    <w:rsid w:val="00176465"/>
    <w:rsid w:val="00177E53"/>
    <w:rsid w:val="0018029D"/>
    <w:rsid w:val="001805F0"/>
    <w:rsid w:val="00180E40"/>
    <w:rsid w:val="00181B9A"/>
    <w:rsid w:val="00183F61"/>
    <w:rsid w:val="001849C8"/>
    <w:rsid w:val="001861E1"/>
    <w:rsid w:val="0018698A"/>
    <w:rsid w:val="00187322"/>
    <w:rsid w:val="00191217"/>
    <w:rsid w:val="00191DEA"/>
    <w:rsid w:val="00192342"/>
    <w:rsid w:val="00195C8C"/>
    <w:rsid w:val="00195F3E"/>
    <w:rsid w:val="001A0A25"/>
    <w:rsid w:val="001A2134"/>
    <w:rsid w:val="001A2EC7"/>
    <w:rsid w:val="001A2F8F"/>
    <w:rsid w:val="001A4152"/>
    <w:rsid w:val="001A4347"/>
    <w:rsid w:val="001A5C14"/>
    <w:rsid w:val="001B01D9"/>
    <w:rsid w:val="001B1087"/>
    <w:rsid w:val="001B1C2B"/>
    <w:rsid w:val="001B24C7"/>
    <w:rsid w:val="001B2D74"/>
    <w:rsid w:val="001B2E52"/>
    <w:rsid w:val="001B5614"/>
    <w:rsid w:val="001B7D5F"/>
    <w:rsid w:val="001C01CA"/>
    <w:rsid w:val="001C0CF3"/>
    <w:rsid w:val="001C1DB7"/>
    <w:rsid w:val="001C2A1D"/>
    <w:rsid w:val="001D0782"/>
    <w:rsid w:val="001D0B4F"/>
    <w:rsid w:val="001D3901"/>
    <w:rsid w:val="001D4282"/>
    <w:rsid w:val="001D7929"/>
    <w:rsid w:val="001D7C3B"/>
    <w:rsid w:val="001E327B"/>
    <w:rsid w:val="001E5283"/>
    <w:rsid w:val="001E5F51"/>
    <w:rsid w:val="001E7565"/>
    <w:rsid w:val="001E79E7"/>
    <w:rsid w:val="001E7AC8"/>
    <w:rsid w:val="001F12A0"/>
    <w:rsid w:val="001F16E1"/>
    <w:rsid w:val="001F2099"/>
    <w:rsid w:val="001F3C4F"/>
    <w:rsid w:val="001F46D3"/>
    <w:rsid w:val="001F6863"/>
    <w:rsid w:val="001F6AA5"/>
    <w:rsid w:val="001F728D"/>
    <w:rsid w:val="00200139"/>
    <w:rsid w:val="002010A6"/>
    <w:rsid w:val="00201491"/>
    <w:rsid w:val="00203E25"/>
    <w:rsid w:val="0020430F"/>
    <w:rsid w:val="002046FF"/>
    <w:rsid w:val="00204F0E"/>
    <w:rsid w:val="0020525B"/>
    <w:rsid w:val="00206454"/>
    <w:rsid w:val="00207108"/>
    <w:rsid w:val="0020739F"/>
    <w:rsid w:val="00210026"/>
    <w:rsid w:val="0021141A"/>
    <w:rsid w:val="00211A49"/>
    <w:rsid w:val="002120E8"/>
    <w:rsid w:val="00212E6E"/>
    <w:rsid w:val="0021444B"/>
    <w:rsid w:val="00216AFE"/>
    <w:rsid w:val="00216E6A"/>
    <w:rsid w:val="00221298"/>
    <w:rsid w:val="00221E65"/>
    <w:rsid w:val="00222336"/>
    <w:rsid w:val="00222CBA"/>
    <w:rsid w:val="00224321"/>
    <w:rsid w:val="002243C0"/>
    <w:rsid w:val="00225812"/>
    <w:rsid w:val="002308C1"/>
    <w:rsid w:val="00231F67"/>
    <w:rsid w:val="002321DE"/>
    <w:rsid w:val="00232552"/>
    <w:rsid w:val="00232762"/>
    <w:rsid w:val="002340FF"/>
    <w:rsid w:val="00234885"/>
    <w:rsid w:val="00235476"/>
    <w:rsid w:val="002366F6"/>
    <w:rsid w:val="0023737A"/>
    <w:rsid w:val="00242680"/>
    <w:rsid w:val="00243228"/>
    <w:rsid w:val="00243B8B"/>
    <w:rsid w:val="00245A20"/>
    <w:rsid w:val="00246834"/>
    <w:rsid w:val="00246A07"/>
    <w:rsid w:val="002470D2"/>
    <w:rsid w:val="00250B2A"/>
    <w:rsid w:val="00252A15"/>
    <w:rsid w:val="00255B4F"/>
    <w:rsid w:val="00257673"/>
    <w:rsid w:val="002606AD"/>
    <w:rsid w:val="00260BC4"/>
    <w:rsid w:val="00261009"/>
    <w:rsid w:val="00261BA5"/>
    <w:rsid w:val="00265695"/>
    <w:rsid w:val="0027009E"/>
    <w:rsid w:val="00270BE0"/>
    <w:rsid w:val="002712A6"/>
    <w:rsid w:val="002726AF"/>
    <w:rsid w:val="00273BBB"/>
    <w:rsid w:val="00273F04"/>
    <w:rsid w:val="00274C85"/>
    <w:rsid w:val="00274D75"/>
    <w:rsid w:val="00275933"/>
    <w:rsid w:val="00276E76"/>
    <w:rsid w:val="00280272"/>
    <w:rsid w:val="002835B7"/>
    <w:rsid w:val="00283BC0"/>
    <w:rsid w:val="002877A0"/>
    <w:rsid w:val="00291CC3"/>
    <w:rsid w:val="002A0D57"/>
    <w:rsid w:val="002A2468"/>
    <w:rsid w:val="002A5B00"/>
    <w:rsid w:val="002A5DFE"/>
    <w:rsid w:val="002A5F56"/>
    <w:rsid w:val="002A720F"/>
    <w:rsid w:val="002A7A6F"/>
    <w:rsid w:val="002B01DE"/>
    <w:rsid w:val="002B28EC"/>
    <w:rsid w:val="002B3399"/>
    <w:rsid w:val="002B6492"/>
    <w:rsid w:val="002B659D"/>
    <w:rsid w:val="002B6D94"/>
    <w:rsid w:val="002C094C"/>
    <w:rsid w:val="002C1560"/>
    <w:rsid w:val="002C1A45"/>
    <w:rsid w:val="002C5C8E"/>
    <w:rsid w:val="002C5CAF"/>
    <w:rsid w:val="002C611A"/>
    <w:rsid w:val="002D12B7"/>
    <w:rsid w:val="002D1F74"/>
    <w:rsid w:val="002D2AB5"/>
    <w:rsid w:val="002D3331"/>
    <w:rsid w:val="002D467D"/>
    <w:rsid w:val="002D6461"/>
    <w:rsid w:val="002D7178"/>
    <w:rsid w:val="002E0637"/>
    <w:rsid w:val="002E0831"/>
    <w:rsid w:val="002E180F"/>
    <w:rsid w:val="002E1F09"/>
    <w:rsid w:val="002E28FC"/>
    <w:rsid w:val="002E48D0"/>
    <w:rsid w:val="002E5897"/>
    <w:rsid w:val="002E61F8"/>
    <w:rsid w:val="002E6E64"/>
    <w:rsid w:val="002F03FB"/>
    <w:rsid w:val="002F09AC"/>
    <w:rsid w:val="002F10F2"/>
    <w:rsid w:val="002F172C"/>
    <w:rsid w:val="002F2452"/>
    <w:rsid w:val="002F2B9E"/>
    <w:rsid w:val="002F38C2"/>
    <w:rsid w:val="002F3DDC"/>
    <w:rsid w:val="002F7A00"/>
    <w:rsid w:val="003006E8"/>
    <w:rsid w:val="00300B05"/>
    <w:rsid w:val="0030133D"/>
    <w:rsid w:val="00302856"/>
    <w:rsid w:val="00302F34"/>
    <w:rsid w:val="003041BD"/>
    <w:rsid w:val="003043BE"/>
    <w:rsid w:val="00305A97"/>
    <w:rsid w:val="003073F9"/>
    <w:rsid w:val="00313672"/>
    <w:rsid w:val="00314DDF"/>
    <w:rsid w:val="003156CC"/>
    <w:rsid w:val="00316716"/>
    <w:rsid w:val="00317D30"/>
    <w:rsid w:val="003204FE"/>
    <w:rsid w:val="00320F04"/>
    <w:rsid w:val="00321C80"/>
    <w:rsid w:val="0032224F"/>
    <w:rsid w:val="003236CA"/>
    <w:rsid w:val="003250EC"/>
    <w:rsid w:val="0032576F"/>
    <w:rsid w:val="00326F60"/>
    <w:rsid w:val="003275B2"/>
    <w:rsid w:val="003303FC"/>
    <w:rsid w:val="00330E08"/>
    <w:rsid w:val="003317F8"/>
    <w:rsid w:val="00333E1C"/>
    <w:rsid w:val="00336BFD"/>
    <w:rsid w:val="00336D72"/>
    <w:rsid w:val="003373BF"/>
    <w:rsid w:val="00342132"/>
    <w:rsid w:val="00342C04"/>
    <w:rsid w:val="00343435"/>
    <w:rsid w:val="0034471F"/>
    <w:rsid w:val="003472DA"/>
    <w:rsid w:val="00347465"/>
    <w:rsid w:val="00347DC4"/>
    <w:rsid w:val="00350B64"/>
    <w:rsid w:val="00351228"/>
    <w:rsid w:val="00352247"/>
    <w:rsid w:val="00353230"/>
    <w:rsid w:val="00355301"/>
    <w:rsid w:val="00357352"/>
    <w:rsid w:val="00360534"/>
    <w:rsid w:val="00362DC4"/>
    <w:rsid w:val="00363BEE"/>
    <w:rsid w:val="00364256"/>
    <w:rsid w:val="00364888"/>
    <w:rsid w:val="003651B9"/>
    <w:rsid w:val="003660C3"/>
    <w:rsid w:val="00366DA5"/>
    <w:rsid w:val="003672F6"/>
    <w:rsid w:val="003720C1"/>
    <w:rsid w:val="003726EB"/>
    <w:rsid w:val="00372884"/>
    <w:rsid w:val="00372E48"/>
    <w:rsid w:val="0037359A"/>
    <w:rsid w:val="003736DE"/>
    <w:rsid w:val="00373979"/>
    <w:rsid w:val="00375E82"/>
    <w:rsid w:val="00377EF7"/>
    <w:rsid w:val="00381759"/>
    <w:rsid w:val="00382BA4"/>
    <w:rsid w:val="00383540"/>
    <w:rsid w:val="00384B56"/>
    <w:rsid w:val="00385E5C"/>
    <w:rsid w:val="00387947"/>
    <w:rsid w:val="00387DEA"/>
    <w:rsid w:val="00387EF5"/>
    <w:rsid w:val="00391012"/>
    <w:rsid w:val="00391F71"/>
    <w:rsid w:val="0039212F"/>
    <w:rsid w:val="0039347A"/>
    <w:rsid w:val="00393600"/>
    <w:rsid w:val="00394356"/>
    <w:rsid w:val="00395295"/>
    <w:rsid w:val="003953B9"/>
    <w:rsid w:val="003A232D"/>
    <w:rsid w:val="003A359E"/>
    <w:rsid w:val="003A4D0E"/>
    <w:rsid w:val="003A529A"/>
    <w:rsid w:val="003A56E1"/>
    <w:rsid w:val="003A5A4E"/>
    <w:rsid w:val="003A5F26"/>
    <w:rsid w:val="003A6465"/>
    <w:rsid w:val="003A78CB"/>
    <w:rsid w:val="003B2129"/>
    <w:rsid w:val="003B2B07"/>
    <w:rsid w:val="003B410C"/>
    <w:rsid w:val="003B49AE"/>
    <w:rsid w:val="003B529E"/>
    <w:rsid w:val="003B5F3D"/>
    <w:rsid w:val="003B7410"/>
    <w:rsid w:val="003C159A"/>
    <w:rsid w:val="003C727E"/>
    <w:rsid w:val="003D09E6"/>
    <w:rsid w:val="003D0BDE"/>
    <w:rsid w:val="003D3A50"/>
    <w:rsid w:val="003D3D71"/>
    <w:rsid w:val="003D4252"/>
    <w:rsid w:val="003D45A1"/>
    <w:rsid w:val="003D45AB"/>
    <w:rsid w:val="003D4C95"/>
    <w:rsid w:val="003D5033"/>
    <w:rsid w:val="003D5ED7"/>
    <w:rsid w:val="003D6072"/>
    <w:rsid w:val="003D6724"/>
    <w:rsid w:val="003D725D"/>
    <w:rsid w:val="003D7F3F"/>
    <w:rsid w:val="003E1612"/>
    <w:rsid w:val="003E1BBC"/>
    <w:rsid w:val="003E2C89"/>
    <w:rsid w:val="003E48A4"/>
    <w:rsid w:val="003E5797"/>
    <w:rsid w:val="003E64A7"/>
    <w:rsid w:val="003E78A6"/>
    <w:rsid w:val="003F1FCD"/>
    <w:rsid w:val="003F372D"/>
    <w:rsid w:val="00402D9C"/>
    <w:rsid w:val="00402EF1"/>
    <w:rsid w:val="0040430D"/>
    <w:rsid w:val="004043B6"/>
    <w:rsid w:val="00404A30"/>
    <w:rsid w:val="004057BE"/>
    <w:rsid w:val="00406AA1"/>
    <w:rsid w:val="00407936"/>
    <w:rsid w:val="00410894"/>
    <w:rsid w:val="004109AA"/>
    <w:rsid w:val="00411F3B"/>
    <w:rsid w:val="00412243"/>
    <w:rsid w:val="00414CB6"/>
    <w:rsid w:val="00416D83"/>
    <w:rsid w:val="00417540"/>
    <w:rsid w:val="00420217"/>
    <w:rsid w:val="00420E74"/>
    <w:rsid w:val="00424713"/>
    <w:rsid w:val="00425EC4"/>
    <w:rsid w:val="004270E5"/>
    <w:rsid w:val="00427CDB"/>
    <w:rsid w:val="004308A6"/>
    <w:rsid w:val="00430B00"/>
    <w:rsid w:val="00431D0D"/>
    <w:rsid w:val="00432846"/>
    <w:rsid w:val="004336F8"/>
    <w:rsid w:val="004338ED"/>
    <w:rsid w:val="00435607"/>
    <w:rsid w:val="00435DEA"/>
    <w:rsid w:val="0043681D"/>
    <w:rsid w:val="004375D6"/>
    <w:rsid w:val="00437752"/>
    <w:rsid w:val="00441FC0"/>
    <w:rsid w:val="004428D2"/>
    <w:rsid w:val="00442FD1"/>
    <w:rsid w:val="00444609"/>
    <w:rsid w:val="00445731"/>
    <w:rsid w:val="00446770"/>
    <w:rsid w:val="004469A9"/>
    <w:rsid w:val="00446A48"/>
    <w:rsid w:val="00446B10"/>
    <w:rsid w:val="004473DF"/>
    <w:rsid w:val="004508F3"/>
    <w:rsid w:val="00455279"/>
    <w:rsid w:val="00455DF3"/>
    <w:rsid w:val="00456EC2"/>
    <w:rsid w:val="004577CC"/>
    <w:rsid w:val="004601F6"/>
    <w:rsid w:val="0046418B"/>
    <w:rsid w:val="0046439A"/>
    <w:rsid w:val="0046685E"/>
    <w:rsid w:val="00471192"/>
    <w:rsid w:val="0047146A"/>
    <w:rsid w:val="00472657"/>
    <w:rsid w:val="00473607"/>
    <w:rsid w:val="0047404B"/>
    <w:rsid w:val="00474488"/>
    <w:rsid w:val="00474671"/>
    <w:rsid w:val="00475923"/>
    <w:rsid w:val="004759EA"/>
    <w:rsid w:val="004765A3"/>
    <w:rsid w:val="00476ED1"/>
    <w:rsid w:val="004809BA"/>
    <w:rsid w:val="00481220"/>
    <w:rsid w:val="004825D0"/>
    <w:rsid w:val="00485125"/>
    <w:rsid w:val="00486216"/>
    <w:rsid w:val="004875C4"/>
    <w:rsid w:val="0049012F"/>
    <w:rsid w:val="00492E7E"/>
    <w:rsid w:val="0049309B"/>
    <w:rsid w:val="0049559D"/>
    <w:rsid w:val="00496A26"/>
    <w:rsid w:val="00496FAC"/>
    <w:rsid w:val="00497524"/>
    <w:rsid w:val="004A0703"/>
    <w:rsid w:val="004A0AFF"/>
    <w:rsid w:val="004A0EB5"/>
    <w:rsid w:val="004A485E"/>
    <w:rsid w:val="004A6374"/>
    <w:rsid w:val="004A6593"/>
    <w:rsid w:val="004A7908"/>
    <w:rsid w:val="004A7972"/>
    <w:rsid w:val="004A7D6A"/>
    <w:rsid w:val="004B0606"/>
    <w:rsid w:val="004B1E87"/>
    <w:rsid w:val="004B2CEB"/>
    <w:rsid w:val="004B4D14"/>
    <w:rsid w:val="004B55A0"/>
    <w:rsid w:val="004B56B2"/>
    <w:rsid w:val="004B5A97"/>
    <w:rsid w:val="004B5D6F"/>
    <w:rsid w:val="004B5DE1"/>
    <w:rsid w:val="004B6C51"/>
    <w:rsid w:val="004B7946"/>
    <w:rsid w:val="004B7F2D"/>
    <w:rsid w:val="004C0649"/>
    <w:rsid w:val="004C1CDF"/>
    <w:rsid w:val="004C2C79"/>
    <w:rsid w:val="004C4404"/>
    <w:rsid w:val="004C5697"/>
    <w:rsid w:val="004C6B8D"/>
    <w:rsid w:val="004C7779"/>
    <w:rsid w:val="004D153A"/>
    <w:rsid w:val="004D1A21"/>
    <w:rsid w:val="004D1B43"/>
    <w:rsid w:val="004D213A"/>
    <w:rsid w:val="004D2877"/>
    <w:rsid w:val="004D2EE4"/>
    <w:rsid w:val="004D41DF"/>
    <w:rsid w:val="004D7AEE"/>
    <w:rsid w:val="004D7C07"/>
    <w:rsid w:val="004D7DE5"/>
    <w:rsid w:val="004E0328"/>
    <w:rsid w:val="004E0B40"/>
    <w:rsid w:val="004E219C"/>
    <w:rsid w:val="004E2632"/>
    <w:rsid w:val="004E2677"/>
    <w:rsid w:val="004E42C2"/>
    <w:rsid w:val="004E4CC9"/>
    <w:rsid w:val="004E4D4D"/>
    <w:rsid w:val="004E5403"/>
    <w:rsid w:val="004E6AC9"/>
    <w:rsid w:val="004E6EF2"/>
    <w:rsid w:val="004E76CC"/>
    <w:rsid w:val="004E7A31"/>
    <w:rsid w:val="004F12AF"/>
    <w:rsid w:val="004F39CF"/>
    <w:rsid w:val="004F3C38"/>
    <w:rsid w:val="004F523F"/>
    <w:rsid w:val="004F5416"/>
    <w:rsid w:val="004F757D"/>
    <w:rsid w:val="004F769C"/>
    <w:rsid w:val="004F7E19"/>
    <w:rsid w:val="00501014"/>
    <w:rsid w:val="005018C9"/>
    <w:rsid w:val="00501D2C"/>
    <w:rsid w:val="00502B51"/>
    <w:rsid w:val="00502DFF"/>
    <w:rsid w:val="00503E80"/>
    <w:rsid w:val="0050743A"/>
    <w:rsid w:val="0050753C"/>
    <w:rsid w:val="00507558"/>
    <w:rsid w:val="005078E7"/>
    <w:rsid w:val="00510BEB"/>
    <w:rsid w:val="0051105B"/>
    <w:rsid w:val="00513B7F"/>
    <w:rsid w:val="005147BC"/>
    <w:rsid w:val="005157BA"/>
    <w:rsid w:val="00517F59"/>
    <w:rsid w:val="005218DB"/>
    <w:rsid w:val="0052227F"/>
    <w:rsid w:val="005236AD"/>
    <w:rsid w:val="00523A2C"/>
    <w:rsid w:val="00523E27"/>
    <w:rsid w:val="00525754"/>
    <w:rsid w:val="005260C1"/>
    <w:rsid w:val="00527644"/>
    <w:rsid w:val="00527BC2"/>
    <w:rsid w:val="00530063"/>
    <w:rsid w:val="00530F27"/>
    <w:rsid w:val="005336B4"/>
    <w:rsid w:val="005353D5"/>
    <w:rsid w:val="00535B38"/>
    <w:rsid w:val="00535F00"/>
    <w:rsid w:val="005360AD"/>
    <w:rsid w:val="00536FED"/>
    <w:rsid w:val="00537231"/>
    <w:rsid w:val="0054063A"/>
    <w:rsid w:val="00540810"/>
    <w:rsid w:val="00540E3E"/>
    <w:rsid w:val="0054177C"/>
    <w:rsid w:val="00541877"/>
    <w:rsid w:val="00541884"/>
    <w:rsid w:val="00542972"/>
    <w:rsid w:val="005435EF"/>
    <w:rsid w:val="00544EA8"/>
    <w:rsid w:val="00545376"/>
    <w:rsid w:val="0054618F"/>
    <w:rsid w:val="005461A1"/>
    <w:rsid w:val="00546BB2"/>
    <w:rsid w:val="00547227"/>
    <w:rsid w:val="005475AB"/>
    <w:rsid w:val="00550031"/>
    <w:rsid w:val="0055028F"/>
    <w:rsid w:val="00550D54"/>
    <w:rsid w:val="00551001"/>
    <w:rsid w:val="005525D1"/>
    <w:rsid w:val="00552F17"/>
    <w:rsid w:val="00552F5A"/>
    <w:rsid w:val="00555788"/>
    <w:rsid w:val="00556698"/>
    <w:rsid w:val="0056157A"/>
    <w:rsid w:val="00561852"/>
    <w:rsid w:val="005623E1"/>
    <w:rsid w:val="00563025"/>
    <w:rsid w:val="00566939"/>
    <w:rsid w:val="00567A34"/>
    <w:rsid w:val="005715DF"/>
    <w:rsid w:val="00571938"/>
    <w:rsid w:val="00571C17"/>
    <w:rsid w:val="00572683"/>
    <w:rsid w:val="00572CE7"/>
    <w:rsid w:val="00575FD3"/>
    <w:rsid w:val="00577153"/>
    <w:rsid w:val="00577C34"/>
    <w:rsid w:val="00577D01"/>
    <w:rsid w:val="00580B10"/>
    <w:rsid w:val="0058135D"/>
    <w:rsid w:val="0058161B"/>
    <w:rsid w:val="00581675"/>
    <w:rsid w:val="00582177"/>
    <w:rsid w:val="0058392A"/>
    <w:rsid w:val="005842FD"/>
    <w:rsid w:val="005845E7"/>
    <w:rsid w:val="00584872"/>
    <w:rsid w:val="00584F43"/>
    <w:rsid w:val="0058500B"/>
    <w:rsid w:val="005867DC"/>
    <w:rsid w:val="00586F9F"/>
    <w:rsid w:val="005877D1"/>
    <w:rsid w:val="00590294"/>
    <w:rsid w:val="005907FA"/>
    <w:rsid w:val="00590F40"/>
    <w:rsid w:val="005934F8"/>
    <w:rsid w:val="00593F9E"/>
    <w:rsid w:val="005A2D9F"/>
    <w:rsid w:val="005A32F7"/>
    <w:rsid w:val="005A3991"/>
    <w:rsid w:val="005A4A99"/>
    <w:rsid w:val="005A512C"/>
    <w:rsid w:val="005A572B"/>
    <w:rsid w:val="005A5925"/>
    <w:rsid w:val="005A636E"/>
    <w:rsid w:val="005A6CE7"/>
    <w:rsid w:val="005A7EBE"/>
    <w:rsid w:val="005B0033"/>
    <w:rsid w:val="005B0353"/>
    <w:rsid w:val="005B0750"/>
    <w:rsid w:val="005B0B16"/>
    <w:rsid w:val="005B0C7F"/>
    <w:rsid w:val="005B10A4"/>
    <w:rsid w:val="005B4563"/>
    <w:rsid w:val="005B5200"/>
    <w:rsid w:val="005B5693"/>
    <w:rsid w:val="005B5EA5"/>
    <w:rsid w:val="005B66A5"/>
    <w:rsid w:val="005B7C45"/>
    <w:rsid w:val="005C06CF"/>
    <w:rsid w:val="005C114F"/>
    <w:rsid w:val="005C254C"/>
    <w:rsid w:val="005C2A24"/>
    <w:rsid w:val="005C31F1"/>
    <w:rsid w:val="005C34BA"/>
    <w:rsid w:val="005C477E"/>
    <w:rsid w:val="005C4BCB"/>
    <w:rsid w:val="005C4CBC"/>
    <w:rsid w:val="005C534E"/>
    <w:rsid w:val="005C65A9"/>
    <w:rsid w:val="005C6C0A"/>
    <w:rsid w:val="005C736F"/>
    <w:rsid w:val="005C763A"/>
    <w:rsid w:val="005C7D9F"/>
    <w:rsid w:val="005D139D"/>
    <w:rsid w:val="005D268A"/>
    <w:rsid w:val="005D40DD"/>
    <w:rsid w:val="005D4633"/>
    <w:rsid w:val="005D50DE"/>
    <w:rsid w:val="005D5E72"/>
    <w:rsid w:val="005D7C36"/>
    <w:rsid w:val="005D7EF3"/>
    <w:rsid w:val="005E07B8"/>
    <w:rsid w:val="005E1257"/>
    <w:rsid w:val="005E269F"/>
    <w:rsid w:val="005E2EB7"/>
    <w:rsid w:val="005E3000"/>
    <w:rsid w:val="005E42C5"/>
    <w:rsid w:val="005E4788"/>
    <w:rsid w:val="005E4EF1"/>
    <w:rsid w:val="005E54CE"/>
    <w:rsid w:val="005E666A"/>
    <w:rsid w:val="005E6B88"/>
    <w:rsid w:val="005E7BF3"/>
    <w:rsid w:val="005F284C"/>
    <w:rsid w:val="005F51C6"/>
    <w:rsid w:val="005F5915"/>
    <w:rsid w:val="005F63F7"/>
    <w:rsid w:val="005F68AB"/>
    <w:rsid w:val="005F6B6B"/>
    <w:rsid w:val="005F7359"/>
    <w:rsid w:val="005F7A45"/>
    <w:rsid w:val="00601A69"/>
    <w:rsid w:val="00604FEE"/>
    <w:rsid w:val="00606208"/>
    <w:rsid w:val="00606806"/>
    <w:rsid w:val="00606CFD"/>
    <w:rsid w:val="00607757"/>
    <w:rsid w:val="006106F5"/>
    <w:rsid w:val="0061187E"/>
    <w:rsid w:val="00611E45"/>
    <w:rsid w:val="00612427"/>
    <w:rsid w:val="00612554"/>
    <w:rsid w:val="0061275B"/>
    <w:rsid w:val="0061395A"/>
    <w:rsid w:val="00615A81"/>
    <w:rsid w:val="00616454"/>
    <w:rsid w:val="00616D7B"/>
    <w:rsid w:val="0061794C"/>
    <w:rsid w:val="00617D70"/>
    <w:rsid w:val="00620C40"/>
    <w:rsid w:val="00621249"/>
    <w:rsid w:val="00622423"/>
    <w:rsid w:val="00624B54"/>
    <w:rsid w:val="006252BE"/>
    <w:rsid w:val="00625662"/>
    <w:rsid w:val="006259FE"/>
    <w:rsid w:val="00625E32"/>
    <w:rsid w:val="006266B5"/>
    <w:rsid w:val="00627797"/>
    <w:rsid w:val="00627FAB"/>
    <w:rsid w:val="00630B02"/>
    <w:rsid w:val="00631FB0"/>
    <w:rsid w:val="00632475"/>
    <w:rsid w:val="006330D2"/>
    <w:rsid w:val="00633D44"/>
    <w:rsid w:val="00634356"/>
    <w:rsid w:val="00634953"/>
    <w:rsid w:val="006349C6"/>
    <w:rsid w:val="006357AC"/>
    <w:rsid w:val="006359C8"/>
    <w:rsid w:val="00635B70"/>
    <w:rsid w:val="0063663F"/>
    <w:rsid w:val="00637358"/>
    <w:rsid w:val="006402EA"/>
    <w:rsid w:val="0064119C"/>
    <w:rsid w:val="00644629"/>
    <w:rsid w:val="00644D2E"/>
    <w:rsid w:val="00644EE6"/>
    <w:rsid w:val="00644F60"/>
    <w:rsid w:val="006450D8"/>
    <w:rsid w:val="006476EC"/>
    <w:rsid w:val="00650112"/>
    <w:rsid w:val="00650CE2"/>
    <w:rsid w:val="00652B8C"/>
    <w:rsid w:val="00656246"/>
    <w:rsid w:val="0065734E"/>
    <w:rsid w:val="006573D9"/>
    <w:rsid w:val="00660B6B"/>
    <w:rsid w:val="00660BA9"/>
    <w:rsid w:val="0066123D"/>
    <w:rsid w:val="00661EAD"/>
    <w:rsid w:val="006624F8"/>
    <w:rsid w:val="006629D3"/>
    <w:rsid w:val="00663173"/>
    <w:rsid w:val="00663932"/>
    <w:rsid w:val="006643D6"/>
    <w:rsid w:val="00664C97"/>
    <w:rsid w:val="006651AB"/>
    <w:rsid w:val="00665627"/>
    <w:rsid w:val="00665C17"/>
    <w:rsid w:val="0066644A"/>
    <w:rsid w:val="006666B1"/>
    <w:rsid w:val="00667070"/>
    <w:rsid w:val="00667401"/>
    <w:rsid w:val="00670147"/>
    <w:rsid w:val="00670D88"/>
    <w:rsid w:val="00671FDD"/>
    <w:rsid w:val="00672140"/>
    <w:rsid w:val="006725FA"/>
    <w:rsid w:val="00673D67"/>
    <w:rsid w:val="00674DE0"/>
    <w:rsid w:val="006750A7"/>
    <w:rsid w:val="00676F77"/>
    <w:rsid w:val="006777D4"/>
    <w:rsid w:val="00677DA9"/>
    <w:rsid w:val="00682D5F"/>
    <w:rsid w:val="00684EFB"/>
    <w:rsid w:val="00687366"/>
    <w:rsid w:val="006906D7"/>
    <w:rsid w:val="00691F96"/>
    <w:rsid w:val="00693259"/>
    <w:rsid w:val="00693987"/>
    <w:rsid w:val="00694C00"/>
    <w:rsid w:val="00695544"/>
    <w:rsid w:val="0069571A"/>
    <w:rsid w:val="00697C5B"/>
    <w:rsid w:val="00697E47"/>
    <w:rsid w:val="006A0236"/>
    <w:rsid w:val="006A0343"/>
    <w:rsid w:val="006A1573"/>
    <w:rsid w:val="006A1843"/>
    <w:rsid w:val="006A1D45"/>
    <w:rsid w:val="006A1E5B"/>
    <w:rsid w:val="006A230F"/>
    <w:rsid w:val="006A39AC"/>
    <w:rsid w:val="006A3AC9"/>
    <w:rsid w:val="006A4075"/>
    <w:rsid w:val="006A4354"/>
    <w:rsid w:val="006A4C75"/>
    <w:rsid w:val="006A55A8"/>
    <w:rsid w:val="006A5BB5"/>
    <w:rsid w:val="006A7A96"/>
    <w:rsid w:val="006B189C"/>
    <w:rsid w:val="006B1DDD"/>
    <w:rsid w:val="006B40C0"/>
    <w:rsid w:val="006B5677"/>
    <w:rsid w:val="006B6333"/>
    <w:rsid w:val="006B641B"/>
    <w:rsid w:val="006B7E3B"/>
    <w:rsid w:val="006C5429"/>
    <w:rsid w:val="006C5AC5"/>
    <w:rsid w:val="006C60A1"/>
    <w:rsid w:val="006D1FE5"/>
    <w:rsid w:val="006D2372"/>
    <w:rsid w:val="006D23A6"/>
    <w:rsid w:val="006D27CD"/>
    <w:rsid w:val="006D3040"/>
    <w:rsid w:val="006D4014"/>
    <w:rsid w:val="006D4E7E"/>
    <w:rsid w:val="006D6B33"/>
    <w:rsid w:val="006D72A6"/>
    <w:rsid w:val="006D785D"/>
    <w:rsid w:val="006D7DD6"/>
    <w:rsid w:val="006D7FE3"/>
    <w:rsid w:val="006E022D"/>
    <w:rsid w:val="006E0E4D"/>
    <w:rsid w:val="006E10EB"/>
    <w:rsid w:val="006E12FC"/>
    <w:rsid w:val="006E3E38"/>
    <w:rsid w:val="006E414E"/>
    <w:rsid w:val="006E7BA8"/>
    <w:rsid w:val="006E7F09"/>
    <w:rsid w:val="006F001C"/>
    <w:rsid w:val="006F087E"/>
    <w:rsid w:val="006F2125"/>
    <w:rsid w:val="006F2BE5"/>
    <w:rsid w:val="006F5821"/>
    <w:rsid w:val="006F7224"/>
    <w:rsid w:val="00701185"/>
    <w:rsid w:val="00702ED1"/>
    <w:rsid w:val="00703155"/>
    <w:rsid w:val="00703875"/>
    <w:rsid w:val="00705055"/>
    <w:rsid w:val="00705C9B"/>
    <w:rsid w:val="00707618"/>
    <w:rsid w:val="00707D81"/>
    <w:rsid w:val="0071022F"/>
    <w:rsid w:val="00710720"/>
    <w:rsid w:val="0071085D"/>
    <w:rsid w:val="0071130A"/>
    <w:rsid w:val="00711EE3"/>
    <w:rsid w:val="00711EF0"/>
    <w:rsid w:val="00713A61"/>
    <w:rsid w:val="00714A7E"/>
    <w:rsid w:val="007163A6"/>
    <w:rsid w:val="00716683"/>
    <w:rsid w:val="00716C88"/>
    <w:rsid w:val="007210A6"/>
    <w:rsid w:val="007236B6"/>
    <w:rsid w:val="007307BE"/>
    <w:rsid w:val="007311B0"/>
    <w:rsid w:val="00731BC4"/>
    <w:rsid w:val="00732949"/>
    <w:rsid w:val="00732A32"/>
    <w:rsid w:val="00732C2C"/>
    <w:rsid w:val="00732CDE"/>
    <w:rsid w:val="00733103"/>
    <w:rsid w:val="00734FD3"/>
    <w:rsid w:val="00735300"/>
    <w:rsid w:val="007374A1"/>
    <w:rsid w:val="00742210"/>
    <w:rsid w:val="007430A8"/>
    <w:rsid w:val="00743D62"/>
    <w:rsid w:val="0074402A"/>
    <w:rsid w:val="00744C54"/>
    <w:rsid w:val="00745E01"/>
    <w:rsid w:val="007468B0"/>
    <w:rsid w:val="007521B4"/>
    <w:rsid w:val="0075356A"/>
    <w:rsid w:val="0075480F"/>
    <w:rsid w:val="0075500A"/>
    <w:rsid w:val="007564E1"/>
    <w:rsid w:val="00760C7B"/>
    <w:rsid w:val="0076196E"/>
    <w:rsid w:val="00762392"/>
    <w:rsid w:val="00762C59"/>
    <w:rsid w:val="00762E15"/>
    <w:rsid w:val="00764460"/>
    <w:rsid w:val="007651B4"/>
    <w:rsid w:val="00765E51"/>
    <w:rsid w:val="00766525"/>
    <w:rsid w:val="007727DC"/>
    <w:rsid w:val="00772F19"/>
    <w:rsid w:val="00773E0E"/>
    <w:rsid w:val="007743AC"/>
    <w:rsid w:val="0077546C"/>
    <w:rsid w:val="007767C0"/>
    <w:rsid w:val="007804A6"/>
    <w:rsid w:val="007824E5"/>
    <w:rsid w:val="00784782"/>
    <w:rsid w:val="00785082"/>
    <w:rsid w:val="00785869"/>
    <w:rsid w:val="00786867"/>
    <w:rsid w:val="0079007E"/>
    <w:rsid w:val="00790FF0"/>
    <w:rsid w:val="007913B7"/>
    <w:rsid w:val="007936B2"/>
    <w:rsid w:val="00794A0C"/>
    <w:rsid w:val="00796B69"/>
    <w:rsid w:val="0079798D"/>
    <w:rsid w:val="00797E13"/>
    <w:rsid w:val="007A0ABA"/>
    <w:rsid w:val="007A128A"/>
    <w:rsid w:val="007A35E9"/>
    <w:rsid w:val="007A4195"/>
    <w:rsid w:val="007A4518"/>
    <w:rsid w:val="007A6530"/>
    <w:rsid w:val="007B0F14"/>
    <w:rsid w:val="007B1803"/>
    <w:rsid w:val="007B3512"/>
    <w:rsid w:val="007B387B"/>
    <w:rsid w:val="007B41F6"/>
    <w:rsid w:val="007B46A6"/>
    <w:rsid w:val="007B5E77"/>
    <w:rsid w:val="007B5EE4"/>
    <w:rsid w:val="007C38C4"/>
    <w:rsid w:val="007C4025"/>
    <w:rsid w:val="007C43DF"/>
    <w:rsid w:val="007C7AAC"/>
    <w:rsid w:val="007D2625"/>
    <w:rsid w:val="007D268B"/>
    <w:rsid w:val="007D26D3"/>
    <w:rsid w:val="007D569A"/>
    <w:rsid w:val="007D62D7"/>
    <w:rsid w:val="007D6C6A"/>
    <w:rsid w:val="007E1166"/>
    <w:rsid w:val="007E1962"/>
    <w:rsid w:val="007E1ED1"/>
    <w:rsid w:val="007E3C9E"/>
    <w:rsid w:val="007E4744"/>
    <w:rsid w:val="007E4B50"/>
    <w:rsid w:val="007E54B3"/>
    <w:rsid w:val="007E567C"/>
    <w:rsid w:val="007E5D3F"/>
    <w:rsid w:val="007E702D"/>
    <w:rsid w:val="007E7A93"/>
    <w:rsid w:val="007F2347"/>
    <w:rsid w:val="007F2803"/>
    <w:rsid w:val="007F366C"/>
    <w:rsid w:val="007F4ABD"/>
    <w:rsid w:val="007F545F"/>
    <w:rsid w:val="007F6C69"/>
    <w:rsid w:val="007F6C87"/>
    <w:rsid w:val="00800835"/>
    <w:rsid w:val="0080162F"/>
    <w:rsid w:val="00802E59"/>
    <w:rsid w:val="008031C6"/>
    <w:rsid w:val="00804524"/>
    <w:rsid w:val="00804782"/>
    <w:rsid w:val="00805557"/>
    <w:rsid w:val="00805912"/>
    <w:rsid w:val="00805E15"/>
    <w:rsid w:val="00806635"/>
    <w:rsid w:val="00807B98"/>
    <w:rsid w:val="00810CAC"/>
    <w:rsid w:val="00812819"/>
    <w:rsid w:val="00813914"/>
    <w:rsid w:val="00814581"/>
    <w:rsid w:val="00814B95"/>
    <w:rsid w:val="008160FC"/>
    <w:rsid w:val="00816485"/>
    <w:rsid w:val="00820C31"/>
    <w:rsid w:val="008235D3"/>
    <w:rsid w:val="00823A58"/>
    <w:rsid w:val="00824ABF"/>
    <w:rsid w:val="008300F6"/>
    <w:rsid w:val="00830475"/>
    <w:rsid w:val="0083138D"/>
    <w:rsid w:val="00833C3C"/>
    <w:rsid w:val="0083615D"/>
    <w:rsid w:val="0083689C"/>
    <w:rsid w:val="00837AD6"/>
    <w:rsid w:val="008431DC"/>
    <w:rsid w:val="00843978"/>
    <w:rsid w:val="008447B5"/>
    <w:rsid w:val="0084757A"/>
    <w:rsid w:val="00847641"/>
    <w:rsid w:val="008515AA"/>
    <w:rsid w:val="008518C7"/>
    <w:rsid w:val="00851D69"/>
    <w:rsid w:val="00853C43"/>
    <w:rsid w:val="00854446"/>
    <w:rsid w:val="0085562A"/>
    <w:rsid w:val="00855A06"/>
    <w:rsid w:val="00856C3E"/>
    <w:rsid w:val="00857B1E"/>
    <w:rsid w:val="008601B1"/>
    <w:rsid w:val="00861993"/>
    <w:rsid w:val="00862C03"/>
    <w:rsid w:val="00863746"/>
    <w:rsid w:val="008640B1"/>
    <w:rsid w:val="00864FAA"/>
    <w:rsid w:val="008663E6"/>
    <w:rsid w:val="00866BB6"/>
    <w:rsid w:val="0087168A"/>
    <w:rsid w:val="00871AD8"/>
    <w:rsid w:val="00874016"/>
    <w:rsid w:val="00874141"/>
    <w:rsid w:val="008757CD"/>
    <w:rsid w:val="0087666B"/>
    <w:rsid w:val="00876A4A"/>
    <w:rsid w:val="008817C7"/>
    <w:rsid w:val="00881F09"/>
    <w:rsid w:val="0088550A"/>
    <w:rsid w:val="00885F43"/>
    <w:rsid w:val="008902C4"/>
    <w:rsid w:val="00890F2F"/>
    <w:rsid w:val="008917C2"/>
    <w:rsid w:val="00891FA0"/>
    <w:rsid w:val="0089223D"/>
    <w:rsid w:val="00892646"/>
    <w:rsid w:val="00892F12"/>
    <w:rsid w:val="00893F3D"/>
    <w:rsid w:val="00894000"/>
    <w:rsid w:val="00896B7F"/>
    <w:rsid w:val="0089701B"/>
    <w:rsid w:val="008A13C7"/>
    <w:rsid w:val="008A2B16"/>
    <w:rsid w:val="008A43D8"/>
    <w:rsid w:val="008A559D"/>
    <w:rsid w:val="008B0BC3"/>
    <w:rsid w:val="008B18D9"/>
    <w:rsid w:val="008B1BE7"/>
    <w:rsid w:val="008B2ECE"/>
    <w:rsid w:val="008B3868"/>
    <w:rsid w:val="008B3C56"/>
    <w:rsid w:val="008B5729"/>
    <w:rsid w:val="008C088B"/>
    <w:rsid w:val="008C35B4"/>
    <w:rsid w:val="008C5CED"/>
    <w:rsid w:val="008D06CB"/>
    <w:rsid w:val="008D1F9F"/>
    <w:rsid w:val="008D297F"/>
    <w:rsid w:val="008D2BA2"/>
    <w:rsid w:val="008D5143"/>
    <w:rsid w:val="008D6392"/>
    <w:rsid w:val="008D65CD"/>
    <w:rsid w:val="008E0ABF"/>
    <w:rsid w:val="008E25E6"/>
    <w:rsid w:val="008E3C91"/>
    <w:rsid w:val="008E3FCF"/>
    <w:rsid w:val="008E4F1C"/>
    <w:rsid w:val="008E6F07"/>
    <w:rsid w:val="008F1B9A"/>
    <w:rsid w:val="008F4FBA"/>
    <w:rsid w:val="00900215"/>
    <w:rsid w:val="0090030C"/>
    <w:rsid w:val="00901DC5"/>
    <w:rsid w:val="009024EE"/>
    <w:rsid w:val="00904328"/>
    <w:rsid w:val="0091298C"/>
    <w:rsid w:val="00912F73"/>
    <w:rsid w:val="00913D36"/>
    <w:rsid w:val="00914A4E"/>
    <w:rsid w:val="00915352"/>
    <w:rsid w:val="00915B80"/>
    <w:rsid w:val="00921898"/>
    <w:rsid w:val="00923232"/>
    <w:rsid w:val="00924782"/>
    <w:rsid w:val="00924CC4"/>
    <w:rsid w:val="00925A93"/>
    <w:rsid w:val="00925F8C"/>
    <w:rsid w:val="00926E9D"/>
    <w:rsid w:val="00931954"/>
    <w:rsid w:val="0093324C"/>
    <w:rsid w:val="0093482D"/>
    <w:rsid w:val="009354D1"/>
    <w:rsid w:val="009361E7"/>
    <w:rsid w:val="00937542"/>
    <w:rsid w:val="00937CCB"/>
    <w:rsid w:val="009412D8"/>
    <w:rsid w:val="00942633"/>
    <w:rsid w:val="0094273C"/>
    <w:rsid w:val="00942D2C"/>
    <w:rsid w:val="0094439A"/>
    <w:rsid w:val="009456DC"/>
    <w:rsid w:val="00947264"/>
    <w:rsid w:val="0095003F"/>
    <w:rsid w:val="0095064F"/>
    <w:rsid w:val="00953A01"/>
    <w:rsid w:val="00953C47"/>
    <w:rsid w:val="0095410A"/>
    <w:rsid w:val="009544DB"/>
    <w:rsid w:val="009556A6"/>
    <w:rsid w:val="00957B9D"/>
    <w:rsid w:val="00957BB2"/>
    <w:rsid w:val="00960A51"/>
    <w:rsid w:val="00960B28"/>
    <w:rsid w:val="00960CA9"/>
    <w:rsid w:val="00962E63"/>
    <w:rsid w:val="00964E9D"/>
    <w:rsid w:val="009653A4"/>
    <w:rsid w:val="00966203"/>
    <w:rsid w:val="009665CC"/>
    <w:rsid w:val="00971911"/>
    <w:rsid w:val="009720B8"/>
    <w:rsid w:val="00973143"/>
    <w:rsid w:val="00973600"/>
    <w:rsid w:val="00973DCC"/>
    <w:rsid w:val="009742D9"/>
    <w:rsid w:val="009755FA"/>
    <w:rsid w:val="00975FBF"/>
    <w:rsid w:val="00980B55"/>
    <w:rsid w:val="0098125D"/>
    <w:rsid w:val="0098180E"/>
    <w:rsid w:val="00983718"/>
    <w:rsid w:val="009843CE"/>
    <w:rsid w:val="00984AF1"/>
    <w:rsid w:val="009853E6"/>
    <w:rsid w:val="0098563C"/>
    <w:rsid w:val="00985657"/>
    <w:rsid w:val="00985A52"/>
    <w:rsid w:val="00985D8C"/>
    <w:rsid w:val="00986900"/>
    <w:rsid w:val="009904DE"/>
    <w:rsid w:val="0099185E"/>
    <w:rsid w:val="00992618"/>
    <w:rsid w:val="00992792"/>
    <w:rsid w:val="00992A5A"/>
    <w:rsid w:val="0099358D"/>
    <w:rsid w:val="00994AD2"/>
    <w:rsid w:val="00994D68"/>
    <w:rsid w:val="0099726E"/>
    <w:rsid w:val="00997C74"/>
    <w:rsid w:val="009A0520"/>
    <w:rsid w:val="009A0FEA"/>
    <w:rsid w:val="009A12F8"/>
    <w:rsid w:val="009A2C8C"/>
    <w:rsid w:val="009A2E2E"/>
    <w:rsid w:val="009A430A"/>
    <w:rsid w:val="009A44CE"/>
    <w:rsid w:val="009A7043"/>
    <w:rsid w:val="009B0E38"/>
    <w:rsid w:val="009B51FA"/>
    <w:rsid w:val="009B7898"/>
    <w:rsid w:val="009C0673"/>
    <w:rsid w:val="009C3096"/>
    <w:rsid w:val="009C383B"/>
    <w:rsid w:val="009C3A0F"/>
    <w:rsid w:val="009D09C5"/>
    <w:rsid w:val="009D1B93"/>
    <w:rsid w:val="009D22D3"/>
    <w:rsid w:val="009D29B3"/>
    <w:rsid w:val="009D4FAC"/>
    <w:rsid w:val="009D53C7"/>
    <w:rsid w:val="009E1263"/>
    <w:rsid w:val="009E2079"/>
    <w:rsid w:val="009E2192"/>
    <w:rsid w:val="009E271B"/>
    <w:rsid w:val="009E2770"/>
    <w:rsid w:val="009E3535"/>
    <w:rsid w:val="009E45A7"/>
    <w:rsid w:val="009E5E75"/>
    <w:rsid w:val="009E5E9F"/>
    <w:rsid w:val="009E6940"/>
    <w:rsid w:val="009E79A8"/>
    <w:rsid w:val="009E7B55"/>
    <w:rsid w:val="009F17D6"/>
    <w:rsid w:val="009F3DC7"/>
    <w:rsid w:val="009F5639"/>
    <w:rsid w:val="00A0402A"/>
    <w:rsid w:val="00A040B3"/>
    <w:rsid w:val="00A05955"/>
    <w:rsid w:val="00A05A39"/>
    <w:rsid w:val="00A10444"/>
    <w:rsid w:val="00A1270A"/>
    <w:rsid w:val="00A12D3F"/>
    <w:rsid w:val="00A14416"/>
    <w:rsid w:val="00A14C02"/>
    <w:rsid w:val="00A153FB"/>
    <w:rsid w:val="00A163FE"/>
    <w:rsid w:val="00A178C3"/>
    <w:rsid w:val="00A20CD8"/>
    <w:rsid w:val="00A2251C"/>
    <w:rsid w:val="00A229CE"/>
    <w:rsid w:val="00A23EBF"/>
    <w:rsid w:val="00A24BD5"/>
    <w:rsid w:val="00A30742"/>
    <w:rsid w:val="00A31438"/>
    <w:rsid w:val="00A317A1"/>
    <w:rsid w:val="00A3224B"/>
    <w:rsid w:val="00A322C1"/>
    <w:rsid w:val="00A32B69"/>
    <w:rsid w:val="00A32C10"/>
    <w:rsid w:val="00A33153"/>
    <w:rsid w:val="00A34C3E"/>
    <w:rsid w:val="00A34DE2"/>
    <w:rsid w:val="00A35A0C"/>
    <w:rsid w:val="00A376E8"/>
    <w:rsid w:val="00A40035"/>
    <w:rsid w:val="00A41614"/>
    <w:rsid w:val="00A443EA"/>
    <w:rsid w:val="00A45D82"/>
    <w:rsid w:val="00A46074"/>
    <w:rsid w:val="00A464DA"/>
    <w:rsid w:val="00A466EA"/>
    <w:rsid w:val="00A46FD3"/>
    <w:rsid w:val="00A51F8C"/>
    <w:rsid w:val="00A52267"/>
    <w:rsid w:val="00A555E4"/>
    <w:rsid w:val="00A55919"/>
    <w:rsid w:val="00A56349"/>
    <w:rsid w:val="00A575E3"/>
    <w:rsid w:val="00A61161"/>
    <w:rsid w:val="00A61313"/>
    <w:rsid w:val="00A6177A"/>
    <w:rsid w:val="00A62429"/>
    <w:rsid w:val="00A62B21"/>
    <w:rsid w:val="00A63493"/>
    <w:rsid w:val="00A63D98"/>
    <w:rsid w:val="00A6439D"/>
    <w:rsid w:val="00A66B91"/>
    <w:rsid w:val="00A66F2D"/>
    <w:rsid w:val="00A67D3E"/>
    <w:rsid w:val="00A70891"/>
    <w:rsid w:val="00A71BE0"/>
    <w:rsid w:val="00A723C5"/>
    <w:rsid w:val="00A738EC"/>
    <w:rsid w:val="00A743E2"/>
    <w:rsid w:val="00A74C09"/>
    <w:rsid w:val="00A75254"/>
    <w:rsid w:val="00A76F6A"/>
    <w:rsid w:val="00A770CA"/>
    <w:rsid w:val="00A77444"/>
    <w:rsid w:val="00A809CC"/>
    <w:rsid w:val="00A82B1E"/>
    <w:rsid w:val="00A83C9E"/>
    <w:rsid w:val="00A84601"/>
    <w:rsid w:val="00A848AE"/>
    <w:rsid w:val="00A86726"/>
    <w:rsid w:val="00A86BB2"/>
    <w:rsid w:val="00A87067"/>
    <w:rsid w:val="00A902DF"/>
    <w:rsid w:val="00A90307"/>
    <w:rsid w:val="00A90E67"/>
    <w:rsid w:val="00A93BFA"/>
    <w:rsid w:val="00A94001"/>
    <w:rsid w:val="00A961ED"/>
    <w:rsid w:val="00A9767B"/>
    <w:rsid w:val="00A97FCE"/>
    <w:rsid w:val="00AA3035"/>
    <w:rsid w:val="00AA40B4"/>
    <w:rsid w:val="00AA43F2"/>
    <w:rsid w:val="00AA5252"/>
    <w:rsid w:val="00AA595E"/>
    <w:rsid w:val="00AA6C19"/>
    <w:rsid w:val="00AA712C"/>
    <w:rsid w:val="00AA78AC"/>
    <w:rsid w:val="00AB05E2"/>
    <w:rsid w:val="00AB0EF9"/>
    <w:rsid w:val="00AB0F33"/>
    <w:rsid w:val="00AB377C"/>
    <w:rsid w:val="00AB4E1A"/>
    <w:rsid w:val="00AB5482"/>
    <w:rsid w:val="00AB5DEB"/>
    <w:rsid w:val="00AB7A19"/>
    <w:rsid w:val="00AC1A6A"/>
    <w:rsid w:val="00AC34F3"/>
    <w:rsid w:val="00AC4061"/>
    <w:rsid w:val="00AC45BE"/>
    <w:rsid w:val="00AC7C31"/>
    <w:rsid w:val="00AD11DE"/>
    <w:rsid w:val="00AD13F8"/>
    <w:rsid w:val="00AD1C25"/>
    <w:rsid w:val="00AD2CC1"/>
    <w:rsid w:val="00AD3864"/>
    <w:rsid w:val="00AD4E6F"/>
    <w:rsid w:val="00AD78A5"/>
    <w:rsid w:val="00AD7952"/>
    <w:rsid w:val="00AD7A60"/>
    <w:rsid w:val="00AE2033"/>
    <w:rsid w:val="00AE2FCC"/>
    <w:rsid w:val="00AE360E"/>
    <w:rsid w:val="00AE53CD"/>
    <w:rsid w:val="00AE7276"/>
    <w:rsid w:val="00AE7C8F"/>
    <w:rsid w:val="00AF0B7B"/>
    <w:rsid w:val="00AF0E7E"/>
    <w:rsid w:val="00AF1BFF"/>
    <w:rsid w:val="00AF26ED"/>
    <w:rsid w:val="00AF3A2F"/>
    <w:rsid w:val="00AF5111"/>
    <w:rsid w:val="00AF5600"/>
    <w:rsid w:val="00AF63E8"/>
    <w:rsid w:val="00AF6874"/>
    <w:rsid w:val="00AF69CB"/>
    <w:rsid w:val="00AF69D7"/>
    <w:rsid w:val="00AF6A3E"/>
    <w:rsid w:val="00AF7469"/>
    <w:rsid w:val="00B00B13"/>
    <w:rsid w:val="00B029ED"/>
    <w:rsid w:val="00B03F4E"/>
    <w:rsid w:val="00B04313"/>
    <w:rsid w:val="00B05A5D"/>
    <w:rsid w:val="00B0604F"/>
    <w:rsid w:val="00B06594"/>
    <w:rsid w:val="00B07C5C"/>
    <w:rsid w:val="00B107E1"/>
    <w:rsid w:val="00B11730"/>
    <w:rsid w:val="00B12D8C"/>
    <w:rsid w:val="00B13EDD"/>
    <w:rsid w:val="00B14111"/>
    <w:rsid w:val="00B14313"/>
    <w:rsid w:val="00B15549"/>
    <w:rsid w:val="00B16379"/>
    <w:rsid w:val="00B16C95"/>
    <w:rsid w:val="00B1722D"/>
    <w:rsid w:val="00B2158A"/>
    <w:rsid w:val="00B236A7"/>
    <w:rsid w:val="00B2534D"/>
    <w:rsid w:val="00B25C00"/>
    <w:rsid w:val="00B27A0F"/>
    <w:rsid w:val="00B30B23"/>
    <w:rsid w:val="00B3405F"/>
    <w:rsid w:val="00B34642"/>
    <w:rsid w:val="00B40948"/>
    <w:rsid w:val="00B40FB9"/>
    <w:rsid w:val="00B411AA"/>
    <w:rsid w:val="00B43297"/>
    <w:rsid w:val="00B45A44"/>
    <w:rsid w:val="00B46526"/>
    <w:rsid w:val="00B51777"/>
    <w:rsid w:val="00B52025"/>
    <w:rsid w:val="00B54190"/>
    <w:rsid w:val="00B5608B"/>
    <w:rsid w:val="00B574DD"/>
    <w:rsid w:val="00B622A2"/>
    <w:rsid w:val="00B62B64"/>
    <w:rsid w:val="00B6375C"/>
    <w:rsid w:val="00B673B5"/>
    <w:rsid w:val="00B678FE"/>
    <w:rsid w:val="00B74270"/>
    <w:rsid w:val="00B74A26"/>
    <w:rsid w:val="00B764C3"/>
    <w:rsid w:val="00B83C9F"/>
    <w:rsid w:val="00B83FE1"/>
    <w:rsid w:val="00B8538A"/>
    <w:rsid w:val="00B86D31"/>
    <w:rsid w:val="00B90C79"/>
    <w:rsid w:val="00B90F17"/>
    <w:rsid w:val="00B9227A"/>
    <w:rsid w:val="00B969C8"/>
    <w:rsid w:val="00B96D23"/>
    <w:rsid w:val="00B971D2"/>
    <w:rsid w:val="00B97774"/>
    <w:rsid w:val="00BA0D63"/>
    <w:rsid w:val="00BA2D4D"/>
    <w:rsid w:val="00BA4FFE"/>
    <w:rsid w:val="00BA5A6D"/>
    <w:rsid w:val="00BA7839"/>
    <w:rsid w:val="00BA795B"/>
    <w:rsid w:val="00BB2415"/>
    <w:rsid w:val="00BB2D9A"/>
    <w:rsid w:val="00BB3E31"/>
    <w:rsid w:val="00BB427D"/>
    <w:rsid w:val="00BB6E43"/>
    <w:rsid w:val="00BB778E"/>
    <w:rsid w:val="00BB7946"/>
    <w:rsid w:val="00BC0B2E"/>
    <w:rsid w:val="00BC29A4"/>
    <w:rsid w:val="00BC2DA8"/>
    <w:rsid w:val="00BC475F"/>
    <w:rsid w:val="00BC4B96"/>
    <w:rsid w:val="00BC4D9B"/>
    <w:rsid w:val="00BD1734"/>
    <w:rsid w:val="00BD27F6"/>
    <w:rsid w:val="00BD3956"/>
    <w:rsid w:val="00BD4583"/>
    <w:rsid w:val="00BE07F2"/>
    <w:rsid w:val="00BE08A9"/>
    <w:rsid w:val="00BE25E9"/>
    <w:rsid w:val="00BE2A05"/>
    <w:rsid w:val="00BE3DED"/>
    <w:rsid w:val="00BE551A"/>
    <w:rsid w:val="00BE5A6E"/>
    <w:rsid w:val="00BE5FBF"/>
    <w:rsid w:val="00BE6E68"/>
    <w:rsid w:val="00BE792B"/>
    <w:rsid w:val="00BE7ACB"/>
    <w:rsid w:val="00BF106B"/>
    <w:rsid w:val="00BF287B"/>
    <w:rsid w:val="00BF4B30"/>
    <w:rsid w:val="00BF6CEA"/>
    <w:rsid w:val="00BF774E"/>
    <w:rsid w:val="00BF7939"/>
    <w:rsid w:val="00BF79F0"/>
    <w:rsid w:val="00C014EA"/>
    <w:rsid w:val="00C017E7"/>
    <w:rsid w:val="00C01F94"/>
    <w:rsid w:val="00C02E2E"/>
    <w:rsid w:val="00C0310F"/>
    <w:rsid w:val="00C0556A"/>
    <w:rsid w:val="00C05D59"/>
    <w:rsid w:val="00C07C8C"/>
    <w:rsid w:val="00C1222D"/>
    <w:rsid w:val="00C12A9E"/>
    <w:rsid w:val="00C134E3"/>
    <w:rsid w:val="00C13B7C"/>
    <w:rsid w:val="00C13C29"/>
    <w:rsid w:val="00C14537"/>
    <w:rsid w:val="00C1542B"/>
    <w:rsid w:val="00C16B95"/>
    <w:rsid w:val="00C17F0F"/>
    <w:rsid w:val="00C20096"/>
    <w:rsid w:val="00C22181"/>
    <w:rsid w:val="00C22998"/>
    <w:rsid w:val="00C24813"/>
    <w:rsid w:val="00C2482F"/>
    <w:rsid w:val="00C25B20"/>
    <w:rsid w:val="00C25FEB"/>
    <w:rsid w:val="00C277C7"/>
    <w:rsid w:val="00C3082C"/>
    <w:rsid w:val="00C314F1"/>
    <w:rsid w:val="00C31FB6"/>
    <w:rsid w:val="00C32433"/>
    <w:rsid w:val="00C3310B"/>
    <w:rsid w:val="00C333C3"/>
    <w:rsid w:val="00C3501D"/>
    <w:rsid w:val="00C358E8"/>
    <w:rsid w:val="00C35AE4"/>
    <w:rsid w:val="00C36D72"/>
    <w:rsid w:val="00C379DB"/>
    <w:rsid w:val="00C40278"/>
    <w:rsid w:val="00C402A6"/>
    <w:rsid w:val="00C408A1"/>
    <w:rsid w:val="00C43CB8"/>
    <w:rsid w:val="00C451FE"/>
    <w:rsid w:val="00C45DC0"/>
    <w:rsid w:val="00C46247"/>
    <w:rsid w:val="00C469EC"/>
    <w:rsid w:val="00C50E6D"/>
    <w:rsid w:val="00C521F4"/>
    <w:rsid w:val="00C5240E"/>
    <w:rsid w:val="00C53003"/>
    <w:rsid w:val="00C53918"/>
    <w:rsid w:val="00C55C0B"/>
    <w:rsid w:val="00C57103"/>
    <w:rsid w:val="00C578B0"/>
    <w:rsid w:val="00C57B24"/>
    <w:rsid w:val="00C616B6"/>
    <w:rsid w:val="00C63ACF"/>
    <w:rsid w:val="00C646D3"/>
    <w:rsid w:val="00C64E3E"/>
    <w:rsid w:val="00C65375"/>
    <w:rsid w:val="00C66358"/>
    <w:rsid w:val="00C66DE8"/>
    <w:rsid w:val="00C66F06"/>
    <w:rsid w:val="00C67D00"/>
    <w:rsid w:val="00C67F05"/>
    <w:rsid w:val="00C7178A"/>
    <w:rsid w:val="00C717E3"/>
    <w:rsid w:val="00C71B76"/>
    <w:rsid w:val="00C72AA6"/>
    <w:rsid w:val="00C743A8"/>
    <w:rsid w:val="00C7652D"/>
    <w:rsid w:val="00C76724"/>
    <w:rsid w:val="00C773B4"/>
    <w:rsid w:val="00C77424"/>
    <w:rsid w:val="00C77482"/>
    <w:rsid w:val="00C822C9"/>
    <w:rsid w:val="00C82BE2"/>
    <w:rsid w:val="00C871D1"/>
    <w:rsid w:val="00C87575"/>
    <w:rsid w:val="00C9011A"/>
    <w:rsid w:val="00C92A61"/>
    <w:rsid w:val="00C93669"/>
    <w:rsid w:val="00C9410C"/>
    <w:rsid w:val="00C9458D"/>
    <w:rsid w:val="00C94DBA"/>
    <w:rsid w:val="00C96DA6"/>
    <w:rsid w:val="00CA04AA"/>
    <w:rsid w:val="00CA2254"/>
    <w:rsid w:val="00CA386A"/>
    <w:rsid w:val="00CA3E7D"/>
    <w:rsid w:val="00CA47E6"/>
    <w:rsid w:val="00CA71CD"/>
    <w:rsid w:val="00CB0CD0"/>
    <w:rsid w:val="00CB0F0D"/>
    <w:rsid w:val="00CB1629"/>
    <w:rsid w:val="00CB1FED"/>
    <w:rsid w:val="00CB2951"/>
    <w:rsid w:val="00CB35CF"/>
    <w:rsid w:val="00CB37BE"/>
    <w:rsid w:val="00CB520B"/>
    <w:rsid w:val="00CB5DC5"/>
    <w:rsid w:val="00CB6A79"/>
    <w:rsid w:val="00CB6C83"/>
    <w:rsid w:val="00CB73D2"/>
    <w:rsid w:val="00CC053F"/>
    <w:rsid w:val="00CC1307"/>
    <w:rsid w:val="00CC1AF1"/>
    <w:rsid w:val="00CC28B9"/>
    <w:rsid w:val="00CC2932"/>
    <w:rsid w:val="00CC32F0"/>
    <w:rsid w:val="00CC4545"/>
    <w:rsid w:val="00CC458B"/>
    <w:rsid w:val="00CC4C49"/>
    <w:rsid w:val="00CC55D3"/>
    <w:rsid w:val="00CC61B0"/>
    <w:rsid w:val="00CC63C1"/>
    <w:rsid w:val="00CC78E6"/>
    <w:rsid w:val="00CD0295"/>
    <w:rsid w:val="00CD0436"/>
    <w:rsid w:val="00CD1EBB"/>
    <w:rsid w:val="00CD596A"/>
    <w:rsid w:val="00CD6A2F"/>
    <w:rsid w:val="00CD7A42"/>
    <w:rsid w:val="00CE135F"/>
    <w:rsid w:val="00CE1CB8"/>
    <w:rsid w:val="00CE1E85"/>
    <w:rsid w:val="00CE3414"/>
    <w:rsid w:val="00CE40A3"/>
    <w:rsid w:val="00CE4807"/>
    <w:rsid w:val="00CE754A"/>
    <w:rsid w:val="00CE7D5B"/>
    <w:rsid w:val="00CF0A27"/>
    <w:rsid w:val="00CF0EBC"/>
    <w:rsid w:val="00CF1CFF"/>
    <w:rsid w:val="00CF21D4"/>
    <w:rsid w:val="00CF2EEE"/>
    <w:rsid w:val="00D00881"/>
    <w:rsid w:val="00D01BFD"/>
    <w:rsid w:val="00D021B9"/>
    <w:rsid w:val="00D037D2"/>
    <w:rsid w:val="00D07CCB"/>
    <w:rsid w:val="00D07D69"/>
    <w:rsid w:val="00D07FDC"/>
    <w:rsid w:val="00D103BD"/>
    <w:rsid w:val="00D11F85"/>
    <w:rsid w:val="00D13A8C"/>
    <w:rsid w:val="00D13BDF"/>
    <w:rsid w:val="00D14F46"/>
    <w:rsid w:val="00D16261"/>
    <w:rsid w:val="00D16FD8"/>
    <w:rsid w:val="00D172AA"/>
    <w:rsid w:val="00D1741C"/>
    <w:rsid w:val="00D200F5"/>
    <w:rsid w:val="00D2146C"/>
    <w:rsid w:val="00D2547A"/>
    <w:rsid w:val="00D27097"/>
    <w:rsid w:val="00D271F7"/>
    <w:rsid w:val="00D31D18"/>
    <w:rsid w:val="00D323C7"/>
    <w:rsid w:val="00D3450E"/>
    <w:rsid w:val="00D350EE"/>
    <w:rsid w:val="00D35F3F"/>
    <w:rsid w:val="00D36958"/>
    <w:rsid w:val="00D37131"/>
    <w:rsid w:val="00D376F0"/>
    <w:rsid w:val="00D37845"/>
    <w:rsid w:val="00D40CEB"/>
    <w:rsid w:val="00D43797"/>
    <w:rsid w:val="00D44936"/>
    <w:rsid w:val="00D45883"/>
    <w:rsid w:val="00D4737D"/>
    <w:rsid w:val="00D502E2"/>
    <w:rsid w:val="00D533BB"/>
    <w:rsid w:val="00D535C9"/>
    <w:rsid w:val="00D53A83"/>
    <w:rsid w:val="00D55A3B"/>
    <w:rsid w:val="00D560ED"/>
    <w:rsid w:val="00D5718D"/>
    <w:rsid w:val="00D57276"/>
    <w:rsid w:val="00D57C9B"/>
    <w:rsid w:val="00D60422"/>
    <w:rsid w:val="00D60B21"/>
    <w:rsid w:val="00D613A4"/>
    <w:rsid w:val="00D630DD"/>
    <w:rsid w:val="00D64AB5"/>
    <w:rsid w:val="00D6578C"/>
    <w:rsid w:val="00D703A5"/>
    <w:rsid w:val="00D708E2"/>
    <w:rsid w:val="00D7110F"/>
    <w:rsid w:val="00D72025"/>
    <w:rsid w:val="00D728C5"/>
    <w:rsid w:val="00D745F5"/>
    <w:rsid w:val="00D74770"/>
    <w:rsid w:val="00D7798E"/>
    <w:rsid w:val="00D77C3E"/>
    <w:rsid w:val="00D77DD4"/>
    <w:rsid w:val="00D82323"/>
    <w:rsid w:val="00D83528"/>
    <w:rsid w:val="00D84BC6"/>
    <w:rsid w:val="00D850FA"/>
    <w:rsid w:val="00D91B8A"/>
    <w:rsid w:val="00D9350F"/>
    <w:rsid w:val="00D939DE"/>
    <w:rsid w:val="00D94438"/>
    <w:rsid w:val="00D94ADF"/>
    <w:rsid w:val="00DA170C"/>
    <w:rsid w:val="00DA19FC"/>
    <w:rsid w:val="00DA1D7A"/>
    <w:rsid w:val="00DA4AB7"/>
    <w:rsid w:val="00DA5900"/>
    <w:rsid w:val="00DA6DC7"/>
    <w:rsid w:val="00DA6F53"/>
    <w:rsid w:val="00DB0062"/>
    <w:rsid w:val="00DB05E4"/>
    <w:rsid w:val="00DB3072"/>
    <w:rsid w:val="00DB3F09"/>
    <w:rsid w:val="00DB4760"/>
    <w:rsid w:val="00DB519E"/>
    <w:rsid w:val="00DB5C30"/>
    <w:rsid w:val="00DB5D01"/>
    <w:rsid w:val="00DB6537"/>
    <w:rsid w:val="00DB7B6E"/>
    <w:rsid w:val="00DC0777"/>
    <w:rsid w:val="00DC0D64"/>
    <w:rsid w:val="00DC0E02"/>
    <w:rsid w:val="00DC1887"/>
    <w:rsid w:val="00DC4057"/>
    <w:rsid w:val="00DC4581"/>
    <w:rsid w:val="00DC4FE5"/>
    <w:rsid w:val="00DC5507"/>
    <w:rsid w:val="00DC5EF0"/>
    <w:rsid w:val="00DC6C9D"/>
    <w:rsid w:val="00DD0220"/>
    <w:rsid w:val="00DD057D"/>
    <w:rsid w:val="00DD50F2"/>
    <w:rsid w:val="00DD63AC"/>
    <w:rsid w:val="00DD7395"/>
    <w:rsid w:val="00DE18A5"/>
    <w:rsid w:val="00DE2D4B"/>
    <w:rsid w:val="00DE3D30"/>
    <w:rsid w:val="00DE4A53"/>
    <w:rsid w:val="00DE4D3E"/>
    <w:rsid w:val="00DE5A99"/>
    <w:rsid w:val="00DE6070"/>
    <w:rsid w:val="00DE6600"/>
    <w:rsid w:val="00DE7736"/>
    <w:rsid w:val="00DE7B68"/>
    <w:rsid w:val="00DE7CDE"/>
    <w:rsid w:val="00DF0841"/>
    <w:rsid w:val="00DF11F6"/>
    <w:rsid w:val="00DF1806"/>
    <w:rsid w:val="00DF1FF1"/>
    <w:rsid w:val="00DF72AF"/>
    <w:rsid w:val="00DF7340"/>
    <w:rsid w:val="00E02188"/>
    <w:rsid w:val="00E0242A"/>
    <w:rsid w:val="00E03C76"/>
    <w:rsid w:val="00E049CB"/>
    <w:rsid w:val="00E04A44"/>
    <w:rsid w:val="00E065E5"/>
    <w:rsid w:val="00E070CB"/>
    <w:rsid w:val="00E102C3"/>
    <w:rsid w:val="00E1121A"/>
    <w:rsid w:val="00E112DB"/>
    <w:rsid w:val="00E118DB"/>
    <w:rsid w:val="00E12021"/>
    <w:rsid w:val="00E14917"/>
    <w:rsid w:val="00E1555A"/>
    <w:rsid w:val="00E15E4B"/>
    <w:rsid w:val="00E16007"/>
    <w:rsid w:val="00E1628C"/>
    <w:rsid w:val="00E16870"/>
    <w:rsid w:val="00E16DA5"/>
    <w:rsid w:val="00E17A91"/>
    <w:rsid w:val="00E21973"/>
    <w:rsid w:val="00E26496"/>
    <w:rsid w:val="00E26A57"/>
    <w:rsid w:val="00E2705E"/>
    <w:rsid w:val="00E314E5"/>
    <w:rsid w:val="00E3258B"/>
    <w:rsid w:val="00E32F94"/>
    <w:rsid w:val="00E33E04"/>
    <w:rsid w:val="00E34232"/>
    <w:rsid w:val="00E3634C"/>
    <w:rsid w:val="00E3675C"/>
    <w:rsid w:val="00E37917"/>
    <w:rsid w:val="00E37D83"/>
    <w:rsid w:val="00E37FF7"/>
    <w:rsid w:val="00E41BFB"/>
    <w:rsid w:val="00E421FA"/>
    <w:rsid w:val="00E441D3"/>
    <w:rsid w:val="00E447AC"/>
    <w:rsid w:val="00E45230"/>
    <w:rsid w:val="00E4642C"/>
    <w:rsid w:val="00E46505"/>
    <w:rsid w:val="00E46B5D"/>
    <w:rsid w:val="00E46D18"/>
    <w:rsid w:val="00E50CF1"/>
    <w:rsid w:val="00E51307"/>
    <w:rsid w:val="00E51FB0"/>
    <w:rsid w:val="00E54017"/>
    <w:rsid w:val="00E5578D"/>
    <w:rsid w:val="00E57E74"/>
    <w:rsid w:val="00E602D7"/>
    <w:rsid w:val="00E60B34"/>
    <w:rsid w:val="00E62107"/>
    <w:rsid w:val="00E629A5"/>
    <w:rsid w:val="00E62EAE"/>
    <w:rsid w:val="00E63C8D"/>
    <w:rsid w:val="00E63DCA"/>
    <w:rsid w:val="00E66032"/>
    <w:rsid w:val="00E66296"/>
    <w:rsid w:val="00E67704"/>
    <w:rsid w:val="00E679B3"/>
    <w:rsid w:val="00E67BEB"/>
    <w:rsid w:val="00E67E35"/>
    <w:rsid w:val="00E67FA3"/>
    <w:rsid w:val="00E70112"/>
    <w:rsid w:val="00E7022E"/>
    <w:rsid w:val="00E719E1"/>
    <w:rsid w:val="00E71E56"/>
    <w:rsid w:val="00E736D1"/>
    <w:rsid w:val="00E7491A"/>
    <w:rsid w:val="00E7526D"/>
    <w:rsid w:val="00E7540C"/>
    <w:rsid w:val="00E76DA4"/>
    <w:rsid w:val="00E77861"/>
    <w:rsid w:val="00E82251"/>
    <w:rsid w:val="00E8263F"/>
    <w:rsid w:val="00E8320B"/>
    <w:rsid w:val="00E84E20"/>
    <w:rsid w:val="00E850E6"/>
    <w:rsid w:val="00E858CE"/>
    <w:rsid w:val="00E86C2D"/>
    <w:rsid w:val="00E86D8D"/>
    <w:rsid w:val="00E91B2A"/>
    <w:rsid w:val="00E91BE9"/>
    <w:rsid w:val="00E91D61"/>
    <w:rsid w:val="00E95273"/>
    <w:rsid w:val="00E958E9"/>
    <w:rsid w:val="00E95F69"/>
    <w:rsid w:val="00E962D6"/>
    <w:rsid w:val="00E96BA3"/>
    <w:rsid w:val="00E970A2"/>
    <w:rsid w:val="00EA14A1"/>
    <w:rsid w:val="00EA19F7"/>
    <w:rsid w:val="00EA1AB0"/>
    <w:rsid w:val="00EA1B54"/>
    <w:rsid w:val="00EA1B9E"/>
    <w:rsid w:val="00EA440A"/>
    <w:rsid w:val="00EA5571"/>
    <w:rsid w:val="00EB1BDE"/>
    <w:rsid w:val="00EB1CCF"/>
    <w:rsid w:val="00EB22A5"/>
    <w:rsid w:val="00EB4F80"/>
    <w:rsid w:val="00EB5AAC"/>
    <w:rsid w:val="00EB7259"/>
    <w:rsid w:val="00EC07AB"/>
    <w:rsid w:val="00EC07F4"/>
    <w:rsid w:val="00EC35FF"/>
    <w:rsid w:val="00ED00F4"/>
    <w:rsid w:val="00ED10C1"/>
    <w:rsid w:val="00ED19D7"/>
    <w:rsid w:val="00ED1BDD"/>
    <w:rsid w:val="00ED2FAF"/>
    <w:rsid w:val="00ED489F"/>
    <w:rsid w:val="00ED49C2"/>
    <w:rsid w:val="00ED49CA"/>
    <w:rsid w:val="00ED4BB4"/>
    <w:rsid w:val="00ED744F"/>
    <w:rsid w:val="00ED79D8"/>
    <w:rsid w:val="00EE0DD3"/>
    <w:rsid w:val="00EE0E11"/>
    <w:rsid w:val="00EE1FEC"/>
    <w:rsid w:val="00EE24B7"/>
    <w:rsid w:val="00EE5EB1"/>
    <w:rsid w:val="00EE707B"/>
    <w:rsid w:val="00EF01F2"/>
    <w:rsid w:val="00EF0905"/>
    <w:rsid w:val="00EF25B6"/>
    <w:rsid w:val="00EF49AE"/>
    <w:rsid w:val="00EF4F01"/>
    <w:rsid w:val="00EF5770"/>
    <w:rsid w:val="00EF6FAC"/>
    <w:rsid w:val="00F00926"/>
    <w:rsid w:val="00F00E8A"/>
    <w:rsid w:val="00F0116A"/>
    <w:rsid w:val="00F011EE"/>
    <w:rsid w:val="00F01802"/>
    <w:rsid w:val="00F01C76"/>
    <w:rsid w:val="00F02F3A"/>
    <w:rsid w:val="00F04A8D"/>
    <w:rsid w:val="00F0534A"/>
    <w:rsid w:val="00F0580D"/>
    <w:rsid w:val="00F0598E"/>
    <w:rsid w:val="00F06C27"/>
    <w:rsid w:val="00F10998"/>
    <w:rsid w:val="00F10E1B"/>
    <w:rsid w:val="00F1200E"/>
    <w:rsid w:val="00F121BF"/>
    <w:rsid w:val="00F1278F"/>
    <w:rsid w:val="00F12F85"/>
    <w:rsid w:val="00F13E23"/>
    <w:rsid w:val="00F15253"/>
    <w:rsid w:val="00F17C14"/>
    <w:rsid w:val="00F21E7E"/>
    <w:rsid w:val="00F22394"/>
    <w:rsid w:val="00F227EC"/>
    <w:rsid w:val="00F22EC4"/>
    <w:rsid w:val="00F24033"/>
    <w:rsid w:val="00F246B9"/>
    <w:rsid w:val="00F24DFF"/>
    <w:rsid w:val="00F2517E"/>
    <w:rsid w:val="00F25F90"/>
    <w:rsid w:val="00F30175"/>
    <w:rsid w:val="00F318B1"/>
    <w:rsid w:val="00F31A92"/>
    <w:rsid w:val="00F32F8F"/>
    <w:rsid w:val="00F341B3"/>
    <w:rsid w:val="00F3470D"/>
    <w:rsid w:val="00F34822"/>
    <w:rsid w:val="00F35C13"/>
    <w:rsid w:val="00F365F6"/>
    <w:rsid w:val="00F36DB7"/>
    <w:rsid w:val="00F377E9"/>
    <w:rsid w:val="00F416B8"/>
    <w:rsid w:val="00F41922"/>
    <w:rsid w:val="00F4232D"/>
    <w:rsid w:val="00F436DA"/>
    <w:rsid w:val="00F437FD"/>
    <w:rsid w:val="00F4465E"/>
    <w:rsid w:val="00F44FC6"/>
    <w:rsid w:val="00F46CE6"/>
    <w:rsid w:val="00F4734F"/>
    <w:rsid w:val="00F50093"/>
    <w:rsid w:val="00F50428"/>
    <w:rsid w:val="00F51400"/>
    <w:rsid w:val="00F51C31"/>
    <w:rsid w:val="00F539E2"/>
    <w:rsid w:val="00F53DFC"/>
    <w:rsid w:val="00F56849"/>
    <w:rsid w:val="00F57A51"/>
    <w:rsid w:val="00F57AE2"/>
    <w:rsid w:val="00F6050B"/>
    <w:rsid w:val="00F6072C"/>
    <w:rsid w:val="00F62AFF"/>
    <w:rsid w:val="00F630EC"/>
    <w:rsid w:val="00F6469E"/>
    <w:rsid w:val="00F6506E"/>
    <w:rsid w:val="00F650A7"/>
    <w:rsid w:val="00F66360"/>
    <w:rsid w:val="00F6740A"/>
    <w:rsid w:val="00F72125"/>
    <w:rsid w:val="00F72B0F"/>
    <w:rsid w:val="00F73144"/>
    <w:rsid w:val="00F734F3"/>
    <w:rsid w:val="00F75D96"/>
    <w:rsid w:val="00F81369"/>
    <w:rsid w:val="00F81693"/>
    <w:rsid w:val="00F82E06"/>
    <w:rsid w:val="00F83BDD"/>
    <w:rsid w:val="00F8543C"/>
    <w:rsid w:val="00F85EC0"/>
    <w:rsid w:val="00F87158"/>
    <w:rsid w:val="00F874CE"/>
    <w:rsid w:val="00F87701"/>
    <w:rsid w:val="00F90EA3"/>
    <w:rsid w:val="00F91E6F"/>
    <w:rsid w:val="00F921B9"/>
    <w:rsid w:val="00F9252F"/>
    <w:rsid w:val="00F930A8"/>
    <w:rsid w:val="00F9340B"/>
    <w:rsid w:val="00F94991"/>
    <w:rsid w:val="00F94DC9"/>
    <w:rsid w:val="00F95185"/>
    <w:rsid w:val="00F96252"/>
    <w:rsid w:val="00F96BB0"/>
    <w:rsid w:val="00F970A7"/>
    <w:rsid w:val="00F979FB"/>
    <w:rsid w:val="00F97B40"/>
    <w:rsid w:val="00FA0102"/>
    <w:rsid w:val="00FA0AAA"/>
    <w:rsid w:val="00FA60A4"/>
    <w:rsid w:val="00FA74FB"/>
    <w:rsid w:val="00FA7588"/>
    <w:rsid w:val="00FA7724"/>
    <w:rsid w:val="00FA7E0C"/>
    <w:rsid w:val="00FB073C"/>
    <w:rsid w:val="00FB0802"/>
    <w:rsid w:val="00FB0BCC"/>
    <w:rsid w:val="00FB317C"/>
    <w:rsid w:val="00FB3FEC"/>
    <w:rsid w:val="00FB53BB"/>
    <w:rsid w:val="00FB5A2E"/>
    <w:rsid w:val="00FB7480"/>
    <w:rsid w:val="00FC0ADD"/>
    <w:rsid w:val="00FC0CB2"/>
    <w:rsid w:val="00FC0EFE"/>
    <w:rsid w:val="00FC20B3"/>
    <w:rsid w:val="00FC45E6"/>
    <w:rsid w:val="00FC5BCC"/>
    <w:rsid w:val="00FC5D83"/>
    <w:rsid w:val="00FC6145"/>
    <w:rsid w:val="00FC6655"/>
    <w:rsid w:val="00FC68AD"/>
    <w:rsid w:val="00FC7018"/>
    <w:rsid w:val="00FD1612"/>
    <w:rsid w:val="00FD1912"/>
    <w:rsid w:val="00FD4C5C"/>
    <w:rsid w:val="00FD6779"/>
    <w:rsid w:val="00FD7486"/>
    <w:rsid w:val="00FD787F"/>
    <w:rsid w:val="00FE107E"/>
    <w:rsid w:val="00FE1518"/>
    <w:rsid w:val="00FE303D"/>
    <w:rsid w:val="00FE42B8"/>
    <w:rsid w:val="00FE4C37"/>
    <w:rsid w:val="00FE5424"/>
    <w:rsid w:val="00FE6EDB"/>
    <w:rsid w:val="00FE7460"/>
    <w:rsid w:val="00FF042A"/>
    <w:rsid w:val="00FF05F8"/>
    <w:rsid w:val="00FF0F26"/>
    <w:rsid w:val="00FF1EF1"/>
    <w:rsid w:val="00FF4DA9"/>
    <w:rsid w:val="00FF51BD"/>
    <w:rsid w:val="00FF7270"/>
    <w:rsid w:val="0EA9493A"/>
    <w:rsid w:val="194D28D4"/>
    <w:rsid w:val="1D9A4B82"/>
    <w:rsid w:val="213F53F7"/>
    <w:rsid w:val="286F0688"/>
    <w:rsid w:val="2BA631D6"/>
    <w:rsid w:val="32371706"/>
    <w:rsid w:val="39F626C3"/>
    <w:rsid w:val="3FFFBB51"/>
    <w:rsid w:val="487078C3"/>
    <w:rsid w:val="48856D08"/>
    <w:rsid w:val="4BB03729"/>
    <w:rsid w:val="4BE327A9"/>
    <w:rsid w:val="52870D46"/>
    <w:rsid w:val="53C97204"/>
    <w:rsid w:val="59456704"/>
    <w:rsid w:val="5BB736EE"/>
    <w:rsid w:val="5D340A69"/>
    <w:rsid w:val="5D3F845C"/>
    <w:rsid w:val="662406B7"/>
    <w:rsid w:val="69F78875"/>
    <w:rsid w:val="6AF663DD"/>
    <w:rsid w:val="6E843A98"/>
    <w:rsid w:val="705B4F5B"/>
    <w:rsid w:val="77777F04"/>
    <w:rsid w:val="7AE43FFC"/>
    <w:rsid w:val="7BEF93A1"/>
    <w:rsid w:val="7BFF6024"/>
    <w:rsid w:val="7DD97145"/>
    <w:rsid w:val="7F38067F"/>
    <w:rsid w:val="7FDF9EF0"/>
    <w:rsid w:val="98797421"/>
    <w:rsid w:val="DBFFB715"/>
    <w:rsid w:val="FA3B2C94"/>
    <w:rsid w:val="FBBE824C"/>
    <w:rsid w:val="FDBA15F1"/>
    <w:rsid w:val="FDE96550"/>
    <w:rsid w:val="FFFD45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FF0000"/>
      <w:kern w:val="2"/>
      <w:sz w:val="24"/>
      <w:szCs w:val="24"/>
      <w:lang w:val="en-US" w:eastAsia="zh-CN" w:bidi="ar-SA"/>
    </w:rPr>
  </w:style>
  <w:style w:type="paragraph" w:styleId="2">
    <w:name w:val="heading 1"/>
    <w:basedOn w:val="1"/>
    <w:next w:val="1"/>
    <w:link w:val="26"/>
    <w:qFormat/>
    <w:uiPriority w:val="9"/>
    <w:pPr>
      <w:keepNext/>
      <w:keepLines/>
      <w:numPr>
        <w:ilvl w:val="0"/>
        <w:numId w:val="1"/>
      </w:numPr>
      <w:adjustRightInd w:val="0"/>
      <w:spacing w:before="340" w:after="330" w:line="578" w:lineRule="atLeast"/>
      <w:textAlignment w:val="baseline"/>
      <w:outlineLvl w:val="0"/>
    </w:pPr>
    <w:rPr>
      <w:rFonts w:ascii="Times New Roman" w:hAnsi="Times New Roman"/>
      <w:b/>
      <w:color w:val="auto"/>
      <w:kern w:val="44"/>
      <w:sz w:val="44"/>
      <w:szCs w:val="20"/>
      <w:lang w:val="zh-CN"/>
    </w:rPr>
  </w:style>
  <w:style w:type="paragraph" w:styleId="3">
    <w:name w:val="heading 2"/>
    <w:basedOn w:val="1"/>
    <w:next w:val="1"/>
    <w:link w:val="33"/>
    <w:qFormat/>
    <w:uiPriority w:val="9"/>
    <w:pPr>
      <w:keepNext/>
      <w:keepLines/>
      <w:numPr>
        <w:ilvl w:val="1"/>
        <w:numId w:val="1"/>
      </w:numPr>
      <w:adjustRightInd w:val="0"/>
      <w:spacing w:before="260" w:after="260" w:line="416" w:lineRule="atLeast"/>
      <w:textAlignment w:val="baseline"/>
      <w:outlineLvl w:val="1"/>
    </w:pPr>
    <w:rPr>
      <w:rFonts w:ascii="Arial" w:hAnsi="Arial"/>
      <w:b/>
      <w:color w:val="auto"/>
      <w:kern w:val="0"/>
      <w:sz w:val="30"/>
      <w:szCs w:val="20"/>
      <w:lang w:val="zh-CN"/>
    </w:rPr>
  </w:style>
  <w:style w:type="paragraph" w:styleId="4">
    <w:name w:val="heading 3"/>
    <w:basedOn w:val="1"/>
    <w:next w:val="1"/>
    <w:link w:val="27"/>
    <w:qFormat/>
    <w:uiPriority w:val="9"/>
    <w:pPr>
      <w:keepNext/>
      <w:keepLines/>
      <w:numPr>
        <w:ilvl w:val="2"/>
        <w:numId w:val="1"/>
      </w:numPr>
      <w:adjustRightInd w:val="0"/>
      <w:spacing w:before="260" w:after="260" w:line="416" w:lineRule="atLeast"/>
      <w:jc w:val="center"/>
      <w:textAlignment w:val="baseline"/>
      <w:outlineLvl w:val="2"/>
    </w:pPr>
    <w:rPr>
      <w:rFonts w:ascii="Times New Roman" w:hAnsi="Times New Roman"/>
      <w:b/>
      <w:color w:val="auto"/>
      <w:kern w:val="0"/>
      <w:sz w:val="28"/>
      <w:szCs w:val="20"/>
      <w:lang w:val="zh-CN"/>
    </w:rPr>
  </w:style>
  <w:style w:type="paragraph" w:styleId="5">
    <w:name w:val="heading 4"/>
    <w:basedOn w:val="1"/>
    <w:next w:val="1"/>
    <w:link w:val="23"/>
    <w:qFormat/>
    <w:uiPriority w:val="9"/>
    <w:pPr>
      <w:keepNext/>
      <w:keepLines/>
      <w:numPr>
        <w:ilvl w:val="3"/>
        <w:numId w:val="1"/>
      </w:numPr>
      <w:adjustRightInd w:val="0"/>
      <w:spacing w:before="280" w:after="290" w:line="376" w:lineRule="atLeast"/>
      <w:jc w:val="center"/>
      <w:textAlignment w:val="baseline"/>
      <w:outlineLvl w:val="3"/>
    </w:pPr>
    <w:rPr>
      <w:rFonts w:ascii="Arial" w:hAnsi="Arial"/>
      <w:b/>
      <w:color w:val="auto"/>
      <w:kern w:val="0"/>
      <w:sz w:val="28"/>
      <w:szCs w:val="20"/>
      <w:lang w:val="zh-CN"/>
    </w:rPr>
  </w:style>
  <w:style w:type="paragraph" w:styleId="6">
    <w:name w:val="heading 5"/>
    <w:basedOn w:val="1"/>
    <w:next w:val="1"/>
    <w:link w:val="36"/>
    <w:qFormat/>
    <w:uiPriority w:val="9"/>
    <w:pPr>
      <w:keepNext/>
      <w:keepLines/>
      <w:numPr>
        <w:ilvl w:val="4"/>
        <w:numId w:val="1"/>
      </w:numPr>
      <w:adjustRightInd w:val="0"/>
      <w:spacing w:before="280" w:after="290" w:line="376" w:lineRule="atLeast"/>
      <w:textAlignment w:val="baseline"/>
      <w:outlineLvl w:val="4"/>
    </w:pPr>
    <w:rPr>
      <w:rFonts w:ascii="Times New Roman" w:hAnsi="Times New Roman"/>
      <w:b/>
      <w:color w:val="auto"/>
      <w:kern w:val="0"/>
      <w:szCs w:val="20"/>
      <w:lang w:val="zh-CN"/>
    </w:rPr>
  </w:style>
  <w:style w:type="paragraph" w:styleId="7">
    <w:name w:val="heading 6"/>
    <w:basedOn w:val="1"/>
    <w:next w:val="1"/>
    <w:link w:val="37"/>
    <w:qFormat/>
    <w:uiPriority w:val="9"/>
    <w:pPr>
      <w:keepNext/>
      <w:keepLines/>
      <w:numPr>
        <w:ilvl w:val="5"/>
        <w:numId w:val="1"/>
      </w:numPr>
      <w:adjustRightInd w:val="0"/>
      <w:spacing w:before="240" w:after="64" w:line="320" w:lineRule="atLeast"/>
      <w:textAlignment w:val="baseline"/>
      <w:outlineLvl w:val="5"/>
    </w:pPr>
    <w:rPr>
      <w:rFonts w:ascii="Arial" w:hAnsi="Arial" w:eastAsia="黑体"/>
      <w:b/>
      <w:color w:val="auto"/>
      <w:kern w:val="0"/>
      <w:szCs w:val="20"/>
      <w:lang w:val="zh-CN"/>
    </w:rPr>
  </w:style>
  <w:style w:type="paragraph" w:styleId="8">
    <w:name w:val="heading 7"/>
    <w:basedOn w:val="1"/>
    <w:next w:val="1"/>
    <w:link w:val="28"/>
    <w:qFormat/>
    <w:uiPriority w:val="9"/>
    <w:pPr>
      <w:keepNext/>
      <w:keepLines/>
      <w:numPr>
        <w:ilvl w:val="6"/>
        <w:numId w:val="1"/>
      </w:numPr>
      <w:adjustRightInd w:val="0"/>
      <w:spacing w:before="240" w:after="64" w:line="320" w:lineRule="atLeast"/>
      <w:textAlignment w:val="baseline"/>
      <w:outlineLvl w:val="6"/>
    </w:pPr>
    <w:rPr>
      <w:rFonts w:ascii="Times New Roman" w:hAnsi="Times New Roman"/>
      <w:b/>
      <w:color w:val="auto"/>
      <w:kern w:val="0"/>
      <w:szCs w:val="20"/>
      <w:lang w:val="zh-CN"/>
    </w:rPr>
  </w:style>
  <w:style w:type="paragraph" w:styleId="9">
    <w:name w:val="heading 8"/>
    <w:basedOn w:val="1"/>
    <w:next w:val="1"/>
    <w:link w:val="32"/>
    <w:qFormat/>
    <w:uiPriority w:val="9"/>
    <w:pPr>
      <w:keepNext/>
      <w:keepLines/>
      <w:numPr>
        <w:ilvl w:val="7"/>
        <w:numId w:val="1"/>
      </w:numPr>
      <w:adjustRightInd w:val="0"/>
      <w:spacing w:before="240" w:after="64" w:line="320" w:lineRule="atLeast"/>
      <w:textAlignment w:val="baseline"/>
      <w:outlineLvl w:val="7"/>
    </w:pPr>
    <w:rPr>
      <w:rFonts w:ascii="Arial" w:hAnsi="Arial" w:eastAsia="黑体"/>
      <w:color w:val="auto"/>
      <w:kern w:val="0"/>
      <w:szCs w:val="20"/>
      <w:lang w:val="zh-CN"/>
    </w:rPr>
  </w:style>
  <w:style w:type="paragraph" w:styleId="10">
    <w:name w:val="heading 9"/>
    <w:basedOn w:val="1"/>
    <w:next w:val="1"/>
    <w:link w:val="38"/>
    <w:qFormat/>
    <w:uiPriority w:val="9"/>
    <w:pPr>
      <w:keepNext/>
      <w:keepLines/>
      <w:numPr>
        <w:ilvl w:val="8"/>
        <w:numId w:val="1"/>
      </w:numPr>
      <w:adjustRightInd w:val="0"/>
      <w:spacing w:before="240" w:after="64" w:line="320" w:lineRule="atLeast"/>
      <w:textAlignment w:val="baseline"/>
      <w:outlineLvl w:val="8"/>
    </w:pPr>
    <w:rPr>
      <w:rFonts w:ascii="Arial" w:hAnsi="Arial" w:eastAsia="黑体"/>
      <w:color w:val="auto"/>
      <w:kern w:val="0"/>
      <w:sz w:val="20"/>
      <w:szCs w:val="20"/>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0"/>
    <w:unhideWhenUsed/>
    <w:qFormat/>
    <w:uiPriority w:val="99"/>
    <w:pPr>
      <w:jc w:val="left"/>
    </w:pPr>
  </w:style>
  <w:style w:type="paragraph" w:styleId="12">
    <w:name w:val="Balloon Text"/>
    <w:basedOn w:val="1"/>
    <w:link w:val="40"/>
    <w:semiHidden/>
    <w:unhideWhenUsed/>
    <w:qFormat/>
    <w:uiPriority w:val="99"/>
    <w:rPr>
      <w:sz w:val="18"/>
      <w:szCs w:val="18"/>
    </w:rPr>
  </w:style>
  <w:style w:type="paragraph" w:styleId="13">
    <w:name w:val="footer"/>
    <w:basedOn w:val="1"/>
    <w:link w:val="29"/>
    <w:qFormat/>
    <w:uiPriority w:val="99"/>
    <w:pPr>
      <w:widowControl/>
      <w:tabs>
        <w:tab w:val="center" w:pos="4153"/>
        <w:tab w:val="right" w:pos="8306"/>
      </w:tabs>
      <w:snapToGrid w:val="0"/>
      <w:jc w:val="left"/>
    </w:pPr>
    <w:rPr>
      <w:rFonts w:ascii="Times New Roman" w:hAnsi="Times New Roman"/>
      <w:color w:val="auto"/>
      <w:kern w:val="0"/>
      <w:sz w:val="18"/>
      <w:szCs w:val="20"/>
      <w:lang w:val="zh-CN"/>
    </w:rPr>
  </w:style>
  <w:style w:type="paragraph" w:styleId="14">
    <w:name w:val="header"/>
    <w:basedOn w:val="1"/>
    <w:link w:val="39"/>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15">
    <w:name w:val="Normal (Web)"/>
    <w:basedOn w:val="1"/>
    <w:link w:val="60"/>
    <w:unhideWhenUsed/>
    <w:qFormat/>
    <w:uiPriority w:val="0"/>
    <w:pPr>
      <w:spacing w:beforeAutospacing="1" w:afterAutospacing="1"/>
      <w:jc w:val="left"/>
    </w:pPr>
    <w:rPr>
      <w:rFonts w:asciiTheme="minorHAnsi" w:hAnsiTheme="minorHAnsi" w:eastAsiaTheme="minorEastAsia"/>
      <w:color w:val="auto"/>
      <w:kern w:val="0"/>
      <w:szCs w:val="22"/>
    </w:rPr>
  </w:style>
  <w:style w:type="paragraph" w:styleId="16">
    <w:name w:val="annotation subject"/>
    <w:basedOn w:val="11"/>
    <w:next w:val="11"/>
    <w:link w:val="51"/>
    <w:semiHidden/>
    <w:unhideWhenUsed/>
    <w:qFormat/>
    <w:uiPriority w:val="99"/>
    <w:rPr>
      <w:b/>
      <w:bCs/>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Emphasis"/>
    <w:qFormat/>
    <w:uiPriority w:val="20"/>
    <w:rPr>
      <w:i/>
      <w:iCs/>
    </w:rPr>
  </w:style>
  <w:style w:type="character" w:styleId="22">
    <w:name w:val="annotation reference"/>
    <w:unhideWhenUsed/>
    <w:qFormat/>
    <w:uiPriority w:val="99"/>
    <w:rPr>
      <w:sz w:val="21"/>
      <w:szCs w:val="21"/>
    </w:rPr>
  </w:style>
  <w:style w:type="character" w:customStyle="1" w:styleId="23">
    <w:name w:val="标题 4 Char"/>
    <w:link w:val="5"/>
    <w:qFormat/>
    <w:uiPriority w:val="0"/>
    <w:rPr>
      <w:rFonts w:ascii="Arial" w:hAnsi="Arial" w:eastAsia="宋体" w:cs="Times New Roman"/>
      <w:b/>
      <w:kern w:val="0"/>
      <w:sz w:val="28"/>
      <w:szCs w:val="20"/>
    </w:rPr>
  </w:style>
  <w:style w:type="character" w:customStyle="1" w:styleId="24">
    <w:name w:val="可研正文 Char"/>
    <w:link w:val="25"/>
    <w:qFormat/>
    <w:uiPriority w:val="0"/>
    <w:rPr>
      <w:rFonts w:ascii="仿宋_GB2312" w:hAnsi="宋体" w:eastAsia="仿宋_GB2312" w:cs="Times New Roman"/>
      <w:bCs/>
      <w:sz w:val="28"/>
      <w:szCs w:val="28"/>
    </w:rPr>
  </w:style>
  <w:style w:type="paragraph" w:customStyle="1" w:styleId="25">
    <w:name w:val="可研正文"/>
    <w:basedOn w:val="1"/>
    <w:link w:val="24"/>
    <w:qFormat/>
    <w:uiPriority w:val="0"/>
    <w:pPr>
      <w:spacing w:line="360" w:lineRule="auto"/>
      <w:ind w:firstLine="560" w:firstLineChars="200"/>
    </w:pPr>
    <w:rPr>
      <w:rFonts w:ascii="仿宋_GB2312" w:eastAsia="仿宋_GB2312"/>
      <w:bCs/>
      <w:color w:val="auto"/>
      <w:kern w:val="0"/>
      <w:sz w:val="28"/>
      <w:szCs w:val="28"/>
      <w:lang w:val="zh-CN"/>
    </w:rPr>
  </w:style>
  <w:style w:type="character" w:customStyle="1" w:styleId="26">
    <w:name w:val="标题 1 Char"/>
    <w:link w:val="2"/>
    <w:qFormat/>
    <w:uiPriority w:val="9"/>
    <w:rPr>
      <w:rFonts w:ascii="Times New Roman" w:hAnsi="Times New Roman" w:eastAsia="宋体" w:cs="Times New Roman"/>
      <w:b/>
      <w:kern w:val="44"/>
      <w:sz w:val="44"/>
      <w:szCs w:val="20"/>
    </w:rPr>
  </w:style>
  <w:style w:type="character" w:customStyle="1" w:styleId="27">
    <w:name w:val="标题 3 Char"/>
    <w:link w:val="4"/>
    <w:qFormat/>
    <w:uiPriority w:val="0"/>
    <w:rPr>
      <w:rFonts w:ascii="Times New Roman" w:hAnsi="Times New Roman" w:eastAsia="宋体" w:cs="Times New Roman"/>
      <w:b/>
      <w:kern w:val="0"/>
      <w:sz w:val="28"/>
      <w:szCs w:val="20"/>
    </w:rPr>
  </w:style>
  <w:style w:type="character" w:customStyle="1" w:styleId="28">
    <w:name w:val="标题 7 Char"/>
    <w:link w:val="8"/>
    <w:qFormat/>
    <w:uiPriority w:val="0"/>
    <w:rPr>
      <w:rFonts w:ascii="Times New Roman" w:hAnsi="Times New Roman" w:eastAsia="宋体" w:cs="Times New Roman"/>
      <w:b/>
      <w:kern w:val="0"/>
      <w:sz w:val="24"/>
      <w:szCs w:val="20"/>
    </w:rPr>
  </w:style>
  <w:style w:type="character" w:customStyle="1" w:styleId="29">
    <w:name w:val="页脚 Char"/>
    <w:link w:val="13"/>
    <w:qFormat/>
    <w:uiPriority w:val="99"/>
    <w:rPr>
      <w:rFonts w:ascii="Times New Roman" w:hAnsi="Times New Roman" w:eastAsia="宋体" w:cs="Times New Roman"/>
      <w:kern w:val="0"/>
      <w:sz w:val="18"/>
      <w:szCs w:val="20"/>
    </w:rPr>
  </w:style>
  <w:style w:type="character" w:customStyle="1" w:styleId="30">
    <w:name w:val="样式2-2级标题 Char"/>
    <w:link w:val="31"/>
    <w:qFormat/>
    <w:uiPriority w:val="0"/>
    <w:rPr>
      <w:rFonts w:ascii="黑体" w:hAnsi="Tw Cen MT" w:eastAsia="黑体" w:cs="Times New Roman"/>
      <w:b/>
      <w:bCs/>
      <w:kern w:val="0"/>
      <w:sz w:val="30"/>
      <w:szCs w:val="30"/>
      <w:lang w:bidi="en-US"/>
    </w:rPr>
  </w:style>
  <w:style w:type="paragraph" w:customStyle="1" w:styleId="31">
    <w:name w:val="样式2-2级标题"/>
    <w:basedOn w:val="3"/>
    <w:link w:val="30"/>
    <w:qFormat/>
    <w:uiPriority w:val="0"/>
    <w:pPr>
      <w:keepNext w:val="0"/>
      <w:keepLines w:val="0"/>
      <w:widowControl/>
      <w:adjustRightInd/>
      <w:spacing w:before="200" w:after="0" w:line="360" w:lineRule="auto"/>
      <w:jc w:val="left"/>
      <w:textAlignment w:val="auto"/>
    </w:pPr>
    <w:rPr>
      <w:rFonts w:ascii="黑体" w:hAnsi="Tw Cen MT" w:eastAsia="黑体"/>
      <w:bCs/>
      <w:szCs w:val="30"/>
      <w:lang w:bidi="en-US"/>
    </w:rPr>
  </w:style>
  <w:style w:type="character" w:customStyle="1" w:styleId="32">
    <w:name w:val="标题 8 Char"/>
    <w:link w:val="9"/>
    <w:qFormat/>
    <w:uiPriority w:val="0"/>
    <w:rPr>
      <w:rFonts w:ascii="Arial" w:hAnsi="Arial" w:eastAsia="黑体" w:cs="Times New Roman"/>
      <w:kern w:val="0"/>
      <w:sz w:val="24"/>
      <w:szCs w:val="20"/>
    </w:rPr>
  </w:style>
  <w:style w:type="character" w:customStyle="1" w:styleId="33">
    <w:name w:val="标题 2 Char"/>
    <w:link w:val="3"/>
    <w:qFormat/>
    <w:uiPriority w:val="0"/>
    <w:rPr>
      <w:rFonts w:ascii="Arial" w:hAnsi="Arial" w:eastAsia="宋体" w:cs="Times New Roman"/>
      <w:b/>
      <w:kern w:val="0"/>
      <w:sz w:val="30"/>
      <w:szCs w:val="20"/>
    </w:rPr>
  </w:style>
  <w:style w:type="character" w:customStyle="1" w:styleId="34">
    <w:name w:val="样式5-咨询正文 Char"/>
    <w:link w:val="35"/>
    <w:qFormat/>
    <w:uiPriority w:val="0"/>
    <w:rPr>
      <w:rFonts w:ascii="宋体" w:hAnsi="宋体" w:eastAsia="宋体" w:cs="Times New Roman"/>
      <w:kern w:val="0"/>
      <w:lang w:bidi="en-US"/>
    </w:rPr>
  </w:style>
  <w:style w:type="paragraph" w:customStyle="1" w:styleId="35">
    <w:name w:val="样式5-咨询正文"/>
    <w:basedOn w:val="1"/>
    <w:link w:val="34"/>
    <w:qFormat/>
    <w:uiPriority w:val="0"/>
    <w:pPr>
      <w:widowControl/>
      <w:spacing w:line="360" w:lineRule="auto"/>
      <w:ind w:firstLine="420" w:firstLineChars="200"/>
      <w:jc w:val="left"/>
    </w:pPr>
    <w:rPr>
      <w:color w:val="auto"/>
      <w:kern w:val="0"/>
      <w:sz w:val="20"/>
      <w:szCs w:val="20"/>
      <w:lang w:val="zh-CN" w:bidi="en-US"/>
    </w:rPr>
  </w:style>
  <w:style w:type="character" w:customStyle="1" w:styleId="36">
    <w:name w:val="标题 5 Char"/>
    <w:link w:val="6"/>
    <w:qFormat/>
    <w:uiPriority w:val="0"/>
    <w:rPr>
      <w:rFonts w:ascii="Times New Roman" w:hAnsi="Times New Roman" w:eastAsia="宋体" w:cs="Times New Roman"/>
      <w:b/>
      <w:kern w:val="0"/>
      <w:sz w:val="24"/>
      <w:szCs w:val="20"/>
    </w:rPr>
  </w:style>
  <w:style w:type="character" w:customStyle="1" w:styleId="37">
    <w:name w:val="标题 6 Char"/>
    <w:link w:val="7"/>
    <w:qFormat/>
    <w:uiPriority w:val="0"/>
    <w:rPr>
      <w:rFonts w:ascii="Arial" w:hAnsi="Arial" w:eastAsia="黑体" w:cs="Times New Roman"/>
      <w:b/>
      <w:kern w:val="0"/>
      <w:sz w:val="24"/>
      <w:szCs w:val="20"/>
    </w:rPr>
  </w:style>
  <w:style w:type="character" w:customStyle="1" w:styleId="38">
    <w:name w:val="标题 9 Char"/>
    <w:link w:val="10"/>
    <w:qFormat/>
    <w:uiPriority w:val="0"/>
    <w:rPr>
      <w:rFonts w:ascii="Arial" w:hAnsi="Arial" w:eastAsia="黑体" w:cs="Times New Roman"/>
      <w:kern w:val="0"/>
      <w:szCs w:val="20"/>
    </w:rPr>
  </w:style>
  <w:style w:type="character" w:customStyle="1" w:styleId="39">
    <w:name w:val="页眉 Char"/>
    <w:link w:val="14"/>
    <w:qFormat/>
    <w:uiPriority w:val="0"/>
    <w:rPr>
      <w:rFonts w:ascii="宋体" w:hAnsi="宋体" w:eastAsia="宋体" w:cs="Times New Roman"/>
      <w:color w:val="FF0000"/>
      <w:sz w:val="18"/>
      <w:szCs w:val="18"/>
    </w:rPr>
  </w:style>
  <w:style w:type="character" w:customStyle="1" w:styleId="40">
    <w:name w:val="批注框文本 Char"/>
    <w:link w:val="12"/>
    <w:semiHidden/>
    <w:qFormat/>
    <w:uiPriority w:val="99"/>
    <w:rPr>
      <w:rFonts w:ascii="宋体" w:hAnsi="宋体"/>
      <w:color w:val="FF0000"/>
      <w:kern w:val="2"/>
      <w:sz w:val="18"/>
      <w:szCs w:val="18"/>
    </w:rPr>
  </w:style>
  <w:style w:type="character" w:customStyle="1" w:styleId="41">
    <w:name w:val="MM Topic 2 Char"/>
    <w:link w:val="42"/>
    <w:qFormat/>
    <w:uiPriority w:val="0"/>
    <w:rPr>
      <w:rFonts w:ascii="Arial" w:hAnsi="Arial" w:eastAsia="黑体"/>
      <w:b/>
      <w:bCs/>
      <w:kern w:val="2"/>
      <w:sz w:val="32"/>
      <w:szCs w:val="32"/>
    </w:rPr>
  </w:style>
  <w:style w:type="paragraph" w:customStyle="1" w:styleId="42">
    <w:name w:val="MM Topic 2"/>
    <w:basedOn w:val="3"/>
    <w:link w:val="41"/>
    <w:qFormat/>
    <w:uiPriority w:val="0"/>
    <w:pPr>
      <w:numPr>
        <w:ilvl w:val="0"/>
        <w:numId w:val="0"/>
      </w:numPr>
      <w:tabs>
        <w:tab w:val="left" w:pos="992"/>
      </w:tabs>
      <w:adjustRightInd/>
      <w:spacing w:line="416" w:lineRule="auto"/>
      <w:textAlignment w:val="auto"/>
    </w:pPr>
    <w:rPr>
      <w:rFonts w:eastAsia="黑体"/>
      <w:bCs/>
      <w:kern w:val="2"/>
      <w:sz w:val="32"/>
      <w:szCs w:val="32"/>
      <w:lang w:val="en-US"/>
    </w:rPr>
  </w:style>
  <w:style w:type="character" w:customStyle="1" w:styleId="43">
    <w:name w:val="MM Topic 3 Char"/>
    <w:link w:val="44"/>
    <w:qFormat/>
    <w:uiPriority w:val="0"/>
    <w:rPr>
      <w:b/>
      <w:bCs/>
      <w:kern w:val="2"/>
      <w:sz w:val="32"/>
      <w:szCs w:val="32"/>
      <w:lang w:val="zh-CN" w:eastAsia="zh-CN"/>
    </w:rPr>
  </w:style>
  <w:style w:type="paragraph" w:customStyle="1" w:styleId="44">
    <w:name w:val="MM Topic 3"/>
    <w:basedOn w:val="4"/>
    <w:link w:val="43"/>
    <w:qFormat/>
    <w:uiPriority w:val="0"/>
    <w:pPr>
      <w:numPr>
        <w:ilvl w:val="0"/>
        <w:numId w:val="0"/>
      </w:numPr>
      <w:adjustRightInd/>
      <w:spacing w:line="416" w:lineRule="auto"/>
      <w:jc w:val="both"/>
      <w:textAlignment w:val="auto"/>
    </w:pPr>
    <w:rPr>
      <w:bCs/>
      <w:kern w:val="2"/>
      <w:sz w:val="32"/>
      <w:szCs w:val="32"/>
    </w:rPr>
  </w:style>
  <w:style w:type="paragraph" w:customStyle="1" w:styleId="45">
    <w:name w:val="列出段落1"/>
    <w:basedOn w:val="1"/>
    <w:qFormat/>
    <w:uiPriority w:val="34"/>
    <w:pPr>
      <w:ind w:firstLine="420" w:firstLineChars="200"/>
    </w:pPr>
  </w:style>
  <w:style w:type="character" w:customStyle="1" w:styleId="46">
    <w:name w:val="MM Topic 1 Char"/>
    <w:link w:val="47"/>
    <w:qFormat/>
    <w:uiPriority w:val="0"/>
    <w:rPr>
      <w:b/>
      <w:bCs/>
      <w:kern w:val="44"/>
      <w:sz w:val="44"/>
      <w:szCs w:val="44"/>
      <w:lang w:val="zh-CN" w:eastAsia="zh-CN"/>
    </w:rPr>
  </w:style>
  <w:style w:type="paragraph" w:customStyle="1" w:styleId="47">
    <w:name w:val="MM Topic 1"/>
    <w:basedOn w:val="2"/>
    <w:link w:val="46"/>
    <w:qFormat/>
    <w:uiPriority w:val="0"/>
    <w:pPr>
      <w:adjustRightInd/>
      <w:spacing w:line="578" w:lineRule="auto"/>
      <w:textAlignment w:val="auto"/>
    </w:pPr>
    <w:rPr>
      <w:bCs/>
      <w:szCs w:val="44"/>
    </w:rPr>
  </w:style>
  <w:style w:type="paragraph" w:customStyle="1" w:styleId="48">
    <w:name w:val="Char Char3 Char Char"/>
    <w:basedOn w:val="1"/>
    <w:qFormat/>
    <w:uiPriority w:val="0"/>
    <w:pPr>
      <w:keepNext/>
      <w:keepLines/>
      <w:pageBreakBefore/>
      <w:numPr>
        <w:ilvl w:val="0"/>
        <w:numId w:val="2"/>
      </w:numPr>
      <w:tabs>
        <w:tab w:val="left" w:pos="840"/>
      </w:tabs>
      <w:adjustRightInd w:val="0"/>
      <w:textAlignment w:val="baseline"/>
    </w:pPr>
    <w:rPr>
      <w:rFonts w:ascii="Times New Roman" w:hAnsi="Times New Roman"/>
      <w:color w:val="auto"/>
      <w:sz w:val="21"/>
      <w:szCs w:val="20"/>
    </w:rPr>
  </w:style>
  <w:style w:type="paragraph" w:customStyle="1" w:styleId="49">
    <w:name w:val="txt"/>
    <w:basedOn w:val="1"/>
    <w:qFormat/>
    <w:uiPriority w:val="0"/>
    <w:pPr>
      <w:widowControl/>
      <w:spacing w:before="100" w:beforeAutospacing="1" w:after="100" w:afterAutospacing="1"/>
      <w:jc w:val="left"/>
    </w:pPr>
    <w:rPr>
      <w:rFonts w:cs="宋体"/>
      <w:color w:val="auto"/>
      <w:kern w:val="0"/>
    </w:rPr>
  </w:style>
  <w:style w:type="character" w:customStyle="1" w:styleId="50">
    <w:name w:val="批注文字 Char"/>
    <w:link w:val="11"/>
    <w:qFormat/>
    <w:uiPriority w:val="99"/>
    <w:rPr>
      <w:rFonts w:ascii="宋体" w:hAnsi="宋体"/>
      <w:color w:val="FF0000"/>
      <w:kern w:val="2"/>
      <w:sz w:val="24"/>
      <w:szCs w:val="24"/>
    </w:rPr>
  </w:style>
  <w:style w:type="character" w:customStyle="1" w:styleId="51">
    <w:name w:val="批注主题 Char"/>
    <w:link w:val="16"/>
    <w:semiHidden/>
    <w:qFormat/>
    <w:uiPriority w:val="99"/>
    <w:rPr>
      <w:rFonts w:ascii="宋体" w:hAnsi="宋体"/>
      <w:b/>
      <w:bCs/>
      <w:color w:val="FF0000"/>
      <w:kern w:val="2"/>
      <w:sz w:val="24"/>
      <w:szCs w:val="24"/>
    </w:rPr>
  </w:style>
  <w:style w:type="table" w:customStyle="1" w:styleId="52">
    <w:name w:val="Table Normal"/>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53">
    <w:name w:val="修订1"/>
    <w:hidden/>
    <w:unhideWhenUsed/>
    <w:qFormat/>
    <w:uiPriority w:val="99"/>
    <w:rPr>
      <w:rFonts w:ascii="宋体" w:hAnsi="宋体" w:eastAsia="宋体" w:cs="Times New Roman"/>
      <w:color w:val="FF0000"/>
      <w:kern w:val="2"/>
      <w:sz w:val="24"/>
      <w:szCs w:val="24"/>
      <w:lang w:val="en-US" w:eastAsia="zh-CN" w:bidi="ar-SA"/>
    </w:rPr>
  </w:style>
  <w:style w:type="paragraph" w:styleId="54">
    <w:name w:val="List Paragraph"/>
    <w:basedOn w:val="1"/>
    <w:qFormat/>
    <w:uiPriority w:val="34"/>
    <w:pPr>
      <w:ind w:firstLine="420" w:firstLineChars="200"/>
    </w:pPr>
  </w:style>
  <w:style w:type="paragraph" w:customStyle="1" w:styleId="55">
    <w:name w:val="修订2"/>
    <w:hidden/>
    <w:unhideWhenUsed/>
    <w:qFormat/>
    <w:uiPriority w:val="99"/>
    <w:rPr>
      <w:rFonts w:ascii="宋体" w:hAnsi="宋体" w:eastAsia="宋体" w:cs="Times New Roman"/>
      <w:color w:val="FF0000"/>
      <w:kern w:val="2"/>
      <w:sz w:val="24"/>
      <w:szCs w:val="24"/>
      <w:lang w:val="en-US" w:eastAsia="zh-CN" w:bidi="ar-SA"/>
    </w:rPr>
  </w:style>
  <w:style w:type="paragraph" w:customStyle="1" w:styleId="56">
    <w:name w:val="修订3"/>
    <w:hidden/>
    <w:unhideWhenUsed/>
    <w:qFormat/>
    <w:uiPriority w:val="99"/>
    <w:rPr>
      <w:rFonts w:ascii="宋体" w:hAnsi="宋体" w:eastAsia="宋体" w:cs="Times New Roman"/>
      <w:color w:val="FF0000"/>
      <w:kern w:val="2"/>
      <w:sz w:val="24"/>
      <w:szCs w:val="24"/>
      <w:lang w:val="en-US" w:eastAsia="zh-CN" w:bidi="ar-SA"/>
    </w:rPr>
  </w:style>
  <w:style w:type="paragraph" w:customStyle="1" w:styleId="57">
    <w:name w:val="修订4"/>
    <w:hidden/>
    <w:unhideWhenUsed/>
    <w:qFormat/>
    <w:uiPriority w:val="99"/>
    <w:rPr>
      <w:rFonts w:ascii="宋体" w:hAnsi="宋体" w:eastAsia="宋体" w:cs="Times New Roman"/>
      <w:color w:val="FF0000"/>
      <w:kern w:val="2"/>
      <w:sz w:val="24"/>
      <w:szCs w:val="24"/>
      <w:lang w:val="en-US" w:eastAsia="zh-CN" w:bidi="ar-SA"/>
    </w:rPr>
  </w:style>
  <w:style w:type="character" w:customStyle="1" w:styleId="58">
    <w:name w:val="批注文字 字符"/>
    <w:semiHidden/>
    <w:qFormat/>
    <w:uiPriority w:val="99"/>
    <w:rPr>
      <w:rFonts w:ascii="宋体" w:hAnsi="宋体"/>
      <w:color w:val="FF0000"/>
      <w:kern w:val="2"/>
      <w:sz w:val="24"/>
      <w:szCs w:val="24"/>
    </w:rPr>
  </w:style>
  <w:style w:type="paragraph" w:customStyle="1" w:styleId="59">
    <w:name w:val="修订5"/>
    <w:hidden/>
    <w:unhideWhenUsed/>
    <w:qFormat/>
    <w:uiPriority w:val="99"/>
    <w:rPr>
      <w:rFonts w:ascii="宋体" w:hAnsi="宋体" w:eastAsia="宋体" w:cs="Times New Roman"/>
      <w:color w:val="FF0000"/>
      <w:kern w:val="2"/>
      <w:sz w:val="24"/>
      <w:szCs w:val="24"/>
      <w:lang w:val="en-US" w:eastAsia="zh-CN" w:bidi="ar-SA"/>
    </w:rPr>
  </w:style>
  <w:style w:type="character" w:customStyle="1" w:styleId="60">
    <w:name w:val="普通(网站) Char"/>
    <w:link w:val="15"/>
    <w:qFormat/>
    <w:locked/>
    <w:uiPriority w:val="0"/>
    <w:rPr>
      <w:rFonts w:asciiTheme="minorHAnsi" w:hAnsiTheme="minorHAnsi" w:eastAsiaTheme="minorEastAsia"/>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75BCD467-9829-40A5-8A9F-DB518E9BCF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1920</Words>
  <Characters>10945</Characters>
  <Lines>91</Lines>
  <Paragraphs>25</Paragraphs>
  <TotalTime>1</TotalTime>
  <ScaleCrop>false</ScaleCrop>
  <LinksUpToDate>false</LinksUpToDate>
  <CharactersWithSpaces>12840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2026-02-01T17:30:00Z</dcterms:created>
  <dc:creator>未定义</dc:creator>
  <cp:lastModifiedBy>郭田恬</cp:lastModifiedBy>
  <cp:lastPrinted>2026-03-13T13:53:00Z</cp:lastPrinted>
  <dcterms:modified xsi:type="dcterms:W3CDTF">2026-03-23T15:28:45Z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eyJoZGlkIjoiYjgyOGQyODI3NTAyMDJjYmRjZmFkZWE1NDI5Y2Q4NDIiLCJ1c2VySWQiOiIxMTY4OTA1OTA3In0=</vt:lpwstr>
  </property>
  <property fmtid="{D5CDD505-2E9C-101B-9397-08002B2CF9AE}" pid="4" name="ICV">
    <vt:lpwstr>45F319914B4CFE22E8D2C069D045AB1A_43</vt:lpwstr>
  </property>
</Properties>
</file>