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A33DF">
      <w:pPr>
        <w:ind w:firstLine="643"/>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上海市第一人民医院北部1号楼整体改造（研究型病房）项目垂直电梯采购需求</w:t>
      </w:r>
    </w:p>
    <w:p w14:paraId="68D993E0">
      <w:pPr>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一、建筑物基本情况</w:t>
      </w:r>
    </w:p>
    <w:p w14:paraId="2A732C7A">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（一）建筑物地址：上海市虹口区武进路85号北院区1号楼</w:t>
      </w:r>
    </w:p>
    <w:p w14:paraId="3428E843">
      <w:pPr>
        <w:spacing w:line="360" w:lineRule="auto"/>
        <w:ind w:firstLine="420" w:firstLineChars="200"/>
        <w:rPr>
          <w:rFonts w:hint="eastAsia" w:ascii="宋体" w:hAnsi="宋体" w:eastAsia="宋体" w:cs="宋体"/>
          <w:szCs w:val="21"/>
          <w:highlight w:val="none"/>
        </w:rPr>
      </w:pPr>
      <w:bookmarkStart w:id="0" w:name="_GoBack"/>
      <w:bookmarkEnd w:id="0"/>
      <w:r>
        <w:rPr>
          <w:rFonts w:hint="eastAsia" w:ascii="宋体" w:hAnsi="宋体" w:eastAsia="宋体" w:cs="宋体"/>
          <w:szCs w:val="21"/>
          <w:highlight w:val="none"/>
        </w:rPr>
        <w:t>目前情况是处于加固过程中，已拆旧，需要改造井道，全部电梯均在建筑内。</w:t>
      </w:r>
    </w:p>
    <w:p w14:paraId="55BEE67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（三）建筑物抗震设计等级情况：抗震设防7度。</w:t>
      </w:r>
    </w:p>
    <w:p w14:paraId="5CE46BF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（四）救援特殊要求：1部电梯消防电梯，需满足现行消防标准GB/T 26465-2021。</w:t>
      </w:r>
    </w:p>
    <w:p w14:paraId="505E999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（五）建筑物层站情况（楼层数量及地下室情况）：地下1层、地上8层。</w:t>
      </w:r>
    </w:p>
    <w:p w14:paraId="0B24630A">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（六）建筑物各楼层层间距：无。</w:t>
      </w:r>
    </w:p>
    <w:p w14:paraId="59DAA477">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（七）地面基站设定要求：首层。</w:t>
      </w:r>
    </w:p>
    <w:p w14:paraId="5A056590">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（八）电梯井道是全封闭或半封闭、透明或不透明等情况：全封闭（即无电梯采用半封闭、透明或不透明轿厢形式）。</w:t>
      </w:r>
    </w:p>
    <w:p w14:paraId="5082EF4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（九）电源：普通垂直电梯由两路380V电源供电；消防垂直电梯由两路380V消防电源供电。供电线路接至电梯控制箱，电梯控制箱及其后端由厂家提供。</w:t>
      </w:r>
    </w:p>
    <w:p w14:paraId="2F10A968">
      <w:pPr>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二、执行规定及标准</w:t>
      </w:r>
    </w:p>
    <w:p w14:paraId="258768EF">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所提供电梯产品参考执行以下安全技术规范和国家标准的要求：</w:t>
      </w:r>
    </w:p>
    <w:p w14:paraId="44625F80">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（一）TSG T7001-2023《电梯监督检验和定期检验规则》</w:t>
      </w:r>
    </w:p>
    <w:p w14:paraId="1CAC3F2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（二）TSG T7008-2023《电梯自行检测规则》</w:t>
      </w:r>
    </w:p>
    <w:p w14:paraId="7828D9F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（三）TSG T7007-2022《电梯型式试验规则》</w:t>
      </w:r>
    </w:p>
    <w:p w14:paraId="28F9EA4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（四）GB/T 7588.1-2020《电梯制造与安装安全规范第1部分：乘客电梯和载货电梯》</w:t>
      </w:r>
    </w:p>
    <w:p w14:paraId="1D03451A">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（五）GB/T 7588.2-2020《电梯制造与安装安全规范第2部分：电梯部件的设计原则、计算和检验》</w:t>
      </w:r>
    </w:p>
    <w:p w14:paraId="0494348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（六）GB/T 10058-2009 《电梯技术条件》</w:t>
      </w:r>
    </w:p>
    <w:p w14:paraId="562C506C">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（七）GB/T 10059-2009 《电梯试验方法》</w:t>
      </w:r>
    </w:p>
    <w:p w14:paraId="77B2C15B">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（八）GB/T 10060-2011《电梯安装验收规范》</w:t>
      </w:r>
    </w:p>
    <w:p w14:paraId="574C6E0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（九）GB 55019-2021 《建筑与市政工程无障碍通用规范》</w:t>
      </w:r>
    </w:p>
    <w:p w14:paraId="5403C7E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（十）GB 25194-2010《杂物电梯制造与安装安全规范》（仅杂物电梯适用）</w:t>
      </w:r>
    </w:p>
    <w:p w14:paraId="4E702A0B">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（十一）GB/T 31094-2014《防爆电梯制造与安装规范》（仅防爆电梯适用）</w:t>
      </w:r>
    </w:p>
    <w:p w14:paraId="3E518D0C">
      <w:pPr>
        <w:spacing w:line="360" w:lineRule="auto"/>
        <w:rPr>
          <w:rFonts w:hint="eastAsia" w:ascii="宋体" w:hAnsi="宋体" w:eastAsia="宋体" w:cs="宋体"/>
          <w:szCs w:val="21"/>
          <w:highlight w:val="none"/>
        </w:rPr>
      </w:pPr>
    </w:p>
    <w:p w14:paraId="3CD22A63">
      <w:pPr>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三、采购标的清单</w:t>
      </w:r>
    </w:p>
    <w:tbl>
      <w:tblPr>
        <w:tblStyle w:val="10"/>
        <w:tblW w:w="8275" w:type="dxa"/>
        <w:tblInd w:w="57" w:type="dxa"/>
        <w:tblLayout w:type="autofit"/>
        <w:tblCellMar>
          <w:top w:w="0" w:type="dxa"/>
          <w:left w:w="0" w:type="dxa"/>
          <w:bottom w:w="0" w:type="dxa"/>
          <w:right w:w="0" w:type="dxa"/>
        </w:tblCellMar>
      </w:tblPr>
      <w:tblGrid>
        <w:gridCol w:w="766"/>
        <w:gridCol w:w="1245"/>
        <w:gridCol w:w="768"/>
        <w:gridCol w:w="1308"/>
        <w:gridCol w:w="1188"/>
        <w:gridCol w:w="2196"/>
        <w:gridCol w:w="804"/>
      </w:tblGrid>
      <w:tr w14:paraId="1219A8DF">
        <w:tblPrEx>
          <w:tblCellMar>
            <w:top w:w="0" w:type="dxa"/>
            <w:left w:w="0" w:type="dxa"/>
            <w:bottom w:w="0" w:type="dxa"/>
            <w:right w:w="0" w:type="dxa"/>
          </w:tblCellMar>
        </w:tblPrEx>
        <w:trPr>
          <w:tblHeader/>
        </w:trPr>
        <w:tc>
          <w:tcPr>
            <w:tcW w:w="766" w:type="dxa"/>
            <w:tcBorders>
              <w:top w:val="single" w:color="auto" w:sz="12" w:space="0"/>
              <w:left w:val="single" w:color="auto" w:sz="12" w:space="0"/>
              <w:bottom w:val="single" w:color="auto" w:sz="8" w:space="0"/>
              <w:right w:val="single" w:color="auto" w:sz="8" w:space="0"/>
            </w:tcBorders>
            <w:tcMar>
              <w:left w:w="57" w:type="dxa"/>
              <w:right w:w="57" w:type="dxa"/>
            </w:tcMar>
            <w:vAlign w:val="center"/>
          </w:tcPr>
          <w:p w14:paraId="42359AE3">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序号</w:t>
            </w:r>
          </w:p>
        </w:tc>
        <w:tc>
          <w:tcPr>
            <w:tcW w:w="1245" w:type="dxa"/>
            <w:tcBorders>
              <w:top w:val="single" w:color="auto" w:sz="12" w:space="0"/>
              <w:left w:val="nil"/>
              <w:bottom w:val="single" w:color="auto" w:sz="8" w:space="0"/>
              <w:right w:val="single" w:color="auto" w:sz="8" w:space="0"/>
            </w:tcBorders>
            <w:tcMar>
              <w:left w:w="57" w:type="dxa"/>
              <w:right w:w="57" w:type="dxa"/>
            </w:tcMar>
            <w:vAlign w:val="center"/>
          </w:tcPr>
          <w:p w14:paraId="3AA9A1C8">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类别</w:t>
            </w:r>
          </w:p>
        </w:tc>
        <w:tc>
          <w:tcPr>
            <w:tcW w:w="768" w:type="dxa"/>
            <w:tcBorders>
              <w:top w:val="single" w:color="auto" w:sz="12" w:space="0"/>
              <w:left w:val="nil"/>
              <w:bottom w:val="single" w:color="auto" w:sz="8" w:space="0"/>
              <w:right w:val="single" w:color="auto" w:sz="8" w:space="0"/>
            </w:tcBorders>
            <w:tcMar>
              <w:left w:w="57" w:type="dxa"/>
              <w:right w:w="57" w:type="dxa"/>
            </w:tcMar>
            <w:vAlign w:val="center"/>
          </w:tcPr>
          <w:p w14:paraId="66CF39CA">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数量</w:t>
            </w:r>
          </w:p>
        </w:tc>
        <w:tc>
          <w:tcPr>
            <w:tcW w:w="1308" w:type="dxa"/>
            <w:tcBorders>
              <w:top w:val="single" w:color="auto" w:sz="12" w:space="0"/>
              <w:left w:val="nil"/>
              <w:bottom w:val="single" w:color="auto" w:sz="8" w:space="0"/>
              <w:right w:val="single" w:color="auto" w:sz="8" w:space="0"/>
            </w:tcBorders>
            <w:tcMar>
              <w:left w:w="57" w:type="dxa"/>
              <w:right w:w="57" w:type="dxa"/>
            </w:tcMar>
            <w:vAlign w:val="center"/>
          </w:tcPr>
          <w:p w14:paraId="2E53F2EB">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额定载重量</w:t>
            </w:r>
          </w:p>
        </w:tc>
        <w:tc>
          <w:tcPr>
            <w:tcW w:w="1188" w:type="dxa"/>
            <w:tcBorders>
              <w:top w:val="single" w:color="auto" w:sz="12" w:space="0"/>
              <w:left w:val="nil"/>
              <w:bottom w:val="single" w:color="auto" w:sz="8" w:space="0"/>
              <w:right w:val="single" w:color="auto" w:sz="8" w:space="0"/>
            </w:tcBorders>
            <w:tcMar>
              <w:left w:w="57" w:type="dxa"/>
              <w:right w:w="57" w:type="dxa"/>
            </w:tcMar>
            <w:vAlign w:val="center"/>
          </w:tcPr>
          <w:p w14:paraId="082E7396">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额定速度</w:t>
            </w:r>
          </w:p>
        </w:tc>
        <w:tc>
          <w:tcPr>
            <w:tcW w:w="2196" w:type="dxa"/>
            <w:tcBorders>
              <w:top w:val="single" w:color="auto" w:sz="12" w:space="0"/>
              <w:left w:val="nil"/>
              <w:bottom w:val="single" w:color="auto" w:sz="8" w:space="0"/>
              <w:right w:val="single" w:color="auto" w:sz="8" w:space="0"/>
            </w:tcBorders>
            <w:tcMar>
              <w:left w:w="57" w:type="dxa"/>
              <w:right w:w="57" w:type="dxa"/>
            </w:tcMar>
            <w:vAlign w:val="center"/>
          </w:tcPr>
          <w:p w14:paraId="32CD764D">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层 / 站 / 门</w:t>
            </w:r>
          </w:p>
        </w:tc>
        <w:tc>
          <w:tcPr>
            <w:tcW w:w="804" w:type="dxa"/>
            <w:tcBorders>
              <w:top w:val="single" w:color="auto" w:sz="12" w:space="0"/>
              <w:left w:val="nil"/>
              <w:bottom w:val="single" w:color="auto" w:sz="8" w:space="0"/>
              <w:right w:val="single" w:color="auto" w:sz="12" w:space="0"/>
            </w:tcBorders>
            <w:tcMar>
              <w:left w:w="108" w:type="dxa"/>
              <w:right w:w="108" w:type="dxa"/>
            </w:tcMar>
          </w:tcPr>
          <w:p w14:paraId="43FA6B20">
            <w:pPr>
              <w:widowControl/>
              <w:wordWrap w:val="0"/>
              <w:rPr>
                <w:rFonts w:hint="eastAsia" w:ascii="宋体" w:hAnsi="宋体" w:eastAsia="宋体" w:cs="宋体"/>
                <w:kern w:val="0"/>
                <w:szCs w:val="21"/>
                <w:highlight w:val="none"/>
              </w:rPr>
            </w:pPr>
            <w:r>
              <w:rPr>
                <w:rFonts w:hint="eastAsia" w:ascii="宋体" w:hAnsi="宋体" w:eastAsia="宋体" w:cs="宋体"/>
                <w:kern w:val="0"/>
                <w:szCs w:val="21"/>
                <w:highlight w:val="none"/>
              </w:rPr>
              <w:t>备注</w:t>
            </w:r>
          </w:p>
        </w:tc>
      </w:tr>
      <w:tr w14:paraId="18A1F9A2">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2BC02F51">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w:t>
            </w:r>
          </w:p>
        </w:tc>
        <w:tc>
          <w:tcPr>
            <w:tcW w:w="1245" w:type="dxa"/>
            <w:tcBorders>
              <w:top w:val="nil"/>
              <w:left w:val="nil"/>
              <w:bottom w:val="single" w:color="auto" w:sz="8" w:space="0"/>
              <w:right w:val="single" w:color="auto" w:sz="8" w:space="0"/>
            </w:tcBorders>
            <w:tcMar>
              <w:left w:w="108" w:type="dxa"/>
              <w:right w:w="108" w:type="dxa"/>
            </w:tcMar>
            <w:vAlign w:val="center"/>
          </w:tcPr>
          <w:p w14:paraId="5EB61890">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医用电梯</w:t>
            </w:r>
          </w:p>
        </w:tc>
        <w:tc>
          <w:tcPr>
            <w:tcW w:w="768" w:type="dxa"/>
            <w:tcBorders>
              <w:top w:val="nil"/>
              <w:left w:val="nil"/>
              <w:bottom w:val="single" w:color="auto" w:sz="8" w:space="0"/>
              <w:right w:val="single" w:color="auto" w:sz="8" w:space="0"/>
            </w:tcBorders>
            <w:tcMar>
              <w:left w:w="108" w:type="dxa"/>
              <w:right w:w="108" w:type="dxa"/>
            </w:tcMar>
            <w:vAlign w:val="center"/>
          </w:tcPr>
          <w:p w14:paraId="57C2C8AD">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w:t>
            </w:r>
          </w:p>
        </w:tc>
        <w:tc>
          <w:tcPr>
            <w:tcW w:w="1308" w:type="dxa"/>
            <w:tcBorders>
              <w:top w:val="nil"/>
              <w:left w:val="nil"/>
              <w:bottom w:val="single" w:color="auto" w:sz="8" w:space="0"/>
              <w:right w:val="single" w:color="auto" w:sz="8" w:space="0"/>
            </w:tcBorders>
            <w:tcMar>
              <w:left w:w="108" w:type="dxa"/>
              <w:right w:w="108" w:type="dxa"/>
            </w:tcMar>
            <w:vAlign w:val="center"/>
          </w:tcPr>
          <w:p w14:paraId="701EB82D">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1800KG</w:t>
            </w:r>
          </w:p>
        </w:tc>
        <w:tc>
          <w:tcPr>
            <w:tcW w:w="1188" w:type="dxa"/>
            <w:tcBorders>
              <w:top w:val="nil"/>
              <w:left w:val="nil"/>
              <w:bottom w:val="single" w:color="auto" w:sz="8" w:space="0"/>
              <w:right w:val="single" w:color="auto" w:sz="8" w:space="0"/>
            </w:tcBorders>
            <w:tcMar>
              <w:left w:w="108" w:type="dxa"/>
              <w:right w:w="108" w:type="dxa"/>
            </w:tcMar>
            <w:vAlign w:val="center"/>
          </w:tcPr>
          <w:p w14:paraId="52A8D756">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1.6</w:t>
            </w:r>
          </w:p>
        </w:tc>
        <w:tc>
          <w:tcPr>
            <w:tcW w:w="2196" w:type="dxa"/>
            <w:tcBorders>
              <w:top w:val="nil"/>
              <w:left w:val="nil"/>
              <w:bottom w:val="single" w:color="auto" w:sz="8" w:space="0"/>
              <w:right w:val="single" w:color="auto" w:sz="8" w:space="0"/>
            </w:tcBorders>
            <w:tcMar>
              <w:left w:w="108" w:type="dxa"/>
              <w:right w:w="108" w:type="dxa"/>
            </w:tcMar>
            <w:vAlign w:val="center"/>
          </w:tcPr>
          <w:p w14:paraId="4B89A3CF">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8/8/8</w:t>
            </w:r>
          </w:p>
        </w:tc>
        <w:tc>
          <w:tcPr>
            <w:tcW w:w="804" w:type="dxa"/>
            <w:tcBorders>
              <w:top w:val="nil"/>
              <w:left w:val="nil"/>
              <w:bottom w:val="single" w:color="auto" w:sz="8" w:space="0"/>
              <w:right w:val="single" w:color="auto" w:sz="12" w:space="0"/>
            </w:tcBorders>
            <w:tcMar>
              <w:left w:w="108" w:type="dxa"/>
              <w:right w:w="108" w:type="dxa"/>
            </w:tcMar>
          </w:tcPr>
          <w:p w14:paraId="1F04C599">
            <w:pPr>
              <w:widowControl/>
              <w:wordWrap w:val="0"/>
              <w:jc w:val="center"/>
              <w:rPr>
                <w:rFonts w:hint="eastAsia" w:ascii="宋体" w:hAnsi="宋体" w:eastAsia="宋体" w:cs="宋体"/>
                <w:kern w:val="0"/>
                <w:szCs w:val="21"/>
                <w:highlight w:val="none"/>
              </w:rPr>
            </w:pPr>
          </w:p>
        </w:tc>
      </w:tr>
      <w:tr w14:paraId="22CE6330">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01F0A56C">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2</w:t>
            </w:r>
          </w:p>
        </w:tc>
        <w:tc>
          <w:tcPr>
            <w:tcW w:w="1245" w:type="dxa"/>
            <w:tcBorders>
              <w:top w:val="nil"/>
              <w:left w:val="nil"/>
              <w:bottom w:val="single" w:color="auto" w:sz="8" w:space="0"/>
              <w:right w:val="single" w:color="auto" w:sz="8" w:space="0"/>
            </w:tcBorders>
            <w:tcMar>
              <w:left w:w="108" w:type="dxa"/>
              <w:right w:w="108" w:type="dxa"/>
            </w:tcMar>
            <w:vAlign w:val="center"/>
          </w:tcPr>
          <w:p w14:paraId="19A77E0F">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客梯</w:t>
            </w:r>
          </w:p>
        </w:tc>
        <w:tc>
          <w:tcPr>
            <w:tcW w:w="768" w:type="dxa"/>
            <w:tcBorders>
              <w:top w:val="nil"/>
              <w:left w:val="nil"/>
              <w:bottom w:val="single" w:color="auto" w:sz="8" w:space="0"/>
              <w:right w:val="single" w:color="auto" w:sz="8" w:space="0"/>
            </w:tcBorders>
            <w:tcMar>
              <w:left w:w="108" w:type="dxa"/>
              <w:right w:w="108" w:type="dxa"/>
            </w:tcMar>
            <w:vAlign w:val="center"/>
          </w:tcPr>
          <w:p w14:paraId="5A4AA150">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w:t>
            </w:r>
          </w:p>
        </w:tc>
        <w:tc>
          <w:tcPr>
            <w:tcW w:w="1308" w:type="dxa"/>
            <w:tcBorders>
              <w:top w:val="nil"/>
              <w:left w:val="nil"/>
              <w:bottom w:val="single" w:color="auto" w:sz="8" w:space="0"/>
              <w:right w:val="single" w:color="auto" w:sz="8" w:space="0"/>
            </w:tcBorders>
            <w:tcMar>
              <w:left w:w="108" w:type="dxa"/>
              <w:right w:w="108" w:type="dxa"/>
            </w:tcMar>
            <w:vAlign w:val="center"/>
          </w:tcPr>
          <w:p w14:paraId="639727FB">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1200KG</w:t>
            </w:r>
          </w:p>
        </w:tc>
        <w:tc>
          <w:tcPr>
            <w:tcW w:w="1188" w:type="dxa"/>
            <w:tcBorders>
              <w:top w:val="nil"/>
              <w:left w:val="nil"/>
              <w:bottom w:val="single" w:color="auto" w:sz="8" w:space="0"/>
              <w:right w:val="single" w:color="auto" w:sz="8" w:space="0"/>
            </w:tcBorders>
            <w:tcMar>
              <w:left w:w="108" w:type="dxa"/>
              <w:right w:w="108" w:type="dxa"/>
            </w:tcMar>
            <w:vAlign w:val="center"/>
          </w:tcPr>
          <w:p w14:paraId="19908C9D">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1.6</w:t>
            </w:r>
          </w:p>
        </w:tc>
        <w:tc>
          <w:tcPr>
            <w:tcW w:w="2196" w:type="dxa"/>
            <w:tcBorders>
              <w:top w:val="nil"/>
              <w:left w:val="nil"/>
              <w:bottom w:val="single" w:color="auto" w:sz="8" w:space="0"/>
              <w:right w:val="single" w:color="auto" w:sz="8" w:space="0"/>
            </w:tcBorders>
            <w:tcMar>
              <w:left w:w="108" w:type="dxa"/>
              <w:right w:w="108" w:type="dxa"/>
            </w:tcMar>
            <w:vAlign w:val="center"/>
          </w:tcPr>
          <w:p w14:paraId="0E92D88C">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8/8/8</w:t>
            </w:r>
          </w:p>
        </w:tc>
        <w:tc>
          <w:tcPr>
            <w:tcW w:w="804" w:type="dxa"/>
            <w:tcBorders>
              <w:top w:val="nil"/>
              <w:left w:val="nil"/>
              <w:bottom w:val="single" w:color="auto" w:sz="8" w:space="0"/>
              <w:right w:val="single" w:color="auto" w:sz="12" w:space="0"/>
            </w:tcBorders>
            <w:tcMar>
              <w:left w:w="108" w:type="dxa"/>
              <w:right w:w="108" w:type="dxa"/>
            </w:tcMar>
          </w:tcPr>
          <w:p w14:paraId="415CC6F2">
            <w:pPr>
              <w:widowControl/>
              <w:wordWrap w:val="0"/>
              <w:jc w:val="center"/>
              <w:rPr>
                <w:rFonts w:hint="eastAsia" w:ascii="宋体" w:hAnsi="宋体" w:eastAsia="宋体" w:cs="宋体"/>
                <w:kern w:val="0"/>
                <w:szCs w:val="21"/>
                <w:highlight w:val="none"/>
              </w:rPr>
            </w:pPr>
          </w:p>
        </w:tc>
      </w:tr>
      <w:tr w14:paraId="0081A890">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71313888">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3</w:t>
            </w:r>
          </w:p>
        </w:tc>
        <w:tc>
          <w:tcPr>
            <w:tcW w:w="1245" w:type="dxa"/>
            <w:tcBorders>
              <w:top w:val="nil"/>
              <w:left w:val="nil"/>
              <w:bottom w:val="single" w:color="auto" w:sz="8" w:space="0"/>
              <w:right w:val="single" w:color="auto" w:sz="8" w:space="0"/>
            </w:tcBorders>
            <w:tcMar>
              <w:left w:w="108" w:type="dxa"/>
              <w:right w:w="108" w:type="dxa"/>
            </w:tcMar>
            <w:vAlign w:val="center"/>
          </w:tcPr>
          <w:p w14:paraId="175FA617">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污梯/消防电梯</w:t>
            </w:r>
          </w:p>
        </w:tc>
        <w:tc>
          <w:tcPr>
            <w:tcW w:w="768" w:type="dxa"/>
            <w:tcBorders>
              <w:top w:val="nil"/>
              <w:left w:val="nil"/>
              <w:bottom w:val="single" w:color="auto" w:sz="8" w:space="0"/>
              <w:right w:val="single" w:color="auto" w:sz="8" w:space="0"/>
            </w:tcBorders>
            <w:tcMar>
              <w:left w:w="108" w:type="dxa"/>
              <w:right w:w="108" w:type="dxa"/>
            </w:tcMar>
            <w:vAlign w:val="center"/>
          </w:tcPr>
          <w:p w14:paraId="1AB85C69">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w:t>
            </w:r>
          </w:p>
        </w:tc>
        <w:tc>
          <w:tcPr>
            <w:tcW w:w="1308" w:type="dxa"/>
            <w:tcBorders>
              <w:top w:val="nil"/>
              <w:left w:val="nil"/>
              <w:bottom w:val="single" w:color="auto" w:sz="8" w:space="0"/>
              <w:right w:val="single" w:color="auto" w:sz="8" w:space="0"/>
            </w:tcBorders>
            <w:tcMar>
              <w:left w:w="108" w:type="dxa"/>
              <w:right w:w="108" w:type="dxa"/>
            </w:tcMar>
            <w:vAlign w:val="center"/>
          </w:tcPr>
          <w:p w14:paraId="6D547439">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1000KG</w:t>
            </w:r>
          </w:p>
        </w:tc>
        <w:tc>
          <w:tcPr>
            <w:tcW w:w="1188" w:type="dxa"/>
            <w:tcBorders>
              <w:top w:val="nil"/>
              <w:left w:val="nil"/>
              <w:bottom w:val="single" w:color="auto" w:sz="8" w:space="0"/>
              <w:right w:val="single" w:color="auto" w:sz="8" w:space="0"/>
            </w:tcBorders>
            <w:tcMar>
              <w:left w:w="108" w:type="dxa"/>
              <w:right w:w="108" w:type="dxa"/>
            </w:tcMar>
            <w:vAlign w:val="center"/>
          </w:tcPr>
          <w:p w14:paraId="071041A7">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1.6</w:t>
            </w:r>
          </w:p>
        </w:tc>
        <w:tc>
          <w:tcPr>
            <w:tcW w:w="2196" w:type="dxa"/>
            <w:tcBorders>
              <w:top w:val="nil"/>
              <w:left w:val="nil"/>
              <w:bottom w:val="single" w:color="auto" w:sz="8" w:space="0"/>
              <w:right w:val="single" w:color="auto" w:sz="8" w:space="0"/>
            </w:tcBorders>
            <w:tcMar>
              <w:left w:w="108" w:type="dxa"/>
              <w:right w:w="108" w:type="dxa"/>
            </w:tcMar>
            <w:vAlign w:val="center"/>
          </w:tcPr>
          <w:p w14:paraId="70E22894">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9/9/9</w:t>
            </w:r>
          </w:p>
        </w:tc>
        <w:tc>
          <w:tcPr>
            <w:tcW w:w="804" w:type="dxa"/>
            <w:tcBorders>
              <w:top w:val="nil"/>
              <w:left w:val="nil"/>
              <w:bottom w:val="single" w:color="auto" w:sz="8" w:space="0"/>
              <w:right w:val="single" w:color="auto" w:sz="12" w:space="0"/>
            </w:tcBorders>
            <w:tcMar>
              <w:left w:w="108" w:type="dxa"/>
              <w:right w:w="108" w:type="dxa"/>
            </w:tcMar>
          </w:tcPr>
          <w:p w14:paraId="213A1693">
            <w:pPr>
              <w:widowControl/>
              <w:wordWrap w:val="0"/>
              <w:jc w:val="center"/>
              <w:rPr>
                <w:rFonts w:hint="eastAsia" w:ascii="宋体" w:hAnsi="宋体" w:eastAsia="宋体" w:cs="宋体"/>
                <w:kern w:val="0"/>
                <w:szCs w:val="21"/>
                <w:highlight w:val="none"/>
              </w:rPr>
            </w:pPr>
          </w:p>
        </w:tc>
      </w:tr>
      <w:tr w14:paraId="2D6256B1">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7E426089">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4</w:t>
            </w:r>
          </w:p>
        </w:tc>
        <w:tc>
          <w:tcPr>
            <w:tcW w:w="1245" w:type="dxa"/>
            <w:tcBorders>
              <w:top w:val="nil"/>
              <w:left w:val="nil"/>
              <w:bottom w:val="single" w:color="auto" w:sz="8" w:space="0"/>
              <w:right w:val="single" w:color="auto" w:sz="8" w:space="0"/>
            </w:tcBorders>
            <w:tcMar>
              <w:left w:w="108" w:type="dxa"/>
              <w:right w:w="108" w:type="dxa"/>
            </w:tcMar>
            <w:vAlign w:val="center"/>
          </w:tcPr>
          <w:p w14:paraId="12C2B78D">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客梯</w:t>
            </w:r>
          </w:p>
        </w:tc>
        <w:tc>
          <w:tcPr>
            <w:tcW w:w="768" w:type="dxa"/>
            <w:tcBorders>
              <w:top w:val="nil"/>
              <w:left w:val="nil"/>
              <w:bottom w:val="single" w:color="auto" w:sz="8" w:space="0"/>
              <w:right w:val="single" w:color="auto" w:sz="8" w:space="0"/>
            </w:tcBorders>
            <w:tcMar>
              <w:left w:w="108" w:type="dxa"/>
              <w:right w:w="108" w:type="dxa"/>
            </w:tcMar>
            <w:vAlign w:val="center"/>
          </w:tcPr>
          <w:p w14:paraId="5F611375">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w:t>
            </w:r>
          </w:p>
        </w:tc>
        <w:tc>
          <w:tcPr>
            <w:tcW w:w="1308" w:type="dxa"/>
            <w:tcBorders>
              <w:top w:val="nil"/>
              <w:left w:val="nil"/>
              <w:bottom w:val="single" w:color="auto" w:sz="8" w:space="0"/>
              <w:right w:val="single" w:color="auto" w:sz="8" w:space="0"/>
            </w:tcBorders>
            <w:tcMar>
              <w:left w:w="108" w:type="dxa"/>
              <w:right w:w="108" w:type="dxa"/>
            </w:tcMar>
            <w:vAlign w:val="center"/>
          </w:tcPr>
          <w:p w14:paraId="6B075FB4">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800KG</w:t>
            </w:r>
          </w:p>
        </w:tc>
        <w:tc>
          <w:tcPr>
            <w:tcW w:w="1188" w:type="dxa"/>
            <w:tcBorders>
              <w:top w:val="nil"/>
              <w:left w:val="nil"/>
              <w:bottom w:val="single" w:color="auto" w:sz="8" w:space="0"/>
              <w:right w:val="single" w:color="auto" w:sz="8" w:space="0"/>
            </w:tcBorders>
            <w:tcMar>
              <w:left w:w="108" w:type="dxa"/>
              <w:right w:w="108" w:type="dxa"/>
            </w:tcMar>
            <w:vAlign w:val="center"/>
          </w:tcPr>
          <w:p w14:paraId="5CBF1D5D">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1.6</w:t>
            </w:r>
          </w:p>
        </w:tc>
        <w:tc>
          <w:tcPr>
            <w:tcW w:w="2196" w:type="dxa"/>
            <w:tcBorders>
              <w:top w:val="nil"/>
              <w:left w:val="nil"/>
              <w:bottom w:val="single" w:color="auto" w:sz="8" w:space="0"/>
              <w:right w:val="single" w:color="auto" w:sz="8" w:space="0"/>
            </w:tcBorders>
            <w:tcMar>
              <w:left w:w="108" w:type="dxa"/>
              <w:right w:w="108" w:type="dxa"/>
            </w:tcMar>
            <w:vAlign w:val="center"/>
          </w:tcPr>
          <w:p w14:paraId="13C1CF12">
            <w:pPr>
              <w:widowControl/>
              <w:wordWrap w:val="0"/>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8/8/8</w:t>
            </w:r>
          </w:p>
        </w:tc>
        <w:tc>
          <w:tcPr>
            <w:tcW w:w="804" w:type="dxa"/>
            <w:tcBorders>
              <w:top w:val="nil"/>
              <w:left w:val="nil"/>
              <w:bottom w:val="single" w:color="auto" w:sz="8" w:space="0"/>
              <w:right w:val="single" w:color="auto" w:sz="12" w:space="0"/>
            </w:tcBorders>
            <w:tcMar>
              <w:left w:w="108" w:type="dxa"/>
              <w:right w:w="108" w:type="dxa"/>
            </w:tcMar>
          </w:tcPr>
          <w:p w14:paraId="6B7FDC9C">
            <w:pPr>
              <w:widowControl/>
              <w:wordWrap w:val="0"/>
              <w:jc w:val="center"/>
              <w:rPr>
                <w:rFonts w:hint="eastAsia" w:ascii="宋体" w:hAnsi="宋体" w:eastAsia="宋体" w:cs="宋体"/>
                <w:kern w:val="0"/>
                <w:szCs w:val="21"/>
                <w:highlight w:val="none"/>
              </w:rPr>
            </w:pPr>
          </w:p>
        </w:tc>
      </w:tr>
    </w:tbl>
    <w:p w14:paraId="5709601D">
      <w:pPr>
        <w:spacing w:line="360" w:lineRule="auto"/>
        <w:rPr>
          <w:rFonts w:hint="eastAsia" w:ascii="宋体" w:hAnsi="宋体" w:eastAsia="宋体" w:cs="宋体"/>
          <w:szCs w:val="21"/>
          <w:highlight w:val="none"/>
        </w:rPr>
      </w:pPr>
    </w:p>
    <w:p w14:paraId="154331DE">
      <w:pPr>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四、商务要求</w:t>
      </w:r>
    </w:p>
    <w:p w14:paraId="1C27ACF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（一）包装和运输</w:t>
      </w:r>
    </w:p>
    <w:p w14:paraId="069EF5C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采购人应参照财政部等印发的《商品包装政府采购需求标准（试行）》《快递包装政府采购需求标准（试行）》（财办库〔2020〕123号），明确具体电梯包装要求。</w:t>
      </w:r>
    </w:p>
    <w:p w14:paraId="700A0B7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（二）保险</w:t>
      </w:r>
    </w:p>
    <w:p w14:paraId="66C9A38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采购人可以要求供应商结合当地市场监管部门相关政策购买电梯责任保险或其他等同形式的商业保险，并明确保险的受益人。</w:t>
      </w:r>
    </w:p>
    <w:p w14:paraId="6C5DA4E7">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（三）出厂检验</w:t>
      </w:r>
    </w:p>
    <w:p w14:paraId="5B69D99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供应商所提供的电梯品牌制造单位必须履行电梯出厂检验程序，提供随机附带的配置说明文件。对需要使用密码接入控制器的，应要求其在安装使用维护说明中标明该预设密码。</w:t>
      </w:r>
    </w:p>
    <w:p w14:paraId="267CB7BF">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（四）到货检验</w:t>
      </w:r>
    </w:p>
    <w:p w14:paraId="0C6FEC9B">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供应商在货物运抵安装位置后应当履行到货检验手续。到货检验可由采购人（含采购人委托的监理单位）、供应商共同进行，必要时可约定邀请第三方专业检验检测机构参与。检验内容包括对照采购清单及技术要求检查相关品牌证书、装箱清单（含设备的主、附件）、产品配置说明、设备出厂检验报告、整机及安全保护装置型式试验证书等相关文件证书等。</w:t>
      </w:r>
    </w:p>
    <w:p w14:paraId="6EDA13D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（五）安装调试</w:t>
      </w:r>
    </w:p>
    <w:p w14:paraId="667D659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1.电梯安装施工过程中，中标供应商应当服从施工总包单位对施工现场安全生产的管理，落实现场安全防护措施，并明确各自的安全责任。</w:t>
      </w:r>
    </w:p>
    <w:p w14:paraId="70CDDC13">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2.电梯安装施工期间应在电梯口的显著位置设置警示标志和公示牌，并采取必要的防护措施，公示牌载明作业内容、施工期限、施工单位、责任人、联系方式等信息。</w:t>
      </w:r>
    </w:p>
    <w:p w14:paraId="68E9D15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3.中标供应商不得采用更改软件程序、变动硬件设施等技术手段设置技术障碍，影响电梯正常运行。</w:t>
      </w:r>
    </w:p>
    <w:p w14:paraId="614E9D8D">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4.中标供应商不得以任何形式允许、默许其他单位或者个人将未经检验或者检验不合格的电梯投入使用。</w:t>
      </w:r>
    </w:p>
    <w:p w14:paraId="3C8EF806">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5.中标供应商应提供必要的技术服务和必需的备品配件，指导并协助解决电梯安装、调试、使用过程中涉及的质量安全问题，并在安装竣工后进行整机验收、出具整机质量证明文件。</w:t>
      </w:r>
    </w:p>
    <w:p w14:paraId="7107A01F">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（六）交付检验</w:t>
      </w:r>
    </w:p>
    <w:p w14:paraId="21E8F5F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中标供应商应提供交付检验服务。招标文件、投标文件、厂家货物技术标准说明及国家有关的质量标准规定均为验收依据。交付检验至少应满足以下要求：</w:t>
      </w:r>
    </w:p>
    <w:p w14:paraId="26E22F9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1.电梯安装调试完毕后，采购人根据招标文件、投标文件、厂家货物技术标准说明等内容进行检查，符合要求后提请特种设备监督检验机构进行监督检验。必要时可约定邀请第三方专业检验检测机构参与。</w:t>
      </w:r>
    </w:p>
    <w:p w14:paraId="588A0173">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2.电梯安装监督检验须由经核准的特种设备监督检验机构进行，检验合格并完成电梯使用登记手续后方视为完成交付检验。</w:t>
      </w:r>
    </w:p>
    <w:p w14:paraId="078605C5">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完成交付检验后，中标供应商应向采购人移交监督检验报告、特种设备使用标志、电梯相关建筑接口符合性声明、配置说明、型式试验证书、电气原理图、整机质量证明文件、安装使用维护保养说明书、应急救援说明、非金属材质部件使用声明（如果有）、未设置人为障碍声明、变更设计证明文件（如果有）、安装自检报告等有关资料。</w:t>
      </w:r>
    </w:p>
    <w:p w14:paraId="1982879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（七）管理及技术支撑能力</w:t>
      </w:r>
    </w:p>
    <w:p w14:paraId="4C74E69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投标人应在投标文件中明确项目实施期间的管理人员配置、安装过程管理方案、调试方案、维保及技术支撑方案、类似业绩等。</w:t>
      </w:r>
    </w:p>
    <w:p w14:paraId="7A613D1F">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项目经理及安装人员要求：职称、资格、从业履历等..</w:t>
      </w:r>
    </w:p>
    <w:p w14:paraId="073FD33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投标人承诺不经建设方允许不得更换项目经理。</w:t>
      </w:r>
    </w:p>
    <w:p w14:paraId="2486A45B">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（八）售后服务</w:t>
      </w:r>
    </w:p>
    <w:p w14:paraId="21B02EBB">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1.免费售后维保服务期限</w:t>
      </w:r>
    </w:p>
    <w:p w14:paraId="647BCC0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自特种设备检验机构监督检验合格之日起，整机不低于2年，主要部件和安全保护装置不低于5年。</w:t>
      </w:r>
    </w:p>
    <w:p w14:paraId="2C0F2BB3">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在质量保证期限内存在质量问题的，中标供应商应当提供免费修理或者更换服务。</w:t>
      </w:r>
    </w:p>
    <w:p w14:paraId="220A622B">
      <w:pPr>
        <w:spacing w:line="360" w:lineRule="auto"/>
        <w:ind w:firstLine="422" w:firstLineChars="200"/>
        <w:rPr>
          <w:rFonts w:hint="eastAsia" w:ascii="宋体" w:hAnsi="宋体" w:eastAsia="宋体" w:cs="宋体"/>
          <w:szCs w:val="21"/>
          <w:highlight w:val="none"/>
        </w:rPr>
      </w:pPr>
      <w:r>
        <w:rPr>
          <w:rFonts w:hint="eastAsia" w:ascii="宋体" w:hAnsi="宋体" w:eastAsia="宋体" w:cs="宋体"/>
          <w:b/>
          <w:szCs w:val="21"/>
          <w:highlight w:val="none"/>
        </w:rPr>
        <w:t>电梯主要部件包括</w:t>
      </w:r>
      <w:r>
        <w:rPr>
          <w:rFonts w:hint="eastAsia" w:ascii="宋体" w:hAnsi="宋体" w:eastAsia="宋体" w:cs="宋体"/>
          <w:szCs w:val="21"/>
          <w:highlight w:val="none"/>
        </w:rPr>
        <w:t>绳头组合、控制柜、层门、玻璃轿门、玻璃轿壁、驱动主机（适用于曳引与强制驱动电梯）；</w:t>
      </w:r>
    </w:p>
    <w:p w14:paraId="754A3598">
      <w:pPr>
        <w:spacing w:line="360" w:lineRule="auto"/>
        <w:ind w:firstLine="422" w:firstLineChars="200"/>
        <w:rPr>
          <w:rFonts w:hint="eastAsia" w:ascii="宋体" w:hAnsi="宋体" w:eastAsia="宋体" w:cs="宋体"/>
          <w:szCs w:val="21"/>
          <w:highlight w:val="none"/>
        </w:rPr>
      </w:pPr>
      <w:r>
        <w:rPr>
          <w:rFonts w:hint="eastAsia" w:ascii="宋体" w:hAnsi="宋体" w:eastAsia="宋体" w:cs="宋体"/>
          <w:b/>
          <w:szCs w:val="21"/>
          <w:highlight w:val="none"/>
        </w:rPr>
        <w:t>安全保护装置包括</w:t>
      </w:r>
      <w:r>
        <w:rPr>
          <w:rFonts w:hint="eastAsia" w:ascii="宋体" w:hAnsi="宋体" w:eastAsia="宋体" w:cs="宋体"/>
          <w:szCs w:val="21"/>
          <w:highlight w:val="none"/>
        </w:rPr>
        <w:t>限速器、安全钳、缓冲器、门锁装置、轿厢上行超速保护装置（适用于曳引驱动电梯）、含有电子元件的安全电路、可编程电子安全相关系统、限速切断阀（适用于液压驱动电梯）、轿厢意外移动保护装置（适用于曳引与强制驱动非防爆电梯）。</w:t>
      </w:r>
    </w:p>
    <w:p w14:paraId="12B4CF6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2.售后服务要求</w:t>
      </w:r>
    </w:p>
    <w:p w14:paraId="7EAB31BF">
      <w:pPr>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（1）验收通过后24个月内，现场维护保养应至少由1名持有特种设备作业人员资格证的人员驻场实施。</w:t>
      </w:r>
    </w:p>
    <w:p w14:paraId="0C40A49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（2）设立24小时维保值班电话，保证接到故障通知后及时予以排除。</w:t>
      </w:r>
    </w:p>
    <w:p w14:paraId="0508A9D5">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（3）建立每台电梯的维保记录，及时记录电梯的维保、故障等情况。</w:t>
      </w:r>
    </w:p>
    <w:p w14:paraId="58F28D2D">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（4）接到电梯困人故障报告后，维保人员15分钟内抵达所维保电梯所在地实施现场救援。</w:t>
      </w:r>
    </w:p>
    <w:p w14:paraId="32F87E3B">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（5）协助采购人建立每台电梯的档案，包括电梯安全管理制度、应急救援预案、维保记录、故障记录、日常巡查记录等。</w:t>
      </w:r>
    </w:p>
    <w:p w14:paraId="644C48A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（6）协助采购人至少每年开展一次应急演练。</w:t>
      </w:r>
    </w:p>
    <w:p w14:paraId="0D2E5A5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（7）至少提前一天书面告知采购人维护保养时间及联系人，维护保养期间应在现场放置警示标志。</w:t>
      </w:r>
    </w:p>
    <w:p w14:paraId="3F22891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（8）终止电梯维护保养时不得采用设置密码等方式干扰电梯后续的正常运行和安全使用。</w:t>
      </w:r>
    </w:p>
    <w:p w14:paraId="105AC69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（9）提供必需的备品备件，满足使用过程中更换及时性的要求。</w:t>
      </w:r>
    </w:p>
    <w:p w14:paraId="2C40FC7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（10）在未经采购人许可的情况下不得将售后维保业务转包、分包。</w:t>
      </w:r>
    </w:p>
    <w:p w14:paraId="0C793965">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3.免费维保期满后的交接要求</w:t>
      </w:r>
    </w:p>
    <w:p w14:paraId="314573C6">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w:t>
      </w:r>
      <w:r>
        <w:rPr>
          <w:rFonts w:ascii="宋体" w:hAnsi="宋体" w:eastAsia="宋体" w:cs="宋体"/>
          <w:szCs w:val="21"/>
          <w:highlight w:val="none"/>
        </w:rPr>
        <w:t>免费维保期届满前60日，中标供应商应书面通知采购人（或采购人指定的后续维保单位），并配合完成以下交接工作：</w:t>
      </w:r>
    </w:p>
    <w:p w14:paraId="43C2B46B">
      <w:pPr>
        <w:spacing w:line="360" w:lineRule="auto"/>
        <w:ind w:firstLine="420" w:firstLineChars="200"/>
        <w:rPr>
          <w:rFonts w:hint="eastAsia" w:ascii="宋体" w:hAnsi="宋体" w:eastAsia="宋体" w:cs="宋体"/>
          <w:szCs w:val="21"/>
          <w:highlight w:val="none"/>
        </w:rPr>
      </w:pPr>
      <w:r>
        <w:rPr>
          <w:rFonts w:ascii="宋体" w:hAnsi="宋体" w:eastAsia="宋体" w:cs="宋体"/>
          <w:szCs w:val="21"/>
          <w:highlight w:val="none"/>
        </w:rPr>
        <w:t>（1）提供每台电梯的完整维保记录、故障记录、部件更换记录（含电子版）；</w:t>
      </w:r>
    </w:p>
    <w:p w14:paraId="507317CA">
      <w:pPr>
        <w:spacing w:line="360" w:lineRule="auto"/>
        <w:ind w:firstLine="420" w:firstLineChars="200"/>
        <w:rPr>
          <w:rFonts w:hint="eastAsia" w:ascii="宋体" w:hAnsi="宋体" w:eastAsia="宋体" w:cs="宋体"/>
          <w:szCs w:val="21"/>
          <w:highlight w:val="none"/>
        </w:rPr>
      </w:pPr>
      <w:r>
        <w:rPr>
          <w:rFonts w:ascii="宋体" w:hAnsi="宋体" w:eastAsia="宋体" w:cs="宋体"/>
          <w:szCs w:val="21"/>
          <w:highlight w:val="none"/>
        </w:rPr>
        <w:t>（2）提供电梯全部技术资料（包括但不限于：电气原理图、接线图、PLC程序密码（如有）、控制柜参数设置表、维保手册、调试软件及使用说明）；</w:t>
      </w:r>
    </w:p>
    <w:p w14:paraId="62E52D06">
      <w:pPr>
        <w:spacing w:line="360" w:lineRule="auto"/>
        <w:ind w:firstLine="420" w:firstLineChars="200"/>
        <w:rPr>
          <w:rFonts w:hint="eastAsia" w:ascii="宋体" w:hAnsi="宋体" w:eastAsia="宋体" w:cs="宋体"/>
          <w:szCs w:val="21"/>
          <w:highlight w:val="none"/>
        </w:rPr>
      </w:pPr>
      <w:r>
        <w:rPr>
          <w:rFonts w:ascii="宋体" w:hAnsi="宋体" w:eastAsia="宋体" w:cs="宋体"/>
          <w:szCs w:val="21"/>
          <w:highlight w:val="none"/>
        </w:rPr>
        <w:t>（3）对电梯进行一次全面检查，出具《电梯交接状态检查报告》，列明所有已知缺陷和潜在风险；</w:t>
      </w:r>
    </w:p>
    <w:p w14:paraId="27821DCA">
      <w:pPr>
        <w:spacing w:line="360" w:lineRule="auto"/>
        <w:ind w:firstLine="420" w:firstLineChars="200"/>
        <w:rPr>
          <w:rFonts w:hint="eastAsia" w:ascii="宋体" w:hAnsi="宋体" w:eastAsia="宋体" w:cs="宋体"/>
          <w:szCs w:val="21"/>
          <w:highlight w:val="none"/>
        </w:rPr>
      </w:pPr>
      <w:r>
        <w:rPr>
          <w:rFonts w:ascii="宋体" w:hAnsi="宋体" w:eastAsia="宋体" w:cs="宋体"/>
          <w:szCs w:val="21"/>
          <w:highlight w:val="none"/>
        </w:rPr>
        <w:t>（4）对后续维保单位进行不少于8学时的现场技术交底和操作培训。</w:t>
      </w:r>
    </w:p>
    <w:p w14:paraId="79C3E7FD">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w:t>
      </w:r>
      <w:r>
        <w:rPr>
          <w:rFonts w:ascii="宋体" w:hAnsi="宋体" w:eastAsia="宋体" w:cs="宋体"/>
          <w:szCs w:val="21"/>
          <w:highlight w:val="none"/>
        </w:rPr>
        <w:t>中标供应商不得以任何形式（包括但不限于设置密码、加密软件、锁定参数）阻碍后续维保单位正常维护和使用电梯。若因中标供应商原因导致后续维保无法正常进行，应承担由此产生的全部损失。</w:t>
      </w:r>
    </w:p>
    <w:p w14:paraId="6D7D66A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w:t>
      </w:r>
      <w:r>
        <w:rPr>
          <w:rFonts w:ascii="宋体" w:hAnsi="宋体" w:eastAsia="宋体" w:cs="宋体"/>
          <w:szCs w:val="21"/>
          <w:highlight w:val="none"/>
        </w:rPr>
        <w:t>主要部件（绳头组合、控制柜、层门、驱动主机等）和安全保护装置（限速器、安全钳、缓冲器、门锁装置、</w:t>
      </w:r>
      <w:r>
        <w:rPr>
          <w:rFonts w:hint="eastAsia" w:ascii="宋体" w:hAnsi="宋体" w:eastAsia="宋体" w:cs="宋体"/>
          <w:szCs w:val="21"/>
          <w:highlight w:val="none"/>
        </w:rPr>
        <w:t>轿厢上行超速保护装置、</w:t>
      </w:r>
      <w:r>
        <w:rPr>
          <w:rFonts w:ascii="宋体" w:hAnsi="宋体" w:eastAsia="宋体" w:cs="宋体"/>
          <w:szCs w:val="21"/>
          <w:highlight w:val="none"/>
        </w:rPr>
        <w:t>轿厢意外移动保护装置等）</w:t>
      </w:r>
      <w:r>
        <w:rPr>
          <w:rFonts w:hint="eastAsia" w:ascii="宋体" w:hAnsi="宋体" w:eastAsia="宋体" w:cs="宋体"/>
          <w:szCs w:val="21"/>
          <w:highlight w:val="none"/>
        </w:rPr>
        <w:t>，</w:t>
      </w:r>
      <w:r>
        <w:rPr>
          <w:rFonts w:ascii="宋体" w:hAnsi="宋体" w:eastAsia="宋体" w:cs="宋体"/>
          <w:szCs w:val="21"/>
          <w:highlight w:val="none"/>
        </w:rPr>
        <w:t>5年内出现质量问题，中标供应商仍应免费更换。该义务不因维保单位的变更而免除。</w:t>
      </w:r>
    </w:p>
    <w:p w14:paraId="5824C65F">
      <w:pPr>
        <w:spacing w:line="360" w:lineRule="auto"/>
        <w:ind w:firstLine="422" w:firstLineChars="200"/>
        <w:rPr>
          <w:rFonts w:hint="eastAsia" w:ascii="宋体" w:hAnsi="宋体" w:eastAsia="宋体" w:cs="宋体"/>
          <w:szCs w:val="21"/>
          <w:highlight w:val="none"/>
        </w:rPr>
      </w:pPr>
      <w:r>
        <w:rPr>
          <w:rFonts w:hint="eastAsia" w:ascii="宋体" w:hAnsi="宋体" w:eastAsia="宋体" w:cs="宋体"/>
          <w:b/>
          <w:szCs w:val="21"/>
          <w:highlight w:val="none"/>
        </w:rPr>
        <w:t>五、施工界面划分</w:t>
      </w:r>
    </w:p>
    <w:p w14:paraId="1C1FC4A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（一）电梯电源管线由施工总包施工至</w:t>
      </w:r>
      <w:r>
        <w:rPr>
          <w:rFonts w:hint="eastAsia" w:ascii="宋体" w:hAnsi="宋体" w:eastAsia="宋体" w:cs="宋体"/>
          <w:color w:val="auto"/>
          <w:szCs w:val="21"/>
          <w:highlight w:val="none"/>
        </w:rPr>
        <w:t>电梯井道内（无机房）或控制柜（有机房），</w:t>
      </w:r>
      <w:r>
        <w:rPr>
          <w:rFonts w:hint="eastAsia" w:ascii="宋体" w:hAnsi="宋体" w:eastAsia="宋体" w:cs="宋体"/>
          <w:szCs w:val="21"/>
          <w:highlight w:val="none"/>
        </w:rPr>
        <w:t>电梯控制柜出线的管路（或线槽）、电缆敷设、导线由中标供应商提供并安装。</w:t>
      </w:r>
    </w:p>
    <w:p w14:paraId="75CD0717">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（二）中标供应商负责提供井道照明的材料及安装。</w:t>
      </w:r>
    </w:p>
    <w:p w14:paraId="56F5E96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三）电梯井道门洞口的防护栅栏由施工总包单位在土建施工时完成(厅门护栏的设置应符合中标供应商的安全要求),中标供应商进场后由中标供应商负责井道门洞口的安全维护。总包完成栅栏后由监理及供应商共同验收，合格后移交供应商；移交后因供应商施工造成的损坏由供应商修复，非施工原因造成的损坏由总包负责。</w:t>
      </w:r>
    </w:p>
    <w:p w14:paraId="35BD880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四）施工总包单位负责为中标供应商提供每个楼层施工标高线，同时按中标供应商提供图纸预留电梯厅外按钮、到站显示灯等孔洞。电梯井道土建施工完成后，由中标人复核井道土建是否满足电梯安装要求，并确认。</w:t>
      </w:r>
    </w:p>
    <w:p w14:paraId="0B17AF3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zCs w:val="21"/>
          <w:highlight w:val="none"/>
        </w:rPr>
        <w:t>（五）施工总包单位为中标供应商提供临时场所并指定施工现场内的垃圾堆放点，中标供应商在临时场所搭建工具房并自行采用保护措施，</w:t>
      </w:r>
      <w:r>
        <w:rPr>
          <w:rFonts w:hint="eastAsia" w:ascii="宋体" w:hAnsi="宋体" w:eastAsia="宋体" w:cs="宋体"/>
          <w:color w:val="auto"/>
          <w:szCs w:val="21"/>
          <w:highlight w:val="none"/>
        </w:rPr>
        <w:t>中标供应商将垃圾放置在施工总包单位指定垃圾堆放点。</w:t>
      </w:r>
    </w:p>
    <w:p w14:paraId="2EB9D53D">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（六）电梯井道施工用脚手架由中标供应商自行负责提供及安装。</w:t>
      </w:r>
    </w:p>
    <w:p w14:paraId="0276C7D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（七）施工总包提供中标供应商施工指定用水用电地点，中标供应商需支付施工水电费用，水电接驳点至电梯井部分电线及水管由中标供应商负责，且用水用电满足现场施工要求。</w:t>
      </w:r>
    </w:p>
    <w:p w14:paraId="265E686B">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（八）电梯调试期间，施工总包提供二级电箱并接线至电梯机房，以满足调试电源所需的独立电源。</w:t>
      </w:r>
    </w:p>
    <w:p w14:paraId="4DFCA3A6">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（九）电梯井道至轿箱顶部的管线由中标供应商提供并安装；中央监控室至电梯井道管线由施工总包提供并安装。</w:t>
      </w:r>
    </w:p>
    <w:p w14:paraId="28FC84D8">
      <w:pPr>
        <w:spacing w:line="360" w:lineRule="auto"/>
        <w:ind w:firstLine="420" w:firstLineChars="200"/>
        <w:rPr>
          <w:highlight w:val="none"/>
        </w:rPr>
      </w:pPr>
      <w:r>
        <w:rPr>
          <w:rFonts w:hint="eastAsia" w:ascii="宋体" w:hAnsi="宋体" w:eastAsia="宋体" w:cs="宋体"/>
          <w:szCs w:val="21"/>
          <w:highlight w:val="none"/>
        </w:rPr>
        <w:t>（十）中央监控室五方对讲主机、机房至电梯轿箱内的五方通话管线，及轿顶、轿内、底坑对讲机由中标供应商提供并安装；中央监控室至电梯井道五方对讲管线由施工总包提供并安装。</w:t>
      </w:r>
    </w:p>
    <w:p w14:paraId="631076B6">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（十一）由电梯供应商提供机房承重梁/承重台，总包配合土建预埋。</w:t>
      </w:r>
    </w:p>
    <w:p w14:paraId="2830FCE6">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（十二）井道内所有附属设施都由供应商负责安装。</w:t>
      </w:r>
    </w:p>
    <w:p w14:paraId="507DEF8C">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（十三）消防控制室至电梯控制柜的消防返回信号线由总包负责提供并安装。</w:t>
      </w:r>
    </w:p>
    <w:p w14:paraId="4E8F344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（十四）电梯内视频监控由供应商提供，供应商负责安装。</w:t>
      </w:r>
    </w:p>
    <w:p w14:paraId="10B1F72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（十</w:t>
      </w:r>
      <w:r>
        <w:rPr>
          <w:rFonts w:hint="eastAsia" w:ascii="宋体" w:hAnsi="宋体" w:eastAsia="宋体" w:cs="宋体"/>
          <w:szCs w:val="21"/>
          <w:highlight w:val="none"/>
          <w:lang w:val="en-US" w:eastAsia="zh-CN"/>
        </w:rPr>
        <w:t>五</w:t>
      </w:r>
      <w:r>
        <w:rPr>
          <w:rFonts w:hint="eastAsia" w:ascii="宋体" w:hAnsi="宋体" w:eastAsia="宋体" w:cs="宋体"/>
          <w:szCs w:val="21"/>
          <w:highlight w:val="none"/>
        </w:rPr>
        <w:t>）</w:t>
      </w:r>
      <w:r>
        <w:rPr>
          <w:rFonts w:hint="eastAsia" w:ascii="宋体" w:hAnsi="宋体" w:eastAsia="宋体" w:cs="宋体"/>
          <w:color w:val="auto"/>
          <w:szCs w:val="21"/>
          <w:highlight w:val="none"/>
        </w:rPr>
        <w:t>中标供应商需将两部垂直电梯（DT-D01、DT-D02）提前交于总包使用，</w:t>
      </w:r>
      <w:r>
        <w:rPr>
          <w:rFonts w:hint="eastAsia" w:ascii="宋体" w:hAnsi="宋体" w:eastAsia="宋体" w:cs="宋体"/>
          <w:szCs w:val="21"/>
          <w:highlight w:val="none"/>
        </w:rPr>
        <w:t>具体时间须服从总包的施工总体进度，使用期间的保养、维修及最终保养由投标单位负责，相关费用由总包单位支付。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Lucida Sans">
    <w:altName w:val="Noto Naskh Arabic"/>
    <w:panose1 w:val="020B0602030504020204"/>
    <w:charset w:val="00"/>
    <w:family w:val="swiss"/>
    <w:pitch w:val="default"/>
    <w:sig w:usb0="00000000" w:usb1="00000000" w:usb2="00000000" w:usb3="00000000" w:csb0="20000001" w:csb1="00000000"/>
  </w:font>
  <w:font w:name="Noto Naskh Arabic">
    <w:panose1 w:val="020B0502040504020204"/>
    <w:charset w:val="00"/>
    <w:family w:val="auto"/>
    <w:pitch w:val="default"/>
    <w:sig w:usb0="80002003" w:usb1="80002000" w:usb2="00000008" w:usb3="00000000" w:csb0="00000041" w:csb1="00080000"/>
  </w:font>
  <w:font w:name="等线">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方正兰亭黑_GBK">
    <w:altName w:val="方正黑体_GBK"/>
    <w:panose1 w:val="02000000000000000000"/>
    <w:charset w:val="86"/>
    <w:family w:val="script"/>
    <w:pitch w:val="default"/>
    <w:sig w:usb0="00000000" w:usb1="00000000" w:usb2="00000016" w:usb3="00000000" w:csb0="00040000" w:csb1="00000000"/>
  </w:font>
  <w:font w:name="方正黑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文泉驿微米黑">
    <w:panose1 w:val="020B0606030804020204"/>
    <w:charset w:val="86"/>
    <w:family w:val="auto"/>
    <w:pitch w:val="default"/>
    <w:sig w:usb0="E10002EF" w:usb1="6BDFFCFB" w:usb2="00800036" w:usb3="00000000" w:csb0="603E019F" w:csb1="DFD7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2C95C868">
        <w:pPr>
          <w:pStyle w:val="7"/>
          <w:jc w:val="center"/>
        </w:pPr>
        <w:r>
          <w:fldChar w:fldCharType="begin"/>
        </w:r>
        <w:r>
          <w:instrText xml:space="preserve"> PAGE   \* MERGEFORMAT </w:instrText>
        </w:r>
        <w:r>
          <w:fldChar w:fldCharType="separate"/>
        </w:r>
        <w:r>
          <w:rPr>
            <w:lang w:val="zh-CN"/>
          </w:rPr>
          <w:t>1</w:t>
        </w:r>
        <w:r>
          <w:fldChar w:fldCharType="end"/>
        </w:r>
      </w:p>
    </w:sdtContent>
  </w:sdt>
  <w:p w14:paraId="1ADEA836">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1OTMyYmVkNDBiZGZjOTJjNzg0ZTljMGM2NGM1NWEifQ=="/>
  </w:docVars>
  <w:rsids>
    <w:rsidRoot w:val="0064245B"/>
    <w:rsid w:val="00021DB8"/>
    <w:rsid w:val="001B3BF4"/>
    <w:rsid w:val="00326B0A"/>
    <w:rsid w:val="003C4B7F"/>
    <w:rsid w:val="00496C13"/>
    <w:rsid w:val="0064245B"/>
    <w:rsid w:val="006934B1"/>
    <w:rsid w:val="00787C60"/>
    <w:rsid w:val="007B569B"/>
    <w:rsid w:val="00802260"/>
    <w:rsid w:val="008B7AD2"/>
    <w:rsid w:val="009055E5"/>
    <w:rsid w:val="00924733"/>
    <w:rsid w:val="009420EA"/>
    <w:rsid w:val="00B76798"/>
    <w:rsid w:val="00BD0FA1"/>
    <w:rsid w:val="00E30F34"/>
    <w:rsid w:val="08AD5AAB"/>
    <w:rsid w:val="145D49A5"/>
    <w:rsid w:val="1A575719"/>
    <w:rsid w:val="288A5C59"/>
    <w:rsid w:val="472D5F33"/>
    <w:rsid w:val="49902B2E"/>
    <w:rsid w:val="50102206"/>
    <w:rsid w:val="51AC2BC4"/>
    <w:rsid w:val="540120F8"/>
    <w:rsid w:val="7BCD0401"/>
    <w:rsid w:val="BFDEAF13"/>
    <w:rsid w:val="D276F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Times New Roman" w:eastAsia="等线"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alloon Text"/>
    <w:basedOn w:val="1"/>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autoRedefine/>
    <w:qFormat/>
    <w:uiPriority w:val="0"/>
    <w:rPr>
      <w:b/>
      <w:bCs/>
    </w:rPr>
  </w:style>
  <w:style w:type="character" w:styleId="12">
    <w:name w:val="annotation reference"/>
    <w:basedOn w:val="11"/>
    <w:autoRedefine/>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D9D6E088-AB28-4FA6-B41C-B99B8905EA8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3946</Words>
  <Characters>4170</Characters>
  <Lines>102</Lines>
  <Paragraphs>125</Paragraphs>
  <TotalTime>82</TotalTime>
  <ScaleCrop>false</ScaleCrop>
  <LinksUpToDate>false</LinksUpToDate>
  <CharactersWithSpaces>4190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2024-03-17T23:49:00Z</dcterms:created>
  <dc:creator>张敏捷</dc:creator>
  <cp:lastModifiedBy>郭田恬</cp:lastModifiedBy>
  <dcterms:modified xsi:type="dcterms:W3CDTF">2026-06-22T14:01:44Z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82DE709F16C14FB4AEBE9BEDBD180E5C_13</vt:lpwstr>
  </property>
  <property fmtid="{D5CDD505-2E9C-101B-9397-08002B2CF9AE}" pid="4" name="KSOTemplateDocerSaveRecord">
    <vt:lpwstr>eyJoZGlkIjoiODdkZjI5MWZhNDVkMGIxNWIwYzU3NzJhZjRjYmY3NjMiLCJ1c2VySWQiOiI0MTk5MDMyNDkifQ==</vt:lpwstr>
  </property>
</Properties>
</file>