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085DAA7E">
      <w:pPr>
        <w:ind w:firstLine="0" w:firstLineChars="0"/>
        <w:jc w:val="center"/>
        <w:rPr>
          <w:rFonts w:ascii="黑体" w:hAnsi="黑体" w:eastAsia="黑体"/>
          <w:sz w:val="48"/>
          <w:szCs w:val="48"/>
        </w:rPr>
      </w:pPr>
    </w:p>
    <w:p w14:paraId="5858CC77">
      <w:pPr>
        <w:ind w:firstLine="0" w:firstLineChars="0"/>
        <w:jc w:val="center"/>
        <w:rPr>
          <w:rFonts w:ascii="黑体" w:hAnsi="黑体" w:eastAsia="黑体"/>
          <w:sz w:val="48"/>
          <w:szCs w:val="48"/>
        </w:rPr>
      </w:pPr>
    </w:p>
    <w:p w14:paraId="740CD82A">
      <w:pPr>
        <w:ind w:firstLine="0" w:firstLineChars="0"/>
        <w:jc w:val="center"/>
        <w:rPr>
          <w:rFonts w:ascii="黑体" w:hAnsi="黑体" w:eastAsia="黑体"/>
          <w:sz w:val="52"/>
          <w:szCs w:val="52"/>
        </w:rPr>
      </w:pPr>
      <w:r>
        <w:rPr>
          <w:rFonts w:hint="eastAsia" w:ascii="黑体" w:hAnsi="黑体" w:eastAsia="黑体"/>
          <w:sz w:val="52"/>
          <w:szCs w:val="52"/>
        </w:rPr>
        <w:t>上海市城市运行智能辅助子系统建设项目</w:t>
      </w:r>
    </w:p>
    <w:p w14:paraId="44D8E522">
      <w:pPr>
        <w:ind w:firstLine="0" w:firstLineChars="0"/>
        <w:jc w:val="center"/>
        <w:rPr>
          <w:rFonts w:ascii="黑体" w:hAnsi="黑体" w:eastAsia="黑体"/>
          <w:sz w:val="52"/>
          <w:szCs w:val="52"/>
        </w:rPr>
      </w:pPr>
      <w:r>
        <w:rPr>
          <w:rFonts w:hint="eastAsia" w:ascii="黑体" w:hAnsi="黑体" w:eastAsia="黑体"/>
          <w:sz w:val="52"/>
          <w:szCs w:val="52"/>
        </w:rPr>
        <w:t>采购需求</w:t>
      </w:r>
    </w:p>
    <w:p w14:paraId="440A31BA">
      <w:pPr>
        <w:ind w:firstLine="0" w:firstLineChars="0"/>
        <w:jc w:val="center"/>
        <w:rPr>
          <w:rFonts w:ascii="黑体" w:hAnsi="黑体" w:eastAsia="黑体"/>
          <w:sz w:val="72"/>
          <w:szCs w:val="72"/>
        </w:rPr>
      </w:pPr>
    </w:p>
    <w:p w14:paraId="44601412">
      <w:pPr>
        <w:ind w:firstLine="0" w:firstLineChars="0"/>
        <w:jc w:val="center"/>
        <w:rPr>
          <w:rFonts w:ascii="黑体" w:hAnsi="黑体" w:eastAsia="黑体"/>
          <w:sz w:val="48"/>
          <w:szCs w:val="48"/>
        </w:rPr>
      </w:pPr>
    </w:p>
    <w:p w14:paraId="6F129343">
      <w:pPr>
        <w:ind w:firstLine="0" w:firstLineChars="0"/>
        <w:jc w:val="center"/>
        <w:rPr>
          <w:rFonts w:ascii="黑体" w:hAnsi="黑体" w:eastAsia="黑体"/>
          <w:sz w:val="52"/>
          <w:szCs w:val="52"/>
        </w:rPr>
      </w:pPr>
    </w:p>
    <w:p w14:paraId="3E12B13A">
      <w:pPr>
        <w:ind w:firstLine="1040"/>
        <w:rPr>
          <w:rFonts w:ascii="黑体" w:hAnsi="黑体" w:eastAsia="黑体"/>
          <w:sz w:val="52"/>
          <w:szCs w:val="52"/>
        </w:rPr>
      </w:pPr>
    </w:p>
    <w:p w14:paraId="5EF49E24"/>
    <w:p w14:paraId="64FBC328"/>
    <w:p w14:paraId="0FCCA715"/>
    <w:p w14:paraId="44C3E78E"/>
    <w:p w14:paraId="2DC7FE41"/>
    <w:p w14:paraId="420DB828">
      <w:pPr>
        <w:ind w:firstLine="1040"/>
        <w:rPr>
          <w:rFonts w:ascii="黑体" w:hAnsi="黑体" w:eastAsia="黑体"/>
          <w:sz w:val="52"/>
          <w:szCs w:val="52"/>
        </w:rPr>
      </w:pPr>
    </w:p>
    <w:p w14:paraId="0AAB9CCC">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0A773270">
      <w:pPr>
        <w:pStyle w:val="2"/>
      </w:pPr>
      <w:bookmarkStart w:id="0" w:name="_Toc63785461"/>
      <w:r>
        <w:rPr>
          <w:rFonts w:hint="eastAsia"/>
        </w:rPr>
        <w:t>项目概况</w:t>
      </w:r>
      <w:bookmarkEnd w:id="0"/>
    </w:p>
    <w:p w14:paraId="1C9C69BF">
      <w:pPr>
        <w:spacing w:line="560" w:lineRule="exact"/>
      </w:pPr>
      <w:r>
        <w:rPr>
          <w:rFonts w:hint="eastAsia"/>
        </w:rPr>
        <w:t>项目背景：总书记指出：“城市是生命体、有机体，要敬畏城市、善待城市，树立‘全周期管理’意识”。城市不仅是物理意义上的复杂巨系统，更是具有生命力和社会意义的生命体、有机体。作为生命体，各类要素汇聚城市，使城市展现出生命力旺盛的一面；同时，自然灾害、安全事故等使城市面临复杂的风险和不确定性，受基础设施薄弱、区域发展失衡、应急机制缺失等因素叠加影响，一些城市在灾害风险来袭时遭受严重冲击，又展现出城市具有脆弱性的一面。这就要求我们加快推进韧性城市建设，健全城市安全预防体系，强化城市基本运行保障体系，提高防灾减灾救灾能力。要牢牢把握城市生命体、有机体特征，立足城市生命体理念，探索切实提高防灾减灾救灾能力的有效路径，推进韧性城市建设。</w:t>
      </w:r>
    </w:p>
    <w:p w14:paraId="5DBFCF01">
      <w:pPr>
        <w:spacing w:line="560" w:lineRule="exact"/>
      </w:pPr>
      <w:r>
        <w:rPr>
          <w:rFonts w:hint="eastAsia"/>
        </w:rPr>
        <w:t>2023年1月，上海市委书记陈吉宁在市城运中心、市大数据中心调研时指出，实现高效能治理，是超大城市抵御风险挑战、永葆生机活力、始终安定有序的根本支撑。要深入学习贯彻党的二十大和总书记考察上海重要讲话精神，提高站位、深化认识，更好依托城市数字化转型和智慧城市建设，在科学化、精细化、智能化上下更大功夫，加强整体设计，不断迭代升级，持续提升政务服务“一网通办”、城市运行“一网统管”服务效能，切实做到实战中管用、基层干部爱用、群众感到受用。</w:t>
      </w:r>
    </w:p>
    <w:p w14:paraId="1CDDE47D">
      <w:pPr>
        <w:spacing w:line="560" w:lineRule="exact"/>
      </w:pPr>
      <w:r>
        <w:rPr>
          <w:rFonts w:hint="eastAsia"/>
        </w:rPr>
        <w:t>陈吉宁书记同时指出，让城市变得更智慧，是推动城市治理现代化的必由之路。要坚持问题导向，紧盯城市治理的痛点难点问题，精准提出应用需求、精心开发应用场景，以全域场景带动底层技术突破和模块化、规模化应用，推动城市治理能力水平整体跃升。要强化科技赋能，树牢系统观念，加强市区协同和部门统筹，推动资源共享、处置联动，提升城市治理的整体性、协同性。要打通“神经末梢”，助力基层高效发现和处置问题，真正为基层减负增能。</w:t>
      </w:r>
    </w:p>
    <w:p w14:paraId="21010762">
      <w:pPr>
        <w:spacing w:line="560" w:lineRule="exact"/>
      </w:pPr>
      <w:r>
        <w:rPr>
          <w:rFonts w:hint="eastAsia"/>
        </w:rPr>
        <w:t>结合上海市人民政府办公厅印发2025年上海市城市运行“一网统管”工作要点、绩效考核工作方案以及本市“一网统管”实战需求，本着紧迫性、科学性、实用性以及节约型的原则，在反复论证的基础上，提出上海市城市智能辅助子系统方案需求。</w:t>
      </w:r>
    </w:p>
    <w:p w14:paraId="1E83DCB2">
      <w:pPr>
        <w:spacing w:line="560" w:lineRule="exact"/>
      </w:pPr>
      <w:r>
        <w:rPr>
          <w:rFonts w:hint="eastAsia"/>
        </w:rPr>
        <w:t>建设期限：自合同签订之日起至2026年11月30日</w:t>
      </w:r>
    </w:p>
    <w:p w14:paraId="5166A785">
      <w:pPr>
        <w:spacing w:line="560" w:lineRule="exact"/>
      </w:pPr>
      <w:r>
        <w:rPr>
          <w:rFonts w:hint="eastAsia"/>
        </w:rPr>
        <w:t>建设地点：上海市城市运行管理中心</w:t>
      </w:r>
    </w:p>
    <w:p w14:paraId="059D8F9A">
      <w:pPr>
        <w:spacing w:line="560" w:lineRule="exact"/>
      </w:pPr>
      <w:r>
        <w:rPr>
          <w:rFonts w:hint="eastAsia"/>
        </w:rPr>
        <w:t>预算金额：</w:t>
      </w:r>
      <w:bookmarkStart w:id="1" w:name="OLE_LINK1"/>
      <w:bookmarkStart w:id="2" w:name="OLE_LINK2"/>
      <w:r>
        <w:rPr>
          <w:rFonts w:hint="eastAsia"/>
        </w:rPr>
        <w:t>4485000</w:t>
      </w:r>
      <w:bookmarkEnd w:id="1"/>
      <w:bookmarkEnd w:id="2"/>
      <w:r>
        <w:rPr>
          <w:rFonts w:hint="eastAsia"/>
        </w:rPr>
        <w:t>元</w:t>
      </w:r>
    </w:p>
    <w:p w14:paraId="709D75D5">
      <w:pPr>
        <w:spacing w:line="560" w:lineRule="exact"/>
      </w:pPr>
      <w:r>
        <w:rPr>
          <w:rFonts w:hint="eastAsia"/>
        </w:rPr>
        <w:t>当年度预算金额：4485000元</w:t>
      </w:r>
    </w:p>
    <w:p w14:paraId="56CC587A">
      <w:pPr>
        <w:spacing w:line="560" w:lineRule="exact"/>
      </w:pPr>
      <w:r>
        <w:rPr>
          <w:rFonts w:hint="eastAsia"/>
        </w:rPr>
        <w:t>采购金额（最高限价）：4485000元</w:t>
      </w:r>
    </w:p>
    <w:p w14:paraId="4755D334">
      <w:r>
        <w:rPr>
          <w:rFonts w:hint="eastAsia"/>
        </w:rPr>
        <w:t>组织形式：集中采购</w:t>
      </w:r>
    </w:p>
    <w:p w14:paraId="599BB7B6">
      <w:r>
        <w:rPr>
          <w:rFonts w:hint="eastAsia"/>
        </w:rPr>
        <w:t>采购人式：公开招标</w:t>
      </w:r>
    </w:p>
    <w:p w14:paraId="372089B6">
      <w:r>
        <w:rPr>
          <w:rFonts w:hint="eastAsia"/>
        </w:rPr>
        <w:t>是否接受联合体投标：否</w:t>
      </w:r>
    </w:p>
    <w:p w14:paraId="2A5CB9BF">
      <w:r>
        <w:t>是否按</w:t>
      </w:r>
      <w:r>
        <w:rPr>
          <w:rFonts w:hint="eastAsia"/>
          <w:lang w:eastAsia="zh-CN"/>
        </w:rPr>
        <w:t>XC</w:t>
      </w:r>
      <w:r>
        <w:t>要求建设：是</w:t>
      </w:r>
    </w:p>
    <w:p w14:paraId="369E3536">
      <w:pPr>
        <w:tabs>
          <w:tab w:val="left" w:pos="3120"/>
        </w:tabs>
      </w:pPr>
      <w:r>
        <w:rPr>
          <w:rFonts w:hint="eastAsia"/>
        </w:rPr>
        <w:t>是否采用低代码建设：否</w:t>
      </w:r>
    </w:p>
    <w:p w14:paraId="1D88C315">
      <w:r>
        <w:rPr>
          <w:rFonts w:hint="eastAsia"/>
        </w:rPr>
        <w:t>运维后所属大系统：应急值守系统</w:t>
      </w:r>
    </w:p>
    <w:p w14:paraId="3D32B3DF">
      <w:pPr>
        <w:pStyle w:val="2"/>
      </w:pPr>
      <w:bookmarkStart w:id="3" w:name="_Toc47537134"/>
      <w:bookmarkEnd w:id="3"/>
      <w:bookmarkStart w:id="4" w:name="_Toc47536272"/>
      <w:bookmarkEnd w:id="4"/>
      <w:bookmarkStart w:id="5" w:name="_Toc47539070"/>
      <w:bookmarkEnd w:id="5"/>
      <w:bookmarkStart w:id="6" w:name="_Toc47532255"/>
      <w:bookmarkEnd w:id="6"/>
      <w:bookmarkStart w:id="7" w:name="_Toc47536644"/>
      <w:bookmarkEnd w:id="7"/>
      <w:bookmarkStart w:id="8" w:name="_Toc47531634"/>
      <w:bookmarkEnd w:id="8"/>
      <w:bookmarkStart w:id="9" w:name="_Toc47533256"/>
      <w:bookmarkEnd w:id="9"/>
      <w:bookmarkStart w:id="10" w:name="_Toc47532891"/>
      <w:bookmarkEnd w:id="10"/>
      <w:bookmarkStart w:id="11" w:name="_Toc63785463"/>
      <w:bookmarkStart w:id="12" w:name="_Toc48223882"/>
      <w:r>
        <w:rPr>
          <w:rFonts w:hint="eastAsia"/>
        </w:rPr>
        <w:t>建设目标</w:t>
      </w:r>
      <w:bookmarkEnd w:id="11"/>
      <w:bookmarkEnd w:id="12"/>
    </w:p>
    <w:p w14:paraId="6DFE86AD">
      <w:pPr>
        <w:spacing w:line="560" w:lineRule="exact"/>
        <w:rPr>
          <w:rFonts w:ascii="仿宋" w:hAnsi="仿宋" w:eastAsia="仿宋" w:cstheme="minorBidi"/>
          <w:sz w:val="28"/>
          <w:szCs w:val="28"/>
        </w:rPr>
      </w:pPr>
      <w:r>
        <w:rPr>
          <w:rFonts w:hint="eastAsia"/>
        </w:rPr>
        <w:t>本项目基于气象监测、环境监测等城市运行八大维度数据，通过构建多维数据联动分析机制和智能预警研判体系，实现对消防救援、交通运输等多领域事件的智能并案管理与趋势分析，主动防控潜在危机，全面、科学地监测评估城市运行状态，提升城市安全稳定水平，实现常态化高效治理；面对重大突发事件，项目将快速整合各方信息资源，借助统一的事件风险等级评估模型进行智能研判，为管理者提供科学、精准的应急决策依据，显著提高应急响应速度与处置准确性，全面增强城市应对风险挑战的韧性与能力；将高度概括城市治理的民生民意进行聚合可视化展示分析，将传统单一的事件发现、传达等分离的工作汇集到统一平台完成，实现城市风险处置时信息化、协同化、扁平化决策指挥。同时，依托大数据、大模型等前沿技术，打造以事件为中心的智能检索关联体系，形成“可说、可问、可查、可预警”的智能化监测新模式，推动城市管理从“条块化、碎片化”向“系统化、综合化、一体化”转变，为城市常态化高效治理筑牢数据与技术根基，推动实现城市运行状态的全面、实时监测与重点事件感知联动。</w:t>
      </w:r>
    </w:p>
    <w:tbl>
      <w:tblPr>
        <w:tblStyle w:val="35"/>
        <w:tblW w:w="9888" w:type="dxa"/>
        <w:tblInd w:w="0" w:type="dxa"/>
        <w:tblLayout w:type="autofit"/>
        <w:tblCellMar>
          <w:top w:w="0" w:type="dxa"/>
          <w:left w:w="108" w:type="dxa"/>
          <w:bottom w:w="0" w:type="dxa"/>
          <w:right w:w="108" w:type="dxa"/>
        </w:tblCellMar>
      </w:tblPr>
      <w:tblGrid>
        <w:gridCol w:w="817"/>
        <w:gridCol w:w="1276"/>
        <w:gridCol w:w="1418"/>
        <w:gridCol w:w="1700"/>
        <w:gridCol w:w="3401"/>
        <w:gridCol w:w="1276"/>
      </w:tblGrid>
      <w:tr w14:paraId="612490B3">
        <w:tblPrEx>
          <w:tblCellMar>
            <w:top w:w="0" w:type="dxa"/>
            <w:left w:w="108" w:type="dxa"/>
            <w:bottom w:w="0" w:type="dxa"/>
            <w:right w:w="108" w:type="dxa"/>
          </w:tblCellMar>
        </w:tblPrEx>
        <w:trPr>
          <w:trHeight w:val="72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390E">
            <w:pPr>
              <w:spacing w:line="240" w:lineRule="auto"/>
              <w:ind w:firstLine="0" w:firstLineChars="0"/>
              <w:jc w:val="center"/>
              <w:rPr>
                <w:b/>
                <w:color w:val="000000"/>
              </w:rPr>
            </w:pPr>
            <w:r>
              <w:rPr>
                <w:rFonts w:hint="eastAsia"/>
                <w:b/>
                <w:color w:val="000000"/>
              </w:rPr>
              <w:t>序号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2524">
            <w:pPr>
              <w:spacing w:line="240" w:lineRule="auto"/>
              <w:ind w:firstLine="0" w:firstLineChars="0"/>
              <w:jc w:val="center"/>
              <w:rPr>
                <w:b/>
                <w:color w:val="000000"/>
              </w:rPr>
            </w:pPr>
            <w:r>
              <w:rPr>
                <w:rFonts w:hint="eastAsia"/>
                <w:b/>
                <w:color w:val="000000"/>
              </w:rPr>
              <w:t>一级指标</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0ECF">
            <w:pPr>
              <w:spacing w:line="240" w:lineRule="auto"/>
              <w:ind w:firstLine="0" w:firstLineChars="0"/>
              <w:jc w:val="center"/>
              <w:rPr>
                <w:b/>
                <w:color w:val="000000"/>
              </w:rPr>
            </w:pPr>
            <w:r>
              <w:rPr>
                <w:rFonts w:hint="eastAsia"/>
                <w:b/>
                <w:color w:val="000000"/>
              </w:rPr>
              <w:t>二级指标</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BFAD">
            <w:pPr>
              <w:spacing w:line="240" w:lineRule="auto"/>
              <w:ind w:firstLine="0" w:firstLineChars="0"/>
              <w:jc w:val="center"/>
              <w:rPr>
                <w:b/>
                <w:color w:val="000000"/>
              </w:rPr>
            </w:pPr>
            <w:r>
              <w:rPr>
                <w:rFonts w:hint="eastAsia"/>
                <w:b/>
                <w:color w:val="000000"/>
              </w:rPr>
              <w:t>三级指标</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EE79">
            <w:pPr>
              <w:spacing w:line="240" w:lineRule="auto"/>
              <w:ind w:firstLine="0" w:firstLineChars="0"/>
              <w:jc w:val="center"/>
              <w:rPr>
                <w:b/>
                <w:color w:val="000000"/>
              </w:rPr>
            </w:pPr>
            <w:r>
              <w:rPr>
                <w:rFonts w:hint="eastAsia"/>
                <w:b/>
                <w:color w:val="000000"/>
              </w:rPr>
              <w:t>四级指标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8484">
            <w:pPr>
              <w:spacing w:line="240" w:lineRule="auto"/>
              <w:ind w:firstLine="0" w:firstLineChars="0"/>
              <w:jc w:val="center"/>
              <w:rPr>
                <w:b/>
                <w:color w:val="000000"/>
              </w:rPr>
            </w:pPr>
            <w:r>
              <w:rPr>
                <w:rFonts w:hint="eastAsia"/>
                <w:b/>
                <w:color w:val="000000"/>
              </w:rPr>
              <w:t>指标值</w:t>
            </w:r>
          </w:p>
        </w:tc>
      </w:tr>
      <w:tr w14:paraId="096A5A25">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6243">
            <w:pPr>
              <w:spacing w:line="240" w:lineRule="auto"/>
              <w:ind w:firstLine="0" w:firstLineChars="0"/>
              <w:jc w:val="center"/>
              <w:rPr>
                <w:bCs/>
                <w:color w:val="000000"/>
              </w:rPr>
            </w:pPr>
            <w:r>
              <w:rPr>
                <w:rFonts w:hint="eastAsia"/>
                <w:bCs/>
                <w:color w:val="000000"/>
              </w:rPr>
              <w:t>1</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B0401">
            <w:pPr>
              <w:spacing w:line="240" w:lineRule="auto"/>
              <w:ind w:firstLine="0" w:firstLineChars="0"/>
              <w:rPr>
                <w:bCs/>
                <w:color w:val="000000"/>
              </w:rPr>
            </w:pPr>
            <w:r>
              <w:rPr>
                <w:rFonts w:hint="eastAsia"/>
                <w:bCs/>
                <w:color w:val="000000"/>
              </w:rPr>
              <w:t>通用指标</w:t>
            </w:r>
          </w:p>
        </w:tc>
        <w:tc>
          <w:tcPr>
            <w:tcW w:w="1418" w:type="dxa"/>
            <w:vMerge w:val="restart"/>
            <w:tcBorders>
              <w:top w:val="single" w:color="000000" w:sz="4" w:space="0"/>
              <w:left w:val="single" w:color="000000" w:sz="4" w:space="0"/>
              <w:bottom w:val="nil"/>
              <w:right w:val="single" w:color="000000" w:sz="4" w:space="0"/>
            </w:tcBorders>
            <w:shd w:val="clear" w:color="auto" w:fill="auto"/>
            <w:vAlign w:val="center"/>
          </w:tcPr>
          <w:p w14:paraId="6421F68B">
            <w:pPr>
              <w:spacing w:line="240" w:lineRule="auto"/>
              <w:ind w:firstLine="0" w:firstLineChars="0"/>
              <w:rPr>
                <w:bCs/>
                <w:color w:val="000000"/>
              </w:rPr>
            </w:pPr>
            <w:r>
              <w:rPr>
                <w:rFonts w:hint="eastAsia"/>
                <w:bCs/>
                <w:color w:val="000000"/>
              </w:rPr>
              <w:t>产出指标</w:t>
            </w:r>
          </w:p>
        </w:tc>
        <w:tc>
          <w:tcPr>
            <w:tcW w:w="1700" w:type="dxa"/>
            <w:vMerge w:val="restart"/>
            <w:tcBorders>
              <w:top w:val="single" w:color="000000" w:sz="4" w:space="0"/>
              <w:left w:val="single" w:color="000000" w:sz="4" w:space="0"/>
              <w:bottom w:val="nil"/>
              <w:right w:val="single" w:color="000000" w:sz="4" w:space="0"/>
            </w:tcBorders>
            <w:shd w:val="clear" w:color="auto" w:fill="auto"/>
            <w:vAlign w:val="center"/>
          </w:tcPr>
          <w:p w14:paraId="5EBDD309">
            <w:pPr>
              <w:spacing w:line="240" w:lineRule="auto"/>
              <w:ind w:firstLine="0" w:firstLineChars="0"/>
              <w:rPr>
                <w:bCs/>
                <w:color w:val="000000"/>
              </w:rPr>
            </w:pPr>
            <w:r>
              <w:rPr>
                <w:rFonts w:hint="eastAsia"/>
                <w:bCs/>
                <w:color w:val="000000"/>
              </w:rPr>
              <w:t>产出数量</w:t>
            </w: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0185570C">
            <w:pPr>
              <w:spacing w:line="240" w:lineRule="auto"/>
              <w:ind w:firstLine="0" w:firstLineChars="0"/>
              <w:rPr>
                <w:bCs/>
                <w:color w:val="000000"/>
              </w:rPr>
            </w:pPr>
            <w:r>
              <w:rPr>
                <w:rFonts w:hint="eastAsia"/>
                <w:bCs/>
                <w:color w:val="000000"/>
              </w:rPr>
              <w:t>软件开发完成率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ECF7">
            <w:pPr>
              <w:spacing w:line="240" w:lineRule="auto"/>
              <w:ind w:firstLine="0" w:firstLineChars="0"/>
              <w:rPr>
                <w:bCs/>
                <w:color w:val="000000"/>
              </w:rPr>
            </w:pPr>
            <w:r>
              <w:rPr>
                <w:rFonts w:hint="eastAsia"/>
                <w:bCs/>
                <w:color w:val="000000"/>
              </w:rPr>
              <w:t>100%</w:t>
            </w:r>
          </w:p>
        </w:tc>
      </w:tr>
      <w:tr w14:paraId="444968C7">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5DFF">
            <w:pPr>
              <w:spacing w:line="240" w:lineRule="auto"/>
              <w:ind w:firstLine="0" w:firstLineChars="0"/>
              <w:jc w:val="center"/>
              <w:rPr>
                <w:bCs/>
                <w:color w:val="000000"/>
              </w:rPr>
            </w:pPr>
            <w:r>
              <w:rPr>
                <w:rFonts w:hint="eastAsia"/>
                <w:bCs/>
                <w:color w:val="000000"/>
              </w:rPr>
              <w:t>2</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5BA99">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240FB123">
            <w:pPr>
              <w:spacing w:line="240" w:lineRule="auto"/>
              <w:ind w:firstLine="0" w:firstLineChars="0"/>
              <w:rPr>
                <w:bCs/>
                <w:color w:val="000000"/>
              </w:rPr>
            </w:pPr>
          </w:p>
        </w:tc>
        <w:tc>
          <w:tcPr>
            <w:tcW w:w="1700" w:type="dxa"/>
            <w:vMerge w:val="continue"/>
            <w:tcBorders>
              <w:top w:val="single" w:color="000000" w:sz="4" w:space="0"/>
              <w:left w:val="single" w:color="000000" w:sz="4" w:space="0"/>
              <w:bottom w:val="nil"/>
              <w:right w:val="single" w:color="000000" w:sz="4" w:space="0"/>
            </w:tcBorders>
            <w:shd w:val="clear" w:color="auto" w:fill="auto"/>
            <w:vAlign w:val="center"/>
          </w:tcPr>
          <w:p w14:paraId="6D3CA5BB">
            <w:pPr>
              <w:spacing w:line="240" w:lineRule="auto"/>
              <w:ind w:firstLine="0" w:firstLineChars="0"/>
              <w:rPr>
                <w:bCs/>
                <w:color w:val="000000"/>
              </w:rPr>
            </w:pP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65D2AF9E">
            <w:pPr>
              <w:spacing w:line="240" w:lineRule="auto"/>
              <w:ind w:firstLine="0" w:firstLineChars="0"/>
              <w:rPr>
                <w:bCs/>
                <w:color w:val="000000"/>
              </w:rPr>
            </w:pPr>
            <w:r>
              <w:rPr>
                <w:rFonts w:hint="eastAsia"/>
                <w:bCs/>
                <w:color w:val="000000"/>
              </w:rPr>
              <w:t>数据处理完成率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F068">
            <w:pPr>
              <w:spacing w:line="240" w:lineRule="auto"/>
              <w:ind w:firstLine="0" w:firstLineChars="0"/>
              <w:rPr>
                <w:bCs/>
                <w:color w:val="000000"/>
              </w:rPr>
            </w:pPr>
            <w:r>
              <w:rPr>
                <w:rFonts w:hint="eastAsia"/>
                <w:bCs/>
                <w:color w:val="000000"/>
              </w:rPr>
              <w:t>100%</w:t>
            </w:r>
          </w:p>
        </w:tc>
      </w:tr>
      <w:tr w14:paraId="0D361BF9">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F50">
            <w:pPr>
              <w:spacing w:line="240" w:lineRule="auto"/>
              <w:ind w:firstLine="0" w:firstLineChars="0"/>
              <w:jc w:val="center"/>
              <w:rPr>
                <w:bCs/>
                <w:color w:val="000000"/>
              </w:rPr>
            </w:pPr>
            <w:r>
              <w:rPr>
                <w:rFonts w:hint="eastAsia"/>
                <w:bCs/>
                <w:color w:val="000000"/>
              </w:rPr>
              <w:t>3</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54336">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678AF179">
            <w:pPr>
              <w:spacing w:line="240" w:lineRule="auto"/>
              <w:ind w:firstLine="0" w:firstLineChars="0"/>
              <w:rPr>
                <w:bCs/>
                <w:color w:val="000000"/>
              </w:rPr>
            </w:pPr>
          </w:p>
        </w:tc>
        <w:tc>
          <w:tcPr>
            <w:tcW w:w="1700" w:type="dxa"/>
            <w:vMerge w:val="continue"/>
            <w:tcBorders>
              <w:top w:val="single" w:color="000000" w:sz="4" w:space="0"/>
              <w:left w:val="single" w:color="000000" w:sz="4" w:space="0"/>
              <w:bottom w:val="nil"/>
              <w:right w:val="single" w:color="000000" w:sz="4" w:space="0"/>
            </w:tcBorders>
            <w:shd w:val="clear" w:color="auto" w:fill="auto"/>
            <w:vAlign w:val="center"/>
          </w:tcPr>
          <w:p w14:paraId="4C3E551F">
            <w:pPr>
              <w:spacing w:line="240" w:lineRule="auto"/>
              <w:ind w:firstLine="0" w:firstLineChars="0"/>
              <w:rPr>
                <w:bCs/>
                <w:color w:val="000000"/>
              </w:rPr>
            </w:pP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40001D8D">
            <w:pPr>
              <w:spacing w:line="240" w:lineRule="auto"/>
              <w:ind w:firstLine="0" w:firstLineChars="0"/>
              <w:rPr>
                <w:bCs/>
                <w:color w:val="000000"/>
              </w:rPr>
            </w:pPr>
            <w:r>
              <w:rPr>
                <w:rFonts w:hint="eastAsia"/>
                <w:bCs/>
                <w:color w:val="000000"/>
              </w:rPr>
              <w:t>统筹对接系统数量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D762">
            <w:pPr>
              <w:spacing w:line="240" w:lineRule="auto"/>
              <w:ind w:firstLine="0" w:firstLineChars="0"/>
              <w:rPr>
                <w:bCs/>
                <w:color w:val="000000"/>
              </w:rPr>
            </w:pPr>
            <w:r>
              <w:rPr>
                <w:rFonts w:hint="eastAsia"/>
                <w:bCs/>
                <w:color w:val="000000"/>
              </w:rPr>
              <w:t>≥2个</w:t>
            </w:r>
          </w:p>
        </w:tc>
      </w:tr>
      <w:tr w14:paraId="1CFF6B96">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193C">
            <w:pPr>
              <w:spacing w:line="240" w:lineRule="auto"/>
              <w:ind w:firstLine="0" w:firstLineChars="0"/>
              <w:jc w:val="center"/>
              <w:rPr>
                <w:bCs/>
                <w:color w:val="000000"/>
              </w:rPr>
            </w:pPr>
            <w:r>
              <w:rPr>
                <w:rFonts w:hint="eastAsia"/>
                <w:bCs/>
                <w:color w:val="000000"/>
              </w:rPr>
              <w:t>4</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54DDF">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3C2670B5">
            <w:pPr>
              <w:spacing w:line="240" w:lineRule="auto"/>
              <w:ind w:firstLine="0" w:firstLineChars="0"/>
              <w:rPr>
                <w:bCs/>
                <w:color w:val="000000"/>
              </w:rPr>
            </w:pP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C9445">
            <w:pPr>
              <w:spacing w:line="240" w:lineRule="auto"/>
              <w:ind w:firstLine="0" w:firstLineChars="0"/>
              <w:rPr>
                <w:bCs/>
                <w:color w:val="000000"/>
              </w:rPr>
            </w:pPr>
            <w:r>
              <w:rPr>
                <w:rFonts w:hint="eastAsia"/>
                <w:bCs/>
                <w:color w:val="000000"/>
              </w:rPr>
              <w:t>产出质量</w:t>
            </w: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2F4CD6F9">
            <w:pPr>
              <w:spacing w:line="240" w:lineRule="auto"/>
              <w:ind w:firstLine="0" w:firstLineChars="0"/>
              <w:rPr>
                <w:bCs/>
                <w:color w:val="000000"/>
              </w:rPr>
            </w:pPr>
            <w:r>
              <w:rPr>
                <w:rFonts w:hint="eastAsia"/>
                <w:bCs/>
                <w:color w:val="000000"/>
              </w:rPr>
              <w:t>系统可靠性</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9808">
            <w:pPr>
              <w:spacing w:line="240" w:lineRule="auto"/>
              <w:ind w:firstLine="0" w:firstLineChars="0"/>
              <w:rPr>
                <w:bCs/>
                <w:color w:val="000000"/>
              </w:rPr>
            </w:pPr>
            <w:r>
              <w:rPr>
                <w:rFonts w:hint="eastAsia"/>
                <w:bCs/>
                <w:color w:val="000000"/>
              </w:rPr>
              <w:t>≥99.99%</w:t>
            </w:r>
          </w:p>
        </w:tc>
      </w:tr>
      <w:tr w14:paraId="6705C195">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F11C">
            <w:pPr>
              <w:spacing w:line="240" w:lineRule="auto"/>
              <w:ind w:firstLine="0" w:firstLineChars="0"/>
              <w:jc w:val="center"/>
              <w:rPr>
                <w:bCs/>
                <w:color w:val="000000"/>
              </w:rPr>
            </w:pPr>
            <w:r>
              <w:rPr>
                <w:rFonts w:hint="eastAsia"/>
                <w:bCs/>
                <w:color w:val="000000"/>
              </w:rPr>
              <w:t>5</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3E331">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614C827E">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B1735">
            <w:pPr>
              <w:spacing w:line="240" w:lineRule="auto"/>
              <w:ind w:firstLine="0" w:firstLineChars="0"/>
              <w:rPr>
                <w:bCs/>
                <w:color w:val="000000"/>
              </w:rPr>
            </w:pP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16F49249">
            <w:pPr>
              <w:spacing w:line="240" w:lineRule="auto"/>
              <w:ind w:firstLine="0" w:firstLineChars="0"/>
              <w:rPr>
                <w:bCs/>
                <w:color w:val="000000"/>
              </w:rPr>
            </w:pPr>
            <w:r>
              <w:rPr>
                <w:rFonts w:hint="eastAsia"/>
                <w:bCs/>
                <w:color w:val="000000"/>
              </w:rPr>
              <w:t>软件测试达标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0063">
            <w:pPr>
              <w:spacing w:line="240" w:lineRule="auto"/>
              <w:ind w:firstLine="0" w:firstLineChars="0"/>
              <w:rPr>
                <w:bCs/>
                <w:color w:val="000000"/>
              </w:rPr>
            </w:pPr>
            <w:r>
              <w:rPr>
                <w:rFonts w:hint="eastAsia"/>
                <w:bCs/>
                <w:color w:val="000000"/>
              </w:rPr>
              <w:t>100%</w:t>
            </w:r>
          </w:p>
        </w:tc>
      </w:tr>
      <w:tr w14:paraId="3DAD62BD">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A14F">
            <w:pPr>
              <w:spacing w:line="240" w:lineRule="auto"/>
              <w:ind w:firstLine="0" w:firstLineChars="0"/>
              <w:jc w:val="center"/>
              <w:rPr>
                <w:bCs/>
                <w:color w:val="000000"/>
              </w:rPr>
            </w:pPr>
            <w:r>
              <w:rPr>
                <w:rFonts w:hint="eastAsia"/>
                <w:bCs/>
                <w:color w:val="000000"/>
              </w:rPr>
              <w:t>6</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6C8F6">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40B69BA6">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F1D0">
            <w:pPr>
              <w:spacing w:line="240" w:lineRule="auto"/>
              <w:ind w:firstLine="0" w:firstLineChars="0"/>
              <w:rPr>
                <w:bCs/>
                <w:color w:val="000000"/>
              </w:rPr>
            </w:pP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26096E0F">
            <w:pPr>
              <w:spacing w:line="240" w:lineRule="auto"/>
              <w:ind w:firstLine="0" w:firstLineChars="0"/>
              <w:rPr>
                <w:bCs/>
                <w:color w:val="000000"/>
              </w:rPr>
            </w:pPr>
            <w:r>
              <w:rPr>
                <w:rFonts w:hint="eastAsia"/>
                <w:bCs/>
                <w:color w:val="000000"/>
              </w:rPr>
              <w:t>密码测试达标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7CEB">
            <w:pPr>
              <w:spacing w:line="240" w:lineRule="auto"/>
              <w:ind w:firstLine="0" w:firstLineChars="0"/>
              <w:rPr>
                <w:bCs/>
                <w:color w:val="000000"/>
              </w:rPr>
            </w:pPr>
            <w:r>
              <w:rPr>
                <w:rFonts w:hint="eastAsia"/>
                <w:bCs/>
                <w:color w:val="000000"/>
              </w:rPr>
              <w:t>100%</w:t>
            </w:r>
          </w:p>
        </w:tc>
      </w:tr>
      <w:tr w14:paraId="33BD6690">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D89B">
            <w:pPr>
              <w:spacing w:line="240" w:lineRule="auto"/>
              <w:ind w:firstLine="0" w:firstLineChars="0"/>
              <w:jc w:val="center"/>
              <w:rPr>
                <w:bCs/>
                <w:color w:val="000000"/>
              </w:rPr>
            </w:pPr>
            <w:r>
              <w:rPr>
                <w:rFonts w:hint="eastAsia"/>
                <w:bCs/>
                <w:color w:val="000000"/>
              </w:rPr>
              <w:t>7</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EC4FC">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48B71F1C">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10A35">
            <w:pPr>
              <w:spacing w:line="240" w:lineRule="auto"/>
              <w:ind w:firstLine="0" w:firstLineChars="0"/>
              <w:rPr>
                <w:bCs/>
                <w:color w:val="000000"/>
              </w:rPr>
            </w:pPr>
          </w:p>
        </w:tc>
        <w:tc>
          <w:tcPr>
            <w:tcW w:w="3401" w:type="dxa"/>
            <w:tcBorders>
              <w:top w:val="single" w:color="000000" w:sz="4" w:space="0"/>
              <w:left w:val="nil"/>
              <w:bottom w:val="single" w:color="000000" w:sz="4" w:space="0"/>
              <w:right w:val="single" w:color="000000" w:sz="4" w:space="0"/>
            </w:tcBorders>
            <w:shd w:val="clear" w:color="auto" w:fill="auto"/>
            <w:vAlign w:val="center"/>
          </w:tcPr>
          <w:p w14:paraId="361B2B27">
            <w:pPr>
              <w:spacing w:line="240" w:lineRule="auto"/>
              <w:ind w:firstLine="0" w:firstLineChars="0"/>
              <w:rPr>
                <w:bCs/>
                <w:color w:val="000000"/>
              </w:rPr>
            </w:pPr>
            <w:r>
              <w:rPr>
                <w:rFonts w:hint="eastAsia"/>
                <w:bCs/>
                <w:color w:val="000000"/>
              </w:rPr>
              <w:t>安全测试达标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2114">
            <w:pPr>
              <w:spacing w:line="240" w:lineRule="auto"/>
              <w:ind w:firstLine="0" w:firstLineChars="0"/>
              <w:rPr>
                <w:bCs/>
                <w:color w:val="000000"/>
              </w:rPr>
            </w:pPr>
            <w:r>
              <w:rPr>
                <w:rFonts w:hint="eastAsia"/>
                <w:bCs/>
                <w:color w:val="000000"/>
              </w:rPr>
              <w:t>100%</w:t>
            </w:r>
          </w:p>
        </w:tc>
      </w:tr>
      <w:tr w14:paraId="515D0695">
        <w:tblPrEx>
          <w:tblCellMar>
            <w:top w:w="0" w:type="dxa"/>
            <w:left w:w="108" w:type="dxa"/>
            <w:bottom w:w="0" w:type="dxa"/>
            <w:right w:w="108" w:type="dxa"/>
          </w:tblCellMar>
        </w:tblPrEx>
        <w:trPr>
          <w:trHeight w:val="72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A03B">
            <w:pPr>
              <w:spacing w:line="240" w:lineRule="auto"/>
              <w:ind w:firstLine="0" w:firstLineChars="0"/>
              <w:jc w:val="center"/>
              <w:rPr>
                <w:bCs/>
                <w:color w:val="000000"/>
              </w:rPr>
            </w:pPr>
            <w:r>
              <w:rPr>
                <w:rFonts w:hint="eastAsia"/>
                <w:bCs/>
                <w:color w:val="000000"/>
              </w:rPr>
              <w:t>8</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F722F">
            <w:pPr>
              <w:spacing w:line="240" w:lineRule="auto"/>
              <w:ind w:firstLine="0" w:firstLineChars="0"/>
              <w:rPr>
                <w:bCs/>
                <w:color w:val="000000"/>
              </w:rPr>
            </w:pPr>
          </w:p>
        </w:tc>
        <w:tc>
          <w:tcPr>
            <w:tcW w:w="1418" w:type="dxa"/>
            <w:vMerge w:val="continue"/>
            <w:tcBorders>
              <w:top w:val="single" w:color="000000" w:sz="4" w:space="0"/>
              <w:left w:val="single" w:color="000000" w:sz="4" w:space="0"/>
              <w:bottom w:val="nil"/>
              <w:right w:val="single" w:color="000000" w:sz="4" w:space="0"/>
            </w:tcBorders>
            <w:shd w:val="clear" w:color="auto" w:fill="auto"/>
            <w:vAlign w:val="center"/>
          </w:tcPr>
          <w:p w14:paraId="23A4E352">
            <w:pPr>
              <w:spacing w:line="240" w:lineRule="auto"/>
              <w:ind w:firstLine="0" w:firstLineChars="0"/>
              <w:rPr>
                <w:bCs/>
                <w:color w:val="000000"/>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CB69">
            <w:pPr>
              <w:spacing w:line="240" w:lineRule="auto"/>
              <w:ind w:firstLine="0" w:firstLineChars="0"/>
              <w:rPr>
                <w:bCs/>
                <w:color w:val="000000"/>
              </w:rPr>
            </w:pPr>
            <w:r>
              <w:rPr>
                <w:rFonts w:hint="eastAsia"/>
                <w:bCs/>
                <w:color w:val="000000"/>
              </w:rPr>
              <w:t>用户使用情况</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3171">
            <w:pPr>
              <w:spacing w:line="240" w:lineRule="auto"/>
              <w:ind w:firstLine="0" w:firstLineChars="0"/>
              <w:rPr>
                <w:bCs/>
                <w:color w:val="000000"/>
              </w:rPr>
            </w:pPr>
            <w:r>
              <w:rPr>
                <w:rFonts w:hint="eastAsia"/>
                <w:bCs/>
                <w:color w:val="000000"/>
              </w:rPr>
              <w:t>系统用户量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AAFB">
            <w:pPr>
              <w:spacing w:line="240" w:lineRule="auto"/>
              <w:ind w:firstLine="0" w:firstLineChars="0"/>
              <w:rPr>
                <w:bCs/>
                <w:color w:val="000000"/>
              </w:rPr>
            </w:pPr>
            <w:r>
              <w:rPr>
                <w:rFonts w:hint="eastAsia"/>
                <w:bCs/>
                <w:color w:val="000000"/>
              </w:rPr>
              <w:t>≥20人</w:t>
            </w:r>
          </w:p>
        </w:tc>
      </w:tr>
      <w:tr w14:paraId="5A1D2228">
        <w:tblPrEx>
          <w:tblCellMar>
            <w:top w:w="0" w:type="dxa"/>
            <w:left w:w="108" w:type="dxa"/>
            <w:bottom w:w="0" w:type="dxa"/>
            <w:right w:w="108" w:type="dxa"/>
          </w:tblCellMar>
        </w:tblPrEx>
        <w:trPr>
          <w:trHeight w:val="72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6BE2">
            <w:pPr>
              <w:spacing w:line="240" w:lineRule="auto"/>
              <w:ind w:firstLine="0" w:firstLineChars="0"/>
              <w:jc w:val="center"/>
              <w:rPr>
                <w:bCs/>
                <w:color w:val="000000"/>
              </w:rPr>
            </w:pPr>
            <w:r>
              <w:rPr>
                <w:rFonts w:hint="eastAsia"/>
                <w:bCs/>
                <w:color w:val="000000"/>
              </w:rPr>
              <w:t>9</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03E6A">
            <w:pPr>
              <w:spacing w:line="240" w:lineRule="auto"/>
              <w:ind w:firstLine="0" w:firstLineChars="0"/>
              <w:rPr>
                <w:bCs/>
                <w:color w:val="000000"/>
              </w:rPr>
            </w:pPr>
            <w:r>
              <w:rPr>
                <w:rFonts w:hint="eastAsia"/>
                <w:bCs/>
                <w:color w:val="000000"/>
              </w:rPr>
              <w:t>业务指标</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A96F0">
            <w:pPr>
              <w:spacing w:line="240" w:lineRule="auto"/>
              <w:ind w:firstLine="0" w:firstLineChars="0"/>
              <w:rPr>
                <w:bCs/>
                <w:color w:val="000000"/>
              </w:rPr>
            </w:pPr>
            <w:r>
              <w:rPr>
                <w:rFonts w:hint="eastAsia"/>
                <w:bCs/>
                <w:color w:val="000000"/>
              </w:rPr>
              <w:t>产出指标</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3AB44">
            <w:pPr>
              <w:spacing w:line="240" w:lineRule="auto"/>
              <w:ind w:firstLine="0" w:firstLineChars="0"/>
              <w:rPr>
                <w:bCs/>
                <w:color w:val="000000"/>
              </w:rPr>
            </w:pPr>
            <w:r>
              <w:rPr>
                <w:rFonts w:hint="eastAsia"/>
                <w:bCs/>
                <w:color w:val="000000"/>
              </w:rPr>
              <w:t>产出数量</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1B9F">
            <w:pPr>
              <w:spacing w:line="240" w:lineRule="auto"/>
              <w:ind w:firstLine="0" w:firstLineChars="0"/>
              <w:rPr>
                <w:bCs/>
                <w:color w:val="000000"/>
              </w:rPr>
            </w:pPr>
            <w:r>
              <w:rPr>
                <w:rFonts w:hint="eastAsia"/>
                <w:bCs/>
                <w:color w:val="000000"/>
              </w:rPr>
              <w:t>产出城市运行管理领域的数据关联模型的个数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02C2">
            <w:pPr>
              <w:spacing w:line="240" w:lineRule="auto"/>
              <w:ind w:firstLine="0" w:firstLineChars="0"/>
              <w:rPr>
                <w:bCs/>
                <w:color w:val="000000"/>
              </w:rPr>
            </w:pPr>
            <w:r>
              <w:rPr>
                <w:rFonts w:hint="eastAsia"/>
                <w:bCs/>
                <w:color w:val="000000"/>
              </w:rPr>
              <w:t>≥10个</w:t>
            </w:r>
          </w:p>
        </w:tc>
      </w:tr>
      <w:tr w14:paraId="13A6AEEA">
        <w:tblPrEx>
          <w:tblCellMar>
            <w:top w:w="0" w:type="dxa"/>
            <w:left w:w="108" w:type="dxa"/>
            <w:bottom w:w="0" w:type="dxa"/>
            <w:right w:w="108" w:type="dxa"/>
          </w:tblCellMar>
        </w:tblPrEx>
        <w:trPr>
          <w:trHeight w:val="72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CE01">
            <w:pPr>
              <w:spacing w:line="240" w:lineRule="auto"/>
              <w:ind w:firstLine="0" w:firstLineChars="0"/>
              <w:jc w:val="center"/>
              <w:rPr>
                <w:bCs/>
                <w:color w:val="000000"/>
              </w:rPr>
            </w:pPr>
            <w:r>
              <w:rPr>
                <w:rFonts w:hint="eastAsia"/>
                <w:bCs/>
                <w:color w:val="000000"/>
              </w:rPr>
              <w:t>10</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9BD1C">
            <w:pPr>
              <w:spacing w:line="240" w:lineRule="auto"/>
              <w:ind w:firstLine="0" w:firstLineChars="0"/>
              <w:rPr>
                <w:bCs/>
                <w:color w:val="000000"/>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C3949">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9916F">
            <w:pPr>
              <w:spacing w:line="240" w:lineRule="auto"/>
              <w:ind w:firstLine="0" w:firstLineChars="0"/>
              <w:rPr>
                <w:bCs/>
                <w:color w:val="000000"/>
              </w:rPr>
            </w:pP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7E7">
            <w:pPr>
              <w:spacing w:line="240" w:lineRule="auto"/>
              <w:ind w:firstLine="0" w:firstLineChars="0"/>
              <w:rPr>
                <w:bCs/>
                <w:color w:val="000000"/>
              </w:rPr>
            </w:pPr>
            <w:r>
              <w:rPr>
                <w:rFonts w:hint="eastAsia"/>
                <w:bCs/>
                <w:color w:val="000000"/>
              </w:rPr>
              <w:t>产出城市运行管理领域的智能报告模板的个数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CF1">
            <w:pPr>
              <w:spacing w:line="240" w:lineRule="auto"/>
              <w:ind w:firstLine="0" w:firstLineChars="0"/>
              <w:rPr>
                <w:bCs/>
                <w:color w:val="000000"/>
              </w:rPr>
            </w:pPr>
            <w:r>
              <w:rPr>
                <w:rFonts w:hint="eastAsia"/>
                <w:bCs/>
                <w:color w:val="000000"/>
              </w:rPr>
              <w:t>≥5个</w:t>
            </w:r>
          </w:p>
        </w:tc>
      </w:tr>
      <w:tr w14:paraId="6679BCF7">
        <w:tblPrEx>
          <w:tblCellMar>
            <w:top w:w="0" w:type="dxa"/>
            <w:left w:w="108" w:type="dxa"/>
            <w:bottom w:w="0" w:type="dxa"/>
            <w:right w:w="108" w:type="dxa"/>
          </w:tblCellMar>
        </w:tblPrEx>
        <w:trPr>
          <w:trHeight w:val="72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7068">
            <w:pPr>
              <w:spacing w:line="240" w:lineRule="auto"/>
              <w:ind w:firstLine="0" w:firstLineChars="0"/>
              <w:jc w:val="center"/>
              <w:rPr>
                <w:bCs/>
                <w:color w:val="000000"/>
              </w:rPr>
            </w:pPr>
            <w:r>
              <w:rPr>
                <w:rFonts w:hint="eastAsia"/>
                <w:bCs/>
                <w:color w:val="000000"/>
              </w:rPr>
              <w:t>11</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F2A62">
            <w:pPr>
              <w:spacing w:line="240" w:lineRule="auto"/>
              <w:ind w:firstLine="0" w:firstLineChars="0"/>
              <w:rPr>
                <w:bCs/>
                <w:color w:val="000000"/>
              </w:rPr>
            </w:pP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AC844">
            <w:pPr>
              <w:spacing w:line="240" w:lineRule="auto"/>
              <w:ind w:firstLine="0" w:firstLineChars="0"/>
              <w:rPr>
                <w:bCs/>
                <w:color w:val="000000"/>
              </w:rPr>
            </w:pPr>
            <w:r>
              <w:rPr>
                <w:rFonts w:hint="eastAsia"/>
                <w:bCs/>
                <w:color w:val="000000"/>
              </w:rPr>
              <w:t>效益指标</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C5524">
            <w:pPr>
              <w:spacing w:line="240" w:lineRule="auto"/>
              <w:ind w:firstLine="0" w:firstLineChars="0"/>
              <w:rPr>
                <w:bCs/>
                <w:color w:val="000000"/>
              </w:rPr>
            </w:pPr>
            <w:r>
              <w:rPr>
                <w:rFonts w:hint="eastAsia"/>
                <w:bCs/>
                <w:color w:val="000000"/>
              </w:rPr>
              <w:t>社会效益</w:t>
            </w: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EB3D">
            <w:pPr>
              <w:spacing w:line="240" w:lineRule="auto"/>
              <w:ind w:firstLine="0" w:firstLineChars="0"/>
              <w:rPr>
                <w:bCs/>
                <w:color w:val="000000"/>
              </w:rPr>
            </w:pPr>
            <w:r>
              <w:rPr>
                <w:rFonts w:hint="eastAsia"/>
                <w:bCs/>
                <w:color w:val="000000"/>
              </w:rPr>
              <w:t>并案事件准确率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CE83">
            <w:pPr>
              <w:spacing w:line="240" w:lineRule="auto"/>
              <w:ind w:firstLine="0" w:firstLineChars="0"/>
              <w:rPr>
                <w:bCs/>
                <w:color w:val="000000"/>
              </w:rPr>
            </w:pPr>
            <w:r>
              <w:rPr>
                <w:rFonts w:hint="eastAsia"/>
                <w:bCs/>
                <w:color w:val="000000"/>
              </w:rPr>
              <w:t>≥80%</w:t>
            </w:r>
          </w:p>
        </w:tc>
      </w:tr>
      <w:tr w14:paraId="1F8B7381">
        <w:tblPrEx>
          <w:tblCellMar>
            <w:top w:w="0" w:type="dxa"/>
            <w:left w:w="108" w:type="dxa"/>
            <w:bottom w:w="0" w:type="dxa"/>
            <w:right w:w="108" w:type="dxa"/>
          </w:tblCellMar>
        </w:tblPrEx>
        <w:trPr>
          <w:trHeight w:val="3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B794">
            <w:pPr>
              <w:spacing w:line="240" w:lineRule="auto"/>
              <w:ind w:firstLine="0" w:firstLineChars="0"/>
              <w:jc w:val="center"/>
              <w:rPr>
                <w:bCs/>
                <w:color w:val="000000"/>
              </w:rPr>
            </w:pPr>
            <w:r>
              <w:rPr>
                <w:rFonts w:hint="eastAsia"/>
                <w:bCs/>
                <w:color w:val="000000"/>
              </w:rPr>
              <w:t>12</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A8151">
            <w:pPr>
              <w:spacing w:line="240" w:lineRule="auto"/>
              <w:ind w:firstLine="0" w:firstLineChars="0"/>
              <w:rPr>
                <w:bCs/>
                <w:color w:val="000000"/>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6AAED">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E7FBB">
            <w:pPr>
              <w:spacing w:line="240" w:lineRule="auto"/>
              <w:ind w:firstLine="0" w:firstLineChars="0"/>
              <w:rPr>
                <w:bCs/>
                <w:color w:val="000000"/>
              </w:rPr>
            </w:pP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8A90">
            <w:pPr>
              <w:spacing w:line="240" w:lineRule="auto"/>
              <w:ind w:firstLine="0" w:firstLineChars="0"/>
              <w:rPr>
                <w:bCs/>
                <w:color w:val="000000"/>
              </w:rPr>
            </w:pPr>
            <w:r>
              <w:rPr>
                <w:rFonts w:hint="eastAsia"/>
                <w:bCs/>
                <w:color w:val="000000"/>
              </w:rPr>
              <w:t>事件等级识别准确率</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FB65">
            <w:pPr>
              <w:spacing w:line="240" w:lineRule="auto"/>
              <w:ind w:firstLine="0" w:firstLineChars="0"/>
              <w:rPr>
                <w:bCs/>
                <w:color w:val="000000"/>
              </w:rPr>
            </w:pPr>
            <w:r>
              <w:rPr>
                <w:rFonts w:hint="eastAsia"/>
                <w:bCs/>
                <w:color w:val="000000"/>
              </w:rPr>
              <w:t>≥80%</w:t>
            </w:r>
          </w:p>
        </w:tc>
      </w:tr>
      <w:tr w14:paraId="4EDBCEB2">
        <w:tblPrEx>
          <w:tblCellMar>
            <w:top w:w="0" w:type="dxa"/>
            <w:left w:w="108" w:type="dxa"/>
            <w:bottom w:w="0" w:type="dxa"/>
            <w:right w:w="108" w:type="dxa"/>
          </w:tblCellMar>
        </w:tblPrEx>
        <w:trPr>
          <w:trHeight w:val="17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60CE">
            <w:pPr>
              <w:spacing w:line="240" w:lineRule="auto"/>
              <w:ind w:firstLine="0" w:firstLineChars="0"/>
              <w:jc w:val="center"/>
              <w:rPr>
                <w:bCs/>
                <w:color w:val="000000"/>
              </w:rPr>
            </w:pPr>
            <w:r>
              <w:rPr>
                <w:rFonts w:hint="eastAsia"/>
                <w:bCs/>
                <w:color w:val="000000"/>
              </w:rPr>
              <w:t>13</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330C2">
            <w:pPr>
              <w:spacing w:line="240" w:lineRule="auto"/>
              <w:ind w:firstLine="0" w:firstLineChars="0"/>
              <w:rPr>
                <w:bCs/>
                <w:color w:val="000000"/>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EBC7E">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03EE8">
            <w:pPr>
              <w:spacing w:line="240" w:lineRule="auto"/>
              <w:ind w:firstLine="0" w:firstLineChars="0"/>
              <w:rPr>
                <w:bCs/>
                <w:color w:val="000000"/>
              </w:rPr>
            </w:pP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F93B">
            <w:pPr>
              <w:spacing w:line="240" w:lineRule="auto"/>
              <w:ind w:firstLine="0" w:firstLineChars="0"/>
              <w:rPr>
                <w:bCs/>
                <w:color w:val="000000"/>
              </w:rPr>
            </w:pPr>
            <w:r>
              <w:rPr>
                <w:rFonts w:hint="eastAsia"/>
                <w:bCs/>
                <w:color w:val="000000"/>
              </w:rPr>
              <w:t>应急预案匹配效率将原流程中人工梳理、研判和匹配预案所需的≥30分钟耗时，压缩由系统智能推荐和生成</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B9D3">
            <w:pPr>
              <w:spacing w:line="240" w:lineRule="auto"/>
              <w:ind w:firstLine="0" w:firstLineChars="0"/>
              <w:rPr>
                <w:bCs/>
                <w:color w:val="000000"/>
              </w:rPr>
            </w:pPr>
            <w:r>
              <w:rPr>
                <w:rFonts w:hint="eastAsia"/>
                <w:bCs/>
                <w:color w:val="000000"/>
              </w:rPr>
              <w:t>≤10分钟</w:t>
            </w:r>
          </w:p>
        </w:tc>
      </w:tr>
      <w:tr w14:paraId="3F00F9E1">
        <w:tblPrEx>
          <w:tblCellMar>
            <w:top w:w="0" w:type="dxa"/>
            <w:left w:w="108" w:type="dxa"/>
            <w:bottom w:w="0" w:type="dxa"/>
            <w:right w:w="108" w:type="dxa"/>
          </w:tblCellMar>
        </w:tblPrEx>
        <w:trPr>
          <w:trHeight w:val="176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4B85">
            <w:pPr>
              <w:spacing w:line="240" w:lineRule="auto"/>
              <w:ind w:firstLine="0" w:firstLineChars="0"/>
              <w:jc w:val="center"/>
              <w:rPr>
                <w:bCs/>
                <w:color w:val="000000"/>
              </w:rPr>
            </w:pPr>
            <w:r>
              <w:rPr>
                <w:rFonts w:hint="eastAsia"/>
                <w:bCs/>
                <w:color w:val="000000"/>
              </w:rPr>
              <w:t>14</w:t>
            </w: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CD92E">
            <w:pPr>
              <w:spacing w:line="240" w:lineRule="auto"/>
              <w:ind w:firstLine="0" w:firstLineChars="0"/>
              <w:rPr>
                <w:bCs/>
                <w:color w:val="000000"/>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9F70C">
            <w:pPr>
              <w:spacing w:line="240" w:lineRule="auto"/>
              <w:ind w:firstLine="0" w:firstLineChars="0"/>
              <w:rPr>
                <w:bCs/>
                <w:color w:val="000000"/>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24CB2">
            <w:pPr>
              <w:spacing w:line="240" w:lineRule="auto"/>
              <w:ind w:firstLine="0" w:firstLineChars="0"/>
              <w:rPr>
                <w:bCs/>
                <w:color w:val="000000"/>
              </w:rPr>
            </w:pPr>
          </w:p>
        </w:tc>
        <w:tc>
          <w:tcPr>
            <w:tcW w:w="3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8F50">
            <w:pPr>
              <w:spacing w:line="240" w:lineRule="auto"/>
              <w:ind w:firstLine="0" w:firstLineChars="0"/>
              <w:rPr>
                <w:bCs/>
                <w:color w:val="000000"/>
              </w:rPr>
            </w:pPr>
            <w:r>
              <w:rPr>
                <w:rFonts w:hint="eastAsia"/>
                <w:bCs/>
                <w:color w:val="000000"/>
              </w:rPr>
              <w:t>决策响应速度将过去依赖人工编制报告、响应时间以小时甚至天为单位的模式，转变为支持自然语言查询的智能问答模式</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41CE">
            <w:pPr>
              <w:spacing w:line="240" w:lineRule="auto"/>
              <w:ind w:firstLine="0" w:firstLineChars="0"/>
              <w:rPr>
                <w:bCs/>
                <w:color w:val="000000"/>
              </w:rPr>
            </w:pPr>
            <w:r>
              <w:rPr>
                <w:rFonts w:hint="eastAsia"/>
                <w:bCs/>
                <w:color w:val="000000"/>
              </w:rPr>
              <w:t>分钟级</w:t>
            </w:r>
          </w:p>
        </w:tc>
      </w:tr>
    </w:tbl>
    <w:p w14:paraId="3BAA64DC">
      <w:pPr>
        <w:ind w:firstLine="482"/>
        <w:rPr>
          <w:b/>
          <w:color w:val="000000"/>
        </w:rPr>
      </w:pPr>
      <w:r>
        <w:rPr>
          <w:rFonts w:hint="eastAsia" w:ascii="仿宋" w:hAnsi="仿宋" w:cs="Times New Roman"/>
          <w:kern w:val="0"/>
          <w:szCs w:val="28"/>
        </w:rPr>
        <w:object>
          <v:shape id="_x0000_i1025" o:spt="75" type="#_x0000_t75" style="height:306pt;width:394.2pt;" o:ole="t" filled="f" o:preferrelative="t" stroked="f" coordsize="21600,21600">
            <v:path/>
            <v:fill on="f" focussize="0,0"/>
            <v:stroke on="f" joinstyle="miter"/>
            <v:imagedata r:id="rId14" o:title=""/>
            <o:lock v:ext="edit" aspectratio="f"/>
            <w10:wrap type="none"/>
            <w10:anchorlock/>
          </v:shape>
          <o:OLEObject Type="Embed" ProgID="Visio.Drawing.15" ShapeID="_x0000_i1025" DrawAspect="Content" ObjectID="_1468075725" r:id="rId13">
            <o:LockedField>false</o:LockedField>
          </o:OLEObject>
        </w:object>
      </w:r>
    </w:p>
    <w:p w14:paraId="689BD4E1">
      <w:pPr>
        <w:pStyle w:val="2"/>
      </w:pPr>
      <w:bookmarkStart w:id="13" w:name="_Toc47536304"/>
      <w:bookmarkEnd w:id="13"/>
      <w:bookmarkStart w:id="14" w:name="_Toc47539102"/>
      <w:bookmarkEnd w:id="14"/>
      <w:bookmarkStart w:id="15" w:name="_Toc47537166"/>
      <w:bookmarkEnd w:id="15"/>
      <w:bookmarkStart w:id="16" w:name="_Toc47532923"/>
      <w:bookmarkEnd w:id="16"/>
      <w:bookmarkStart w:id="17" w:name="_Toc47533288"/>
      <w:bookmarkEnd w:id="17"/>
      <w:bookmarkStart w:id="18" w:name="_Toc47536676"/>
      <w:bookmarkEnd w:id="18"/>
      <w:r>
        <w:rPr>
          <w:rFonts w:hint="eastAsia"/>
        </w:rPr>
        <w:t>项目建设内容</w:t>
      </w:r>
    </w:p>
    <w:p w14:paraId="79338B34">
      <w:pPr>
        <w:ind w:firstLine="482"/>
        <w:rPr>
          <w:b/>
        </w:rPr>
      </w:pPr>
      <w:r>
        <w:rPr>
          <w:rFonts w:hint="eastAsia"/>
          <w:b/>
        </w:rPr>
        <w:t>1、软件开发清单：</w:t>
      </w:r>
    </w:p>
    <w:tbl>
      <w:tblPr>
        <w:tblStyle w:val="35"/>
        <w:tblW w:w="5000" w:type="pct"/>
        <w:jc w:val="center"/>
        <w:tblLayout w:type="autofit"/>
        <w:tblCellMar>
          <w:top w:w="0" w:type="dxa"/>
          <w:left w:w="108" w:type="dxa"/>
          <w:bottom w:w="0" w:type="dxa"/>
          <w:right w:w="108" w:type="dxa"/>
        </w:tblCellMar>
      </w:tblPr>
      <w:tblGrid>
        <w:gridCol w:w="675"/>
        <w:gridCol w:w="1585"/>
        <w:gridCol w:w="1869"/>
        <w:gridCol w:w="4399"/>
      </w:tblGrid>
      <w:tr w14:paraId="4996562E">
        <w:tblPrEx>
          <w:tblCellMar>
            <w:top w:w="0" w:type="dxa"/>
            <w:left w:w="108" w:type="dxa"/>
            <w:bottom w:w="0" w:type="dxa"/>
            <w:right w:w="108" w:type="dxa"/>
          </w:tblCellMar>
        </w:tblPrEx>
        <w:trPr>
          <w:trHeight w:val="270" w:hRule="atLeast"/>
          <w:jc w:val="center"/>
        </w:trPr>
        <w:tc>
          <w:tcPr>
            <w:tcW w:w="396"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77C6EE6A">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929" w:type="pct"/>
            <w:tcBorders>
              <w:top w:val="single" w:color="auto" w:sz="4" w:space="0"/>
              <w:left w:val="nil"/>
              <w:bottom w:val="single" w:color="auto" w:sz="4" w:space="0"/>
              <w:right w:val="single" w:color="auto" w:sz="4" w:space="0"/>
            </w:tcBorders>
            <w:shd w:val="clear" w:color="000000" w:fill="F3F8FC"/>
            <w:noWrap/>
            <w:vAlign w:val="center"/>
          </w:tcPr>
          <w:p w14:paraId="79225D70">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096" w:type="pct"/>
            <w:tcBorders>
              <w:top w:val="single" w:color="auto" w:sz="4" w:space="0"/>
              <w:left w:val="nil"/>
              <w:bottom w:val="single" w:color="auto" w:sz="4" w:space="0"/>
              <w:right w:val="single" w:color="auto" w:sz="4" w:space="0"/>
            </w:tcBorders>
            <w:shd w:val="clear" w:color="000000" w:fill="F3F8FC"/>
            <w:noWrap/>
            <w:vAlign w:val="center"/>
          </w:tcPr>
          <w:p w14:paraId="792E8FAB">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2579" w:type="pct"/>
            <w:tcBorders>
              <w:top w:val="single" w:color="auto" w:sz="4" w:space="0"/>
              <w:left w:val="nil"/>
              <w:bottom w:val="single" w:color="auto" w:sz="4" w:space="0"/>
              <w:right w:val="single" w:color="auto" w:sz="4" w:space="0"/>
            </w:tcBorders>
            <w:shd w:val="clear" w:color="000000" w:fill="F3F8FC"/>
          </w:tcPr>
          <w:p w14:paraId="1E167FC8">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14:paraId="224E2F01">
        <w:tblPrEx>
          <w:tblCellMar>
            <w:top w:w="0" w:type="dxa"/>
            <w:left w:w="108" w:type="dxa"/>
            <w:bottom w:w="0" w:type="dxa"/>
            <w:right w:w="108" w:type="dxa"/>
          </w:tblCellMar>
        </w:tblPrEx>
        <w:trPr>
          <w:trHeight w:val="11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A6E6E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C91885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39955D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事件等级评估</w:t>
            </w:r>
            <w:r>
              <w:rPr>
                <w:rFonts w:ascii="Tahoma" w:hAnsi="Tahoma" w:cs="Tahoma"/>
                <w:color w:val="000000"/>
                <w:kern w:val="0"/>
                <w:sz w:val="22"/>
                <w:szCs w:val="22"/>
              </w:rPr>
              <w:t>-</w:t>
            </w:r>
            <w:r>
              <w:rPr>
                <w:rFonts w:hint="eastAsia" w:ascii="Tahoma" w:hAnsi="Tahoma" w:cs="Tahoma"/>
                <w:color w:val="000000"/>
                <w:kern w:val="0"/>
                <w:sz w:val="22"/>
                <w:szCs w:val="22"/>
              </w:rPr>
              <w:t>事件等级评估规则配置</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FEFAE4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构建事件等级评估规则，通过规则自动区分重点事件和一般事件。</w:t>
            </w:r>
          </w:p>
          <w:p w14:paraId="08F9F1D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规则采用“关键词-场景-影响”三维评估框架，根据事件描述中的特征组合进行智能判断，实现对突发事件的自动等级划分。例如，在火灾事故包含“火灾”“爆炸”等关键词，结合环境要素和影响后果叠加出现时，系统将自动识别并标记为需要重点关注的事件。</w:t>
            </w:r>
          </w:p>
          <w:p w14:paraId="6CEC9B9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前台界面支持人员手动配置、维护和更新事件等级评估规则。</w:t>
            </w:r>
          </w:p>
        </w:tc>
      </w:tr>
      <w:tr w14:paraId="0E5F3BAC">
        <w:tblPrEx>
          <w:tblCellMar>
            <w:top w:w="0" w:type="dxa"/>
            <w:left w:w="108" w:type="dxa"/>
            <w:bottom w:w="0" w:type="dxa"/>
            <w:right w:w="108" w:type="dxa"/>
          </w:tblCellMar>
        </w:tblPrEx>
        <w:trPr>
          <w:trHeight w:val="15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9E9121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738308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7B12A3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事件等级评估</w:t>
            </w:r>
            <w:r>
              <w:rPr>
                <w:rFonts w:ascii="Tahoma" w:hAnsi="Tahoma" w:cs="Tahoma"/>
                <w:color w:val="000000"/>
                <w:kern w:val="0"/>
                <w:sz w:val="22"/>
                <w:szCs w:val="22"/>
              </w:rPr>
              <w:t>-</w:t>
            </w:r>
            <w:r>
              <w:rPr>
                <w:rFonts w:hint="eastAsia" w:ascii="Tahoma" w:hAnsi="Tahoma" w:cs="Tahoma"/>
                <w:color w:val="000000"/>
                <w:kern w:val="0"/>
                <w:sz w:val="22"/>
                <w:szCs w:val="22"/>
              </w:rPr>
              <w:t>重点事件监测预警</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4C6E06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重点关注的事件动态置顶，并自动标注事件位置。针对处置中的事件，按事件类型（消防、交通、燃气等）采用不同颜色高亮显示，提示城运保障人员关注重点。</w:t>
            </w:r>
          </w:p>
        </w:tc>
      </w:tr>
      <w:tr w14:paraId="07D5D686">
        <w:tblPrEx>
          <w:tblCellMar>
            <w:top w:w="0" w:type="dxa"/>
            <w:left w:w="108" w:type="dxa"/>
            <w:bottom w:w="0" w:type="dxa"/>
            <w:right w:w="108" w:type="dxa"/>
          </w:tblCellMar>
        </w:tblPrEx>
        <w:trPr>
          <w:trHeight w:val="11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4876090">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58DB45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70B7A3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事件等级评估</w:t>
            </w:r>
            <w:r>
              <w:rPr>
                <w:rFonts w:ascii="Tahoma" w:hAnsi="Tahoma" w:cs="Tahoma"/>
                <w:color w:val="000000"/>
                <w:kern w:val="0"/>
                <w:sz w:val="22"/>
                <w:szCs w:val="22"/>
              </w:rPr>
              <w:t>-</w:t>
            </w:r>
            <w:r>
              <w:rPr>
                <w:rFonts w:hint="eastAsia" w:ascii="Tahoma" w:hAnsi="Tahoma" w:cs="Tahoma"/>
                <w:color w:val="000000"/>
                <w:kern w:val="0"/>
                <w:sz w:val="22"/>
                <w:szCs w:val="22"/>
              </w:rPr>
              <w:t>事件等级调控</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B5EA2E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支持事件等级人工干预调整，可根据实际情况手动升级或降级事件等级，实现事件等级的动态管理。</w:t>
            </w:r>
          </w:p>
        </w:tc>
      </w:tr>
      <w:tr w14:paraId="11E0B82A">
        <w:tblPrEx>
          <w:tblCellMar>
            <w:top w:w="0" w:type="dxa"/>
            <w:left w:w="108" w:type="dxa"/>
            <w:bottom w:w="0" w:type="dxa"/>
            <w:right w:w="108" w:type="dxa"/>
          </w:tblCellMar>
        </w:tblPrEx>
        <w:trPr>
          <w:trHeight w:val="138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FFCB34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4F0B52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DA97AC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事件智能并案</w:t>
            </w:r>
            <w:r>
              <w:rPr>
                <w:rFonts w:ascii="Tahoma" w:hAnsi="Tahoma" w:cs="Tahoma"/>
                <w:color w:val="000000"/>
                <w:kern w:val="0"/>
                <w:sz w:val="22"/>
                <w:szCs w:val="22"/>
              </w:rPr>
              <w:t>-</w:t>
            </w:r>
            <w:r>
              <w:rPr>
                <w:rFonts w:hint="eastAsia" w:ascii="Tahoma" w:hAnsi="Tahoma" w:cs="Tahoma"/>
                <w:color w:val="000000"/>
                <w:kern w:val="0"/>
                <w:sz w:val="22"/>
                <w:szCs w:val="22"/>
              </w:rPr>
              <w:t>事件并案规则</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FAADA8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事件并案规则通过分析事件的核心要素（如发生时间、地点、关键描述、涉及对象等），利用自然语言处理和模式匹配技术，智能识别这些分散上报的事件是否指向同一底层事态。一旦判定为同一事件，将自动进行信息整合与“并案”处理，将来自不同部门的处置信息等内容汇聚到一个统一的事件视图下。</w:t>
            </w:r>
          </w:p>
        </w:tc>
      </w:tr>
      <w:tr w14:paraId="1873ABB6">
        <w:tblPrEx>
          <w:tblCellMar>
            <w:top w:w="0" w:type="dxa"/>
            <w:left w:w="108" w:type="dxa"/>
            <w:bottom w:w="0" w:type="dxa"/>
            <w:right w:w="108" w:type="dxa"/>
          </w:tblCellMar>
        </w:tblPrEx>
        <w:trPr>
          <w:trHeight w:val="852"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E2FDE1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D1599E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0513D3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事件智能并案</w:t>
            </w:r>
            <w:r>
              <w:rPr>
                <w:rFonts w:ascii="Tahoma" w:hAnsi="Tahoma" w:cs="Tahoma"/>
                <w:color w:val="000000"/>
                <w:kern w:val="0"/>
                <w:sz w:val="22"/>
                <w:szCs w:val="22"/>
              </w:rPr>
              <w:t>-</w:t>
            </w:r>
            <w:r>
              <w:rPr>
                <w:rFonts w:hint="eastAsia" w:ascii="Tahoma" w:hAnsi="Tahoma" w:cs="Tahoma"/>
                <w:color w:val="000000"/>
                <w:kern w:val="0"/>
                <w:sz w:val="22"/>
                <w:szCs w:val="22"/>
              </w:rPr>
              <w:t>并案规则库</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700C09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预设并案规则库，提供包括空间近度阈值、时间窗口、关键词匹配规则、语义相似度阈值等多种自动并案规则。</w:t>
            </w:r>
          </w:p>
        </w:tc>
      </w:tr>
      <w:tr w14:paraId="322513FF">
        <w:tblPrEx>
          <w:tblCellMar>
            <w:top w:w="0" w:type="dxa"/>
            <w:left w:w="108" w:type="dxa"/>
            <w:bottom w:w="0" w:type="dxa"/>
            <w:right w:w="108" w:type="dxa"/>
          </w:tblCellMar>
        </w:tblPrEx>
        <w:trPr>
          <w:trHeight w:val="8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62152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88B3AA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F63A45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事件智能并案</w:t>
            </w:r>
            <w:r>
              <w:rPr>
                <w:rFonts w:ascii="Tahoma" w:hAnsi="Tahoma" w:cs="Tahoma"/>
                <w:color w:val="000000"/>
                <w:kern w:val="0"/>
                <w:sz w:val="22"/>
                <w:szCs w:val="22"/>
              </w:rPr>
              <w:t>-</w:t>
            </w:r>
            <w:r>
              <w:rPr>
                <w:rFonts w:hint="eastAsia" w:ascii="Tahoma" w:hAnsi="Tahoma" w:cs="Tahoma"/>
                <w:color w:val="000000"/>
                <w:kern w:val="0"/>
                <w:sz w:val="22"/>
                <w:szCs w:val="22"/>
              </w:rPr>
              <w:t>并案事件视图</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8CD6E1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（1）标记并案事件</w:t>
            </w:r>
          </w:p>
          <w:p w14:paraId="023D805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满足匹配规则形成并案的事件，系统将自动标记为并案事件。</w:t>
            </w:r>
          </w:p>
          <w:p w14:paraId="76EC751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（2）处置信息视图</w:t>
            </w:r>
          </w:p>
          <w:p w14:paraId="6880A1A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整合来自不同部门的事件信息、处置信息、人员伤亡情况等数据，形成事件的统一视图。</w:t>
            </w:r>
          </w:p>
          <w:p w14:paraId="0BA5394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（3）并案人工调控</w:t>
            </w:r>
          </w:p>
          <w:p w14:paraId="1AD4CAD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支持手动发起事件的解绑或并案操作。</w:t>
            </w:r>
          </w:p>
        </w:tc>
      </w:tr>
      <w:tr w14:paraId="79968DB0">
        <w:tblPrEx>
          <w:tblCellMar>
            <w:top w:w="0" w:type="dxa"/>
            <w:left w:w="108" w:type="dxa"/>
            <w:bottom w:w="0" w:type="dxa"/>
            <w:right w:w="108" w:type="dxa"/>
          </w:tblCellMar>
        </w:tblPrEx>
        <w:trPr>
          <w:trHeight w:val="133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C610AD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28E958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884FE0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事件脉络生成</w:t>
            </w:r>
            <w:r>
              <w:rPr>
                <w:rFonts w:ascii="Tahoma" w:hAnsi="Tahoma" w:cs="Tahoma"/>
                <w:color w:val="000000"/>
                <w:kern w:val="0"/>
                <w:sz w:val="22"/>
                <w:szCs w:val="22"/>
              </w:rPr>
              <w:t>-</w:t>
            </w:r>
            <w:r>
              <w:rPr>
                <w:rFonts w:hint="eastAsia" w:ascii="Tahoma" w:hAnsi="Tahoma" w:cs="Tahoma"/>
                <w:color w:val="000000"/>
                <w:kern w:val="0"/>
                <w:sz w:val="22"/>
                <w:szCs w:val="22"/>
              </w:rPr>
              <w:t>事件脉络规则</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B8C957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通过“信息汇聚解析+显性节点自动化提取+隐性信息智能挖掘”的三位一体模式，构建事件发展脉络生成模型。模型处理流程如下：信息汇聚解析——显性节点提取——隐性信息挖掘。</w:t>
            </w:r>
          </w:p>
        </w:tc>
      </w:tr>
      <w:tr w14:paraId="4B1383F3">
        <w:tblPrEx>
          <w:tblCellMar>
            <w:top w:w="0" w:type="dxa"/>
            <w:left w:w="108" w:type="dxa"/>
            <w:bottom w:w="0" w:type="dxa"/>
            <w:right w:w="108" w:type="dxa"/>
          </w:tblCellMar>
        </w:tblPrEx>
        <w:trPr>
          <w:trHeight w:val="126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F52253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FA2341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0F3600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事件脉络生成</w:t>
            </w:r>
            <w:r>
              <w:rPr>
                <w:rFonts w:ascii="Tahoma" w:hAnsi="Tahoma" w:cs="Tahoma"/>
                <w:color w:val="000000"/>
                <w:kern w:val="0"/>
                <w:sz w:val="22"/>
                <w:szCs w:val="22"/>
              </w:rPr>
              <w:t>-</w:t>
            </w:r>
            <w:r>
              <w:rPr>
                <w:rFonts w:hint="eastAsia" w:ascii="Tahoma" w:hAnsi="Tahoma" w:cs="Tahoma"/>
                <w:color w:val="000000"/>
                <w:kern w:val="0"/>
                <w:sz w:val="22"/>
                <w:szCs w:val="22"/>
              </w:rPr>
              <w:t>动态脉络构建</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4A34AE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按照时间顺序和逻辑关系，将关联的事件要素组织成动态演进的事件脉络图，标示关键时间节点、处置进展、资源状态等。</w:t>
            </w:r>
          </w:p>
        </w:tc>
      </w:tr>
      <w:tr w14:paraId="4A0BF435">
        <w:tblPrEx>
          <w:tblCellMar>
            <w:top w:w="0" w:type="dxa"/>
            <w:left w:w="108" w:type="dxa"/>
            <w:bottom w:w="0" w:type="dxa"/>
            <w:right w:w="108" w:type="dxa"/>
          </w:tblCellMar>
        </w:tblPrEx>
        <w:trPr>
          <w:trHeight w:val="14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8C7FC11">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8E92B4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49A9FC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事件脉络生成</w:t>
            </w:r>
            <w:r>
              <w:rPr>
                <w:rFonts w:ascii="Tahoma" w:hAnsi="Tahoma" w:cs="Tahoma"/>
                <w:color w:val="000000"/>
                <w:kern w:val="0"/>
                <w:sz w:val="22"/>
                <w:szCs w:val="22"/>
              </w:rPr>
              <w:t>-</w:t>
            </w:r>
            <w:r>
              <w:rPr>
                <w:rFonts w:hint="eastAsia" w:ascii="Tahoma" w:hAnsi="Tahoma" w:cs="Tahoma"/>
                <w:color w:val="000000"/>
                <w:kern w:val="0"/>
                <w:sz w:val="22"/>
                <w:szCs w:val="22"/>
              </w:rPr>
              <w:t>脉络数据补充</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B0B5B8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支持人工导入事件相关节点数据（如现场视频、执法记录仪录像等）；提供视频截图与时间戳标注工具，将视觉化证据与事件时间轴进行强关联，形成"文字+图像+视频"的多模态数据链，确保处置过程可追溯。</w:t>
            </w:r>
          </w:p>
        </w:tc>
      </w:tr>
      <w:tr w14:paraId="3AF34231">
        <w:tblPrEx>
          <w:tblCellMar>
            <w:top w:w="0" w:type="dxa"/>
            <w:left w:w="108" w:type="dxa"/>
            <w:bottom w:w="0" w:type="dxa"/>
            <w:right w:w="108" w:type="dxa"/>
          </w:tblCellMar>
        </w:tblPrEx>
        <w:trPr>
          <w:trHeight w:val="1097"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2C05A81">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2ED3A2B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7ECAB6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事件脉络生成</w:t>
            </w:r>
            <w:r>
              <w:rPr>
                <w:rFonts w:ascii="Tahoma" w:hAnsi="Tahoma" w:cs="Tahoma"/>
                <w:color w:val="000000"/>
                <w:kern w:val="0"/>
                <w:sz w:val="22"/>
                <w:szCs w:val="22"/>
              </w:rPr>
              <w:t>-</w:t>
            </w:r>
            <w:r>
              <w:rPr>
                <w:rFonts w:hint="eastAsia" w:ascii="Tahoma" w:hAnsi="Tahoma" w:cs="Tahoma"/>
                <w:color w:val="000000"/>
                <w:kern w:val="0"/>
                <w:sz w:val="22"/>
                <w:szCs w:val="22"/>
              </w:rPr>
              <w:t>关联处置信息</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BFBDA1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事件脉络中的节点信息与事件处置信息相互关联，点击脉络中的任意节点，系统即可自动匹配并切换显示对应的处置信息。</w:t>
            </w:r>
          </w:p>
        </w:tc>
      </w:tr>
      <w:tr w14:paraId="0FE0AF14">
        <w:tblPrEx>
          <w:tblCellMar>
            <w:top w:w="0" w:type="dxa"/>
            <w:left w:w="108" w:type="dxa"/>
            <w:bottom w:w="0" w:type="dxa"/>
            <w:right w:w="108" w:type="dxa"/>
          </w:tblCellMar>
        </w:tblPrEx>
        <w:trPr>
          <w:trHeight w:val="775"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D685C39">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125AA3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DEAFAA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智能事件综述（智能体）</w:t>
            </w:r>
            <w:r>
              <w:rPr>
                <w:rFonts w:ascii="Tahoma" w:hAnsi="Tahoma" w:cs="Tahoma"/>
                <w:color w:val="000000"/>
                <w:kern w:val="0"/>
                <w:sz w:val="22"/>
                <w:szCs w:val="22"/>
              </w:rPr>
              <w:t>-</w:t>
            </w:r>
            <w:r>
              <w:rPr>
                <w:rFonts w:hint="eastAsia" w:ascii="Tahoma" w:hAnsi="Tahoma" w:cs="Tahoma"/>
                <w:color w:val="000000"/>
                <w:kern w:val="0"/>
                <w:sz w:val="22"/>
                <w:szCs w:val="22"/>
              </w:rPr>
              <w:t>输入端预处理</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BB296D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通过多轮对话进行必要的查询条件澄清，最终构建精准的查询指令，提升事件综述应答的准确率。</w:t>
            </w:r>
          </w:p>
        </w:tc>
      </w:tr>
      <w:tr w14:paraId="78C55A46">
        <w:tblPrEx>
          <w:tblCellMar>
            <w:top w:w="0" w:type="dxa"/>
            <w:left w:w="108" w:type="dxa"/>
            <w:bottom w:w="0" w:type="dxa"/>
            <w:right w:w="108" w:type="dxa"/>
          </w:tblCellMar>
        </w:tblPrEx>
        <w:trPr>
          <w:trHeight w:val="116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1CB7E2A">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18C8EB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FB803C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智能事件综述（智能体）</w:t>
            </w:r>
            <w:r>
              <w:rPr>
                <w:rFonts w:ascii="Tahoma" w:hAnsi="Tahoma" w:cs="Tahoma"/>
                <w:color w:val="000000"/>
                <w:kern w:val="0"/>
                <w:sz w:val="22"/>
                <w:szCs w:val="22"/>
              </w:rPr>
              <w:t>-</w:t>
            </w:r>
            <w:r>
              <w:rPr>
                <w:rFonts w:hint="eastAsia" w:ascii="Tahoma" w:hAnsi="Tahoma" w:cs="Tahoma"/>
                <w:color w:val="000000"/>
                <w:kern w:val="0"/>
                <w:sz w:val="22"/>
                <w:szCs w:val="22"/>
              </w:rPr>
              <w:t>综述编辑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031F7D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基于MAP大模型平台的能力，运用事件综述智能体，自动生成各事件实时的事件总结概述。</w:t>
            </w:r>
          </w:p>
          <w:p w14:paraId="1E5E066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提供对事件综述内容进行人工修改与完善的功能。</w:t>
            </w:r>
          </w:p>
        </w:tc>
      </w:tr>
      <w:tr w14:paraId="00CCAC16">
        <w:tblPrEx>
          <w:tblCellMar>
            <w:top w:w="0" w:type="dxa"/>
            <w:left w:w="108" w:type="dxa"/>
            <w:bottom w:w="0" w:type="dxa"/>
            <w:right w:w="108" w:type="dxa"/>
          </w:tblCellMar>
        </w:tblPrEx>
        <w:trPr>
          <w:trHeight w:val="10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9355FF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655CC3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AC6A2F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智能事件综述（智能体）</w:t>
            </w:r>
            <w:r>
              <w:rPr>
                <w:rFonts w:ascii="Tahoma" w:hAnsi="Tahoma" w:cs="Tahoma"/>
                <w:color w:val="000000"/>
                <w:kern w:val="0"/>
                <w:sz w:val="22"/>
                <w:szCs w:val="22"/>
              </w:rPr>
              <w:t>-</w:t>
            </w:r>
            <w:r>
              <w:rPr>
                <w:rFonts w:hint="eastAsia" w:ascii="Tahoma" w:hAnsi="Tahoma" w:cs="Tahoma"/>
                <w:color w:val="000000"/>
                <w:kern w:val="0"/>
                <w:sz w:val="22"/>
                <w:szCs w:val="22"/>
              </w:rPr>
              <w:t>音像与图片自动归集</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7286BF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在事件综述页面中自动汇总来自各委办上报和事件脉络导入的图片及音像资料，用于统一查看与管理。</w:t>
            </w:r>
          </w:p>
        </w:tc>
      </w:tr>
      <w:tr w14:paraId="1B64CEBB">
        <w:tblPrEx>
          <w:tblCellMar>
            <w:top w:w="0" w:type="dxa"/>
            <w:left w:w="108" w:type="dxa"/>
            <w:bottom w:w="0" w:type="dxa"/>
            <w:right w:w="108" w:type="dxa"/>
          </w:tblCellMar>
        </w:tblPrEx>
        <w:trPr>
          <w:trHeight w:val="947"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714A80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AD5BAD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44A9BC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资源整合联动-资源整合</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154982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整合事件区域的实时监控视频、消防单兵等监控数据，整合拥堵状态、里程桩等道路路况数据，整合城运中心值班人员信息，整合企业/单位基础信息等责任主体数据，整合学校、医院、加油站、消防站等城市要素数据。</w:t>
            </w:r>
          </w:p>
        </w:tc>
      </w:tr>
      <w:tr w14:paraId="01B1587D">
        <w:tblPrEx>
          <w:tblCellMar>
            <w:top w:w="0" w:type="dxa"/>
            <w:left w:w="108" w:type="dxa"/>
            <w:bottom w:w="0" w:type="dxa"/>
            <w:right w:w="108" w:type="dxa"/>
          </w:tblCellMar>
        </w:tblPrEx>
        <w:trPr>
          <w:trHeight w:val="832"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237BBD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2E44D4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0412B7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资源整合联动-资源关联</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1D1D14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支持事件属性提取、地理空间管理、相关人员匹配、专项数据匹配。</w:t>
            </w:r>
          </w:p>
        </w:tc>
      </w:tr>
      <w:tr w14:paraId="21B92A1F">
        <w:tblPrEx>
          <w:tblCellMar>
            <w:top w:w="0" w:type="dxa"/>
            <w:left w:w="108" w:type="dxa"/>
            <w:bottom w:w="0" w:type="dxa"/>
            <w:right w:w="108" w:type="dxa"/>
          </w:tblCellMar>
        </w:tblPrEx>
        <w:trPr>
          <w:trHeight w:val="9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BBA224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1F66D1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95D24E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事件归档报告-事件报告生成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D992C8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系统可操作事件归档，支持手动填充“处置成效”、“问题短板”、“改进建议”等核心内容，生成事件报告。</w:t>
            </w:r>
          </w:p>
        </w:tc>
      </w:tr>
      <w:tr w14:paraId="4C5FEB8E">
        <w:tblPrEx>
          <w:tblCellMar>
            <w:top w:w="0" w:type="dxa"/>
            <w:left w:w="108" w:type="dxa"/>
            <w:bottom w:w="0" w:type="dxa"/>
            <w:right w:w="108" w:type="dxa"/>
          </w:tblCellMar>
        </w:tblPrEx>
        <w:trPr>
          <w:trHeight w:val="106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CBDB8AF">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85EE53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4636E4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事件归档报告-事件报告调阅</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033E0F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用户可在可视化界面上随时回溯事件全过程，查看报告及相关数据、资料。</w:t>
            </w:r>
          </w:p>
        </w:tc>
      </w:tr>
      <w:tr w14:paraId="41004523">
        <w:tblPrEx>
          <w:tblCellMar>
            <w:top w:w="0" w:type="dxa"/>
            <w:left w:w="108" w:type="dxa"/>
            <w:bottom w:w="0" w:type="dxa"/>
            <w:right w:w="108" w:type="dxa"/>
          </w:tblCellMar>
        </w:tblPrEx>
        <w:trPr>
          <w:trHeight w:val="12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4920F0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3DDD60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3E8542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事件趋势研判-总量与重点事件对比</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7FAA95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统计分析全市事件总量及重点关注事件数量，动态展示两类事件占比变化趋势。</w:t>
            </w:r>
          </w:p>
          <w:p w14:paraId="4C5CDBE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支持按事件类型维度（如火灾抢险、交通事故、燃气事件、综合救援等）分别统计整体数量及重点关注事件占比，形成分类对比视图。</w:t>
            </w:r>
          </w:p>
        </w:tc>
      </w:tr>
      <w:tr w14:paraId="7D1442BC">
        <w:tblPrEx>
          <w:tblCellMar>
            <w:top w:w="0" w:type="dxa"/>
            <w:left w:w="108" w:type="dxa"/>
            <w:bottom w:w="0" w:type="dxa"/>
            <w:right w:w="108" w:type="dxa"/>
          </w:tblCellMar>
        </w:tblPrEx>
        <w:trPr>
          <w:trHeight w:val="97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7567C1D">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434F6E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4CEB4E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事件趋势研判-区域分布分析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A1EA95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以上海16个行政区为维度，统计各区各类事件总量及重点关注事件量，区分"全部事件"与"重点关注事件"的区域分布差异；支持点击特定区域，下钻查看该区域下各类型事件的详细统计结果。</w:t>
            </w:r>
          </w:p>
        </w:tc>
      </w:tr>
      <w:tr w14:paraId="657C872D">
        <w:tblPrEx>
          <w:tblCellMar>
            <w:top w:w="0" w:type="dxa"/>
            <w:left w:w="108" w:type="dxa"/>
            <w:bottom w:w="0" w:type="dxa"/>
            <w:right w:w="108" w:type="dxa"/>
          </w:tblCellMar>
        </w:tblPrEx>
        <w:trPr>
          <w:trHeight w:val="115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B07B1ED">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9C5D79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5BE866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事件趋势研判-时间维度分析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1E85B9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按小时粒度统计每日24小时内的事件分布，区分"全部事件"与"重点关注事件"的时间规律；可叠加事件类型或区域筛选条件，分析特定类型事件或区域的高峰时段特征。</w:t>
            </w:r>
          </w:p>
        </w:tc>
      </w:tr>
      <w:tr w14:paraId="2A7D13B3">
        <w:tblPrEx>
          <w:tblCellMar>
            <w:top w:w="0" w:type="dxa"/>
            <w:left w:w="108" w:type="dxa"/>
            <w:bottom w:w="0" w:type="dxa"/>
            <w:right w:w="108" w:type="dxa"/>
          </w:tblCellMar>
        </w:tblPrEx>
        <w:trPr>
          <w:trHeight w:val="9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AAAA5B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333556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065AF3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事件趋势研判-历史时段回溯</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00CCAA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选择任意历史时间段，查看该时间段内的事件统计结果。包括事件总量、重点关注事件量及类型占比，对比不同时期的事件分布特征。辅助城运保障人员，识别事件高发区域及高发时段，发现事件的潜在性规律。</w:t>
            </w:r>
          </w:p>
        </w:tc>
      </w:tr>
      <w:tr w14:paraId="499C8F65">
        <w:tblPrEx>
          <w:tblCellMar>
            <w:top w:w="0" w:type="dxa"/>
            <w:left w:w="108" w:type="dxa"/>
            <w:bottom w:w="0" w:type="dxa"/>
            <w:right w:w="108" w:type="dxa"/>
          </w:tblCellMar>
        </w:tblPrEx>
        <w:trPr>
          <w:trHeight w:val="125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490614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8F3132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9B4CEE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地图多维交互-地图模式</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F566E2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系统提供多维度地图模式自由切换功能，如2D地图、3D地图、精模地图、白膜地图、卫星地图、交通地图等。</w:t>
            </w:r>
          </w:p>
          <w:p w14:paraId="78BB4B0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一键切换地图模式，满足事件洞察、空间分析、指挥协调等场景下的多样可视化需求。</w:t>
            </w:r>
          </w:p>
        </w:tc>
      </w:tr>
      <w:tr w14:paraId="676690A0">
        <w:tblPrEx>
          <w:tblCellMar>
            <w:top w:w="0" w:type="dxa"/>
            <w:left w:w="108" w:type="dxa"/>
            <w:bottom w:w="0" w:type="dxa"/>
            <w:right w:w="108" w:type="dxa"/>
          </w:tblCellMar>
        </w:tblPrEx>
        <w:trPr>
          <w:trHeight w:val="108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312FF0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FBD1F5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B5E075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地图多维交互-地图标注</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B91A1A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支持在地图上对事件点、资源点等进行标注，并提供距离测量、面积测量、路径规划等空间分析工具。</w:t>
            </w:r>
          </w:p>
        </w:tc>
      </w:tr>
      <w:tr w14:paraId="717E184E">
        <w:tblPrEx>
          <w:tblCellMar>
            <w:top w:w="0" w:type="dxa"/>
            <w:left w:w="108" w:type="dxa"/>
            <w:bottom w:w="0" w:type="dxa"/>
            <w:right w:w="108" w:type="dxa"/>
          </w:tblCellMar>
        </w:tblPrEx>
        <w:trPr>
          <w:trHeight w:val="97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108B26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1636BE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E21727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地图多维交互-经纬度调控</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53FBAF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支持通过拖拉拽的方式，在地图上手动调整事件经纬度坐标。</w:t>
            </w:r>
          </w:p>
        </w:tc>
      </w:tr>
      <w:tr w14:paraId="1509D23B">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F1A6F8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69DC94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8CAA0F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事件智能应对（智能体）-措施预案库</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7350310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构建应急处置工作方案管理，通过可视化操作界面实现应急处置工作方案的管理。支持针对各事件类型建立多层级应急处置预案体系，提供配置工具可自定义预案条目内容及事件应对流程。构建系统联动机制，支持将预案条目与相关业务系统接口关联，实现应急处置指令的自动触发与跨系统协同处置。</w:t>
            </w:r>
          </w:p>
        </w:tc>
      </w:tr>
      <w:tr w14:paraId="2A34A99A">
        <w:tblPrEx>
          <w:tblCellMar>
            <w:top w:w="0" w:type="dxa"/>
            <w:left w:w="108" w:type="dxa"/>
            <w:bottom w:w="0" w:type="dxa"/>
            <w:right w:w="108" w:type="dxa"/>
          </w:tblCellMar>
        </w:tblPrEx>
        <w:trPr>
          <w:trHeight w:val="8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3AD78B9">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EF2618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CE100B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事件智能应对（智能体）-预案智能匹配</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FBDE58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事件分类体系构建智能匹配引擎，实现应急处置预案的动态适配。当监测到重点关注事件时，自动识别事件类型、等级，运用多维信息整合技术匹配预设预案库中的应急处置工作方案，并以图形化界面动态呈现预案执行流程图谱、处置条目清单及关联系统入口。</w:t>
            </w:r>
          </w:p>
        </w:tc>
      </w:tr>
      <w:tr w14:paraId="3B6499B0">
        <w:tblPrEx>
          <w:tblCellMar>
            <w:top w:w="0" w:type="dxa"/>
            <w:left w:w="108" w:type="dxa"/>
            <w:bottom w:w="0" w:type="dxa"/>
            <w:right w:w="108" w:type="dxa"/>
          </w:tblCellMar>
        </w:tblPrEx>
        <w:trPr>
          <w:trHeight w:val="1365"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242194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0994E1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F5B6A5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事件智能应对（智能体）-处置建议生成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DBE18F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基于MAP大模型构建的措施预案智能体，通过系统输入的提示词实时生成事件处置建议。</w:t>
            </w:r>
          </w:p>
        </w:tc>
      </w:tr>
      <w:tr w14:paraId="41706D65">
        <w:tblPrEx>
          <w:tblCellMar>
            <w:top w:w="0" w:type="dxa"/>
            <w:left w:w="108" w:type="dxa"/>
            <w:bottom w:w="0" w:type="dxa"/>
            <w:right w:w="108" w:type="dxa"/>
          </w:tblCellMar>
        </w:tblPrEx>
        <w:trPr>
          <w:trHeight w:val="120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1B2DB4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3CB9A6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2CE270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应急智答-实时应急指引</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2AF42A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在城市突发事件中，通过智能问答系统实现实时应急响应与精准指引，结合城市运行数据，快速生成并推送针对事件类型的应急措施、资源调配建议及指引，提升应急响应效率与决策科学性。</w:t>
            </w:r>
          </w:p>
        </w:tc>
      </w:tr>
      <w:tr w14:paraId="3B6CFF40">
        <w:tblPrEx>
          <w:tblCellMar>
            <w:top w:w="0" w:type="dxa"/>
            <w:left w:w="108" w:type="dxa"/>
            <w:bottom w:w="0" w:type="dxa"/>
            <w:right w:w="108" w:type="dxa"/>
          </w:tblCellMar>
        </w:tblPrEx>
        <w:trPr>
          <w:trHeight w:val="9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77B068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6C5536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8ABE13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应急智答-智能语音检索</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5B6FC9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建立平台语音交互能力，实现能识别用户语音指令，主要为事件类型、时间、区域等范畴的指令输入，并做出对应动作。例如，语音输入“浦东新区近一月火灾事件”，可检索出所有在浦东信息发生的火灾事件记录。</w:t>
            </w:r>
          </w:p>
        </w:tc>
      </w:tr>
      <w:tr w14:paraId="3810EB7E">
        <w:tblPrEx>
          <w:tblCellMar>
            <w:top w:w="0" w:type="dxa"/>
            <w:left w:w="108" w:type="dxa"/>
            <w:bottom w:w="0" w:type="dxa"/>
            <w:right w:w="108" w:type="dxa"/>
          </w:tblCellMar>
        </w:tblPrEx>
        <w:trPr>
          <w:trHeight w:val="85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B17A3C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A23330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E448DE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事件手动补录-事件填报</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DBB5C2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提供事件填报窗口，支持编辑事件类型、名称、发生时间、地址、经纬度、时间描述、伤亡情况、案发图片等信息。</w:t>
            </w:r>
          </w:p>
        </w:tc>
      </w:tr>
      <w:tr w14:paraId="593D0C1C">
        <w:tblPrEx>
          <w:tblCellMar>
            <w:top w:w="0" w:type="dxa"/>
            <w:left w:w="108" w:type="dxa"/>
            <w:bottom w:w="0" w:type="dxa"/>
            <w:right w:w="108" w:type="dxa"/>
          </w:tblCellMar>
        </w:tblPrEx>
        <w:trPr>
          <w:trHeight w:val="9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66ECA5D">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3C220F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20DBC3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事件手动补录-反向关联</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C1AC6E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支持实时监测并自动反向关联后续系统中上报的同一起事件。</w:t>
            </w:r>
          </w:p>
        </w:tc>
      </w:tr>
      <w:tr w14:paraId="03855D2B">
        <w:tblPrEx>
          <w:tblCellMar>
            <w:top w:w="0" w:type="dxa"/>
            <w:left w:w="108" w:type="dxa"/>
            <w:bottom w:w="0" w:type="dxa"/>
            <w:right w:w="108" w:type="dxa"/>
          </w:tblCellMar>
        </w:tblPrEx>
        <w:trPr>
          <w:trHeight w:val="96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EB4AC8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1E5CEE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895039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事件手动补录-智能联动</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B3635C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通过地址信息自动调取周边监控资源，并实现与</w:t>
            </w:r>
            <w:r>
              <w:rPr>
                <w:rFonts w:hint="eastAsia" w:ascii="Tahoma" w:hAnsi="Tahoma" w:cs="Tahoma"/>
                <w:color w:val="000000"/>
                <w:kern w:val="0"/>
                <w:sz w:val="22"/>
                <w:szCs w:val="22"/>
                <w:lang w:eastAsia="zh-CN"/>
              </w:rPr>
              <w:t>YQ</w:t>
            </w:r>
            <w:r>
              <w:rPr>
                <w:rFonts w:hint="eastAsia" w:ascii="Tahoma" w:hAnsi="Tahoma" w:cs="Tahoma"/>
                <w:color w:val="000000"/>
                <w:kern w:val="0"/>
                <w:sz w:val="22"/>
                <w:szCs w:val="22"/>
              </w:rPr>
              <w:t>数据的精准关联，提升事件响应效率与溯源能力。</w:t>
            </w:r>
          </w:p>
        </w:tc>
      </w:tr>
      <w:tr w14:paraId="06B9BBD3">
        <w:tblPrEx>
          <w:tblCellMar>
            <w:top w:w="0" w:type="dxa"/>
            <w:left w:w="108" w:type="dxa"/>
            <w:bottom w:w="0" w:type="dxa"/>
            <w:right w:w="108" w:type="dxa"/>
          </w:tblCellMar>
        </w:tblPrEx>
        <w:trPr>
          <w:trHeight w:val="918"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61122A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594333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5F098B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事件类型扩展-生产安全</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2606F1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接入全市生产安全类事件数据，联动生产安全事件周边的城市要素数据和地图模块，实现对生产安全事件的多维度数据整合与可视化预警呈现，动态展现事件发展全过程。</w:t>
            </w:r>
          </w:p>
        </w:tc>
      </w:tr>
      <w:tr w14:paraId="4447495E">
        <w:tblPrEx>
          <w:tblCellMar>
            <w:top w:w="0" w:type="dxa"/>
            <w:left w:w="108" w:type="dxa"/>
            <w:bottom w:w="0" w:type="dxa"/>
            <w:right w:w="108" w:type="dxa"/>
          </w:tblCellMar>
        </w:tblPrEx>
        <w:trPr>
          <w:trHeight w:val="855"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7D970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670CD2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294CFE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事件类型扩展-110非警情</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1EAEE3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接入全市110非警情事件数据，联动110非警情事件周边的城市要素数据和地图模块，实现对110非警情事件的多维度数据整合与可视化预警呈现，动态展现事件发展全过程。</w:t>
            </w:r>
          </w:p>
        </w:tc>
      </w:tr>
      <w:tr w14:paraId="4C144FD3">
        <w:tblPrEx>
          <w:tblCellMar>
            <w:top w:w="0" w:type="dxa"/>
            <w:left w:w="108" w:type="dxa"/>
            <w:bottom w:w="0" w:type="dxa"/>
            <w:right w:w="108" w:type="dxa"/>
          </w:tblCellMar>
        </w:tblPrEx>
        <w:trPr>
          <w:trHeight w:val="1173"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D3B711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A5736A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城市运行重点事件监测</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4A70EF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事件类型扩展-设施安全</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6B50F9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接入全市电梯等设施运行安全事故数据，联动设施运行安全事件周边的城市要素数据和地图模块，实现对设施运行安全事件的多维度数据整合与可视化预警呈现，动态展现事件发展全过程。</w:t>
            </w:r>
          </w:p>
        </w:tc>
      </w:tr>
      <w:tr w14:paraId="52585BCE">
        <w:tblPrEx>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7D04CA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65C54E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ACBC8C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数据跨域关联-气象预警关联模型</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A49CDE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基于气象预警指标数据，气象预警跨域关联数据模型，包括暴雨预警、大雾预警、雷电预警、重度雾霾预警、霜冻预警/道路结冰、高潮位预警、高温预警模型。</w:t>
            </w:r>
          </w:p>
        </w:tc>
      </w:tr>
      <w:tr w14:paraId="33745E45">
        <w:tblPrEx>
          <w:tblCellMar>
            <w:top w:w="0" w:type="dxa"/>
            <w:left w:w="108" w:type="dxa"/>
            <w:bottom w:w="0" w:type="dxa"/>
            <w:right w:w="108" w:type="dxa"/>
          </w:tblCellMar>
        </w:tblPrEx>
        <w:trPr>
          <w:trHeight w:val="94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7D337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38650F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503998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数据跨域关联-供应关联模型</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AFF3AF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基于供水、供电、供气数据，构建供应数据跨域关联模型。</w:t>
            </w:r>
          </w:p>
        </w:tc>
      </w:tr>
      <w:tr w14:paraId="2720DD1A">
        <w:tblPrEx>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9452C8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390B8E26">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A1B3A5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数据跨域关联-大客流关联模型</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A632DB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基于重点区域、文体场馆客流数据，构建大客流数据跨域关联模型。</w:t>
            </w:r>
          </w:p>
        </w:tc>
      </w:tr>
      <w:tr w14:paraId="4CD8C39F">
        <w:tblPrEx>
          <w:tblCellMar>
            <w:top w:w="0" w:type="dxa"/>
            <w:left w:w="108" w:type="dxa"/>
            <w:bottom w:w="0" w:type="dxa"/>
            <w:right w:w="108" w:type="dxa"/>
          </w:tblCellMar>
        </w:tblPrEx>
        <w:trPr>
          <w:trHeight w:val="87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9D0ED4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37F108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9C41FA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数据跨域关联-交通关联模型</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1EA5DB7">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基于交通枢纽、道路路况等数据，</w:t>
            </w:r>
            <w:r>
              <w:rPr>
                <w:rFonts w:hint="eastAsia" w:ascii="Tahoma" w:hAnsi="Tahoma" w:cs="Tahoma"/>
                <w:color w:val="000000"/>
                <w:kern w:val="0"/>
                <w:sz w:val="22"/>
                <w:szCs w:val="22"/>
              </w:rPr>
              <w:t>构建交通数据跨域关联模型。</w:t>
            </w:r>
          </w:p>
        </w:tc>
      </w:tr>
      <w:tr w14:paraId="5566E135">
        <w:tblPrEx>
          <w:tblCellMar>
            <w:top w:w="0" w:type="dxa"/>
            <w:left w:w="108" w:type="dxa"/>
            <w:bottom w:w="0" w:type="dxa"/>
            <w:right w:w="108" w:type="dxa"/>
          </w:tblCellMar>
        </w:tblPrEx>
        <w:trPr>
          <w:trHeight w:val="821"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4CA569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26EC422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4A0CBC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数据跨域关联-数据关联图谱</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5EC0A6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以可视化图谱形式动态展示指标间的关联关系，支持交互式浏览与操作。可通过点击任一指标，逐层展开其直接或间接相关的指标集合。关联图谱有助于在指标出现异常波动时，快速识别可能受影响的关联指标，实现异常传导路径的追溯，从而提升数据分析的深度。</w:t>
            </w:r>
          </w:p>
        </w:tc>
      </w:tr>
      <w:tr w14:paraId="1EEF598A">
        <w:tblPrEx>
          <w:tblCellMar>
            <w:top w:w="0" w:type="dxa"/>
            <w:left w:w="108" w:type="dxa"/>
            <w:bottom w:w="0" w:type="dxa"/>
            <w:right w:w="108" w:type="dxa"/>
          </w:tblCellMar>
        </w:tblPrEx>
        <w:trPr>
          <w:trHeight w:val="128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DA1B9C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24E8AC4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D8860B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分时态分析-季节专项分析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E44AC3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含四季专题视图，春季专项分析视图集成展示气象预报数据走势、公共卫生数据（医院门急诊量等）、空气质量数据、交流出行及景区客流量变化趋势；夏季专项分析视图集成展示气象预报数据走势、能耗数据、防台防汛相关设施状态及景区客流量变化趋势；秋季专项分析视图集成展示气象预报数据走势、公共卫生数据（医院门急诊量等）、空气质量数据、交流出行及景区客流量变化趋势；冬季专项分析视图集成展示气象预报数据走势、公共卫生数据（医院门急诊量等）、12345热线及景区客流量变化趋势。</w:t>
            </w:r>
          </w:p>
        </w:tc>
      </w:tr>
      <w:tr w14:paraId="7EDD6CB8">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7085DA9">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06178B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D7272D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分时态分析-时段专项分析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6225D2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时段专项分析包含通勤高峰、节假日、夜间视图。通勤高峰专题视图结合GIS地图实时展示道路拥堵情况、主要干道车速变化、交通事故分布、轨交客运、气象数据及</w:t>
            </w:r>
            <w:r>
              <w:rPr>
                <w:rFonts w:hint="eastAsia" w:ascii="Tahoma" w:hAnsi="Tahoma" w:cs="Tahoma"/>
                <w:color w:val="000000"/>
                <w:kern w:val="0"/>
                <w:sz w:val="22"/>
                <w:szCs w:val="22"/>
                <w:lang w:eastAsia="zh-CN"/>
              </w:rPr>
              <w:t>YQ</w:t>
            </w:r>
            <w:r>
              <w:rPr>
                <w:rFonts w:hint="eastAsia" w:ascii="Tahoma" w:hAnsi="Tahoma" w:cs="Tahoma"/>
                <w:color w:val="000000"/>
                <w:kern w:val="0"/>
                <w:sz w:val="22"/>
                <w:szCs w:val="22"/>
              </w:rPr>
              <w:t>信息；节假日视图包括春节、五一、国庆假日专题视图，万圣节专题视图；夜间视图实时展示夜间道路养护、夜宵线信息、网约车用车需求等信息。</w:t>
            </w:r>
          </w:p>
        </w:tc>
      </w:tr>
      <w:tr w14:paraId="7F458EEB">
        <w:tblPrEx>
          <w:tblCellMar>
            <w:top w:w="0" w:type="dxa"/>
            <w:left w:w="108" w:type="dxa"/>
            <w:bottom w:w="0" w:type="dxa"/>
            <w:right w:w="108" w:type="dxa"/>
          </w:tblCellMar>
        </w:tblPrEx>
        <w:trPr>
          <w:trHeight w:val="13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65537C9">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3ACB915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B70DD0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非常态预警-动态基线建模</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473837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建立城市运行指标的动态基线模型，通过对比实时数据与历史常态模式，精准区分常态异常和非常态异常。</w:t>
            </w:r>
          </w:p>
        </w:tc>
      </w:tr>
      <w:tr w14:paraId="36385210">
        <w:tblPrEx>
          <w:tblCellMar>
            <w:top w:w="0" w:type="dxa"/>
            <w:left w:w="108" w:type="dxa"/>
            <w:bottom w:w="0" w:type="dxa"/>
            <w:right w:w="108" w:type="dxa"/>
          </w:tblCellMar>
        </w:tblPrEx>
        <w:trPr>
          <w:trHeight w:val="9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5C8FFEA">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463CBA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2DB3FF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非常态预警-实时异常预警</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723DEBC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当检测到突发性异常时，系统将触发预警机制，支持非常态异常情况溯源分析，自动关联周边监控画面、网络</w:t>
            </w:r>
            <w:r>
              <w:rPr>
                <w:rFonts w:hint="eastAsia" w:ascii="Tahoma" w:hAnsi="Tahoma" w:cs="Tahoma"/>
                <w:color w:val="000000"/>
                <w:kern w:val="0"/>
                <w:sz w:val="22"/>
                <w:szCs w:val="22"/>
                <w:lang w:eastAsia="zh-CN"/>
              </w:rPr>
              <w:t>YQ</w:t>
            </w:r>
            <w:r>
              <w:rPr>
                <w:rFonts w:hint="eastAsia" w:ascii="Tahoma" w:hAnsi="Tahoma" w:cs="Tahoma"/>
                <w:color w:val="000000"/>
                <w:kern w:val="0"/>
                <w:sz w:val="22"/>
                <w:szCs w:val="22"/>
              </w:rPr>
              <w:t>等辅助信息。</w:t>
            </w:r>
          </w:p>
        </w:tc>
      </w:tr>
      <w:tr w14:paraId="1B60390A">
        <w:tblPrEx>
          <w:tblCellMar>
            <w:top w:w="0" w:type="dxa"/>
            <w:left w:w="108" w:type="dxa"/>
            <w:bottom w:w="0" w:type="dxa"/>
            <w:right w:w="108" w:type="dxa"/>
          </w:tblCellMar>
        </w:tblPrEx>
        <w:trPr>
          <w:trHeight w:val="861"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8EB86E0">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3B1EFEC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501D908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城运智览（智能体）-语音问答</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A147B9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在平台中构建问答窗口交互组件，支持语音输入与语音转文字，允许用户通过文字输入或语音的方式提出问题，并获得即时回答。</w:t>
            </w:r>
          </w:p>
        </w:tc>
      </w:tr>
      <w:tr w14:paraId="054A748E">
        <w:tblPrEx>
          <w:tblCellMar>
            <w:top w:w="0" w:type="dxa"/>
            <w:left w:w="108" w:type="dxa"/>
            <w:bottom w:w="0" w:type="dxa"/>
            <w:right w:w="108" w:type="dxa"/>
          </w:tblCellMar>
        </w:tblPrEx>
        <w:trPr>
          <w:trHeight w:val="106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772919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17CAD2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806694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城运智览（智能体）-气象指标数据分析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18558B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通过问答方式，基于过去数年气象数据，分析和总结气象数据节性规律，并基于大模型返回的数据，形成可视化的气象数据趋势图。</w:t>
            </w:r>
          </w:p>
        </w:tc>
      </w:tr>
      <w:tr w14:paraId="15C9D518">
        <w:tblPrEx>
          <w:tblCellMar>
            <w:top w:w="0" w:type="dxa"/>
            <w:left w:w="108" w:type="dxa"/>
            <w:bottom w:w="0" w:type="dxa"/>
            <w:right w:w="108" w:type="dxa"/>
          </w:tblCellMar>
        </w:tblPrEx>
        <w:trPr>
          <w:trHeight w:val="903"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F6FEA8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5E160E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39503A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城运智览（智能体）-环境数据分析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162FE9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通过问答方式，基于过去数年环境数据，分析和总结环境数据节性规律，并基于大模型返回的数据，形成可视化的环境数据趋势图。</w:t>
            </w:r>
          </w:p>
        </w:tc>
      </w:tr>
      <w:tr w14:paraId="4DBCA11A">
        <w:tblPrEx>
          <w:tblCellMar>
            <w:top w:w="0" w:type="dxa"/>
            <w:left w:w="108" w:type="dxa"/>
            <w:bottom w:w="0" w:type="dxa"/>
            <w:right w:w="108" w:type="dxa"/>
          </w:tblCellMar>
        </w:tblPrEx>
        <w:trPr>
          <w:trHeight w:val="863"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037EF0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25D5912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EEAC49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城运智览（智能体）-大客流数据分析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454D28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通过问答方式，基于过去数年客流数据，分析和总结客流数据节性规律，并基于大模型返回的数据，形成可视化的客流数据趋势图。</w:t>
            </w:r>
          </w:p>
        </w:tc>
      </w:tr>
      <w:tr w14:paraId="144C310F">
        <w:tblPrEx>
          <w:tblCellMar>
            <w:top w:w="0" w:type="dxa"/>
            <w:left w:w="108" w:type="dxa"/>
            <w:bottom w:w="0" w:type="dxa"/>
            <w:right w:w="108" w:type="dxa"/>
          </w:tblCellMar>
        </w:tblPrEx>
        <w:trPr>
          <w:trHeight w:val="88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A07001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784721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9725AD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城运智览（智能体）-人口数据分析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AB2EDA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通过问答方式，基于过去数年人口数据，分析和总结人口数据节性规律，并基于大模型返回的数据，形成可视化的人口数据趋势图。</w:t>
            </w:r>
          </w:p>
        </w:tc>
      </w:tr>
      <w:tr w14:paraId="78A64F49">
        <w:tblPrEx>
          <w:tblCellMar>
            <w:top w:w="0" w:type="dxa"/>
            <w:left w:w="108" w:type="dxa"/>
            <w:bottom w:w="0" w:type="dxa"/>
            <w:right w:w="108" w:type="dxa"/>
          </w:tblCellMar>
        </w:tblPrEx>
        <w:trPr>
          <w:trHeight w:val="108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3C89A5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84DE92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131D680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城运智览（智能体）-供应数据分析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F8FEAC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通过问答方式，基于过去数年供应数据，分析和总结供应数据节性规律，并基于大模型返回的数据，形成可视化的供应数据趋势图。</w:t>
            </w:r>
          </w:p>
        </w:tc>
      </w:tr>
      <w:tr w14:paraId="4856505C">
        <w:tblPrEx>
          <w:tblCellMar>
            <w:top w:w="0" w:type="dxa"/>
            <w:left w:w="108" w:type="dxa"/>
            <w:bottom w:w="0" w:type="dxa"/>
            <w:right w:w="108" w:type="dxa"/>
          </w:tblCellMar>
        </w:tblPrEx>
        <w:trPr>
          <w:trHeight w:val="1144"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EFD64A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94CEA4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74B888B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城运智览（智能体）-交通枢纽数据分析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7A0DD79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通过问答方式，基于交通枢纽数据，分析和总结交通枢纽数据节性规律，并基于大模型返回的数据，形成可视化的交通枢纽数据趋势图。</w:t>
            </w:r>
          </w:p>
        </w:tc>
      </w:tr>
      <w:tr w14:paraId="46D38F53">
        <w:tblPrEx>
          <w:tblCellMar>
            <w:top w:w="0" w:type="dxa"/>
            <w:left w:w="108" w:type="dxa"/>
            <w:bottom w:w="0" w:type="dxa"/>
            <w:right w:w="108" w:type="dxa"/>
          </w:tblCellMar>
        </w:tblPrEx>
        <w:trPr>
          <w:trHeight w:val="823"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CBEA1B7">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D5483B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4252A74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综合评估报告-报告上屏</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9900E7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实现在大屏上实时展示预编排的报告，报告包含指标分析（以各类图表展示各维度关键指标数值及变化）、态势总结、趋势预测及风险研判（以风险矩阵等形式标识）的可视化报告。</w:t>
            </w:r>
          </w:p>
        </w:tc>
      </w:tr>
      <w:tr w14:paraId="7EFDF438">
        <w:tblPrEx>
          <w:tblCellMar>
            <w:top w:w="0" w:type="dxa"/>
            <w:left w:w="108" w:type="dxa"/>
            <w:bottom w:w="0" w:type="dxa"/>
            <w:right w:w="108" w:type="dxa"/>
          </w:tblCellMar>
        </w:tblPrEx>
        <w:trPr>
          <w:trHeight w:val="107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885979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6CDADE6">
            <w:pPr>
              <w:widowControl/>
              <w:spacing w:line="240" w:lineRule="auto"/>
              <w:ind w:firstLine="0" w:firstLineChars="0"/>
              <w:jc w:val="center"/>
              <w:rPr>
                <w:rFonts w:ascii="仿宋" w:hAnsi="仿宋"/>
                <w:kern w:val="0"/>
                <w:sz w:val="22"/>
              </w:rPr>
            </w:pPr>
            <w:r>
              <w:rPr>
                <w:rFonts w:hint="eastAsia" w:ascii="仿宋" w:hAnsi="仿宋"/>
                <w:kern w:val="0"/>
                <w:sz w:val="22"/>
              </w:rPr>
              <w:t>城市运行平时保障分析</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F8C5666">
            <w:pPr>
              <w:widowControl/>
              <w:spacing w:line="240" w:lineRule="auto"/>
              <w:ind w:firstLine="0" w:firstLineChars="0"/>
              <w:jc w:val="center"/>
              <w:rPr>
                <w:rFonts w:ascii="仿宋" w:hAnsi="仿宋"/>
                <w:kern w:val="0"/>
                <w:sz w:val="22"/>
              </w:rPr>
            </w:pPr>
            <w:r>
              <w:rPr>
                <w:rFonts w:hint="eastAsia" w:ascii="仿宋" w:hAnsi="仿宋"/>
                <w:kern w:val="0"/>
                <w:sz w:val="22"/>
              </w:rPr>
              <w:t>综合评估报告-报告分享</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CA1ADBB">
            <w:pPr>
              <w:widowControl/>
              <w:spacing w:line="240" w:lineRule="auto"/>
              <w:ind w:firstLine="0" w:firstLineChars="0"/>
              <w:rPr>
                <w:rFonts w:ascii="仿宋" w:hAnsi="仿宋"/>
                <w:kern w:val="0"/>
                <w:sz w:val="22"/>
              </w:rPr>
            </w:pPr>
            <w:r>
              <w:rPr>
                <w:rFonts w:hint="eastAsia" w:ascii="仿宋" w:hAnsi="仿宋"/>
                <w:kern w:val="0"/>
                <w:sz w:val="22"/>
              </w:rPr>
              <w:t>支持将生成的城市运行日常保障分析综合评估报告通过平台内部系统分享给相关部门或人员。</w:t>
            </w:r>
          </w:p>
        </w:tc>
      </w:tr>
      <w:tr w14:paraId="4223557E">
        <w:tblPrEx>
          <w:tblCellMar>
            <w:top w:w="0" w:type="dxa"/>
            <w:left w:w="108" w:type="dxa"/>
            <w:bottom w:w="0" w:type="dxa"/>
            <w:right w:w="108" w:type="dxa"/>
          </w:tblCellMar>
        </w:tblPrEx>
        <w:trPr>
          <w:trHeight w:val="1267"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9EA65A">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5993EA11">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5664C46B">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社情民意内容同源事件分析-同源事件分析-突发事件同源分析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17FDFEAD">
            <w:pPr>
              <w:widowControl/>
              <w:spacing w:line="240" w:lineRule="auto"/>
              <w:ind w:firstLine="0" w:firstLineChars="0"/>
              <w:rPr>
                <w:rFonts w:ascii="仿宋" w:hAnsi="仿宋"/>
                <w:kern w:val="0"/>
                <w:sz w:val="22"/>
              </w:rPr>
            </w:pPr>
            <w:r>
              <w:rPr>
                <w:rFonts w:hint="eastAsia" w:ascii="仿宋" w:hAnsi="仿宋"/>
                <w:kern w:val="0"/>
                <w:sz w:val="22"/>
              </w:rPr>
              <w:t>通过城感通</w:t>
            </w:r>
            <w:r>
              <w:rPr>
                <w:rFonts w:hint="eastAsia" w:ascii="仿宋" w:hAnsi="仿宋"/>
                <w:kern w:val="0"/>
                <w:sz w:val="22"/>
                <w:lang w:eastAsia="zh-CN"/>
              </w:rPr>
              <w:t>YQ</w:t>
            </w:r>
            <w:r>
              <w:rPr>
                <w:rFonts w:hint="eastAsia" w:ascii="仿宋" w:hAnsi="仿宋"/>
                <w:kern w:val="0"/>
                <w:sz w:val="22"/>
              </w:rPr>
              <w:t>数据，提取事件发生的时间、地点、人物、关键行为等信息，构建文本特征向量。将相似的突发事件合并同类，分析维度包括：事件类型、事件地点、事件传播度等等</w:t>
            </w:r>
            <w:r>
              <w:rPr>
                <w:rFonts w:ascii="仿宋" w:hAnsi="仿宋"/>
                <w:kern w:val="0"/>
                <w:sz w:val="22"/>
              </w:rPr>
              <w:t>。</w:t>
            </w:r>
          </w:p>
        </w:tc>
      </w:tr>
      <w:tr w14:paraId="65C9EBBE">
        <w:tblPrEx>
          <w:tblCellMar>
            <w:top w:w="0" w:type="dxa"/>
            <w:left w:w="108" w:type="dxa"/>
            <w:bottom w:w="0" w:type="dxa"/>
            <w:right w:w="108" w:type="dxa"/>
          </w:tblCellMar>
        </w:tblPrEx>
        <w:trPr>
          <w:trHeight w:val="1267"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443DD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73917FFF">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C08CFF2">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社情民意内容同源事件分析-同源事件分析-12345数据碰撞分析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4657F98C">
            <w:pPr>
              <w:widowControl/>
              <w:spacing w:line="240" w:lineRule="auto"/>
              <w:ind w:firstLine="0" w:firstLineChars="0"/>
              <w:rPr>
                <w:rFonts w:ascii="仿宋" w:hAnsi="仿宋"/>
                <w:kern w:val="0"/>
                <w:sz w:val="22"/>
              </w:rPr>
            </w:pPr>
            <w:r>
              <w:rPr>
                <w:rFonts w:hint="eastAsia" w:ascii="仿宋" w:hAnsi="仿宋"/>
                <w:kern w:val="0"/>
                <w:sz w:val="22"/>
              </w:rPr>
              <w:t>针对</w:t>
            </w:r>
            <w:r>
              <w:rPr>
                <w:rFonts w:ascii="仿宋" w:hAnsi="仿宋"/>
                <w:kern w:val="0"/>
                <w:sz w:val="22"/>
              </w:rPr>
              <w:t>12345市民诉求数据，通过人感数据进行数据碰撞分析。数据包括但不限于公共设施损坏、环境污染、交通拥堵等。帮助自动识别与已知问题相关的相似案例。</w:t>
            </w:r>
          </w:p>
        </w:tc>
      </w:tr>
      <w:tr w14:paraId="73BFD122">
        <w:tblPrEx>
          <w:tblCellMar>
            <w:top w:w="0" w:type="dxa"/>
            <w:left w:w="108" w:type="dxa"/>
            <w:bottom w:w="0" w:type="dxa"/>
            <w:right w:w="108" w:type="dxa"/>
          </w:tblCellMar>
        </w:tblPrEx>
        <w:trPr>
          <w:trHeight w:val="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5B0C30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55785D6">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3C567B97">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社情民意内容同源事件分析-热点事件分析-全网热度概况</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3A0161D6">
            <w:pPr>
              <w:widowControl/>
              <w:spacing w:line="240" w:lineRule="auto"/>
              <w:ind w:firstLine="0" w:firstLineChars="0"/>
              <w:rPr>
                <w:rFonts w:ascii="仿宋" w:hAnsi="仿宋"/>
                <w:kern w:val="0"/>
                <w:sz w:val="22"/>
              </w:rPr>
            </w:pPr>
            <w:r>
              <w:rPr>
                <w:rFonts w:ascii="仿宋" w:hAnsi="仿宋"/>
                <w:kern w:val="0"/>
                <w:sz w:val="22"/>
              </w:rPr>
              <w:t>显示当前事件统计时段内在全网涉及的信息量、热度指数均值、热度指数峰值及峰值出现时间。</w:t>
            </w:r>
          </w:p>
        </w:tc>
      </w:tr>
      <w:tr w14:paraId="17124040">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548EF81">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4D34B03">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0B8E9E68">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社情民意内容同源事件分析-热点事件分析-全网热度指数趋势</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2D982042">
            <w:pPr>
              <w:widowControl/>
              <w:spacing w:line="240" w:lineRule="auto"/>
              <w:ind w:firstLine="0" w:firstLineChars="0"/>
              <w:rPr>
                <w:rFonts w:ascii="仿宋" w:hAnsi="仿宋"/>
                <w:kern w:val="0"/>
                <w:sz w:val="22"/>
              </w:rPr>
            </w:pPr>
            <w:r>
              <w:rPr>
                <w:rFonts w:hint="eastAsia" w:ascii="仿宋" w:hAnsi="仿宋"/>
                <w:kern w:val="0"/>
                <w:sz w:val="22"/>
              </w:rPr>
              <w:t>以图表的形式显示当前事件统计时段内在全网显示当前热点事件的热度走势图，鼠标移入即可查看对应时间点的热度指数。</w:t>
            </w:r>
          </w:p>
        </w:tc>
      </w:tr>
      <w:tr w14:paraId="7276A028">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00F63B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1C8FBEC3">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3563143B">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社情民意内容同源事件分析-热点事件分析-全网关键词云</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75221BFC">
            <w:pPr>
              <w:widowControl/>
              <w:spacing w:line="240" w:lineRule="auto"/>
              <w:ind w:firstLine="0" w:firstLineChars="0"/>
              <w:rPr>
                <w:rFonts w:ascii="仿宋" w:hAnsi="仿宋"/>
                <w:kern w:val="0"/>
                <w:sz w:val="22"/>
              </w:rPr>
            </w:pPr>
            <w:r>
              <w:rPr>
                <w:rFonts w:ascii="仿宋" w:hAnsi="仿宋"/>
                <w:kern w:val="0"/>
                <w:sz w:val="22"/>
              </w:rPr>
              <w:t>获取全网和此事件相关的信息，进行文本解析将事件涉及的高频词依次进行呈现</w:t>
            </w:r>
            <w:r>
              <w:rPr>
                <w:rFonts w:hint="eastAsia" w:ascii="仿宋" w:hAnsi="仿宋"/>
                <w:kern w:val="0"/>
                <w:sz w:val="22"/>
              </w:rPr>
              <w:t>，鼠标移入词云，可查看对应词语出现的频次。</w:t>
            </w:r>
          </w:p>
        </w:tc>
      </w:tr>
      <w:tr w14:paraId="7BED9DE2">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7A768B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499DEBF">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567C7891">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社情民意内容分析-热点事件分析-全网信息量走势</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0E29715C">
            <w:pPr>
              <w:widowControl/>
              <w:spacing w:line="240" w:lineRule="auto"/>
              <w:ind w:firstLine="0" w:firstLineChars="0"/>
              <w:rPr>
                <w:rFonts w:ascii="仿宋" w:hAnsi="仿宋"/>
                <w:kern w:val="0"/>
                <w:sz w:val="22"/>
              </w:rPr>
            </w:pPr>
            <w:r>
              <w:rPr>
                <w:rFonts w:hint="eastAsia" w:ascii="仿宋" w:hAnsi="仿宋"/>
                <w:kern w:val="0"/>
                <w:sz w:val="22"/>
              </w:rPr>
              <w:t>以图表的形式显示当前事件统计时段内在全网显示当前热点事件的全网涉及此事件的信息走势图。</w:t>
            </w:r>
          </w:p>
        </w:tc>
      </w:tr>
      <w:tr w14:paraId="60A03AA4">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0B9844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7B2D7732">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44F9143">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社情民意内容分析-热点事件分析-媒体友好度&amp;信息属性占比</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0C363D3F">
            <w:pPr>
              <w:widowControl/>
              <w:spacing w:line="240" w:lineRule="auto"/>
              <w:ind w:firstLine="0" w:firstLineChars="0"/>
              <w:rPr>
                <w:rFonts w:ascii="仿宋" w:hAnsi="仿宋"/>
                <w:kern w:val="0"/>
                <w:sz w:val="22"/>
              </w:rPr>
            </w:pPr>
            <w:r>
              <w:rPr>
                <w:rFonts w:hint="eastAsia" w:ascii="仿宋" w:hAnsi="仿宋"/>
                <w:kern w:val="0"/>
                <w:sz w:val="22"/>
              </w:rPr>
              <w:t>媒体友好度显示不同的平台及媒体发布的涉及这个热点事件所有信息中，正面的信息的占比。信息属性占比则显示全网所有平台提及这个事件的信息中中性信息、正面信息、负面信息的占比量。</w:t>
            </w:r>
          </w:p>
        </w:tc>
      </w:tr>
      <w:tr w14:paraId="45C1A513">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528B11A">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3D6936AF">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55E481D7">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社情民意内容同源事件分析-专项事件分析-重大方针专项分析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12192A41">
            <w:pPr>
              <w:widowControl/>
              <w:spacing w:line="240" w:lineRule="auto"/>
              <w:ind w:firstLine="0" w:firstLineChars="0"/>
              <w:rPr>
                <w:rFonts w:ascii="仿宋" w:hAnsi="仿宋"/>
                <w:kern w:val="0"/>
                <w:sz w:val="22"/>
              </w:rPr>
            </w:pPr>
            <w:r>
              <w:rPr>
                <w:rFonts w:hint="eastAsia" w:ascii="仿宋" w:hAnsi="仿宋"/>
                <w:kern w:val="0"/>
                <w:sz w:val="22"/>
              </w:rPr>
              <w:t>支持针对上海市重大方针</w:t>
            </w:r>
            <w:r>
              <w:rPr>
                <w:rFonts w:hint="eastAsia" w:ascii="仿宋" w:hAnsi="仿宋"/>
                <w:kern w:val="0"/>
                <w:sz w:val="22"/>
                <w:lang w:eastAsia="zh-CN"/>
              </w:rPr>
              <w:t>YQ</w:t>
            </w:r>
            <w:r>
              <w:rPr>
                <w:rFonts w:hint="eastAsia" w:ascii="仿宋" w:hAnsi="仿宋"/>
                <w:kern w:val="0"/>
                <w:sz w:val="22"/>
              </w:rPr>
              <w:t>信息在公众互联网的传播分析与</w:t>
            </w:r>
            <w:r>
              <w:rPr>
                <w:rFonts w:ascii="仿宋" w:hAnsi="仿宋"/>
                <w:kern w:val="0"/>
                <w:sz w:val="22"/>
              </w:rPr>
              <w:t>12345数据进行融合分析，可统计全网各个维度信息，进行对应的数据分析，并且将分析结果进行可视化展示。包括：事件信息总量、事件走势图、全网热度指数趋势、发布数据分析、热门词云、数据来源分析、媒体发布占比、传播走势图、观点聚类9大版块。</w:t>
            </w:r>
          </w:p>
        </w:tc>
      </w:tr>
      <w:tr w14:paraId="4F56036F">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BAB1A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31312C7">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6181E067">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社情民意内容同源事件分析-专项事件分析-重点区域专项分析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2E4D9D17">
            <w:pPr>
              <w:widowControl/>
              <w:spacing w:line="240" w:lineRule="auto"/>
              <w:ind w:firstLine="0" w:firstLineChars="0"/>
              <w:rPr>
                <w:rFonts w:ascii="仿宋" w:hAnsi="仿宋"/>
                <w:kern w:val="0"/>
                <w:sz w:val="22"/>
              </w:rPr>
            </w:pPr>
            <w:r>
              <w:rPr>
                <w:rFonts w:hint="eastAsia" w:ascii="仿宋" w:hAnsi="仿宋"/>
                <w:kern w:val="0"/>
                <w:sz w:val="22"/>
              </w:rPr>
              <w:t>支持针对重点区域</w:t>
            </w:r>
            <w:r>
              <w:rPr>
                <w:rFonts w:hint="eastAsia" w:ascii="仿宋" w:hAnsi="仿宋"/>
                <w:kern w:val="0"/>
                <w:sz w:val="22"/>
                <w:lang w:eastAsia="zh-CN"/>
              </w:rPr>
              <w:t>YQ</w:t>
            </w:r>
            <w:r>
              <w:rPr>
                <w:rFonts w:hint="eastAsia" w:ascii="仿宋" w:hAnsi="仿宋"/>
                <w:kern w:val="0"/>
                <w:sz w:val="22"/>
              </w:rPr>
              <w:t>信息在公众互联网的传播分析与</w:t>
            </w:r>
            <w:r>
              <w:rPr>
                <w:rFonts w:ascii="仿宋" w:hAnsi="仿宋"/>
                <w:kern w:val="0"/>
                <w:sz w:val="22"/>
              </w:rPr>
              <w:t>12345数据进行融合分析，其可统计全网各个维度信息，进行对应的数据分析，并且将分析结果进行可视化展示。包括：事件信息总量、事件走势图、全网热度指数趋势、发布数据分析、热门词云、数据来源分析、媒体发布占比、传播走势图、观点聚类9大版块。</w:t>
            </w:r>
          </w:p>
        </w:tc>
      </w:tr>
      <w:tr w14:paraId="4C39BE6C">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C2EC13D">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6F56F907">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046861D6">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社情民意内容同源事件分析-专项事件分析-重大活动专项分析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389A8F87">
            <w:pPr>
              <w:widowControl/>
              <w:spacing w:line="240" w:lineRule="auto"/>
              <w:ind w:firstLine="0" w:firstLineChars="0"/>
              <w:rPr>
                <w:rFonts w:ascii="仿宋" w:hAnsi="仿宋"/>
                <w:kern w:val="0"/>
                <w:sz w:val="22"/>
              </w:rPr>
            </w:pPr>
            <w:r>
              <w:rPr>
                <w:rFonts w:hint="eastAsia" w:ascii="仿宋" w:hAnsi="仿宋"/>
                <w:kern w:val="0"/>
                <w:sz w:val="22"/>
              </w:rPr>
              <w:t>支持针对重大活动信息在公众互联网的传播分析与</w:t>
            </w:r>
            <w:r>
              <w:rPr>
                <w:rFonts w:ascii="仿宋" w:hAnsi="仿宋"/>
                <w:kern w:val="0"/>
                <w:sz w:val="22"/>
              </w:rPr>
              <w:t>12345数据进行融合分析，可统计全网各个维度信息，进行对应的数据分析，并且将分析结果进行可视化展示。包括：事件信息总量、事件走势图、全网热度指数趋势、全国发布数据分析、热门词云、数据来源分析、媒体发布占比、传播走势图、观点聚类9大版块。</w:t>
            </w:r>
          </w:p>
        </w:tc>
      </w:tr>
      <w:tr w14:paraId="05405534">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C9B15C8">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6E385232">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4CD48E11">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社情民意内容同源事件分析-多模态事件查询-文本查询</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5D5D73E1">
            <w:pPr>
              <w:widowControl/>
              <w:spacing w:line="240" w:lineRule="auto"/>
              <w:ind w:firstLine="0" w:firstLineChars="0"/>
              <w:rPr>
                <w:rFonts w:ascii="仿宋" w:hAnsi="仿宋"/>
                <w:kern w:val="0"/>
                <w:sz w:val="22"/>
              </w:rPr>
            </w:pPr>
            <w:r>
              <w:rPr>
                <w:rFonts w:hint="eastAsia" w:ascii="仿宋" w:hAnsi="仿宋"/>
                <w:kern w:val="0"/>
                <w:sz w:val="22"/>
              </w:rPr>
              <w:t>用户输入关键词、语句描述等文本信息，系统在多模态数据的文本特征空间中进行检索，并关联匹配其他模态数据。</w:t>
            </w:r>
          </w:p>
        </w:tc>
      </w:tr>
      <w:tr w14:paraId="35272349">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E8DADB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38F363EA">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543DD493">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社情民意内容同源事件分析-多模态事件查询-图像查询</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504C98E">
            <w:pPr>
              <w:widowControl/>
              <w:spacing w:line="240" w:lineRule="auto"/>
              <w:ind w:firstLine="0" w:firstLineChars="0"/>
              <w:rPr>
                <w:rFonts w:ascii="仿宋" w:hAnsi="仿宋"/>
                <w:kern w:val="0"/>
                <w:sz w:val="22"/>
              </w:rPr>
            </w:pPr>
            <w:r>
              <w:rPr>
                <w:rFonts w:hint="eastAsia" w:ascii="仿宋" w:hAnsi="仿宋"/>
                <w:kern w:val="0"/>
                <w:sz w:val="22"/>
              </w:rPr>
              <w:t>用户上传图像或选择系统内图像，系统提取图像特征，在多模态数据中查找与之相似或相关的事件，返回包含该图像及相关文本、音频、视频的事件结果。</w:t>
            </w:r>
          </w:p>
        </w:tc>
      </w:tr>
      <w:tr w14:paraId="7E8A2585">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52502E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6DD43C95">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16597AB1">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社情民意内容同源事件分析-多模态事件查询-音频查询</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270F858F">
            <w:pPr>
              <w:widowControl/>
              <w:spacing w:line="240" w:lineRule="auto"/>
              <w:ind w:firstLine="0" w:firstLineChars="0"/>
              <w:rPr>
                <w:rFonts w:ascii="仿宋" w:hAnsi="仿宋"/>
                <w:kern w:val="0"/>
                <w:sz w:val="22"/>
              </w:rPr>
            </w:pPr>
            <w:r>
              <w:rPr>
                <w:rFonts w:hint="eastAsia" w:ascii="仿宋" w:hAnsi="仿宋"/>
                <w:kern w:val="0"/>
                <w:sz w:val="22"/>
              </w:rPr>
              <w:t>用户上传或选择音频文件，系统提取音频特征，匹配多模态数据中具有相似声学特征或语义内容的事件，展示相关联的其他模态信息。</w:t>
            </w:r>
          </w:p>
        </w:tc>
      </w:tr>
      <w:tr w14:paraId="058266DE">
        <w:tblPrEx>
          <w:tblCellMar>
            <w:top w:w="0" w:type="dxa"/>
            <w:left w:w="108" w:type="dxa"/>
            <w:bottom w:w="0" w:type="dxa"/>
            <w:right w:w="108" w:type="dxa"/>
          </w:tblCellMar>
        </w:tblPrEx>
        <w:trPr>
          <w:trHeight w:val="100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AC6637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007E2285">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2092FA62">
            <w:pPr>
              <w:widowControl/>
              <w:spacing w:line="240" w:lineRule="auto"/>
              <w:ind w:firstLine="0" w:firstLineChars="0"/>
              <w:jc w:val="center"/>
              <w:rPr>
                <w:rFonts w:ascii="仿宋" w:hAnsi="仿宋"/>
                <w:color w:val="000000" w:themeColor="text1"/>
                <w:kern w:val="0"/>
                <w:sz w:val="22"/>
              </w:rPr>
            </w:pPr>
            <w:r>
              <w:rPr>
                <w:rFonts w:hint="eastAsia" w:ascii="仿宋" w:hAnsi="仿宋"/>
                <w:color w:val="000000" w:themeColor="text1"/>
                <w:kern w:val="0"/>
                <w:sz w:val="22"/>
              </w:rPr>
              <w:t>社情民意内容同源事件分析-多模态事件查询-视频查询</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A37EF05">
            <w:pPr>
              <w:widowControl/>
              <w:spacing w:line="240" w:lineRule="auto"/>
              <w:ind w:firstLine="0" w:firstLineChars="0"/>
              <w:rPr>
                <w:rFonts w:ascii="仿宋" w:hAnsi="仿宋"/>
                <w:kern w:val="0"/>
                <w:sz w:val="22"/>
              </w:rPr>
            </w:pPr>
            <w:r>
              <w:rPr>
                <w:rFonts w:hint="eastAsia" w:ascii="仿宋" w:hAnsi="仿宋"/>
                <w:kern w:val="0"/>
                <w:sz w:val="22"/>
              </w:rPr>
              <w:t>用户输入视频片段，系统提取视频关键帧、动作特征等，在多模态数据中搜索相关事件，整合展示该事件的多模态信息。如输入一段道路交通事故视频，系统会返回事故现场照片、以及相关新闻报道文本。</w:t>
            </w:r>
          </w:p>
        </w:tc>
      </w:tr>
      <w:tr w14:paraId="0C51FE50">
        <w:tblPrEx>
          <w:tblCellMar>
            <w:top w:w="0" w:type="dxa"/>
            <w:left w:w="108" w:type="dxa"/>
            <w:bottom w:w="0" w:type="dxa"/>
            <w:right w:w="108" w:type="dxa"/>
          </w:tblCellMar>
        </w:tblPrEx>
        <w:trPr>
          <w:trHeight w:val="945"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7AB9AD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2EA046FA">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578A4709">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社情民意内容同源事件分析-事件溯源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538F7F56">
            <w:pPr>
              <w:widowControl/>
              <w:spacing w:line="240" w:lineRule="auto"/>
              <w:ind w:firstLine="0" w:firstLineChars="0"/>
              <w:rPr>
                <w:rFonts w:ascii="仿宋" w:hAnsi="仿宋"/>
                <w:kern w:val="0"/>
                <w:sz w:val="22"/>
              </w:rPr>
            </w:pPr>
            <w:r>
              <w:rPr>
                <w:rFonts w:ascii="仿宋" w:hAnsi="仿宋"/>
                <w:kern w:val="0"/>
                <w:sz w:val="22"/>
              </w:rPr>
              <w:t>提供</w:t>
            </w:r>
            <w:r>
              <w:rPr>
                <w:rFonts w:ascii="仿宋" w:hAnsi="仿宋"/>
                <w:color w:val="000000" w:themeColor="text1"/>
                <w:kern w:val="0"/>
                <w:sz w:val="22"/>
              </w:rPr>
              <w:t>多模态事件查询功能，</w:t>
            </w:r>
            <w:r>
              <w:rPr>
                <w:rFonts w:ascii="仿宋" w:hAnsi="仿宋"/>
                <w:kern w:val="0"/>
                <w:sz w:val="22"/>
              </w:rPr>
              <w:t>需包括传播路径溯源和事件演变分析。1、传播路径溯源有（1）网络传播分析。</w:t>
            </w:r>
            <w:r>
              <w:rPr>
                <w:rFonts w:hint="eastAsia" w:ascii="仿宋" w:hAnsi="仿宋"/>
                <w:kern w:val="0"/>
                <w:sz w:val="22"/>
              </w:rPr>
              <w:t>（</w:t>
            </w:r>
            <w:r>
              <w:rPr>
                <w:rFonts w:ascii="仿宋" w:hAnsi="仿宋"/>
                <w:kern w:val="0"/>
                <w:sz w:val="22"/>
              </w:rPr>
              <w:t>2）现实传播追踪</w:t>
            </w:r>
            <w:r>
              <w:rPr>
                <w:rFonts w:hint="eastAsia" w:ascii="仿宋" w:hAnsi="仿宋"/>
                <w:kern w:val="0"/>
                <w:sz w:val="22"/>
              </w:rPr>
              <w:t>。（</w:t>
            </w:r>
            <w:r>
              <w:rPr>
                <w:rFonts w:ascii="仿宋" w:hAnsi="仿宋"/>
                <w:kern w:val="0"/>
                <w:sz w:val="22"/>
              </w:rPr>
              <w:t>3）全链路整合。2、事件演变分析有（1）时间序列分析</w:t>
            </w:r>
            <w:r>
              <w:rPr>
                <w:rFonts w:hint="eastAsia" w:ascii="仿宋" w:hAnsi="仿宋"/>
                <w:kern w:val="0"/>
                <w:sz w:val="22"/>
              </w:rPr>
              <w:t>。</w:t>
            </w:r>
            <w:r>
              <w:rPr>
                <w:rFonts w:hint="eastAsia" w:ascii="MS Mincho" w:hAnsi="MS Mincho" w:eastAsia="MS Mincho" w:cs="MS Mincho"/>
                <w:kern w:val="0"/>
                <w:sz w:val="22"/>
              </w:rPr>
              <w:t>​</w:t>
            </w:r>
            <w:r>
              <w:rPr>
                <w:rFonts w:hint="eastAsia" w:cs="宋体"/>
                <w:kern w:val="0"/>
                <w:sz w:val="22"/>
              </w:rPr>
              <w:t>（</w:t>
            </w:r>
            <w:r>
              <w:rPr>
                <w:rFonts w:ascii="仿宋" w:hAnsi="仿宋"/>
                <w:kern w:val="0"/>
                <w:sz w:val="22"/>
              </w:rPr>
              <w:t>2）趋势预测。</w:t>
            </w:r>
          </w:p>
        </w:tc>
      </w:tr>
      <w:tr w14:paraId="6D268147">
        <w:tblPrEx>
          <w:tblCellMar>
            <w:top w:w="0" w:type="dxa"/>
            <w:left w:w="108" w:type="dxa"/>
            <w:bottom w:w="0" w:type="dxa"/>
            <w:right w:w="108" w:type="dxa"/>
          </w:tblCellMar>
        </w:tblPrEx>
        <w:trPr>
          <w:trHeight w:val="955"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A765CB1">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7B9BAB11">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9CD0DB5">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社情民意内容同源事件分析-风险分析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14BF5894">
            <w:pPr>
              <w:widowControl/>
              <w:spacing w:line="240" w:lineRule="auto"/>
              <w:ind w:firstLine="0" w:firstLineChars="0"/>
              <w:rPr>
                <w:rFonts w:ascii="仿宋" w:hAnsi="仿宋"/>
                <w:kern w:val="0"/>
                <w:sz w:val="22"/>
              </w:rPr>
            </w:pPr>
            <w:r>
              <w:rPr>
                <w:rFonts w:hint="eastAsia" w:ascii="仿宋" w:hAnsi="仿宋"/>
                <w:color w:val="000000" w:themeColor="text1"/>
                <w:kern w:val="0"/>
                <w:sz w:val="22"/>
                <w:lang w:eastAsia="zh-CN"/>
              </w:rPr>
              <w:t>YQ</w:t>
            </w:r>
            <w:r>
              <w:rPr>
                <w:rFonts w:hint="eastAsia" w:ascii="仿宋" w:hAnsi="仿宋"/>
                <w:color w:val="000000" w:themeColor="text1"/>
                <w:kern w:val="0"/>
                <w:sz w:val="22"/>
              </w:rPr>
              <w:t>风险分析功能通过</w:t>
            </w:r>
            <w:r>
              <w:rPr>
                <w:rFonts w:ascii="仿宋" w:hAnsi="仿宋"/>
                <w:color w:val="000000" w:themeColor="text1"/>
                <w:kern w:val="0"/>
                <w:sz w:val="22"/>
              </w:rPr>
              <w:t>实时采集多类型</w:t>
            </w:r>
            <w:r>
              <w:rPr>
                <w:rFonts w:hint="eastAsia" w:ascii="仿宋" w:hAnsi="仿宋"/>
                <w:color w:val="000000" w:themeColor="text1"/>
                <w:kern w:val="0"/>
                <w:sz w:val="22"/>
                <w:lang w:eastAsia="zh-CN"/>
              </w:rPr>
              <w:t>YQ</w:t>
            </w:r>
            <w:r>
              <w:rPr>
                <w:rFonts w:ascii="仿宋" w:hAnsi="仿宋"/>
                <w:color w:val="000000" w:themeColor="text1"/>
                <w:kern w:val="0"/>
                <w:sz w:val="22"/>
              </w:rPr>
              <w:t>信息，将各项指标量化，以具体的指数形式呈现。</w:t>
            </w:r>
          </w:p>
        </w:tc>
      </w:tr>
      <w:tr w14:paraId="3721E679">
        <w:tblPrEx>
          <w:tblCellMar>
            <w:top w:w="0" w:type="dxa"/>
            <w:left w:w="108" w:type="dxa"/>
            <w:bottom w:w="0" w:type="dxa"/>
            <w:right w:w="108" w:type="dxa"/>
          </w:tblCellMar>
        </w:tblPrEx>
        <w:trPr>
          <w:trHeight w:val="14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2E670E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78B621EB">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60AA9B56">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社情民意传播分析-社情民意事件概览</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24614B1">
            <w:pPr>
              <w:widowControl/>
              <w:spacing w:line="240" w:lineRule="auto"/>
              <w:ind w:firstLine="0" w:firstLineChars="0"/>
              <w:rPr>
                <w:rFonts w:ascii="仿宋" w:hAnsi="仿宋"/>
                <w:kern w:val="0"/>
                <w:sz w:val="22"/>
              </w:rPr>
            </w:pPr>
            <w:r>
              <w:rPr>
                <w:rFonts w:hint="eastAsia" w:ascii="仿宋" w:hAnsi="仿宋"/>
                <w:kern w:val="0"/>
                <w:sz w:val="22"/>
              </w:rPr>
              <w:t>梳理事件发生的关键要素，快速构建事件全貌。将零散分布在各渠道的信息进行聚合，展示事件核心内容。通过关键信息链接，跳转查看详细内容，实现灵活切换。</w:t>
            </w:r>
          </w:p>
        </w:tc>
      </w:tr>
      <w:tr w14:paraId="2A21E84B">
        <w:tblPrEx>
          <w:tblCellMar>
            <w:top w:w="0" w:type="dxa"/>
            <w:left w:w="108" w:type="dxa"/>
            <w:bottom w:w="0" w:type="dxa"/>
            <w:right w:w="108" w:type="dxa"/>
          </w:tblCellMar>
        </w:tblPrEx>
        <w:trPr>
          <w:trHeight w:val="14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2B5037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618BD001">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18B616E0">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社情民意传播分析-社情民意事件传播走势</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02E7500">
            <w:pPr>
              <w:widowControl/>
              <w:spacing w:line="240" w:lineRule="auto"/>
              <w:ind w:firstLine="0" w:firstLineChars="0"/>
              <w:rPr>
                <w:rFonts w:ascii="仿宋" w:hAnsi="仿宋"/>
                <w:kern w:val="0"/>
                <w:sz w:val="22"/>
              </w:rPr>
            </w:pPr>
            <w:r>
              <w:rPr>
                <w:rFonts w:hint="eastAsia" w:ascii="仿宋" w:hAnsi="仿宋"/>
                <w:kern w:val="0"/>
                <w:sz w:val="22"/>
              </w:rPr>
              <w:t>实时监测事件信息在各媒体渠道的传播轨迹，分析传播节点、传播速度、传播范围等维度数据，绘制动态传播路径图。预测事件未来传播趋势</w:t>
            </w:r>
            <w:r>
              <w:rPr>
                <w:rFonts w:ascii="仿宋" w:hAnsi="仿宋"/>
                <w:kern w:val="0"/>
                <w:sz w:val="22"/>
              </w:rPr>
              <w:t>。</w:t>
            </w:r>
          </w:p>
        </w:tc>
      </w:tr>
      <w:tr w14:paraId="2D266EEC">
        <w:tblPrEx>
          <w:tblCellMar>
            <w:top w:w="0" w:type="dxa"/>
            <w:left w:w="108" w:type="dxa"/>
            <w:bottom w:w="0" w:type="dxa"/>
            <w:right w:w="108" w:type="dxa"/>
          </w:tblCellMar>
        </w:tblPrEx>
        <w:trPr>
          <w:trHeight w:val="1372"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B0BFC6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78EAC3AD">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049DA95C">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社情民意传播分析-社情民意事件媒体动态</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2C39B124">
            <w:pPr>
              <w:widowControl/>
              <w:spacing w:line="240" w:lineRule="auto"/>
              <w:ind w:firstLine="0" w:firstLineChars="0"/>
              <w:rPr>
                <w:rFonts w:ascii="仿宋" w:hAnsi="仿宋"/>
                <w:kern w:val="0"/>
                <w:sz w:val="22"/>
              </w:rPr>
            </w:pPr>
            <w:r>
              <w:rPr>
                <w:rFonts w:ascii="仿宋" w:hAnsi="仿宋"/>
                <w:kern w:val="0"/>
                <w:sz w:val="22"/>
              </w:rPr>
              <w:t>统计全媒矩阵传播数据，评估各平台传播贡献度；对比分析媒体报道内容、角度及发布时间，解构传播策略与</w:t>
            </w:r>
            <w:r>
              <w:rPr>
                <w:rFonts w:hint="eastAsia" w:ascii="仿宋" w:hAnsi="仿宋"/>
                <w:kern w:val="0"/>
                <w:sz w:val="22"/>
                <w:lang w:eastAsia="zh-CN"/>
              </w:rPr>
              <w:t>YL</w:t>
            </w:r>
            <w:r>
              <w:rPr>
                <w:rFonts w:ascii="仿宋" w:hAnsi="仿宋"/>
                <w:kern w:val="0"/>
                <w:sz w:val="22"/>
              </w:rPr>
              <w:t>导向。</w:t>
            </w:r>
          </w:p>
        </w:tc>
      </w:tr>
      <w:tr w14:paraId="09993630">
        <w:tblPrEx>
          <w:tblCellMar>
            <w:top w:w="0" w:type="dxa"/>
            <w:left w:w="108" w:type="dxa"/>
            <w:bottom w:w="0" w:type="dxa"/>
            <w:right w:w="108" w:type="dxa"/>
          </w:tblCellMar>
        </w:tblPrEx>
        <w:trPr>
          <w:trHeight w:val="138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1E59A8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273495E1">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3205F530">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社情民意传播分析-社情民意事件数据透视</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CBBE668">
            <w:pPr>
              <w:widowControl/>
              <w:spacing w:line="240" w:lineRule="auto"/>
              <w:ind w:firstLine="0" w:firstLineChars="0"/>
              <w:rPr>
                <w:rFonts w:ascii="仿宋" w:hAnsi="仿宋"/>
                <w:kern w:val="0"/>
                <w:sz w:val="22"/>
              </w:rPr>
            </w:pPr>
            <w:r>
              <w:rPr>
                <w:rFonts w:ascii="仿宋" w:hAnsi="仿宋"/>
                <w:kern w:val="0"/>
                <w:sz w:val="22"/>
              </w:rPr>
              <w:t>对事件进行多维度数据开展交叉分析，穿透呈现关键指标变化趋势与内在关联。</w:t>
            </w:r>
            <w:r>
              <w:rPr>
                <w:rFonts w:hint="eastAsia" w:ascii="仿宋" w:hAnsi="仿宋"/>
                <w:kern w:val="0"/>
                <w:sz w:val="22"/>
              </w:rPr>
              <w:t>以可视化图表、数据看板等形式直观呈现分析结果。</w:t>
            </w:r>
          </w:p>
        </w:tc>
      </w:tr>
      <w:tr w14:paraId="76BB87F3">
        <w:tblPrEx>
          <w:tblCellMar>
            <w:top w:w="0" w:type="dxa"/>
            <w:left w:w="108" w:type="dxa"/>
            <w:bottom w:w="0" w:type="dxa"/>
            <w:right w:w="108" w:type="dxa"/>
          </w:tblCellMar>
        </w:tblPrEx>
        <w:trPr>
          <w:trHeight w:val="143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AEEB430">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AB34564">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0B9CFB2B">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社情民意传播分析-社情民意事件文本分析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4D142A7C">
            <w:pPr>
              <w:widowControl/>
              <w:spacing w:line="240" w:lineRule="auto"/>
              <w:ind w:firstLine="0" w:firstLineChars="0"/>
              <w:rPr>
                <w:rFonts w:ascii="仿宋" w:hAnsi="仿宋"/>
                <w:kern w:val="0"/>
                <w:sz w:val="22"/>
              </w:rPr>
            </w:pPr>
            <w:r>
              <w:rPr>
                <w:rFonts w:ascii="仿宋" w:hAnsi="仿宋"/>
                <w:kern w:val="0"/>
                <w:sz w:val="22"/>
              </w:rPr>
              <w:t>对新闻报道等文本数据进行语义解析，提取关键词与关键语句，拆解文本结构及语义逻辑，判断文本内容的情感倾向。</w:t>
            </w:r>
          </w:p>
        </w:tc>
      </w:tr>
      <w:tr w14:paraId="6242DCB0">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7AAC09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19CEA8E8">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1D536F5">
            <w:pPr>
              <w:widowControl/>
              <w:spacing w:line="240" w:lineRule="auto"/>
              <w:ind w:firstLine="0" w:firstLineChars="0"/>
              <w:jc w:val="center"/>
              <w:rPr>
                <w:rFonts w:ascii="仿宋" w:hAnsi="仿宋"/>
                <w:kern w:val="0"/>
                <w:sz w:val="22"/>
              </w:rPr>
            </w:pPr>
            <w:r>
              <w:rPr>
                <w:rFonts w:hint="eastAsia" w:ascii="仿宋" w:hAnsi="仿宋"/>
                <w:kern w:val="0"/>
                <w:sz w:val="22"/>
              </w:rPr>
              <w:t>社情民意传播分析-社情民意事件总结</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1A2002D4">
            <w:pPr>
              <w:widowControl/>
              <w:spacing w:line="240" w:lineRule="auto"/>
              <w:ind w:firstLine="0" w:firstLineChars="0"/>
              <w:rPr>
                <w:rFonts w:ascii="仿宋" w:hAnsi="仿宋"/>
                <w:kern w:val="0"/>
                <w:sz w:val="22"/>
              </w:rPr>
            </w:pPr>
            <w:r>
              <w:rPr>
                <w:rFonts w:ascii="仿宋" w:hAnsi="仿宋"/>
                <w:kern w:val="0"/>
                <w:sz w:val="22"/>
              </w:rPr>
              <w:t>整合社情民意传播分析其他模块的分析结果，从宏微观层面梳理</w:t>
            </w:r>
            <w:r>
              <w:rPr>
                <w:rFonts w:hint="eastAsia" w:ascii="仿宋" w:hAnsi="仿宋"/>
                <w:kern w:val="0"/>
                <w:sz w:val="22"/>
                <w:lang w:eastAsia="zh-CN"/>
              </w:rPr>
              <w:t>YQ</w:t>
            </w:r>
            <w:r>
              <w:rPr>
                <w:rFonts w:ascii="仿宋" w:hAnsi="仿宋"/>
                <w:kern w:val="0"/>
                <w:sz w:val="22"/>
              </w:rPr>
              <w:t>全流程；总结事件关键节点、</w:t>
            </w:r>
            <w:r>
              <w:rPr>
                <w:rFonts w:hint="eastAsia" w:ascii="仿宋" w:hAnsi="仿宋"/>
                <w:kern w:val="0"/>
                <w:sz w:val="22"/>
                <w:lang w:eastAsia="zh-CN"/>
              </w:rPr>
              <w:t>YL</w:t>
            </w:r>
            <w:r>
              <w:rPr>
                <w:rFonts w:ascii="仿宋" w:hAnsi="仿宋"/>
                <w:kern w:val="0"/>
                <w:sz w:val="22"/>
              </w:rPr>
              <w:t>焦点及应对效果，提炼含应对经验、风险防范方向、公众需求重点等具有战略指导意义的结论与建议，为后续</w:t>
            </w:r>
            <w:r>
              <w:rPr>
                <w:rFonts w:hint="eastAsia" w:ascii="仿宋" w:hAnsi="仿宋"/>
                <w:kern w:val="0"/>
                <w:sz w:val="22"/>
                <w:lang w:eastAsia="zh-CN"/>
              </w:rPr>
              <w:t>YQ</w:t>
            </w:r>
            <w:r>
              <w:rPr>
                <w:rFonts w:ascii="仿宋" w:hAnsi="仿宋"/>
                <w:kern w:val="0"/>
                <w:sz w:val="22"/>
              </w:rPr>
              <w:t>管理和决策提供系统性的参考依据。</w:t>
            </w:r>
          </w:p>
        </w:tc>
      </w:tr>
      <w:tr w14:paraId="63B4C27F">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EF87AC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4C3CE515">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90C3797">
            <w:pPr>
              <w:widowControl/>
              <w:spacing w:line="240" w:lineRule="auto"/>
              <w:ind w:firstLine="0" w:firstLineChars="0"/>
              <w:jc w:val="center"/>
              <w:rPr>
                <w:rFonts w:ascii="仿宋" w:hAnsi="仿宋"/>
                <w:kern w:val="0"/>
                <w:sz w:val="22"/>
              </w:rPr>
            </w:pPr>
            <w:r>
              <w:rPr>
                <w:rFonts w:hint="eastAsia" w:ascii="仿宋" w:hAnsi="仿宋"/>
                <w:kern w:val="0"/>
                <w:sz w:val="22"/>
                <w:lang w:eastAsia="zh-CN"/>
              </w:rPr>
              <w:t>YQ</w:t>
            </w:r>
            <w:r>
              <w:rPr>
                <w:rFonts w:hint="eastAsia" w:ascii="仿宋" w:hAnsi="仿宋"/>
                <w:kern w:val="0"/>
                <w:sz w:val="22"/>
              </w:rPr>
              <w:t>智能预警-预警等级管理</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C6B967D">
            <w:pPr>
              <w:widowControl/>
              <w:spacing w:line="240" w:lineRule="auto"/>
              <w:ind w:firstLine="0" w:firstLineChars="0"/>
              <w:rPr>
                <w:rFonts w:ascii="仿宋" w:hAnsi="仿宋"/>
                <w:kern w:val="0"/>
                <w:sz w:val="22"/>
              </w:rPr>
            </w:pPr>
            <w:r>
              <w:rPr>
                <w:rFonts w:hint="eastAsia" w:ascii="仿宋" w:hAnsi="仿宋"/>
                <w:kern w:val="0"/>
                <w:sz w:val="22"/>
              </w:rPr>
              <w:t>依据事件传播范围、公众情绪强度、诉求紧急程度、问题处理难度等融合指标，</w:t>
            </w:r>
            <w:r>
              <w:rPr>
                <w:rFonts w:ascii="仿宋" w:hAnsi="仿宋"/>
                <w:kern w:val="0"/>
                <w:sz w:val="22"/>
              </w:rPr>
              <w:t>科学划分预警等级，</w:t>
            </w:r>
            <w:r>
              <w:rPr>
                <w:rFonts w:hint="eastAsia" w:ascii="仿宋" w:hAnsi="仿宋"/>
                <w:kern w:val="0"/>
                <w:sz w:val="22"/>
              </w:rPr>
              <w:t>并通过动态监测数据变化，实时调整预警级别。</w:t>
            </w:r>
          </w:p>
        </w:tc>
      </w:tr>
      <w:tr w14:paraId="1F1BDCCA">
        <w:tblPrEx>
          <w:tblCellMar>
            <w:top w:w="0" w:type="dxa"/>
            <w:left w:w="108" w:type="dxa"/>
            <w:bottom w:w="0" w:type="dxa"/>
            <w:right w:w="108" w:type="dxa"/>
          </w:tblCellMar>
        </w:tblPrEx>
        <w:trPr>
          <w:trHeight w:val="1191"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EE8CB8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54F95A12">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75443571">
            <w:pPr>
              <w:widowControl/>
              <w:spacing w:line="240" w:lineRule="auto"/>
              <w:ind w:firstLine="0" w:firstLineChars="0"/>
              <w:jc w:val="center"/>
              <w:rPr>
                <w:rFonts w:ascii="仿宋" w:hAnsi="仿宋"/>
                <w:kern w:val="0"/>
                <w:sz w:val="22"/>
              </w:rPr>
            </w:pPr>
            <w:r>
              <w:rPr>
                <w:rFonts w:hint="eastAsia" w:ascii="仿宋" w:hAnsi="仿宋"/>
                <w:kern w:val="0"/>
                <w:sz w:val="22"/>
                <w:lang w:eastAsia="zh-CN"/>
              </w:rPr>
              <w:t>YQ</w:t>
            </w:r>
            <w:r>
              <w:rPr>
                <w:rFonts w:hint="eastAsia" w:ascii="仿宋" w:hAnsi="仿宋"/>
                <w:kern w:val="0"/>
                <w:sz w:val="22"/>
              </w:rPr>
              <w:t>智能预警-智能风险预警</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3FE5347B">
            <w:pPr>
              <w:widowControl/>
              <w:spacing w:line="240" w:lineRule="auto"/>
              <w:ind w:firstLine="0" w:firstLineChars="0"/>
              <w:rPr>
                <w:rFonts w:ascii="仿宋" w:hAnsi="仿宋"/>
                <w:kern w:val="0"/>
                <w:sz w:val="22"/>
              </w:rPr>
            </w:pPr>
            <w:r>
              <w:rPr>
                <w:rFonts w:ascii="仿宋" w:hAnsi="仿宋"/>
                <w:kern w:val="0"/>
                <w:sz w:val="22"/>
              </w:rPr>
              <w:t>通过实时监测多源数据，</w:t>
            </w:r>
            <w:r>
              <w:rPr>
                <w:rFonts w:hint="eastAsia" w:ascii="仿宋" w:hAnsi="仿宋"/>
                <w:kern w:val="0"/>
                <w:sz w:val="22"/>
              </w:rPr>
              <w:t>结合机器学习、自然语言处理等人工智能技术，自动识别社情民意中的潜在风险，按照预设预警等级规则及时发出警报，并提供风险分析与处置建议。</w:t>
            </w:r>
          </w:p>
        </w:tc>
      </w:tr>
      <w:tr w14:paraId="0A02B9E8">
        <w:tblPrEx>
          <w:tblCellMar>
            <w:top w:w="0" w:type="dxa"/>
            <w:left w:w="108" w:type="dxa"/>
            <w:bottom w:w="0" w:type="dxa"/>
            <w:right w:w="108" w:type="dxa"/>
          </w:tblCellMar>
        </w:tblPrEx>
        <w:trPr>
          <w:trHeight w:val="919"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B4D6752">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vAlign w:val="center"/>
          </w:tcPr>
          <w:p w14:paraId="591439CA">
            <w:pPr>
              <w:widowControl/>
              <w:spacing w:line="240" w:lineRule="auto"/>
              <w:ind w:firstLine="0" w:firstLineChars="0"/>
              <w:jc w:val="center"/>
              <w:rPr>
                <w:rFonts w:ascii="仿宋" w:hAnsi="仿宋"/>
                <w:kern w:val="0"/>
                <w:sz w:val="22"/>
              </w:rPr>
            </w:pPr>
            <w:r>
              <w:rPr>
                <w:rFonts w:hint="eastAsia" w:ascii="仿宋" w:hAnsi="仿宋"/>
                <w:color w:val="000000" w:themeColor="text1"/>
                <w:kern w:val="0"/>
                <w:sz w:val="22"/>
              </w:rPr>
              <w:t>跨平台社情民意分析</w:t>
            </w:r>
          </w:p>
        </w:tc>
        <w:tc>
          <w:tcPr>
            <w:tcW w:w="1096" w:type="pct"/>
            <w:tcBorders>
              <w:top w:val="single" w:color="auto" w:sz="4" w:space="0"/>
              <w:left w:val="nil"/>
              <w:bottom w:val="single" w:color="auto" w:sz="4" w:space="0"/>
              <w:right w:val="single" w:color="auto" w:sz="4" w:space="0"/>
            </w:tcBorders>
            <w:vAlign w:val="center"/>
          </w:tcPr>
          <w:p w14:paraId="61D5A2DE">
            <w:pPr>
              <w:widowControl/>
              <w:spacing w:line="240" w:lineRule="auto"/>
              <w:ind w:firstLine="0" w:firstLineChars="0"/>
              <w:jc w:val="center"/>
              <w:rPr>
                <w:rFonts w:ascii="仿宋" w:hAnsi="仿宋"/>
                <w:kern w:val="0"/>
                <w:sz w:val="22"/>
              </w:rPr>
            </w:pPr>
            <w:r>
              <w:rPr>
                <w:rFonts w:hint="eastAsia" w:ascii="仿宋" w:hAnsi="仿宋"/>
                <w:kern w:val="0"/>
                <w:sz w:val="22"/>
                <w:lang w:eastAsia="zh-CN"/>
              </w:rPr>
              <w:t>YQ</w:t>
            </w:r>
            <w:r>
              <w:rPr>
                <w:rFonts w:hint="eastAsia" w:ascii="仿宋" w:hAnsi="仿宋"/>
                <w:kern w:val="0"/>
                <w:sz w:val="22"/>
              </w:rPr>
              <w:t>智能预警-预警业务分析</w:t>
            </w:r>
          </w:p>
        </w:tc>
        <w:tc>
          <w:tcPr>
            <w:tcW w:w="2579" w:type="pct"/>
            <w:tcBorders>
              <w:top w:val="single" w:color="auto" w:sz="4" w:space="0"/>
              <w:left w:val="nil"/>
              <w:bottom w:val="single" w:color="auto" w:sz="4" w:space="0"/>
              <w:right w:val="single" w:color="auto" w:sz="4" w:space="0"/>
            </w:tcBorders>
            <w:shd w:val="clear" w:color="auto" w:fill="FFFFFF" w:themeFill="background1"/>
            <w:vAlign w:val="center"/>
          </w:tcPr>
          <w:p w14:paraId="6CD3BD25">
            <w:pPr>
              <w:widowControl/>
              <w:spacing w:line="240" w:lineRule="auto"/>
              <w:ind w:firstLine="0" w:firstLineChars="0"/>
              <w:rPr>
                <w:rFonts w:ascii="仿宋" w:hAnsi="仿宋"/>
                <w:kern w:val="0"/>
                <w:sz w:val="22"/>
              </w:rPr>
            </w:pPr>
            <w:r>
              <w:rPr>
                <w:rFonts w:hint="eastAsia" w:ascii="仿宋" w:hAnsi="仿宋"/>
                <w:kern w:val="0"/>
                <w:sz w:val="22"/>
              </w:rPr>
              <w:t>以城运跨平台社情民意分析系统中已触发的预警事件为核心对象，通过对预警数据的统计整合、原因溯源、处置效果评估及经验总结，挖掘预警业务中的潜在规律与优化空间。包括</w:t>
            </w:r>
            <w:r>
              <w:rPr>
                <w:rFonts w:hint="eastAsia" w:ascii="仿宋" w:hAnsi="仿宋"/>
                <w:kern w:val="0"/>
                <w:sz w:val="22"/>
                <w:lang w:eastAsia="zh-CN"/>
              </w:rPr>
              <w:t>YQ</w:t>
            </w:r>
            <w:r>
              <w:rPr>
                <w:rFonts w:hint="eastAsia" w:ascii="仿宋" w:hAnsi="仿宋"/>
                <w:kern w:val="0"/>
                <w:sz w:val="22"/>
              </w:rPr>
              <w:t>预警统计分析、处置效果评估。</w:t>
            </w:r>
          </w:p>
        </w:tc>
      </w:tr>
      <w:tr w14:paraId="53B2E2FA">
        <w:tblPrEx>
          <w:tblCellMar>
            <w:top w:w="0" w:type="dxa"/>
            <w:left w:w="108" w:type="dxa"/>
            <w:bottom w:w="0" w:type="dxa"/>
            <w:right w:w="108" w:type="dxa"/>
          </w:tblCellMar>
        </w:tblPrEx>
        <w:trPr>
          <w:trHeight w:val="17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0A01E3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2842065">
            <w:pPr>
              <w:widowControl/>
              <w:spacing w:line="240" w:lineRule="auto"/>
              <w:ind w:firstLine="0" w:firstLineChars="0"/>
              <w:jc w:val="center"/>
              <w:rPr>
                <w:rFonts w:ascii="Tahoma" w:hAnsi="Tahoma" w:cs="Tahoma"/>
                <w:color w:val="000000"/>
                <w:kern w:val="0"/>
                <w:sz w:val="22"/>
                <w:szCs w:val="22"/>
              </w:rPr>
            </w:pPr>
            <w:bookmarkStart w:id="19" w:name="OLE_LINK4"/>
            <w:bookmarkStart w:id="20" w:name="OLE_LINK3"/>
            <w:r>
              <w:rPr>
                <w:rFonts w:hint="eastAsia" w:ascii="仿宋" w:hAnsi="仿宋"/>
                <w:kern w:val="0"/>
                <w:sz w:val="22"/>
              </w:rPr>
              <w:t>报告管理服务模块</w:t>
            </w:r>
            <w:bookmarkEnd w:id="19"/>
            <w:bookmarkEnd w:id="20"/>
          </w:p>
        </w:tc>
        <w:tc>
          <w:tcPr>
            <w:tcW w:w="1096" w:type="pct"/>
            <w:tcBorders>
              <w:top w:val="single" w:color="auto" w:sz="4" w:space="0"/>
              <w:left w:val="nil"/>
              <w:bottom w:val="single" w:color="auto" w:sz="4" w:space="0"/>
              <w:right w:val="single" w:color="auto" w:sz="4" w:space="0"/>
            </w:tcBorders>
            <w:shd w:val="clear" w:color="auto" w:fill="FFFFFF"/>
            <w:vAlign w:val="center"/>
          </w:tcPr>
          <w:p w14:paraId="473A52E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报告模板编制</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7E98C58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基于上海市城市运行管理中心业务需求及特点，基于工作重点、业务需求等要素，梳理上海市级城市运行报告的指标体系，编制城市运行报告的模板。并需求进行修改调整。</w:t>
            </w:r>
          </w:p>
        </w:tc>
      </w:tr>
      <w:tr w14:paraId="2DA4AEA0">
        <w:tblPrEx>
          <w:tblCellMar>
            <w:top w:w="0" w:type="dxa"/>
            <w:left w:w="108" w:type="dxa"/>
            <w:bottom w:w="0" w:type="dxa"/>
            <w:right w:w="108" w:type="dxa"/>
          </w:tblCellMar>
        </w:tblPrEx>
        <w:trPr>
          <w:trHeight w:val="1391"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60A623A">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0A55D8C">
            <w:pPr>
              <w:widowControl/>
              <w:spacing w:line="240" w:lineRule="auto"/>
              <w:ind w:firstLine="0" w:firstLineChars="0"/>
              <w:jc w:val="center"/>
              <w:rPr>
                <w:rFonts w:ascii="Tahoma" w:hAnsi="Tahoma" w:cs="Tahoma"/>
                <w:color w:val="000000"/>
                <w:kern w:val="0"/>
                <w:sz w:val="22"/>
                <w:szCs w:val="22"/>
              </w:rPr>
            </w:pPr>
            <w:r>
              <w:rPr>
                <w:rFonts w:hint="eastAsia" w:ascii="仿宋" w:hAnsi="仿宋"/>
                <w:kern w:val="0"/>
                <w:sz w:val="22"/>
              </w:rPr>
              <w:t>报告管理服务模块</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39547D6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报告数据编排</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21AF41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系统根据报告的具体需求，按照报告指标的定义逻辑，将对应业务部门源数据进行数据筛选过滤、逻辑运算加工、聚合分组统计等加工方式处理行成对应的报告指标数据，并对部分报告指标做同比</w:t>
            </w:r>
            <w:r>
              <w:rPr>
                <w:rFonts w:ascii="Tahoma" w:hAnsi="Tahoma" w:cs="Tahoma"/>
                <w:color w:val="000000"/>
                <w:kern w:val="0"/>
                <w:sz w:val="22"/>
                <w:szCs w:val="22"/>
              </w:rPr>
              <w:t>/环比分析等多维度综合分析，生成报告中的可视化图表内容。</w:t>
            </w:r>
          </w:p>
        </w:tc>
      </w:tr>
      <w:tr w14:paraId="176F2997">
        <w:tblPrEx>
          <w:tblCellMar>
            <w:top w:w="0" w:type="dxa"/>
            <w:left w:w="108" w:type="dxa"/>
            <w:bottom w:w="0" w:type="dxa"/>
            <w:right w:w="108" w:type="dxa"/>
          </w:tblCellMar>
        </w:tblPrEx>
        <w:trPr>
          <w:trHeight w:val="1491"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256AD8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52349F48">
            <w:pPr>
              <w:widowControl/>
              <w:spacing w:line="240" w:lineRule="auto"/>
              <w:ind w:firstLine="0" w:firstLineChars="0"/>
              <w:jc w:val="center"/>
              <w:rPr>
                <w:rFonts w:ascii="Tahoma" w:hAnsi="Tahoma" w:cs="Tahoma"/>
                <w:color w:val="000000"/>
                <w:kern w:val="0"/>
                <w:sz w:val="22"/>
                <w:szCs w:val="22"/>
              </w:rPr>
            </w:pPr>
            <w:r>
              <w:rPr>
                <w:rFonts w:hint="eastAsia" w:ascii="仿宋" w:hAnsi="仿宋"/>
                <w:kern w:val="0"/>
                <w:sz w:val="22"/>
              </w:rPr>
              <w:t>报告管理服务模块</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974D9F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报告自动化生成</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C5409F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支持用户通过将指标数据、指标分析数据、可视化分析图片、报表自定义编排整合到报告word模板中。并通过报告word模板导入功能按指定周期自动生成报告，可支持月报等。</w:t>
            </w:r>
          </w:p>
        </w:tc>
      </w:tr>
      <w:tr w14:paraId="56BCF92C">
        <w:tblPrEx>
          <w:tblCellMar>
            <w:top w:w="0" w:type="dxa"/>
            <w:left w:w="108" w:type="dxa"/>
            <w:bottom w:w="0" w:type="dxa"/>
            <w:right w:w="108" w:type="dxa"/>
          </w:tblCellMar>
        </w:tblPrEx>
        <w:trPr>
          <w:trHeight w:val="1418"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335017B">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0B1DBD0B">
            <w:pPr>
              <w:widowControl/>
              <w:spacing w:line="240" w:lineRule="auto"/>
              <w:ind w:firstLine="0" w:firstLineChars="0"/>
              <w:jc w:val="center"/>
              <w:rPr>
                <w:rFonts w:ascii="Tahoma" w:hAnsi="Tahoma" w:cs="Tahoma"/>
                <w:color w:val="000000"/>
                <w:kern w:val="0"/>
                <w:sz w:val="22"/>
                <w:szCs w:val="22"/>
              </w:rPr>
            </w:pPr>
            <w:r>
              <w:rPr>
                <w:rFonts w:hint="eastAsia" w:ascii="仿宋" w:hAnsi="仿宋"/>
                <w:kern w:val="0"/>
                <w:sz w:val="22"/>
              </w:rPr>
              <w:t>报告管理服务模块</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8BEF23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报告可视化呈现</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FD619E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将加工处理后的指标数据、指标分析、指标可视化图表等内容，自动填充市级城市运行报告模板，生成上海市城市运行报告，并在PC端页面进行可视化呈现。</w:t>
            </w:r>
          </w:p>
        </w:tc>
      </w:tr>
      <w:tr w14:paraId="0FDA8165">
        <w:tblPrEx>
          <w:tblCellMar>
            <w:top w:w="0" w:type="dxa"/>
            <w:left w:w="108" w:type="dxa"/>
            <w:bottom w:w="0" w:type="dxa"/>
            <w:right w:w="108" w:type="dxa"/>
          </w:tblCellMar>
        </w:tblPrEx>
        <w:trPr>
          <w:trHeight w:val="9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FF2CADE">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35CD8169">
            <w:pPr>
              <w:widowControl/>
              <w:spacing w:line="240" w:lineRule="auto"/>
              <w:ind w:firstLine="0" w:firstLineChars="0"/>
              <w:jc w:val="center"/>
              <w:rPr>
                <w:rFonts w:ascii="Tahoma" w:hAnsi="Tahoma" w:cs="Tahoma"/>
                <w:color w:val="000000"/>
                <w:kern w:val="0"/>
                <w:sz w:val="22"/>
                <w:szCs w:val="22"/>
              </w:rPr>
            </w:pPr>
            <w:r>
              <w:rPr>
                <w:rFonts w:hint="eastAsia" w:ascii="仿宋" w:hAnsi="仿宋"/>
                <w:kern w:val="0"/>
                <w:sz w:val="22"/>
              </w:rPr>
              <w:t>报告管理服务模块</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42C72F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历史报告查询</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02BC759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系统将自动生成的上海市城市运行报告月报存储归档，提供历史报告查询服务，可查找历史报告，并支持上海市城市运行报告预览、下载等功能。</w:t>
            </w:r>
          </w:p>
        </w:tc>
      </w:tr>
      <w:tr w14:paraId="0E3954AE">
        <w:tblPrEx>
          <w:tblCellMar>
            <w:top w:w="0" w:type="dxa"/>
            <w:left w:w="108" w:type="dxa"/>
            <w:bottom w:w="0" w:type="dxa"/>
            <w:right w:w="108" w:type="dxa"/>
          </w:tblCellMar>
        </w:tblPrEx>
        <w:trPr>
          <w:trHeight w:val="9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CA9FDD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EC6570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知识库数据预处理</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F27EC4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事件综述知识库：多源异构事件信息融合、知识抽取与事件图谱构建</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69E0850C">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1. 多模态数据接入与标准化处理。 2. 基于NLP的事件要素（时间、地点、人物、起因、经过、结果等）精准提取。 3. 事件关系抽取与语义理解，构建事件知识图谱。 4. 涉事主体、地点、机构等实体的识别与链接。 5. 政策法规、地理信息的关联与整合。 6. 知识的清洗、去重、校验与版本控制。</w:t>
            </w:r>
          </w:p>
        </w:tc>
      </w:tr>
      <w:tr w14:paraId="628D9D4C">
        <w:tblPrEx>
          <w:tblCellMar>
            <w:top w:w="0" w:type="dxa"/>
            <w:left w:w="108" w:type="dxa"/>
            <w:bottom w:w="0" w:type="dxa"/>
            <w:right w:w="108" w:type="dxa"/>
          </w:tblCellMar>
        </w:tblPrEx>
        <w:trPr>
          <w:trHeight w:val="111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14E6E43">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7A94F32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知识库数据预处理</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43E37C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指标态势知识库：城市运行指标数据标准化、时序处理及关联知识挖掘</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47C75AE">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1. 指标元数据（定义、计算方法、单位、阈值等）的标准化与集中管理。 2. 历史及实时指标数据的采集、清洗、校验、转换和对齐。 3. 指标时间序列数据的处理与特征工程。 4. 指标间关联关系挖掘与影响模型构建。 5. 预警模型与算法的配置、训练与验证所需数据的准备。</w:t>
            </w:r>
          </w:p>
        </w:tc>
      </w:tr>
      <w:tr w14:paraId="6AE6F559">
        <w:tblPrEx>
          <w:tblCellMar>
            <w:top w:w="0" w:type="dxa"/>
            <w:left w:w="108" w:type="dxa"/>
            <w:bottom w:w="0" w:type="dxa"/>
            <w:right w:w="108" w:type="dxa"/>
          </w:tblCellMar>
        </w:tblPrEx>
        <w:trPr>
          <w:trHeight w:val="79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FB89A24">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6DE5EEE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知识库数据预处理</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AF9E8F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措施预案知识库：应急预案、案例、</w:t>
            </w:r>
            <w:r>
              <w:rPr>
                <w:rFonts w:ascii="Tahoma" w:hAnsi="Tahoma" w:cs="Tahoma"/>
                <w:color w:val="000000"/>
                <w:kern w:val="0"/>
                <w:sz w:val="22"/>
                <w:szCs w:val="22"/>
              </w:rPr>
              <w:t>SOP及专家经验的结构化、模块化与知识工程处理</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3D6ED96">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1. 预案文本、案例报告等文档的数字化与OCR识别。 2. 基于NLP的预案要素（适用场景、启动条件、处置流程、资源需求等）抽取与结构化。 3. 标准操作规程的模块化拆解与标准化描述。 4. 应急资源的属性提取、分类与关联。 5. 专家经验的显性化，转化为规则、案例或决策逻辑。 6. 构建预案知识图谱，实现知识的关联与推理支持。 7. 知识的验证、评估与持续迭代优化。</w:t>
            </w:r>
          </w:p>
        </w:tc>
      </w:tr>
      <w:tr w14:paraId="241A3AF8">
        <w:tblPrEx>
          <w:tblCellMar>
            <w:top w:w="0" w:type="dxa"/>
            <w:left w:w="108" w:type="dxa"/>
            <w:bottom w:w="0" w:type="dxa"/>
            <w:right w:w="108" w:type="dxa"/>
          </w:tblCellMar>
        </w:tblPrEx>
        <w:trPr>
          <w:trHeight w:val="94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481DF9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B99AF8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知识库接口开发</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6B9F4C7A">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事件综述知识库接口开发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372FFE0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南向数据接口服务：支撑事件综述知识库的数据采集与构建，为事件综述智能体提供基础数据；</w:t>
            </w:r>
          </w:p>
          <w:p w14:paraId="1371FF4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北向数据接口服务：为事件综述智能体及其他授权应用提供事件知识查询、分析与可视化支持。</w:t>
            </w:r>
          </w:p>
        </w:tc>
      </w:tr>
      <w:tr w14:paraId="43D89171">
        <w:tblPrEx>
          <w:tblCellMar>
            <w:top w:w="0" w:type="dxa"/>
            <w:left w:w="108" w:type="dxa"/>
            <w:bottom w:w="0" w:type="dxa"/>
            <w:right w:w="108" w:type="dxa"/>
          </w:tblCellMar>
        </w:tblPrEx>
        <w:trPr>
          <w:trHeight w:val="10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FEDA7A5">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ECDAE6B">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知识库接口开发</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48E7D4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指标态势知识库接口开发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4985A52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南向数据接口服务：支撑指标态势知识库的数据汇聚与管理，为指标态势智能体提供分析数据；</w:t>
            </w:r>
          </w:p>
          <w:p w14:paraId="0FAFEF5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北向数据接口服务：为指标态势智能体及其他应用提供指标查询、统计分析、趋势预测与预警信息服务。</w:t>
            </w:r>
          </w:p>
        </w:tc>
      </w:tr>
      <w:tr w14:paraId="5A7C950D">
        <w:tblPrEx>
          <w:tblCellMar>
            <w:top w:w="0" w:type="dxa"/>
            <w:left w:w="108" w:type="dxa"/>
            <w:bottom w:w="0" w:type="dxa"/>
            <w:right w:w="108" w:type="dxa"/>
          </w:tblCellMar>
        </w:tblPrEx>
        <w:trPr>
          <w:trHeight w:val="10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314137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1D020561">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知识库接口开发</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2E35C7B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措施预案知识库接口开发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2C87254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南向数据接口服务：支撑措施预案知识库的内容构建，为措施预案智能体提供决策依据；</w:t>
            </w:r>
          </w:p>
          <w:p w14:paraId="539CE8FC">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北向数据接口服务：为措施预案智能体提供预案检索、匹配、智能生成与推荐能力。</w:t>
            </w:r>
          </w:p>
        </w:tc>
      </w:tr>
      <w:tr w14:paraId="18226A49">
        <w:tblPrEx>
          <w:tblCellMar>
            <w:top w:w="0" w:type="dxa"/>
            <w:left w:w="108" w:type="dxa"/>
            <w:bottom w:w="0" w:type="dxa"/>
            <w:right w:w="108" w:type="dxa"/>
          </w:tblCellMar>
        </w:tblPrEx>
        <w:trPr>
          <w:trHeight w:val="10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8FB7B36">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4DCD87E0">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密码应用开发</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4AD9505">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密码应用开发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13B41F8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提供用户身份认证机制模块、业务重要数据安全传输模块、服务器虚拟机设备日志/访问控制信息完整性模块。</w:t>
            </w:r>
          </w:p>
        </w:tc>
      </w:tr>
      <w:tr w14:paraId="1CCE3574">
        <w:tblPrEx>
          <w:tblCellMar>
            <w:top w:w="0" w:type="dxa"/>
            <w:left w:w="108" w:type="dxa"/>
            <w:bottom w:w="0" w:type="dxa"/>
            <w:right w:w="108" w:type="dxa"/>
          </w:tblCellMar>
        </w:tblPrEx>
        <w:trPr>
          <w:trHeight w:val="1020" w:hRule="atLeast"/>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E89544C">
            <w:pPr>
              <w:widowControl/>
              <w:numPr>
                <w:ilvl w:val="0"/>
                <w:numId w:val="3"/>
              </w:numPr>
              <w:spacing w:line="240" w:lineRule="auto"/>
              <w:ind w:left="0" w:firstLine="0" w:firstLineChars="0"/>
              <w:jc w:val="center"/>
              <w:rPr>
                <w:rFonts w:ascii="Tahoma" w:hAnsi="Tahoma" w:cs="Tahoma"/>
                <w:color w:val="000000"/>
                <w:kern w:val="0"/>
                <w:sz w:val="22"/>
                <w:szCs w:val="22"/>
              </w:rPr>
            </w:pPr>
          </w:p>
        </w:tc>
        <w:tc>
          <w:tcPr>
            <w:tcW w:w="929" w:type="pct"/>
            <w:tcBorders>
              <w:top w:val="single" w:color="auto" w:sz="4" w:space="0"/>
              <w:left w:val="nil"/>
              <w:bottom w:val="single" w:color="auto" w:sz="4" w:space="0"/>
              <w:right w:val="single" w:color="auto" w:sz="4" w:space="0"/>
            </w:tcBorders>
            <w:shd w:val="clear" w:color="auto" w:fill="FFFFFF"/>
            <w:vAlign w:val="center"/>
          </w:tcPr>
          <w:p w14:paraId="304CC020">
            <w:pPr>
              <w:widowControl/>
              <w:spacing w:line="240" w:lineRule="auto"/>
              <w:ind w:firstLine="0" w:firstLineChars="0"/>
              <w:jc w:val="center"/>
            </w:pPr>
            <w:r>
              <w:rPr>
                <w:rFonts w:ascii="Tahoma" w:hAnsi="Tahoma" w:cs="Tahoma"/>
                <w:color w:val="000000"/>
                <w:kern w:val="0"/>
                <w:sz w:val="22"/>
                <w:szCs w:val="22"/>
              </w:rPr>
              <w:t>密码应用开发</w:t>
            </w:r>
          </w:p>
        </w:tc>
        <w:tc>
          <w:tcPr>
            <w:tcW w:w="1096" w:type="pct"/>
            <w:tcBorders>
              <w:top w:val="single" w:color="auto" w:sz="4" w:space="0"/>
              <w:left w:val="nil"/>
              <w:bottom w:val="single" w:color="auto" w:sz="4" w:space="0"/>
              <w:right w:val="single" w:color="auto" w:sz="4" w:space="0"/>
            </w:tcBorders>
            <w:shd w:val="clear" w:color="auto" w:fill="FFFFFF"/>
            <w:vAlign w:val="center"/>
          </w:tcPr>
          <w:p w14:paraId="06E9E87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密码应用开发</w:t>
            </w:r>
          </w:p>
        </w:tc>
        <w:tc>
          <w:tcPr>
            <w:tcW w:w="2579" w:type="pct"/>
            <w:tcBorders>
              <w:top w:val="single" w:color="auto" w:sz="4" w:space="0"/>
              <w:left w:val="nil"/>
              <w:bottom w:val="single" w:color="auto" w:sz="4" w:space="0"/>
              <w:right w:val="single" w:color="auto" w:sz="4" w:space="0"/>
            </w:tcBorders>
            <w:shd w:val="clear" w:color="auto" w:fill="FFFFFF"/>
            <w:vAlign w:val="center"/>
          </w:tcPr>
          <w:p w14:paraId="56EC009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提供重要可执行程序签名验签模块、用户访问控制信息签名验签模块、应用系统重要数据加解密模块、应用系统重要数据签名验签模块。</w:t>
            </w:r>
          </w:p>
        </w:tc>
      </w:tr>
    </w:tbl>
    <w:p w14:paraId="1F2092BA">
      <w:pPr>
        <w:ind w:firstLine="482"/>
        <w:rPr>
          <w:b/>
        </w:rPr>
      </w:pPr>
      <w:r>
        <w:rPr>
          <w:rFonts w:hint="eastAsia"/>
          <w:b/>
        </w:rPr>
        <w:t>2、安全产品购置清单：</w:t>
      </w:r>
    </w:p>
    <w:tbl>
      <w:tblPr>
        <w:tblStyle w:val="35"/>
        <w:tblW w:w="4928" w:type="pct"/>
        <w:tblInd w:w="0" w:type="dxa"/>
        <w:tblLayout w:type="autofit"/>
        <w:tblCellMar>
          <w:top w:w="0" w:type="dxa"/>
          <w:left w:w="0" w:type="dxa"/>
          <w:bottom w:w="0" w:type="dxa"/>
          <w:right w:w="0" w:type="dxa"/>
        </w:tblCellMar>
      </w:tblPr>
      <w:tblGrid>
        <w:gridCol w:w="520"/>
        <w:gridCol w:w="868"/>
        <w:gridCol w:w="684"/>
        <w:gridCol w:w="5104"/>
        <w:gridCol w:w="528"/>
        <w:gridCol w:w="508"/>
      </w:tblGrid>
      <w:tr w14:paraId="38D0600F">
        <w:tblPrEx>
          <w:tblCellMar>
            <w:top w:w="0" w:type="dxa"/>
            <w:left w:w="0" w:type="dxa"/>
            <w:bottom w:w="0" w:type="dxa"/>
            <w:right w:w="0" w:type="dxa"/>
          </w:tblCellMar>
        </w:tblPrEx>
        <w:trPr>
          <w:trHeight w:val="270" w:hRule="atLeast"/>
        </w:trPr>
        <w:tc>
          <w:tcPr>
            <w:tcW w:w="317" w:type="pct"/>
            <w:tcBorders>
              <w:top w:val="single" w:color="auto" w:sz="4" w:space="0"/>
              <w:left w:val="single" w:color="auto" w:sz="4" w:space="0"/>
              <w:bottom w:val="single" w:color="000000" w:sz="4" w:space="0"/>
              <w:right w:val="single" w:color="000000" w:sz="4" w:space="0"/>
            </w:tcBorders>
            <w:noWrap/>
            <w:tcMar>
              <w:top w:w="15" w:type="dxa"/>
              <w:left w:w="15" w:type="dxa"/>
              <w:right w:w="15" w:type="dxa"/>
            </w:tcMar>
            <w:vAlign w:val="center"/>
          </w:tcPr>
          <w:p w14:paraId="1F3A3EBB">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528"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6818E9E">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416"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6049110C">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3106"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DF0BEE6">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321" w:type="pct"/>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758C2234">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309" w:type="pct"/>
            <w:tcBorders>
              <w:top w:val="single" w:color="auto" w:sz="4" w:space="0"/>
              <w:left w:val="single" w:color="000000" w:sz="4" w:space="0"/>
              <w:bottom w:val="single" w:color="000000" w:sz="4" w:space="0"/>
              <w:right w:val="single" w:color="auto" w:sz="4" w:space="0"/>
            </w:tcBorders>
            <w:vAlign w:val="center"/>
          </w:tcPr>
          <w:p w14:paraId="138DA3B9">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r>
      <w:tr w14:paraId="7CA1B5EF">
        <w:tblPrEx>
          <w:tblCellMar>
            <w:top w:w="0" w:type="dxa"/>
            <w:left w:w="0" w:type="dxa"/>
            <w:bottom w:w="0" w:type="dxa"/>
            <w:right w:w="0" w:type="dxa"/>
          </w:tblCellMar>
        </w:tblPrEx>
        <w:trPr>
          <w:trHeight w:val="825" w:hRule="atLeast"/>
        </w:trPr>
        <w:tc>
          <w:tcPr>
            <w:tcW w:w="317"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D3B3DC0">
            <w:pPr>
              <w:widowControl/>
              <w:numPr>
                <w:ilvl w:val="0"/>
                <w:numId w:val="4"/>
              </w:numPr>
              <w:spacing w:line="240" w:lineRule="auto"/>
              <w:ind w:firstLine="0" w:firstLineChars="0"/>
              <w:jc w:val="center"/>
              <w:textAlignment w:val="center"/>
              <w:rPr>
                <w:rFonts w:cs="宋体"/>
                <w:color w:val="000000"/>
                <w:kern w:val="0"/>
                <w:sz w:val="22"/>
                <w:szCs w:val="22"/>
              </w:rPr>
            </w:pP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205396">
            <w:pPr>
              <w:ind w:firstLine="0" w:firstLineChars="0"/>
              <w:jc w:val="center"/>
              <w:rPr>
                <w:sz w:val="22"/>
                <w:szCs w:val="22"/>
              </w:rPr>
            </w:pPr>
            <w:r>
              <w:rPr>
                <w:rFonts w:hint="eastAsia"/>
                <w:sz w:val="22"/>
                <w:szCs w:val="22"/>
              </w:rPr>
              <w:t>其他安全产品</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034CF">
            <w:pPr>
              <w:spacing w:line="240" w:lineRule="auto"/>
              <w:ind w:firstLine="0" w:firstLineChars="0"/>
              <w:jc w:val="center"/>
              <w:rPr>
                <w:sz w:val="22"/>
                <w:szCs w:val="22"/>
              </w:rPr>
            </w:pPr>
            <w:r>
              <w:rPr>
                <w:rFonts w:hint="eastAsia" w:cs="宋体"/>
                <w:color w:val="000000"/>
                <w:kern w:val="0"/>
                <w:sz w:val="22"/>
                <w:szCs w:val="22"/>
              </w:rPr>
              <w:t>数据静态脱敏系统</w:t>
            </w:r>
          </w:p>
        </w:tc>
        <w:tc>
          <w:tcPr>
            <w:tcW w:w="31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36584">
            <w:pPr>
              <w:spacing w:line="240" w:lineRule="auto"/>
              <w:ind w:firstLine="0" w:firstLineChars="0"/>
              <w:rPr>
                <w:rFonts w:cs="宋体"/>
                <w:color w:val="000000"/>
                <w:kern w:val="0"/>
                <w:sz w:val="22"/>
                <w:szCs w:val="22"/>
              </w:rPr>
            </w:pPr>
            <w:r>
              <w:rPr>
                <w:rFonts w:hint="eastAsia" w:cs="宋体"/>
                <w:color w:val="000000"/>
                <w:kern w:val="0"/>
                <w:sz w:val="22"/>
                <w:szCs w:val="22"/>
              </w:rPr>
              <w:t>数据静态脱敏系统(软件版)，包含使用授权</w:t>
            </w:r>
          </w:p>
          <w:p w14:paraId="7EBD5B5F">
            <w:pPr>
              <w:spacing w:line="240" w:lineRule="auto"/>
              <w:ind w:firstLine="0" w:firstLineChars="0"/>
              <w:rPr>
                <w:rFonts w:cs="宋体"/>
                <w:color w:val="000000"/>
                <w:kern w:val="0"/>
                <w:sz w:val="22"/>
                <w:szCs w:val="22"/>
              </w:rPr>
            </w:pPr>
            <w:r>
              <w:rPr>
                <w:rFonts w:hint="eastAsia" w:cs="宋体"/>
                <w:color w:val="000000"/>
                <w:kern w:val="0"/>
                <w:sz w:val="22"/>
                <w:szCs w:val="22"/>
              </w:rPr>
              <w:t>资源需求：CPU≥4核，内存≥32G，硬盘≥4T</w:t>
            </w:r>
          </w:p>
          <w:p w14:paraId="5A5E5A39">
            <w:pPr>
              <w:spacing w:line="240" w:lineRule="auto"/>
              <w:ind w:firstLine="0" w:firstLineChars="0"/>
              <w:rPr>
                <w:rFonts w:cs="宋体"/>
                <w:color w:val="000000"/>
                <w:kern w:val="0"/>
                <w:sz w:val="22"/>
                <w:szCs w:val="22"/>
              </w:rPr>
            </w:pPr>
            <w:r>
              <w:rPr>
                <w:rFonts w:hint="eastAsia" w:cs="宋体"/>
                <w:color w:val="000000"/>
                <w:kern w:val="0"/>
                <w:sz w:val="22"/>
                <w:szCs w:val="22"/>
              </w:rPr>
              <w:t>1、支持增量脱敏方式，可通过时间戳方式进行增量脱敏；</w:t>
            </w:r>
          </w:p>
          <w:p w14:paraId="599A058E">
            <w:pPr>
              <w:spacing w:line="240" w:lineRule="auto"/>
              <w:ind w:firstLine="0" w:firstLineChars="0"/>
              <w:rPr>
                <w:rFonts w:cs="宋体"/>
                <w:color w:val="000000"/>
                <w:kern w:val="0"/>
                <w:sz w:val="22"/>
                <w:szCs w:val="22"/>
              </w:rPr>
            </w:pPr>
            <w:r>
              <w:rPr>
                <w:rFonts w:hint="eastAsia" w:cs="宋体"/>
                <w:color w:val="000000"/>
                <w:kern w:val="0"/>
                <w:sz w:val="22"/>
                <w:szCs w:val="22"/>
              </w:rPr>
              <w:t>2、支持通过抽样的方式进行敏感数据发现，可自定义发现规则、抽样比例和匹配率；</w:t>
            </w:r>
          </w:p>
          <w:p w14:paraId="499FEC16">
            <w:pPr>
              <w:spacing w:line="240" w:lineRule="auto"/>
              <w:ind w:firstLine="0" w:firstLineChars="0"/>
              <w:rPr>
                <w:rFonts w:cs="宋体"/>
                <w:color w:val="000000"/>
                <w:kern w:val="0"/>
                <w:sz w:val="22"/>
                <w:szCs w:val="22"/>
              </w:rPr>
            </w:pPr>
            <w:r>
              <w:rPr>
                <w:rFonts w:hint="eastAsia" w:cs="宋体"/>
                <w:color w:val="000000"/>
                <w:kern w:val="0"/>
                <w:sz w:val="22"/>
                <w:szCs w:val="22"/>
              </w:rPr>
              <w:t>3、支持组合脱敏，选择多个敏感类型形成组合，组合内所有敏感类型都存在时才进行脱敏；</w:t>
            </w:r>
          </w:p>
          <w:p w14:paraId="2FF15538">
            <w:pPr>
              <w:spacing w:line="240" w:lineRule="auto"/>
              <w:ind w:firstLine="0" w:firstLineChars="0"/>
              <w:rPr>
                <w:rFonts w:cs="宋体"/>
                <w:color w:val="000000"/>
                <w:kern w:val="0"/>
                <w:sz w:val="22"/>
                <w:szCs w:val="22"/>
              </w:rPr>
            </w:pPr>
            <w:r>
              <w:rPr>
                <w:rFonts w:hint="eastAsia" w:cs="宋体"/>
                <w:color w:val="000000"/>
                <w:kern w:val="0"/>
                <w:sz w:val="22"/>
                <w:szCs w:val="22"/>
              </w:rPr>
              <w:t>4、脱敏数据库容量2T。</w:t>
            </w:r>
          </w:p>
        </w:tc>
        <w:tc>
          <w:tcPr>
            <w:tcW w:w="321"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ADDFED6">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1</w:t>
            </w:r>
          </w:p>
        </w:tc>
        <w:tc>
          <w:tcPr>
            <w:tcW w:w="309" w:type="pct"/>
            <w:tcBorders>
              <w:top w:val="single" w:color="000000" w:sz="4" w:space="0"/>
              <w:left w:val="single" w:color="000000" w:sz="4" w:space="0"/>
              <w:bottom w:val="single" w:color="000000" w:sz="4" w:space="0"/>
              <w:right w:val="single" w:color="auto" w:sz="4" w:space="0"/>
            </w:tcBorders>
            <w:vAlign w:val="center"/>
          </w:tcPr>
          <w:p w14:paraId="2414EE96">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r>
      <w:tr w14:paraId="5E2C12AE">
        <w:tblPrEx>
          <w:tblCellMar>
            <w:top w:w="0" w:type="dxa"/>
            <w:left w:w="0" w:type="dxa"/>
            <w:bottom w:w="0" w:type="dxa"/>
            <w:right w:w="0" w:type="dxa"/>
          </w:tblCellMar>
        </w:tblPrEx>
        <w:trPr>
          <w:trHeight w:val="825" w:hRule="atLeast"/>
        </w:trPr>
        <w:tc>
          <w:tcPr>
            <w:tcW w:w="317"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14620DA7">
            <w:pPr>
              <w:widowControl/>
              <w:numPr>
                <w:ilvl w:val="0"/>
                <w:numId w:val="4"/>
              </w:numPr>
              <w:spacing w:line="240" w:lineRule="auto"/>
              <w:ind w:firstLine="0" w:firstLineChars="0"/>
              <w:jc w:val="center"/>
              <w:textAlignment w:val="center"/>
              <w:rPr>
                <w:rFonts w:cs="宋体"/>
                <w:color w:val="000000"/>
                <w:kern w:val="0"/>
                <w:sz w:val="22"/>
                <w:szCs w:val="22"/>
              </w:rPr>
            </w:pPr>
          </w:p>
        </w:tc>
        <w:tc>
          <w:tcPr>
            <w:tcW w:w="5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72348">
            <w:pPr>
              <w:ind w:firstLine="0" w:firstLineChars="0"/>
              <w:jc w:val="center"/>
              <w:rPr>
                <w:sz w:val="22"/>
                <w:szCs w:val="22"/>
              </w:rPr>
            </w:pPr>
            <w:r>
              <w:rPr>
                <w:rFonts w:hint="eastAsia"/>
                <w:sz w:val="22"/>
                <w:szCs w:val="22"/>
              </w:rPr>
              <w:t>数据安全</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E61AA">
            <w:pPr>
              <w:spacing w:line="240" w:lineRule="auto"/>
              <w:ind w:firstLine="0" w:firstLineChars="0"/>
              <w:jc w:val="center"/>
              <w:rPr>
                <w:sz w:val="22"/>
                <w:szCs w:val="22"/>
              </w:rPr>
            </w:pPr>
            <w:r>
              <w:rPr>
                <w:rFonts w:hint="eastAsia" w:cs="宋体"/>
                <w:color w:val="000000"/>
                <w:kern w:val="0"/>
                <w:sz w:val="22"/>
                <w:szCs w:val="22"/>
              </w:rPr>
              <w:t>数据水印系统</w:t>
            </w:r>
          </w:p>
        </w:tc>
        <w:tc>
          <w:tcPr>
            <w:tcW w:w="31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A4732">
            <w:pPr>
              <w:spacing w:line="240" w:lineRule="auto"/>
              <w:ind w:firstLine="0" w:firstLineChars="0"/>
              <w:rPr>
                <w:rFonts w:cs="宋体"/>
                <w:color w:val="000000"/>
                <w:kern w:val="0"/>
                <w:sz w:val="22"/>
                <w:szCs w:val="22"/>
              </w:rPr>
            </w:pPr>
            <w:r>
              <w:rPr>
                <w:rFonts w:hint="eastAsia" w:cs="宋体"/>
                <w:color w:val="000000"/>
                <w:kern w:val="0"/>
                <w:sz w:val="22"/>
                <w:szCs w:val="22"/>
              </w:rPr>
              <w:t>数据水印系统(软件版)包含使用授权</w:t>
            </w:r>
          </w:p>
          <w:p w14:paraId="511C46BC">
            <w:pPr>
              <w:spacing w:line="240" w:lineRule="auto"/>
              <w:ind w:firstLine="0" w:firstLineChars="0"/>
              <w:rPr>
                <w:rFonts w:cs="宋体"/>
                <w:color w:val="000000"/>
                <w:kern w:val="0"/>
                <w:sz w:val="22"/>
                <w:szCs w:val="22"/>
              </w:rPr>
            </w:pPr>
            <w:r>
              <w:rPr>
                <w:rFonts w:hint="eastAsia" w:cs="宋体"/>
                <w:color w:val="000000"/>
                <w:kern w:val="0"/>
                <w:sz w:val="22"/>
                <w:szCs w:val="22"/>
              </w:rPr>
              <w:t>资源需求：CPU≥4核，内存≥32G，硬盘≥4T</w:t>
            </w:r>
          </w:p>
          <w:p w14:paraId="35B82D09">
            <w:pPr>
              <w:spacing w:line="240" w:lineRule="auto"/>
              <w:ind w:firstLine="0" w:firstLineChars="0"/>
              <w:rPr>
                <w:rFonts w:cs="宋体"/>
                <w:color w:val="000000"/>
                <w:kern w:val="0"/>
                <w:sz w:val="22"/>
                <w:szCs w:val="22"/>
              </w:rPr>
            </w:pPr>
            <w:r>
              <w:rPr>
                <w:rFonts w:hint="eastAsia" w:cs="宋体"/>
                <w:color w:val="000000"/>
                <w:kern w:val="0"/>
                <w:sz w:val="22"/>
                <w:szCs w:val="22"/>
              </w:rPr>
              <w:t>1、支持配置水印源以及对所配置的水印源进行管理；</w:t>
            </w:r>
          </w:p>
          <w:p w14:paraId="7877FB74">
            <w:pPr>
              <w:spacing w:line="240" w:lineRule="auto"/>
              <w:ind w:firstLine="0" w:firstLineChars="0"/>
              <w:rPr>
                <w:rFonts w:cs="宋体"/>
                <w:color w:val="000000"/>
                <w:kern w:val="0"/>
                <w:sz w:val="22"/>
                <w:szCs w:val="22"/>
              </w:rPr>
            </w:pPr>
            <w:r>
              <w:rPr>
                <w:rFonts w:hint="eastAsia" w:cs="宋体"/>
                <w:color w:val="000000"/>
                <w:kern w:val="0"/>
                <w:sz w:val="22"/>
                <w:szCs w:val="22"/>
              </w:rPr>
              <w:t>2、支持对上传的添加水印后的文件进行溯源操作；</w:t>
            </w:r>
          </w:p>
          <w:p w14:paraId="6BAD5870">
            <w:pPr>
              <w:spacing w:line="240" w:lineRule="auto"/>
              <w:ind w:firstLine="0" w:firstLineChars="0"/>
              <w:rPr>
                <w:rFonts w:cs="宋体"/>
                <w:color w:val="000000"/>
                <w:kern w:val="0"/>
                <w:sz w:val="22"/>
                <w:szCs w:val="22"/>
              </w:rPr>
            </w:pPr>
            <w:r>
              <w:rPr>
                <w:rFonts w:hint="eastAsia" w:cs="宋体"/>
                <w:color w:val="000000"/>
                <w:kern w:val="0"/>
                <w:sz w:val="22"/>
                <w:szCs w:val="22"/>
              </w:rPr>
              <w:t>3、支持不同的水印添加方式；</w:t>
            </w:r>
          </w:p>
          <w:p w14:paraId="3E77FC0C">
            <w:pPr>
              <w:spacing w:line="240" w:lineRule="auto"/>
              <w:ind w:firstLine="0" w:firstLineChars="0"/>
              <w:rPr>
                <w:rFonts w:cs="宋体"/>
                <w:color w:val="000000"/>
                <w:kern w:val="0"/>
                <w:sz w:val="22"/>
                <w:szCs w:val="22"/>
              </w:rPr>
            </w:pPr>
            <w:r>
              <w:rPr>
                <w:rFonts w:hint="eastAsia" w:cs="宋体"/>
                <w:color w:val="000000"/>
                <w:kern w:val="0"/>
                <w:sz w:val="22"/>
                <w:szCs w:val="22"/>
              </w:rPr>
              <w:t>4、日处理行数200万行。</w:t>
            </w:r>
          </w:p>
        </w:tc>
        <w:tc>
          <w:tcPr>
            <w:tcW w:w="321"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129A05B6">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1</w:t>
            </w:r>
          </w:p>
        </w:tc>
        <w:tc>
          <w:tcPr>
            <w:tcW w:w="309" w:type="pct"/>
            <w:tcBorders>
              <w:top w:val="single" w:color="000000" w:sz="4" w:space="0"/>
              <w:left w:val="single" w:color="000000" w:sz="4" w:space="0"/>
              <w:bottom w:val="single" w:color="000000" w:sz="4" w:space="0"/>
              <w:right w:val="single" w:color="auto" w:sz="4" w:space="0"/>
            </w:tcBorders>
            <w:vAlign w:val="center"/>
          </w:tcPr>
          <w:p w14:paraId="4C71DA67">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r>
    </w:tbl>
    <w:p w14:paraId="2A3AC9D5">
      <w:pPr>
        <w:pStyle w:val="2"/>
      </w:pPr>
      <w:r>
        <w:rPr>
          <w:rFonts w:hint="eastAsia"/>
        </w:rPr>
        <w:t>低代码建设要求</w:t>
      </w:r>
    </w:p>
    <w:p w14:paraId="6992FC21">
      <w:pPr>
        <w:pStyle w:val="107"/>
        <w:snapToGrid w:val="0"/>
        <w:spacing w:line="360" w:lineRule="auto"/>
        <w:ind w:firstLine="480"/>
        <w:rPr>
          <w:rFonts w:ascii="宋体" w:hAnsi="宋体"/>
          <w:sz w:val="24"/>
          <w:szCs w:val="24"/>
        </w:rPr>
      </w:pPr>
      <w:r>
        <w:rPr>
          <w:rFonts w:hint="eastAsia" w:ascii="宋体" w:hAnsi="宋体"/>
          <w:sz w:val="24"/>
          <w:szCs w:val="24"/>
        </w:rPr>
        <w:t>不涉及。</w:t>
      </w:r>
    </w:p>
    <w:p w14:paraId="21480F03">
      <w:pPr>
        <w:pStyle w:val="2"/>
      </w:pPr>
      <w:bookmarkStart w:id="21" w:name="_Toc63785503"/>
      <w:r>
        <w:rPr>
          <w:rFonts w:hint="eastAsia"/>
        </w:rPr>
        <w:t>其他工作要求</w:t>
      </w:r>
      <w:bookmarkEnd w:id="21"/>
    </w:p>
    <w:p w14:paraId="58507B69">
      <w:pPr>
        <w:keepNext/>
        <w:keepLines/>
        <w:numPr>
          <w:ilvl w:val="1"/>
          <w:numId w:val="5"/>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2" w:name="_Toc61968111"/>
      <w:bookmarkEnd w:id="22"/>
      <w:bookmarkStart w:id="23" w:name="_Toc62209488"/>
      <w:bookmarkEnd w:id="23"/>
      <w:bookmarkStart w:id="24" w:name="_Toc63762370"/>
      <w:bookmarkEnd w:id="24"/>
      <w:bookmarkStart w:id="25" w:name="_Toc63151871"/>
      <w:bookmarkEnd w:id="25"/>
      <w:bookmarkStart w:id="26" w:name="_Toc63785504"/>
      <w:bookmarkEnd w:id="26"/>
      <w:bookmarkStart w:id="27" w:name="_Toc63785439"/>
      <w:bookmarkEnd w:id="27"/>
      <w:bookmarkStart w:id="28" w:name="_Toc62219358"/>
      <w:bookmarkEnd w:id="28"/>
      <w:bookmarkStart w:id="29" w:name="_Toc63585480"/>
      <w:bookmarkEnd w:id="29"/>
    </w:p>
    <w:p w14:paraId="1F3FE655">
      <w:pPr>
        <w:pStyle w:val="3"/>
      </w:pPr>
      <w:bookmarkStart w:id="30" w:name="_Toc63785505"/>
      <w:r>
        <w:rPr>
          <w:rFonts w:hint="eastAsia"/>
        </w:rPr>
        <w:t>售后服务要求</w:t>
      </w:r>
      <w:bookmarkEnd w:id="30"/>
    </w:p>
    <w:p w14:paraId="48957C95">
      <w:pPr>
        <w:pStyle w:val="107"/>
        <w:snapToGrid w:val="0"/>
        <w:spacing w:line="360" w:lineRule="auto"/>
        <w:ind w:firstLine="480"/>
        <w:rPr>
          <w:rFonts w:ascii="宋体" w:hAnsi="宋体"/>
          <w:color w:val="E36C09" w:themeColor="accent6" w:themeShade="BF"/>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w:t>
      </w:r>
    </w:p>
    <w:p w14:paraId="5A535C5D">
      <w:pPr>
        <w:pStyle w:val="107"/>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1358B48A">
      <w:pPr>
        <w:pStyle w:val="107"/>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应用软件功能维护（修正错误、完善功能、业务开通）、日常维护（包括但不限于：现场值班工作需求、应用监控需求、客户端维护需求、电话支持需求、现场技术支持需求）、应用系统优化（包括但不限于：业务需求变更需求、新系统设计与实施需求）、数据库维护、业务培训和业务咨询及协作配合等。</w:t>
      </w:r>
    </w:p>
    <w:p w14:paraId="0B2E331D">
      <w:pPr>
        <w:pStyle w:val="3"/>
      </w:pPr>
      <w:bookmarkStart w:id="31" w:name="_Toc63785506"/>
      <w:r>
        <w:rPr>
          <w:rFonts w:hint="eastAsia"/>
        </w:rPr>
        <w:t>应急响应要求</w:t>
      </w:r>
      <w:bookmarkEnd w:id="31"/>
    </w:p>
    <w:p w14:paraId="6B531A59">
      <w:pPr>
        <w:spacing w:line="600" w:lineRule="exact"/>
      </w:pPr>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14:paraId="1317EB3A">
      <w:pPr>
        <w:spacing w:line="600" w:lineRule="exact"/>
      </w:pPr>
      <w:r>
        <w:rPr>
          <w:rFonts w:hint="eastAsia"/>
        </w:rPr>
        <w:t>具体故障级别及对应的应急响应要求如下：</w:t>
      </w:r>
    </w:p>
    <w:p w14:paraId="306154F4">
      <w:pPr>
        <w:spacing w:line="600" w:lineRule="exact"/>
      </w:pPr>
      <w:r>
        <w:rPr>
          <w:rFonts w:hint="eastAsia"/>
        </w:rPr>
        <w:t>一级故障：在1小时内确诊，总故障解决时间不超过4小时。</w:t>
      </w:r>
    </w:p>
    <w:p w14:paraId="5D0A95EF">
      <w:pPr>
        <w:spacing w:line="600" w:lineRule="exact"/>
      </w:pPr>
      <w:r>
        <w:rPr>
          <w:rFonts w:hint="eastAsia"/>
        </w:rPr>
        <w:t>二级故障：在2小时内确诊，并在4小时内由专家到达现场确诊并解决，总故障解决时间不超过8小时；</w:t>
      </w:r>
    </w:p>
    <w:p w14:paraId="4670C01D">
      <w:pPr>
        <w:spacing w:line="600" w:lineRule="exact"/>
      </w:pPr>
      <w:r>
        <w:rPr>
          <w:rFonts w:hint="eastAsia"/>
        </w:rPr>
        <w:t>三、四级故障：在4小时内确诊故障，总故障解决时间不超过16小时。</w:t>
      </w:r>
    </w:p>
    <w:p w14:paraId="3E452F4B">
      <w:pPr>
        <w:spacing w:line="600" w:lineRule="exact"/>
      </w:pPr>
      <w:r>
        <w:rPr>
          <w:rFonts w:hint="eastAsia"/>
        </w:rPr>
        <w:t>依据故障时间及故障范围划分故障级别，故障级别分为四级，依次为Ⅰ级（紧急）、Ⅱ级（严重）、Ⅲ级（较大）和Ⅳ级（一般），分别定义如下：</w:t>
      </w:r>
    </w:p>
    <w:p w14:paraId="5DB9E374">
      <w:pPr>
        <w:spacing w:line="600" w:lineRule="exact"/>
      </w:pPr>
      <w:r>
        <w:rPr>
          <w:rFonts w:hint="eastAsia"/>
        </w:rPr>
        <w:t>Ⅰ级（紧急）故障为工作时间段（8:30——17:30）内大范围故障；</w:t>
      </w:r>
    </w:p>
    <w:p w14:paraId="4BFBCA42">
      <w:pPr>
        <w:spacing w:line="600" w:lineRule="exact"/>
      </w:pPr>
      <w:r>
        <w:rPr>
          <w:rFonts w:hint="eastAsia"/>
        </w:rPr>
        <w:t>Ⅱ级（严重）故障为非工作时间段（17:30——次日8:30）内大范围故障；</w:t>
      </w:r>
    </w:p>
    <w:p w14:paraId="48BFB069">
      <w:pPr>
        <w:spacing w:line="600" w:lineRule="exact"/>
      </w:pPr>
      <w:r>
        <w:rPr>
          <w:rFonts w:hint="eastAsia"/>
        </w:rPr>
        <w:t>Ⅲ级（较大）故障为工作时间段（8:30——17:30）内小范围故障；</w:t>
      </w:r>
    </w:p>
    <w:p w14:paraId="49200087">
      <w:pPr>
        <w:spacing w:line="600" w:lineRule="exact"/>
      </w:pPr>
      <w:r>
        <w:rPr>
          <w:rFonts w:hint="eastAsia"/>
        </w:rPr>
        <w:t>Ⅳ级（一般）故障为非工作时间段（17:30——次日8:30）内小范围故障；</w:t>
      </w:r>
    </w:p>
    <w:p w14:paraId="6D23B6F4">
      <w:pPr>
        <w:pStyle w:val="3"/>
      </w:pPr>
      <w:r>
        <w:rPr>
          <w:rFonts w:hint="eastAsia"/>
        </w:rPr>
        <w:t>网络与数据安全</w:t>
      </w:r>
    </w:p>
    <w:p w14:paraId="0B2FD827">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36703247">
      <w:r>
        <w:rPr>
          <w:rFonts w:hint="eastAsia"/>
        </w:rPr>
        <w:t>(2)供应商应配合采购人开展相关安全制度和规范的制定，并根据项目实际，制定项目实施过程安全管理方案。</w:t>
      </w:r>
    </w:p>
    <w:p w14:paraId="2B42F482">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232D21AA">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4FB0E6EE">
      <w:r>
        <w:rPr>
          <w:rFonts w:hint="eastAsia"/>
        </w:rPr>
        <w:t>(5)供应商应在项目实施过程中，按照数据差异化安全防护策略，根据系统需要采取数据加密、数据访问控制、日志记录、流转监测等防护能力及相关管理流程，切实保障数据安全。</w:t>
      </w:r>
    </w:p>
    <w:p w14:paraId="2E68D835">
      <w:r>
        <w:rPr>
          <w:rFonts w:hint="eastAsia"/>
        </w:rPr>
        <w:t>(6)供应商应按照采购人场地及人员安全管理制度，加强人员管理，配合采购人落实人员背调、入离场、终端管理、网络限制、数据权限最小化等管控措施。</w:t>
      </w:r>
    </w:p>
    <w:p w14:paraId="6382876D">
      <w:r>
        <w:rPr>
          <w:rFonts w:hint="eastAsi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661FF23A">
      <w:r>
        <w:rPr>
          <w:rFonts w:hint="eastAsia"/>
        </w:rPr>
        <w:t>(8)供应商应在系统免维期内承担系统安全运维管理责任，落实安全管理保障措施，包括但不限于制度修订、风险排查、应急响应、漏洞修复、重保等工作。</w:t>
      </w:r>
    </w:p>
    <w:p w14:paraId="3D711529">
      <w:pPr>
        <w:pStyle w:val="3"/>
      </w:pPr>
      <w:bookmarkStart w:id="32" w:name="_Toc63785507"/>
      <w:r>
        <w:rPr>
          <w:rFonts w:hint="eastAsia"/>
        </w:rPr>
        <w:t>培训要求</w:t>
      </w:r>
      <w:bookmarkEnd w:id="32"/>
    </w:p>
    <w:p w14:paraId="5CF7B05A">
      <w:r>
        <w:rPr>
          <w:rFonts w:hint="eastAsia"/>
        </w:rPr>
        <w:t>对系统使用单位提供业务操作培训，应提供详细培训方案。</w:t>
      </w:r>
    </w:p>
    <w:p w14:paraId="7DA76289">
      <w:r>
        <w:rPr>
          <w:rFonts w:hint="eastAsia"/>
        </w:rPr>
        <w:t>(1)在12个月的质量保证期内，提供2次与项目相关的必要培训。</w:t>
      </w:r>
    </w:p>
    <w:p w14:paraId="664675DF">
      <w:r>
        <w:rPr>
          <w:rFonts w:hint="eastAsia"/>
        </w:rPr>
        <w:t>(2)供应商需要开展分层次的人员培训工作，每次培训后应对参加培训人员进行测试，评估培训成果。培训应具有培训教材、培训环境和高水平的培训讲师。</w:t>
      </w:r>
    </w:p>
    <w:p w14:paraId="46BEC7FE">
      <w:r>
        <w:rPr>
          <w:rFonts w:hint="eastAsia"/>
        </w:rPr>
        <w:t>(3)供应商应提供一般用户的基础操作培训和部门信息管理员的日常应用维护的培训，确保用户对象能够掌握对应的操作技能。</w:t>
      </w:r>
    </w:p>
    <w:p w14:paraId="4342CBE0">
      <w:pPr>
        <w:pStyle w:val="3"/>
      </w:pPr>
      <w:bookmarkStart w:id="33" w:name="_Toc63785508"/>
      <w:r>
        <w:rPr>
          <w:rFonts w:hint="eastAsia"/>
        </w:rPr>
        <w:t>验收要求</w:t>
      </w:r>
      <w:bookmarkEnd w:id="33"/>
    </w:p>
    <w:p w14:paraId="4A001A93">
      <w:pPr>
        <w:rPr>
          <w:szCs w:val="21"/>
        </w:rPr>
      </w:pPr>
      <w:r>
        <w:rPr>
          <w:rFonts w:hint="eastAsia"/>
          <w:szCs w:val="21"/>
        </w:rPr>
        <w:t>本项目按下述方式开展验收。</w:t>
      </w:r>
    </w:p>
    <w:p w14:paraId="6A0D5C7D">
      <w:pPr>
        <w:rPr>
          <w:szCs w:val="21"/>
        </w:rPr>
      </w:pPr>
      <w:r>
        <w:rPr>
          <w:rFonts w:hint="eastAsia"/>
          <w:szCs w:val="21"/>
        </w:rPr>
        <w:t>（</w:t>
      </w:r>
      <w:r>
        <w:rPr>
          <w:szCs w:val="21"/>
        </w:rPr>
        <w:t>1）验收分初验和终验。</w:t>
      </w:r>
    </w:p>
    <w:p w14:paraId="5FC58761">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39235CB8">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0C5BA28D">
      <w:pPr>
        <w:rPr>
          <w:szCs w:val="21"/>
        </w:rPr>
      </w:pPr>
      <w:r>
        <w:rPr>
          <w:rFonts w:hint="eastAsia"/>
          <w:szCs w:val="21"/>
        </w:rPr>
        <w:t>（</w:t>
      </w:r>
      <w:r>
        <w:rPr>
          <w:szCs w:val="21"/>
        </w:rPr>
        <w:t>4）自初验通过之日起，招标方享有供应商免费提供的</w:t>
      </w:r>
      <w:r>
        <w:rPr>
          <w:rFonts w:hint="eastAsia"/>
          <w:szCs w:val="21"/>
        </w:rPr>
        <w:t>90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1586A23B">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5</w:t>
      </w:r>
      <w:r>
        <w:rPr>
          <w:szCs w:val="21"/>
        </w:rPr>
        <w:t>个工作日内发起组织专家验收会。</w:t>
      </w:r>
    </w:p>
    <w:p w14:paraId="7C28F8A4">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5F26E06B">
      <w:pPr>
        <w:rPr>
          <w:szCs w:val="21"/>
        </w:rPr>
      </w:pPr>
      <w:r>
        <w:rPr>
          <w:rFonts w:hint="eastAsia"/>
          <w:szCs w:val="21"/>
        </w:rPr>
        <w:t>（7</w:t>
      </w:r>
      <w:r>
        <w:rPr>
          <w:szCs w:val="21"/>
        </w:rPr>
        <w:t>）如果由于招标方原因导致本项目在终验通过前出现故障或问题，供应商应及时配合排除该方面的故障或问题。</w:t>
      </w:r>
    </w:p>
    <w:p w14:paraId="7AEDC3DE">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59D62E25">
      <w:pPr>
        <w:pStyle w:val="3"/>
      </w:pPr>
      <w:bookmarkStart w:id="34" w:name="_Toc63785509"/>
      <w:r>
        <w:rPr>
          <w:rFonts w:hint="eastAsia"/>
        </w:rPr>
        <w:t>进度要求</w:t>
      </w:r>
      <w:bookmarkEnd w:id="34"/>
    </w:p>
    <w:p w14:paraId="29919BE1">
      <w:r>
        <w:rPr>
          <w:rFonts w:hint="eastAsia"/>
        </w:rPr>
        <w:t>投标人应根据建设内容，分阶段制定合理的时间进度，并且应根据招标方要求进行调整和细化。</w:t>
      </w:r>
    </w:p>
    <w:p w14:paraId="319B7B8F">
      <w:r>
        <w:rPr>
          <w:rFonts w:hint="eastAsia"/>
        </w:rPr>
        <w:t>总建设自合同签订之日起至2026年11月30日，分为6个阶段。</w:t>
      </w:r>
    </w:p>
    <w:p w14:paraId="367AA9D0">
      <w:r>
        <w:rPr>
          <w:rFonts w:hint="eastAsia"/>
        </w:rPr>
        <w:t>第一阶段，</w:t>
      </w:r>
      <w:r>
        <w:t>完成</w:t>
      </w:r>
      <w:r>
        <w:rPr>
          <w:rFonts w:hint="eastAsia" w:ascii="仿宋" w:hAnsi="仿宋"/>
          <w:kern w:val="0"/>
        </w:rPr>
        <w:t>项目启动与需求调研</w:t>
      </w:r>
      <w:r>
        <w:t>。</w:t>
      </w:r>
    </w:p>
    <w:p w14:paraId="0FD09185">
      <w:r>
        <w:rPr>
          <w:rFonts w:hint="eastAsia"/>
        </w:rPr>
        <w:t>第二阶段</w:t>
      </w:r>
      <w:r>
        <w:t>，完成</w:t>
      </w:r>
      <w:r>
        <w:rPr>
          <w:rFonts w:hint="eastAsia" w:ascii="仿宋" w:hAnsi="仿宋"/>
          <w:kern w:val="0"/>
        </w:rPr>
        <w:t>系统设计与开发准备</w:t>
      </w:r>
      <w:r>
        <w:t>。</w:t>
      </w:r>
    </w:p>
    <w:p w14:paraId="2F9BE2C1">
      <w:r>
        <w:rPr>
          <w:rFonts w:hint="eastAsia"/>
        </w:rPr>
        <w:t>第三阶段</w:t>
      </w:r>
      <w:r>
        <w:t>，完成</w:t>
      </w:r>
      <w:r>
        <w:rPr>
          <w:rFonts w:hint="eastAsia" w:ascii="仿宋" w:hAnsi="仿宋"/>
          <w:kern w:val="0"/>
        </w:rPr>
        <w:t>系统开发</w:t>
      </w:r>
      <w:r>
        <w:t>。</w:t>
      </w:r>
    </w:p>
    <w:p w14:paraId="0CD26C35">
      <w:r>
        <w:rPr>
          <w:rFonts w:hint="eastAsia"/>
        </w:rPr>
        <w:t>第四阶段</w:t>
      </w:r>
      <w:r>
        <w:t>，完成</w:t>
      </w:r>
      <w:r>
        <w:rPr>
          <w:rFonts w:hint="eastAsia" w:ascii="仿宋" w:hAnsi="仿宋"/>
          <w:kern w:val="0"/>
        </w:rPr>
        <w:t>系统测试与用户反馈</w:t>
      </w:r>
      <w:r>
        <w:t>。</w:t>
      </w:r>
    </w:p>
    <w:p w14:paraId="617A6499">
      <w:r>
        <w:rPr>
          <w:rFonts w:hint="eastAsia"/>
        </w:rPr>
        <w:t>第五阶段</w:t>
      </w:r>
      <w:r>
        <w:t>，完成</w:t>
      </w:r>
      <w:r>
        <w:rPr>
          <w:rFonts w:hint="eastAsia" w:ascii="仿宋" w:hAnsi="仿宋"/>
          <w:kern w:val="0"/>
        </w:rPr>
        <w:t>系统部署与上线。</w:t>
      </w:r>
    </w:p>
    <w:p w14:paraId="7E8C28C8">
      <w:r>
        <w:rPr>
          <w:rFonts w:hint="eastAsia"/>
        </w:rPr>
        <w:t>第六阶段</w:t>
      </w:r>
      <w:r>
        <w:t>，完成</w:t>
      </w:r>
      <w:r>
        <w:rPr>
          <w:rFonts w:hint="eastAsia" w:ascii="仿宋" w:hAnsi="仿宋"/>
          <w:kern w:val="0"/>
        </w:rPr>
        <w:t>系统试运行与项目验收。</w:t>
      </w:r>
      <w:bookmarkStart w:id="39" w:name="_GoBack"/>
      <w:bookmarkEnd w:id="39"/>
    </w:p>
    <w:p w14:paraId="0B9B9EFA">
      <w:pPr>
        <w:pStyle w:val="3"/>
      </w:pPr>
      <w:bookmarkStart w:id="35" w:name="_Toc63785510"/>
      <w:r>
        <w:rPr>
          <w:rFonts w:hint="eastAsia"/>
        </w:rPr>
        <w:t>项目团队及驻场人员要求</w:t>
      </w:r>
      <w:bookmarkEnd w:id="35"/>
    </w:p>
    <w:p w14:paraId="701D5FD0">
      <w:r>
        <w:t>1）投标人须具有稳定的在职技术保障力量，能够提供及时的技术支援或服务，应针对本项目提供不少于</w:t>
      </w:r>
      <w:r>
        <w:rPr>
          <w:rFonts w:hint="eastAsia"/>
        </w:rPr>
        <w:t>26</w:t>
      </w:r>
      <w:r>
        <w:t>人的项目服务团队，</w:t>
      </w:r>
      <w:r>
        <w:rPr>
          <w:rFonts w:hint="eastAsia"/>
        </w:rPr>
        <w:t>服务团队至少5人驻场，</w:t>
      </w:r>
      <w:r>
        <w:t>包括项目经理、产品经理、技术负责人、研发等</w:t>
      </w:r>
      <w:r>
        <w:rPr>
          <w:rFonts w:hint="eastAsia"/>
        </w:rPr>
        <w:t>。投标单位的相关服务人员需</w:t>
      </w:r>
      <w:r>
        <w:t>具备相应的服务能力，</w:t>
      </w:r>
      <w:r>
        <w:rPr>
          <w:rFonts w:hint="eastAsia"/>
        </w:rPr>
        <w:t>并</w:t>
      </w:r>
      <w:r>
        <w:t>提供相关证明（最近一个季度</w:t>
      </w:r>
      <w:r>
        <w:rPr>
          <w:rFonts w:hint="eastAsia" w:cs="宋体"/>
          <w:spacing w:val="-8"/>
        </w:rPr>
        <w:t>任意一个月</w:t>
      </w:r>
      <w:r>
        <w:t>依法缴纳社保费的证明</w:t>
      </w:r>
      <w:r>
        <w:rPr>
          <w:rFonts w:hint="eastAsia"/>
        </w:rPr>
        <w:t>等</w:t>
      </w:r>
      <w:r>
        <w:t>）。</w:t>
      </w:r>
    </w:p>
    <w:tbl>
      <w:tblPr>
        <w:tblStyle w:val="35"/>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2855"/>
        <w:gridCol w:w="1110"/>
        <w:gridCol w:w="2140"/>
        <w:gridCol w:w="1042"/>
      </w:tblGrid>
      <w:tr w14:paraId="71D5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9" w:type="dxa"/>
            <w:noWrap/>
            <w:vAlign w:val="center"/>
          </w:tcPr>
          <w:p w14:paraId="213444DD">
            <w:pPr>
              <w:widowControl/>
              <w:spacing w:line="240" w:lineRule="auto"/>
              <w:ind w:firstLine="0" w:firstLineChars="0"/>
              <w:jc w:val="center"/>
              <w:rPr>
                <w:b/>
              </w:rPr>
            </w:pPr>
            <w:r>
              <w:rPr>
                <w:rFonts w:hint="eastAsia"/>
                <w:b/>
              </w:rPr>
              <w:t>角色</w:t>
            </w:r>
          </w:p>
        </w:tc>
        <w:tc>
          <w:tcPr>
            <w:tcW w:w="2855" w:type="dxa"/>
            <w:noWrap/>
            <w:vAlign w:val="center"/>
          </w:tcPr>
          <w:p w14:paraId="16FF4E7E">
            <w:pPr>
              <w:widowControl/>
              <w:spacing w:line="240" w:lineRule="auto"/>
              <w:ind w:firstLine="0" w:firstLineChars="0"/>
              <w:jc w:val="center"/>
              <w:rPr>
                <w:b/>
              </w:rPr>
            </w:pPr>
            <w:r>
              <w:rPr>
                <w:rFonts w:hint="eastAsia"/>
                <w:b/>
              </w:rPr>
              <w:t>主要职责</w:t>
            </w:r>
          </w:p>
        </w:tc>
        <w:tc>
          <w:tcPr>
            <w:tcW w:w="1110" w:type="dxa"/>
            <w:noWrap/>
            <w:vAlign w:val="center"/>
          </w:tcPr>
          <w:p w14:paraId="621D9C57">
            <w:pPr>
              <w:widowControl/>
              <w:spacing w:line="240" w:lineRule="auto"/>
              <w:ind w:firstLine="0" w:firstLineChars="0"/>
              <w:jc w:val="center"/>
              <w:rPr>
                <w:b/>
              </w:rPr>
            </w:pPr>
            <w:r>
              <w:rPr>
                <w:rFonts w:hint="eastAsia"/>
                <w:b/>
              </w:rPr>
              <w:t>人员数量</w:t>
            </w:r>
          </w:p>
        </w:tc>
        <w:tc>
          <w:tcPr>
            <w:tcW w:w="2140" w:type="dxa"/>
            <w:vAlign w:val="center"/>
          </w:tcPr>
          <w:p w14:paraId="67480296">
            <w:pPr>
              <w:widowControl/>
              <w:spacing w:line="240" w:lineRule="auto"/>
              <w:ind w:firstLine="0" w:firstLineChars="0"/>
              <w:jc w:val="center"/>
              <w:rPr>
                <w:b/>
              </w:rPr>
            </w:pPr>
            <w:r>
              <w:rPr>
                <w:rFonts w:hint="eastAsia"/>
                <w:b/>
              </w:rPr>
              <w:t>人员要求</w:t>
            </w:r>
          </w:p>
        </w:tc>
        <w:tc>
          <w:tcPr>
            <w:tcW w:w="1042" w:type="dxa"/>
            <w:noWrap/>
            <w:vAlign w:val="center"/>
          </w:tcPr>
          <w:p w14:paraId="4EC6DEAC">
            <w:pPr>
              <w:widowControl/>
              <w:spacing w:line="240" w:lineRule="auto"/>
              <w:ind w:firstLine="0" w:firstLineChars="0"/>
              <w:jc w:val="center"/>
              <w:rPr>
                <w:b/>
              </w:rPr>
            </w:pPr>
            <w:r>
              <w:rPr>
                <w:rFonts w:hint="eastAsia"/>
                <w:b/>
              </w:rPr>
              <w:t>驻场要求</w:t>
            </w:r>
          </w:p>
        </w:tc>
      </w:tr>
      <w:tr w14:paraId="628E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9" w:type="dxa"/>
            <w:noWrap/>
            <w:vAlign w:val="center"/>
          </w:tcPr>
          <w:p w14:paraId="31694FF7">
            <w:pPr>
              <w:widowControl/>
              <w:spacing w:line="240" w:lineRule="auto"/>
              <w:ind w:firstLine="0" w:firstLineChars="0"/>
              <w:jc w:val="center"/>
            </w:pPr>
            <w:r>
              <w:rPr>
                <w:rFonts w:hint="eastAsia"/>
              </w:rPr>
              <w:t>项目经理</w:t>
            </w:r>
          </w:p>
        </w:tc>
        <w:tc>
          <w:tcPr>
            <w:tcW w:w="2855" w:type="dxa"/>
            <w:vAlign w:val="center"/>
          </w:tcPr>
          <w:p w14:paraId="1F5E9A6E">
            <w:pPr>
              <w:widowControl/>
              <w:spacing w:line="240" w:lineRule="auto"/>
              <w:ind w:firstLine="0" w:firstLineChars="0"/>
              <w:jc w:val="center"/>
            </w:pPr>
            <w:r>
              <w:rPr>
                <w:rFonts w:hint="eastAsia"/>
              </w:rPr>
              <w:t>负责项目质量和进度控制</w:t>
            </w:r>
          </w:p>
        </w:tc>
        <w:tc>
          <w:tcPr>
            <w:tcW w:w="1110" w:type="dxa"/>
            <w:noWrap/>
            <w:vAlign w:val="center"/>
          </w:tcPr>
          <w:p w14:paraId="5BCAD392">
            <w:pPr>
              <w:widowControl/>
              <w:spacing w:line="240" w:lineRule="auto"/>
              <w:ind w:firstLine="0" w:firstLineChars="0"/>
              <w:jc w:val="center"/>
            </w:pPr>
            <w:r>
              <w:rPr>
                <w:rFonts w:hint="eastAsia"/>
              </w:rPr>
              <w:t>1人</w:t>
            </w:r>
          </w:p>
        </w:tc>
        <w:tc>
          <w:tcPr>
            <w:tcW w:w="2140" w:type="dxa"/>
            <w:vAlign w:val="center"/>
          </w:tcPr>
          <w:p w14:paraId="471251DD">
            <w:pPr>
              <w:widowControl/>
              <w:spacing w:line="240" w:lineRule="auto"/>
              <w:ind w:firstLine="0" w:firstLineChars="0"/>
              <w:jc w:val="center"/>
            </w:pPr>
            <w:r>
              <w:rPr>
                <w:rFonts w:hint="eastAsia"/>
              </w:rPr>
              <w:t>具备</w:t>
            </w:r>
            <w:r>
              <w:rPr>
                <w:rFonts w:hint="eastAsia" w:cs="宋体"/>
              </w:rPr>
              <w:t>信息系统项目管理师</w:t>
            </w:r>
            <w:r>
              <w:rPr>
                <w:rFonts w:hint="eastAsia"/>
              </w:rPr>
              <w:t>资质证书，10</w:t>
            </w:r>
            <w:r>
              <w:t>年</w:t>
            </w:r>
            <w:r>
              <w:rPr>
                <w:rFonts w:hint="eastAsia"/>
              </w:rPr>
              <w:t>或</w:t>
            </w:r>
            <w:r>
              <w:t>以上</w:t>
            </w:r>
            <w:r>
              <w:rPr>
                <w:rFonts w:hint="eastAsia"/>
              </w:rPr>
              <w:t>信息化工作</w:t>
            </w:r>
            <w:r>
              <w:t>经验</w:t>
            </w:r>
          </w:p>
        </w:tc>
        <w:tc>
          <w:tcPr>
            <w:tcW w:w="1042" w:type="dxa"/>
            <w:noWrap/>
            <w:vAlign w:val="center"/>
          </w:tcPr>
          <w:p w14:paraId="64D728A5">
            <w:pPr>
              <w:widowControl/>
              <w:spacing w:line="240" w:lineRule="auto"/>
              <w:ind w:firstLine="0" w:firstLineChars="0"/>
              <w:jc w:val="center"/>
            </w:pPr>
            <w:r>
              <w:rPr>
                <w:rFonts w:hint="eastAsia"/>
              </w:rPr>
              <w:t>驻场</w:t>
            </w:r>
          </w:p>
        </w:tc>
      </w:tr>
      <w:tr w14:paraId="54B7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9" w:type="dxa"/>
            <w:noWrap/>
            <w:vAlign w:val="center"/>
          </w:tcPr>
          <w:p w14:paraId="65BD9A37">
            <w:pPr>
              <w:widowControl/>
              <w:spacing w:line="240" w:lineRule="auto"/>
              <w:ind w:firstLine="0" w:firstLineChars="0"/>
              <w:jc w:val="center"/>
            </w:pPr>
            <w:r>
              <w:rPr>
                <w:rFonts w:hint="eastAsia"/>
              </w:rPr>
              <w:t>技术负责人</w:t>
            </w:r>
          </w:p>
        </w:tc>
        <w:tc>
          <w:tcPr>
            <w:tcW w:w="2855" w:type="dxa"/>
            <w:vAlign w:val="center"/>
          </w:tcPr>
          <w:p w14:paraId="5ABD221E">
            <w:pPr>
              <w:widowControl/>
              <w:spacing w:line="240" w:lineRule="auto"/>
              <w:ind w:firstLine="0" w:firstLineChars="0"/>
              <w:jc w:val="center"/>
            </w:pPr>
            <w:r>
              <w:rPr>
                <w:rFonts w:hint="eastAsia"/>
              </w:rPr>
              <w:t>负责项目整体技术设计及审核</w:t>
            </w:r>
          </w:p>
        </w:tc>
        <w:tc>
          <w:tcPr>
            <w:tcW w:w="1110" w:type="dxa"/>
            <w:noWrap/>
            <w:vAlign w:val="center"/>
          </w:tcPr>
          <w:p w14:paraId="16CC8216">
            <w:pPr>
              <w:widowControl/>
              <w:spacing w:line="240" w:lineRule="auto"/>
              <w:ind w:firstLine="0" w:firstLineChars="0"/>
              <w:jc w:val="center"/>
            </w:pPr>
            <w:r>
              <w:rPr>
                <w:rFonts w:hint="eastAsia"/>
              </w:rPr>
              <w:t>1人</w:t>
            </w:r>
          </w:p>
        </w:tc>
        <w:tc>
          <w:tcPr>
            <w:tcW w:w="2140" w:type="dxa"/>
            <w:vAlign w:val="center"/>
          </w:tcPr>
          <w:p w14:paraId="74757F3C">
            <w:pPr>
              <w:widowControl/>
              <w:spacing w:line="240" w:lineRule="auto"/>
              <w:ind w:firstLine="0" w:firstLineChars="0"/>
              <w:jc w:val="center"/>
            </w:pPr>
            <w:r>
              <w:rPr>
                <w:rFonts w:hint="eastAsia"/>
              </w:rPr>
              <w:t>具备</w:t>
            </w:r>
            <w:r>
              <w:rPr>
                <w:rFonts w:hint="eastAsia" w:cs="宋体"/>
              </w:rPr>
              <w:t>信息系统项目管理师</w:t>
            </w:r>
            <w:r>
              <w:rPr>
                <w:rFonts w:hint="eastAsia"/>
              </w:rPr>
              <w:t>资质证书，10</w:t>
            </w:r>
            <w:r>
              <w:t>年</w:t>
            </w:r>
            <w:r>
              <w:rPr>
                <w:rFonts w:hint="eastAsia"/>
              </w:rPr>
              <w:t>或</w:t>
            </w:r>
            <w:r>
              <w:t>以上</w:t>
            </w:r>
            <w:r>
              <w:rPr>
                <w:rFonts w:hint="eastAsia"/>
              </w:rPr>
              <w:t>信息化工作</w:t>
            </w:r>
            <w:r>
              <w:t>经验</w:t>
            </w:r>
          </w:p>
        </w:tc>
        <w:tc>
          <w:tcPr>
            <w:tcW w:w="1042" w:type="dxa"/>
            <w:noWrap/>
            <w:vAlign w:val="center"/>
          </w:tcPr>
          <w:p w14:paraId="66A3AB90">
            <w:pPr>
              <w:widowControl/>
              <w:spacing w:line="240" w:lineRule="auto"/>
              <w:ind w:firstLine="0" w:firstLineChars="0"/>
              <w:jc w:val="center"/>
            </w:pPr>
            <w:r>
              <w:rPr>
                <w:rFonts w:hint="eastAsia"/>
              </w:rPr>
              <w:t>不驻场</w:t>
            </w:r>
          </w:p>
        </w:tc>
      </w:tr>
      <w:tr w14:paraId="12C6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9" w:type="dxa"/>
            <w:noWrap/>
            <w:vAlign w:val="center"/>
          </w:tcPr>
          <w:p w14:paraId="54E03264">
            <w:pPr>
              <w:widowControl/>
              <w:spacing w:line="240" w:lineRule="auto"/>
              <w:ind w:firstLine="0" w:firstLineChars="0"/>
              <w:jc w:val="center"/>
            </w:pPr>
            <w:r>
              <w:rPr>
                <w:rFonts w:hint="eastAsia"/>
              </w:rPr>
              <w:t>产品经理</w:t>
            </w:r>
          </w:p>
        </w:tc>
        <w:tc>
          <w:tcPr>
            <w:tcW w:w="2855" w:type="dxa"/>
            <w:vAlign w:val="center"/>
          </w:tcPr>
          <w:p w14:paraId="0A79E58C">
            <w:pPr>
              <w:widowControl/>
              <w:spacing w:line="240" w:lineRule="auto"/>
              <w:ind w:firstLine="0" w:firstLineChars="0"/>
              <w:jc w:val="center"/>
            </w:pPr>
            <w:r>
              <w:rPr>
                <w:rFonts w:hint="eastAsia"/>
              </w:rPr>
              <w:t>负责项目需求评估与产品设计</w:t>
            </w:r>
          </w:p>
        </w:tc>
        <w:tc>
          <w:tcPr>
            <w:tcW w:w="1110" w:type="dxa"/>
            <w:noWrap/>
            <w:vAlign w:val="center"/>
          </w:tcPr>
          <w:p w14:paraId="37D943AE">
            <w:pPr>
              <w:widowControl/>
              <w:spacing w:line="240" w:lineRule="auto"/>
              <w:ind w:firstLine="0" w:firstLineChars="0"/>
              <w:jc w:val="center"/>
            </w:pPr>
            <w:r>
              <w:rPr>
                <w:rFonts w:hint="eastAsia"/>
              </w:rPr>
              <w:t>1人</w:t>
            </w:r>
          </w:p>
        </w:tc>
        <w:tc>
          <w:tcPr>
            <w:tcW w:w="2140" w:type="dxa"/>
            <w:vAlign w:val="center"/>
          </w:tcPr>
          <w:p w14:paraId="630415DD">
            <w:pPr>
              <w:widowControl/>
              <w:spacing w:line="240" w:lineRule="auto"/>
              <w:ind w:firstLine="0" w:firstLineChars="0"/>
              <w:jc w:val="center"/>
            </w:pPr>
            <w:r>
              <w:t>5年</w:t>
            </w:r>
            <w:r>
              <w:rPr>
                <w:rFonts w:hint="eastAsia"/>
              </w:rPr>
              <w:t>或</w:t>
            </w:r>
            <w:r>
              <w:t>以上</w:t>
            </w:r>
            <w:r>
              <w:rPr>
                <w:rFonts w:hint="eastAsia"/>
              </w:rPr>
              <w:t>信息化工作</w:t>
            </w:r>
            <w:r>
              <w:t>经验</w:t>
            </w:r>
          </w:p>
        </w:tc>
        <w:tc>
          <w:tcPr>
            <w:tcW w:w="1042" w:type="dxa"/>
            <w:noWrap/>
            <w:vAlign w:val="center"/>
          </w:tcPr>
          <w:p w14:paraId="276089FD">
            <w:pPr>
              <w:widowControl/>
              <w:spacing w:line="240" w:lineRule="auto"/>
              <w:ind w:firstLine="0" w:firstLineChars="0"/>
              <w:jc w:val="center"/>
            </w:pPr>
            <w:r>
              <w:rPr>
                <w:rFonts w:hint="eastAsia"/>
              </w:rPr>
              <w:t>驻场</w:t>
            </w:r>
          </w:p>
        </w:tc>
      </w:tr>
      <w:tr w14:paraId="4321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9" w:type="dxa"/>
            <w:noWrap/>
            <w:vAlign w:val="center"/>
          </w:tcPr>
          <w:p w14:paraId="5054BC5D">
            <w:pPr>
              <w:widowControl/>
              <w:spacing w:line="240" w:lineRule="auto"/>
              <w:ind w:firstLine="0" w:firstLineChars="0"/>
              <w:jc w:val="center"/>
            </w:pPr>
            <w:r>
              <w:rPr>
                <w:rFonts w:hint="eastAsia"/>
              </w:rPr>
              <w:t>研发</w:t>
            </w:r>
          </w:p>
        </w:tc>
        <w:tc>
          <w:tcPr>
            <w:tcW w:w="2855" w:type="dxa"/>
            <w:noWrap/>
            <w:vAlign w:val="center"/>
          </w:tcPr>
          <w:p w14:paraId="4639267F">
            <w:pPr>
              <w:widowControl/>
              <w:spacing w:line="240" w:lineRule="auto"/>
              <w:ind w:firstLine="0" w:firstLineChars="0"/>
              <w:jc w:val="center"/>
            </w:pPr>
            <w:r>
              <w:rPr>
                <w:rFonts w:hint="eastAsia"/>
              </w:rPr>
              <w:t>负责项目具体开发、测试、部署、调试等</w:t>
            </w:r>
          </w:p>
        </w:tc>
        <w:tc>
          <w:tcPr>
            <w:tcW w:w="1110" w:type="dxa"/>
            <w:noWrap/>
            <w:vAlign w:val="center"/>
          </w:tcPr>
          <w:p w14:paraId="5261173D">
            <w:pPr>
              <w:widowControl/>
              <w:spacing w:line="240" w:lineRule="auto"/>
              <w:ind w:firstLine="0" w:firstLineChars="0"/>
              <w:jc w:val="center"/>
            </w:pPr>
            <w:r>
              <w:rPr>
                <w:rFonts w:hint="eastAsia"/>
              </w:rPr>
              <w:t>23人</w:t>
            </w:r>
          </w:p>
        </w:tc>
        <w:tc>
          <w:tcPr>
            <w:tcW w:w="2140" w:type="dxa"/>
            <w:vAlign w:val="center"/>
          </w:tcPr>
          <w:p w14:paraId="2F568CDA">
            <w:pPr>
              <w:widowControl/>
              <w:spacing w:line="240" w:lineRule="auto"/>
              <w:ind w:firstLine="0" w:firstLineChars="0"/>
              <w:jc w:val="center"/>
            </w:pPr>
            <w:r>
              <w:t>5年</w:t>
            </w:r>
            <w:r>
              <w:rPr>
                <w:rFonts w:hint="eastAsia"/>
              </w:rPr>
              <w:t>或</w:t>
            </w:r>
            <w:r>
              <w:t>以上</w:t>
            </w:r>
            <w:r>
              <w:rPr>
                <w:rFonts w:hint="eastAsia"/>
              </w:rPr>
              <w:t>信息化工作</w:t>
            </w:r>
            <w:r>
              <w:t>经验</w:t>
            </w:r>
          </w:p>
        </w:tc>
        <w:tc>
          <w:tcPr>
            <w:tcW w:w="1042" w:type="dxa"/>
            <w:noWrap/>
            <w:vAlign w:val="center"/>
          </w:tcPr>
          <w:p w14:paraId="5934A0A7">
            <w:pPr>
              <w:widowControl/>
              <w:spacing w:line="240" w:lineRule="auto"/>
              <w:ind w:firstLine="0" w:firstLineChars="0"/>
              <w:jc w:val="center"/>
            </w:pPr>
            <w:r>
              <w:rPr>
                <w:rFonts w:hint="eastAsia"/>
              </w:rPr>
              <w:t>不少于3人驻场</w:t>
            </w:r>
          </w:p>
        </w:tc>
      </w:tr>
    </w:tbl>
    <w:p w14:paraId="4F5562AD">
      <w:r>
        <w:t>2）投标人应针对本项目提供不少于</w:t>
      </w:r>
      <w:r>
        <w:rPr>
          <w:rFonts w:hint="eastAsia"/>
        </w:rPr>
        <w:t>5</w:t>
      </w:r>
      <w:r>
        <w:t>人的质保期间支撑团队（其中</w:t>
      </w:r>
      <w:r>
        <w:rPr>
          <w:rFonts w:hint="eastAsia"/>
        </w:rPr>
        <w:t>项目</w:t>
      </w:r>
      <w:r>
        <w:t>经理</w:t>
      </w:r>
      <w:r>
        <w:rPr>
          <w:rFonts w:hint="eastAsia"/>
        </w:rPr>
        <w:t>1</w:t>
      </w:r>
      <w:r>
        <w:t>人，产品经理</w:t>
      </w:r>
      <w:r>
        <w:rPr>
          <w:rFonts w:hint="eastAsia"/>
        </w:rPr>
        <w:t>1</w:t>
      </w:r>
      <w:r>
        <w:t>人，技术工程师不少于</w:t>
      </w:r>
      <w:r>
        <w:rPr>
          <w:rFonts w:hint="eastAsia"/>
        </w:rPr>
        <w:t>3</w:t>
      </w:r>
      <w:r>
        <w:t>人）；投标人的相关服务人员需具备相应的服务能力，需提供相关证明（最近一个季度</w:t>
      </w:r>
      <w:r>
        <w:rPr>
          <w:rFonts w:hint="eastAsia" w:cs="宋体"/>
          <w:spacing w:val="-8"/>
        </w:rPr>
        <w:t>任意一个月</w:t>
      </w:r>
      <w:r>
        <w:t>依法缴纳社保费的证明</w:t>
      </w:r>
      <w:r>
        <w:rPr>
          <w:rFonts w:hint="eastAsia"/>
        </w:rPr>
        <w:t>等</w:t>
      </w:r>
      <w: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22"/>
        <w:gridCol w:w="1180"/>
        <w:gridCol w:w="2302"/>
        <w:gridCol w:w="1208"/>
      </w:tblGrid>
      <w:tr w14:paraId="7862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745FF35">
            <w:pPr>
              <w:widowControl/>
              <w:spacing w:line="240" w:lineRule="auto"/>
              <w:ind w:firstLine="0" w:firstLineChars="0"/>
              <w:jc w:val="center"/>
              <w:rPr>
                <w:b/>
              </w:rPr>
            </w:pPr>
            <w:r>
              <w:rPr>
                <w:rFonts w:hint="eastAsia"/>
                <w:b/>
              </w:rPr>
              <w:t>角色</w:t>
            </w:r>
          </w:p>
        </w:tc>
        <w:tc>
          <w:tcPr>
            <w:tcW w:w="2422" w:type="dxa"/>
            <w:noWrap/>
            <w:vAlign w:val="center"/>
          </w:tcPr>
          <w:p w14:paraId="3742DDC0">
            <w:pPr>
              <w:widowControl/>
              <w:spacing w:line="240" w:lineRule="auto"/>
              <w:ind w:firstLine="0" w:firstLineChars="0"/>
              <w:jc w:val="center"/>
              <w:rPr>
                <w:b/>
              </w:rPr>
            </w:pPr>
            <w:r>
              <w:rPr>
                <w:rFonts w:hint="eastAsia"/>
                <w:b/>
              </w:rPr>
              <w:t>主要职责</w:t>
            </w:r>
          </w:p>
        </w:tc>
        <w:tc>
          <w:tcPr>
            <w:tcW w:w="1180" w:type="dxa"/>
            <w:noWrap/>
            <w:vAlign w:val="center"/>
          </w:tcPr>
          <w:p w14:paraId="020D954D">
            <w:pPr>
              <w:widowControl/>
              <w:spacing w:line="240" w:lineRule="auto"/>
              <w:ind w:firstLine="0" w:firstLineChars="0"/>
              <w:jc w:val="center"/>
              <w:rPr>
                <w:b/>
              </w:rPr>
            </w:pPr>
            <w:r>
              <w:rPr>
                <w:rFonts w:hint="eastAsia"/>
                <w:b/>
              </w:rPr>
              <w:t>人员数量</w:t>
            </w:r>
          </w:p>
        </w:tc>
        <w:tc>
          <w:tcPr>
            <w:tcW w:w="2302" w:type="dxa"/>
            <w:vAlign w:val="center"/>
          </w:tcPr>
          <w:p w14:paraId="26292927">
            <w:pPr>
              <w:widowControl/>
              <w:spacing w:line="240" w:lineRule="auto"/>
              <w:ind w:firstLine="0" w:firstLineChars="0"/>
              <w:jc w:val="center"/>
              <w:rPr>
                <w:b/>
              </w:rPr>
            </w:pPr>
            <w:r>
              <w:rPr>
                <w:rFonts w:hint="eastAsia"/>
                <w:b/>
              </w:rPr>
              <w:t>人员要求</w:t>
            </w:r>
          </w:p>
        </w:tc>
        <w:tc>
          <w:tcPr>
            <w:tcW w:w="1208" w:type="dxa"/>
            <w:noWrap/>
            <w:vAlign w:val="center"/>
          </w:tcPr>
          <w:p w14:paraId="4D04BA47">
            <w:pPr>
              <w:widowControl/>
              <w:spacing w:line="240" w:lineRule="auto"/>
              <w:ind w:firstLine="0" w:firstLineChars="0"/>
              <w:jc w:val="center"/>
              <w:rPr>
                <w:b/>
              </w:rPr>
            </w:pPr>
            <w:r>
              <w:rPr>
                <w:rFonts w:hint="eastAsia"/>
                <w:b/>
              </w:rPr>
              <w:t>驻场要求</w:t>
            </w:r>
          </w:p>
        </w:tc>
      </w:tr>
      <w:tr w14:paraId="4BD0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22933622">
            <w:pPr>
              <w:widowControl/>
              <w:spacing w:line="240" w:lineRule="auto"/>
              <w:ind w:firstLine="0" w:firstLineChars="0"/>
              <w:jc w:val="center"/>
            </w:pPr>
            <w:r>
              <w:rPr>
                <w:rFonts w:hint="eastAsia"/>
              </w:rPr>
              <w:t>项目经理</w:t>
            </w:r>
          </w:p>
        </w:tc>
        <w:tc>
          <w:tcPr>
            <w:tcW w:w="2422" w:type="dxa"/>
            <w:vAlign w:val="center"/>
          </w:tcPr>
          <w:p w14:paraId="6FED049F">
            <w:pPr>
              <w:widowControl/>
              <w:spacing w:line="240" w:lineRule="auto"/>
              <w:ind w:firstLine="0" w:firstLineChars="0"/>
              <w:jc w:val="center"/>
            </w:pPr>
            <w:r>
              <w:rPr>
                <w:rFonts w:hint="eastAsia"/>
              </w:rPr>
              <w:t>负责项目质量和进度控制</w:t>
            </w:r>
          </w:p>
        </w:tc>
        <w:tc>
          <w:tcPr>
            <w:tcW w:w="1180" w:type="dxa"/>
            <w:noWrap/>
            <w:vAlign w:val="center"/>
          </w:tcPr>
          <w:p w14:paraId="456C010E">
            <w:pPr>
              <w:widowControl/>
              <w:spacing w:line="240" w:lineRule="auto"/>
              <w:ind w:firstLine="0" w:firstLineChars="0"/>
              <w:jc w:val="center"/>
            </w:pPr>
            <w:r>
              <w:rPr>
                <w:rFonts w:hint="eastAsia"/>
              </w:rPr>
              <w:t>1人</w:t>
            </w:r>
          </w:p>
        </w:tc>
        <w:tc>
          <w:tcPr>
            <w:tcW w:w="2302" w:type="dxa"/>
            <w:vAlign w:val="center"/>
          </w:tcPr>
          <w:p w14:paraId="3958E5FC">
            <w:pPr>
              <w:widowControl/>
              <w:spacing w:line="240" w:lineRule="auto"/>
              <w:ind w:firstLine="0" w:firstLineChars="0"/>
              <w:jc w:val="center"/>
            </w:pPr>
            <w:r>
              <w:rPr>
                <w:rFonts w:hint="eastAsia"/>
              </w:rPr>
              <w:t>5</w:t>
            </w:r>
            <w:r>
              <w:t>年</w:t>
            </w:r>
            <w:r>
              <w:rPr>
                <w:rFonts w:hint="eastAsia"/>
              </w:rPr>
              <w:t>或</w:t>
            </w:r>
            <w:r>
              <w:t>以上</w:t>
            </w:r>
            <w:r>
              <w:rPr>
                <w:rFonts w:hint="eastAsia"/>
              </w:rPr>
              <w:t>信息化工作</w:t>
            </w:r>
            <w:r>
              <w:t>经验</w:t>
            </w:r>
          </w:p>
        </w:tc>
        <w:tc>
          <w:tcPr>
            <w:tcW w:w="1208" w:type="dxa"/>
            <w:noWrap/>
            <w:vAlign w:val="center"/>
          </w:tcPr>
          <w:p w14:paraId="504F3E6A">
            <w:pPr>
              <w:widowControl/>
              <w:spacing w:line="240" w:lineRule="auto"/>
              <w:ind w:firstLine="0" w:firstLineChars="0"/>
              <w:jc w:val="center"/>
            </w:pPr>
            <w:r>
              <w:rPr>
                <w:rFonts w:hint="eastAsia"/>
              </w:rPr>
              <w:t>不驻场</w:t>
            </w:r>
          </w:p>
        </w:tc>
      </w:tr>
      <w:tr w14:paraId="7B99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8C5EF69">
            <w:pPr>
              <w:widowControl/>
              <w:spacing w:line="240" w:lineRule="auto"/>
              <w:ind w:firstLine="0" w:firstLineChars="0"/>
              <w:jc w:val="center"/>
            </w:pPr>
            <w:r>
              <w:rPr>
                <w:rFonts w:hint="eastAsia"/>
              </w:rPr>
              <w:t>产品经理</w:t>
            </w:r>
          </w:p>
        </w:tc>
        <w:tc>
          <w:tcPr>
            <w:tcW w:w="2422" w:type="dxa"/>
            <w:vAlign w:val="center"/>
          </w:tcPr>
          <w:p w14:paraId="0499922C">
            <w:pPr>
              <w:widowControl/>
              <w:spacing w:line="240" w:lineRule="auto"/>
              <w:ind w:firstLine="0" w:firstLineChars="0"/>
              <w:jc w:val="center"/>
            </w:pPr>
            <w:r>
              <w:rPr>
                <w:rFonts w:hint="eastAsia"/>
              </w:rPr>
              <w:t>负责项目需求评估与产品设计</w:t>
            </w:r>
          </w:p>
        </w:tc>
        <w:tc>
          <w:tcPr>
            <w:tcW w:w="1180" w:type="dxa"/>
            <w:noWrap/>
            <w:vAlign w:val="center"/>
          </w:tcPr>
          <w:p w14:paraId="1345878C">
            <w:pPr>
              <w:widowControl/>
              <w:spacing w:line="240" w:lineRule="auto"/>
              <w:ind w:firstLine="0" w:firstLineChars="0"/>
              <w:jc w:val="center"/>
            </w:pPr>
            <w:r>
              <w:rPr>
                <w:rFonts w:hint="eastAsia"/>
              </w:rPr>
              <w:t>1人</w:t>
            </w:r>
          </w:p>
        </w:tc>
        <w:tc>
          <w:tcPr>
            <w:tcW w:w="2302" w:type="dxa"/>
            <w:vAlign w:val="center"/>
          </w:tcPr>
          <w:p w14:paraId="492DEB33">
            <w:pPr>
              <w:widowControl/>
              <w:spacing w:line="240" w:lineRule="auto"/>
              <w:ind w:firstLine="0" w:firstLineChars="0"/>
              <w:jc w:val="center"/>
            </w:pPr>
            <w:r>
              <w:rPr>
                <w:rFonts w:hint="eastAsia"/>
              </w:rPr>
              <w:t>5</w:t>
            </w:r>
            <w:r>
              <w:t>年</w:t>
            </w:r>
            <w:r>
              <w:rPr>
                <w:rFonts w:hint="eastAsia"/>
              </w:rPr>
              <w:t>或</w:t>
            </w:r>
            <w:r>
              <w:t>以上</w:t>
            </w:r>
            <w:r>
              <w:rPr>
                <w:rFonts w:hint="eastAsia"/>
              </w:rPr>
              <w:t>信息化工作</w:t>
            </w:r>
            <w:r>
              <w:t>经验</w:t>
            </w:r>
          </w:p>
        </w:tc>
        <w:tc>
          <w:tcPr>
            <w:tcW w:w="1208" w:type="dxa"/>
            <w:noWrap/>
            <w:vAlign w:val="center"/>
          </w:tcPr>
          <w:p w14:paraId="20765A72">
            <w:pPr>
              <w:widowControl/>
              <w:spacing w:line="240" w:lineRule="auto"/>
              <w:ind w:firstLine="0" w:firstLineChars="0"/>
              <w:jc w:val="center"/>
            </w:pPr>
            <w:r>
              <w:rPr>
                <w:rFonts w:hint="eastAsia"/>
              </w:rPr>
              <w:t>不驻场</w:t>
            </w:r>
          </w:p>
        </w:tc>
      </w:tr>
      <w:tr w14:paraId="4158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39B5C73B">
            <w:pPr>
              <w:widowControl/>
              <w:spacing w:line="240" w:lineRule="auto"/>
              <w:ind w:firstLine="0" w:firstLineChars="0"/>
              <w:jc w:val="center"/>
            </w:pPr>
            <w:r>
              <w:rPr>
                <w:rFonts w:hint="eastAsia"/>
              </w:rPr>
              <w:t>技术工程师</w:t>
            </w:r>
          </w:p>
        </w:tc>
        <w:tc>
          <w:tcPr>
            <w:tcW w:w="2422" w:type="dxa"/>
            <w:noWrap/>
            <w:vAlign w:val="center"/>
          </w:tcPr>
          <w:p w14:paraId="12A06A6F">
            <w:pPr>
              <w:widowControl/>
              <w:spacing w:line="240" w:lineRule="auto"/>
              <w:ind w:firstLine="0" w:firstLineChars="0"/>
              <w:jc w:val="center"/>
            </w:pPr>
            <w:r>
              <w:rPr>
                <w:rFonts w:hint="eastAsia"/>
              </w:rPr>
              <w:t>负责项目运行维护</w:t>
            </w:r>
          </w:p>
        </w:tc>
        <w:tc>
          <w:tcPr>
            <w:tcW w:w="1180" w:type="dxa"/>
            <w:noWrap/>
            <w:vAlign w:val="center"/>
          </w:tcPr>
          <w:p w14:paraId="267CA9F4">
            <w:pPr>
              <w:widowControl/>
              <w:spacing w:line="240" w:lineRule="auto"/>
              <w:ind w:firstLine="0" w:firstLineChars="0"/>
              <w:jc w:val="center"/>
            </w:pPr>
            <w:r>
              <w:rPr>
                <w:rFonts w:hint="eastAsia"/>
              </w:rPr>
              <w:t>3人</w:t>
            </w:r>
          </w:p>
        </w:tc>
        <w:tc>
          <w:tcPr>
            <w:tcW w:w="2302" w:type="dxa"/>
            <w:vAlign w:val="center"/>
          </w:tcPr>
          <w:p w14:paraId="76B14733">
            <w:pPr>
              <w:widowControl/>
              <w:spacing w:line="240" w:lineRule="auto"/>
              <w:ind w:firstLine="0" w:firstLineChars="0"/>
              <w:jc w:val="center"/>
            </w:pPr>
            <w:r>
              <w:rPr>
                <w:rFonts w:hint="eastAsia"/>
              </w:rPr>
              <w:t>5</w:t>
            </w:r>
            <w:r>
              <w:t>年</w:t>
            </w:r>
            <w:r>
              <w:rPr>
                <w:rFonts w:hint="eastAsia"/>
              </w:rPr>
              <w:t>或</w:t>
            </w:r>
            <w:r>
              <w:t>以上</w:t>
            </w:r>
            <w:r>
              <w:rPr>
                <w:rFonts w:hint="eastAsia"/>
              </w:rPr>
              <w:t>信息化工作</w:t>
            </w:r>
            <w:r>
              <w:t>经验</w:t>
            </w:r>
          </w:p>
        </w:tc>
        <w:tc>
          <w:tcPr>
            <w:tcW w:w="1208" w:type="dxa"/>
            <w:noWrap/>
            <w:vAlign w:val="center"/>
          </w:tcPr>
          <w:p w14:paraId="7E92F5BF">
            <w:pPr>
              <w:widowControl/>
              <w:spacing w:line="240" w:lineRule="auto"/>
              <w:ind w:firstLine="0" w:firstLineChars="0"/>
              <w:jc w:val="center"/>
            </w:pPr>
            <w:r>
              <w:rPr>
                <w:rFonts w:hint="eastAsia"/>
              </w:rPr>
              <w:t>至少2人驻场</w:t>
            </w:r>
          </w:p>
        </w:tc>
      </w:tr>
    </w:tbl>
    <w:p w14:paraId="2ADA00D3">
      <w:pPr>
        <w:pStyle w:val="3"/>
      </w:pPr>
      <w:bookmarkStart w:id="36" w:name="_Toc63785511"/>
      <w:r>
        <w:t>等级保护要求</w:t>
      </w:r>
      <w:bookmarkEnd w:id="36"/>
    </w:p>
    <w:p w14:paraId="1D4A248B">
      <w:r>
        <w:rPr>
          <w:rFonts w:hint="eastAsia"/>
        </w:rPr>
        <w:t>本项目等级保护要求：参照等保三级要求建设。</w:t>
      </w:r>
    </w:p>
    <w:p w14:paraId="4AD0A37D">
      <w:pPr>
        <w:pStyle w:val="3"/>
      </w:pPr>
      <w:r>
        <w:rPr>
          <w:rFonts w:hint="eastAsia"/>
        </w:rPr>
        <w:t>商用密码应用需求</w:t>
      </w:r>
    </w:p>
    <w:p w14:paraId="67EF166E">
      <w:r>
        <w:rPr>
          <w:rFonts w:hint="eastAsia"/>
        </w:rPr>
        <w:t>依据GB/T39786-2021《信息安全技术信息系统密码应用基本要求》，结合本系统风险控制需求分析结果，本系统的主要密码应用需求包括如下:</w:t>
      </w:r>
    </w:p>
    <w:tbl>
      <w:tblPr>
        <w:tblStyle w:val="35"/>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83"/>
        <w:gridCol w:w="788"/>
        <w:gridCol w:w="2098"/>
        <w:gridCol w:w="3412"/>
        <w:gridCol w:w="1445"/>
      </w:tblGrid>
      <w:tr w14:paraId="4A1D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tblHeader/>
          <w:jc w:val="center"/>
        </w:trPr>
        <w:tc>
          <w:tcPr>
            <w:tcW w:w="921" w:type="pct"/>
            <w:gridSpan w:val="2"/>
            <w:vAlign w:val="center"/>
          </w:tcPr>
          <w:p w14:paraId="0C41EFA1">
            <w:pPr>
              <w:ind w:firstLine="0" w:firstLineChars="0"/>
            </w:pPr>
            <w:r>
              <w:rPr>
                <w:rFonts w:hint="eastAsia"/>
              </w:rPr>
              <w:t>安全层面</w:t>
            </w:r>
          </w:p>
        </w:tc>
        <w:tc>
          <w:tcPr>
            <w:tcW w:w="1230" w:type="pct"/>
            <w:vAlign w:val="center"/>
          </w:tcPr>
          <w:p w14:paraId="72A66002">
            <w:pPr>
              <w:ind w:firstLine="0" w:firstLineChars="0"/>
            </w:pPr>
            <w:r>
              <w:rPr>
                <w:rFonts w:hint="eastAsia"/>
              </w:rPr>
              <w:t>指标要求</w:t>
            </w:r>
          </w:p>
        </w:tc>
        <w:tc>
          <w:tcPr>
            <w:tcW w:w="2000" w:type="pct"/>
            <w:vAlign w:val="center"/>
          </w:tcPr>
          <w:p w14:paraId="6A16A311">
            <w:pPr>
              <w:ind w:firstLine="0" w:firstLineChars="0"/>
            </w:pPr>
            <w:r>
              <w:rPr>
                <w:rFonts w:hint="eastAsia"/>
              </w:rPr>
              <w:t>系统密码应用需求</w:t>
            </w:r>
          </w:p>
        </w:tc>
        <w:tc>
          <w:tcPr>
            <w:tcW w:w="847" w:type="pct"/>
            <w:vAlign w:val="center"/>
          </w:tcPr>
          <w:p w14:paraId="77DED387">
            <w:pPr>
              <w:ind w:firstLine="0" w:firstLineChars="0"/>
            </w:pPr>
            <w:r>
              <w:rPr>
                <w:rFonts w:hint="eastAsia"/>
              </w:rPr>
              <w:t>不适用说明</w:t>
            </w:r>
          </w:p>
        </w:tc>
      </w:tr>
      <w:tr w14:paraId="0BBA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restart"/>
            <w:vAlign w:val="center"/>
          </w:tcPr>
          <w:p w14:paraId="78D34E9A">
            <w:pPr>
              <w:ind w:firstLine="0" w:firstLineChars="0"/>
            </w:pPr>
            <w:r>
              <w:rPr>
                <w:rFonts w:hint="eastAsia"/>
              </w:rPr>
              <w:t>计算平台安全</w:t>
            </w:r>
          </w:p>
        </w:tc>
        <w:tc>
          <w:tcPr>
            <w:tcW w:w="462" w:type="pct"/>
            <w:vMerge w:val="restart"/>
            <w:vAlign w:val="center"/>
          </w:tcPr>
          <w:p w14:paraId="2E06CEF3">
            <w:pPr>
              <w:ind w:firstLine="0" w:firstLineChars="0"/>
            </w:pPr>
            <w:r>
              <w:rPr>
                <w:rFonts w:hint="eastAsia"/>
              </w:rPr>
              <w:t>物理和环境安全</w:t>
            </w:r>
          </w:p>
        </w:tc>
        <w:tc>
          <w:tcPr>
            <w:tcW w:w="1230" w:type="pct"/>
            <w:vAlign w:val="center"/>
          </w:tcPr>
          <w:p w14:paraId="235693F4">
            <w:pPr>
              <w:ind w:firstLine="0" w:firstLineChars="0"/>
            </w:pPr>
            <w:r>
              <w:rPr>
                <w:rFonts w:hint="eastAsia"/>
              </w:rPr>
              <w:t>身份鉴别</w:t>
            </w:r>
          </w:p>
        </w:tc>
        <w:tc>
          <w:tcPr>
            <w:tcW w:w="2000" w:type="pct"/>
            <w:vAlign w:val="center"/>
          </w:tcPr>
          <w:p w14:paraId="22317F41">
            <w:pPr>
              <w:ind w:firstLine="0" w:firstLineChars="0"/>
            </w:pPr>
            <w:r>
              <w:rPr>
                <w:rFonts w:hint="eastAsia"/>
              </w:rPr>
              <w:t>已符合密码应用要求。</w:t>
            </w:r>
          </w:p>
        </w:tc>
        <w:tc>
          <w:tcPr>
            <w:tcW w:w="847" w:type="pct"/>
            <w:vAlign w:val="center"/>
          </w:tcPr>
          <w:p w14:paraId="3AB62750">
            <w:pPr>
              <w:ind w:firstLine="0" w:firstLineChars="0"/>
            </w:pPr>
            <w:r>
              <w:rPr>
                <w:rFonts w:hint="eastAsia"/>
              </w:rPr>
              <w:t>无</w:t>
            </w:r>
          </w:p>
        </w:tc>
      </w:tr>
      <w:tr w14:paraId="2BD0D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02BBBBE8">
            <w:pPr>
              <w:ind w:firstLine="0" w:firstLineChars="0"/>
            </w:pPr>
          </w:p>
        </w:tc>
        <w:tc>
          <w:tcPr>
            <w:tcW w:w="462" w:type="pct"/>
            <w:vMerge w:val="continue"/>
            <w:vAlign w:val="center"/>
          </w:tcPr>
          <w:p w14:paraId="46315435">
            <w:pPr>
              <w:ind w:firstLine="0" w:firstLineChars="0"/>
            </w:pPr>
          </w:p>
        </w:tc>
        <w:tc>
          <w:tcPr>
            <w:tcW w:w="1230" w:type="pct"/>
            <w:vAlign w:val="center"/>
          </w:tcPr>
          <w:p w14:paraId="436E23C3">
            <w:pPr>
              <w:ind w:firstLine="0" w:firstLineChars="0"/>
            </w:pPr>
            <w:r>
              <w:rPr>
                <w:rFonts w:hint="eastAsia"/>
              </w:rPr>
              <w:t>电子门禁记录数据完整性</w:t>
            </w:r>
          </w:p>
        </w:tc>
        <w:tc>
          <w:tcPr>
            <w:tcW w:w="2000" w:type="pct"/>
            <w:vMerge w:val="restart"/>
            <w:vAlign w:val="center"/>
          </w:tcPr>
          <w:p w14:paraId="50974787">
            <w:pPr>
              <w:ind w:firstLine="0" w:firstLineChars="0"/>
            </w:pPr>
            <w:r>
              <w:rPr>
                <w:rFonts w:hint="eastAsia"/>
              </w:rPr>
              <w:t>已符合密码应用要求。</w:t>
            </w:r>
          </w:p>
        </w:tc>
        <w:tc>
          <w:tcPr>
            <w:tcW w:w="847" w:type="pct"/>
            <w:vMerge w:val="restart"/>
            <w:vAlign w:val="center"/>
          </w:tcPr>
          <w:p w14:paraId="0E3AB8C0">
            <w:pPr>
              <w:ind w:firstLine="0" w:firstLineChars="0"/>
            </w:pPr>
            <w:r>
              <w:rPr>
                <w:rFonts w:hint="eastAsia"/>
              </w:rPr>
              <w:t>无</w:t>
            </w:r>
          </w:p>
        </w:tc>
      </w:tr>
      <w:tr w14:paraId="4C23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6AFBB373">
            <w:pPr>
              <w:ind w:firstLine="0" w:firstLineChars="0"/>
            </w:pPr>
          </w:p>
        </w:tc>
        <w:tc>
          <w:tcPr>
            <w:tcW w:w="462" w:type="pct"/>
            <w:vMerge w:val="continue"/>
            <w:vAlign w:val="center"/>
          </w:tcPr>
          <w:p w14:paraId="64713102">
            <w:pPr>
              <w:ind w:firstLine="0" w:firstLineChars="0"/>
            </w:pPr>
          </w:p>
        </w:tc>
        <w:tc>
          <w:tcPr>
            <w:tcW w:w="1230" w:type="pct"/>
            <w:vAlign w:val="center"/>
          </w:tcPr>
          <w:p w14:paraId="3994BBDE">
            <w:pPr>
              <w:ind w:firstLine="0" w:firstLineChars="0"/>
            </w:pPr>
            <w:r>
              <w:rPr>
                <w:rFonts w:hint="eastAsia"/>
              </w:rPr>
              <w:t>视频监控记录数据完整性</w:t>
            </w:r>
          </w:p>
        </w:tc>
        <w:tc>
          <w:tcPr>
            <w:tcW w:w="2000" w:type="pct"/>
            <w:vMerge w:val="continue"/>
            <w:vAlign w:val="center"/>
          </w:tcPr>
          <w:p w14:paraId="767637F5">
            <w:pPr>
              <w:ind w:firstLine="0" w:firstLineChars="0"/>
            </w:pPr>
          </w:p>
        </w:tc>
        <w:tc>
          <w:tcPr>
            <w:tcW w:w="847" w:type="pct"/>
            <w:vMerge w:val="continue"/>
            <w:vAlign w:val="center"/>
          </w:tcPr>
          <w:p w14:paraId="5C855C23">
            <w:pPr>
              <w:ind w:firstLine="0" w:firstLineChars="0"/>
            </w:pPr>
          </w:p>
        </w:tc>
      </w:tr>
      <w:tr w14:paraId="02D9E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23BB5A2E">
            <w:pPr>
              <w:ind w:firstLine="0" w:firstLineChars="0"/>
            </w:pPr>
          </w:p>
        </w:tc>
        <w:tc>
          <w:tcPr>
            <w:tcW w:w="462" w:type="pct"/>
            <w:vMerge w:val="continue"/>
            <w:vAlign w:val="center"/>
          </w:tcPr>
          <w:p w14:paraId="7B232B08">
            <w:pPr>
              <w:ind w:firstLine="0" w:firstLineChars="0"/>
            </w:pPr>
          </w:p>
        </w:tc>
        <w:tc>
          <w:tcPr>
            <w:tcW w:w="1230" w:type="pct"/>
            <w:vAlign w:val="center"/>
          </w:tcPr>
          <w:p w14:paraId="0B1BF206">
            <w:pPr>
              <w:ind w:firstLine="0" w:firstLineChars="0"/>
            </w:pPr>
            <w:r>
              <w:rPr>
                <w:rFonts w:hint="eastAsia"/>
              </w:rPr>
              <w:t>密码服务</w:t>
            </w:r>
          </w:p>
        </w:tc>
        <w:tc>
          <w:tcPr>
            <w:tcW w:w="2000" w:type="pct"/>
            <w:vAlign w:val="center"/>
          </w:tcPr>
          <w:p w14:paraId="3AE0C48A">
            <w:pPr>
              <w:ind w:firstLine="0" w:firstLineChars="0"/>
            </w:pPr>
            <w:r>
              <w:rPr>
                <w:rFonts w:hint="eastAsia"/>
              </w:rPr>
              <w:t>不适用。</w:t>
            </w:r>
          </w:p>
        </w:tc>
        <w:tc>
          <w:tcPr>
            <w:tcW w:w="847" w:type="pct"/>
            <w:vAlign w:val="center"/>
          </w:tcPr>
          <w:p w14:paraId="7E580F3B">
            <w:pPr>
              <w:ind w:firstLine="0" w:firstLineChars="0"/>
            </w:pPr>
            <w:r>
              <w:rPr>
                <w:rFonts w:hint="eastAsia"/>
              </w:rPr>
              <w:t>无密码服务需求</w:t>
            </w:r>
          </w:p>
        </w:tc>
      </w:tr>
      <w:tr w14:paraId="3638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75D73246">
            <w:pPr>
              <w:ind w:firstLine="0" w:firstLineChars="0"/>
            </w:pPr>
          </w:p>
        </w:tc>
        <w:tc>
          <w:tcPr>
            <w:tcW w:w="462" w:type="pct"/>
            <w:vMerge w:val="continue"/>
            <w:vAlign w:val="center"/>
          </w:tcPr>
          <w:p w14:paraId="65BEE66B">
            <w:pPr>
              <w:ind w:firstLine="0" w:firstLineChars="0"/>
            </w:pPr>
          </w:p>
        </w:tc>
        <w:tc>
          <w:tcPr>
            <w:tcW w:w="1230" w:type="pct"/>
            <w:vAlign w:val="center"/>
          </w:tcPr>
          <w:p w14:paraId="633612F6">
            <w:pPr>
              <w:ind w:firstLine="0" w:firstLineChars="0"/>
            </w:pPr>
            <w:r>
              <w:rPr>
                <w:rFonts w:hint="eastAsia"/>
              </w:rPr>
              <w:t>密码产品</w:t>
            </w:r>
          </w:p>
        </w:tc>
        <w:tc>
          <w:tcPr>
            <w:tcW w:w="2000" w:type="pct"/>
            <w:vAlign w:val="center"/>
          </w:tcPr>
          <w:p w14:paraId="3CA5DD08">
            <w:pPr>
              <w:ind w:firstLine="0" w:firstLineChars="0"/>
            </w:pPr>
            <w:r>
              <w:rPr>
                <w:rFonts w:hint="eastAsia"/>
              </w:rPr>
              <w:t>采用的密码产品应达到</w:t>
            </w:r>
            <w:r>
              <w:t>GB/T 37092</w:t>
            </w:r>
            <w:r>
              <w:rPr>
                <w:rFonts w:hint="eastAsia"/>
              </w:rPr>
              <w:t>-2018二级及以上安全要求。</w:t>
            </w:r>
          </w:p>
        </w:tc>
        <w:tc>
          <w:tcPr>
            <w:tcW w:w="847" w:type="pct"/>
            <w:vAlign w:val="center"/>
          </w:tcPr>
          <w:p w14:paraId="7EFF7DD6">
            <w:pPr>
              <w:ind w:firstLine="0" w:firstLineChars="0"/>
            </w:pPr>
            <w:r>
              <w:rPr>
                <w:rFonts w:hint="eastAsia"/>
              </w:rPr>
              <w:t>无</w:t>
            </w:r>
          </w:p>
        </w:tc>
      </w:tr>
      <w:tr w14:paraId="45FD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196B8B52">
            <w:pPr>
              <w:ind w:firstLine="0" w:firstLineChars="0"/>
            </w:pPr>
          </w:p>
        </w:tc>
        <w:tc>
          <w:tcPr>
            <w:tcW w:w="462" w:type="pct"/>
            <w:vMerge w:val="restart"/>
            <w:vAlign w:val="center"/>
          </w:tcPr>
          <w:p w14:paraId="664D4857">
            <w:pPr>
              <w:ind w:firstLine="0" w:firstLineChars="0"/>
            </w:pPr>
            <w:r>
              <w:rPr>
                <w:rFonts w:hint="eastAsia"/>
              </w:rPr>
              <w:t>网络和通信安全</w:t>
            </w:r>
          </w:p>
        </w:tc>
        <w:tc>
          <w:tcPr>
            <w:tcW w:w="1230" w:type="pct"/>
            <w:vAlign w:val="center"/>
          </w:tcPr>
          <w:p w14:paraId="7BF7F7ED">
            <w:pPr>
              <w:ind w:firstLine="0" w:firstLineChars="0"/>
            </w:pPr>
            <w:r>
              <w:rPr>
                <w:rFonts w:hint="eastAsia"/>
              </w:rPr>
              <w:t>身份鉴别</w:t>
            </w:r>
          </w:p>
        </w:tc>
        <w:tc>
          <w:tcPr>
            <w:tcW w:w="2000" w:type="pct"/>
            <w:vAlign w:val="center"/>
          </w:tcPr>
          <w:p w14:paraId="770F8F7C">
            <w:pPr>
              <w:ind w:firstLine="0" w:firstLineChars="0"/>
            </w:pPr>
            <w:r>
              <w:rPr>
                <w:rFonts w:hint="eastAsia"/>
              </w:rPr>
              <w:t>已符合密码应用要求。</w:t>
            </w:r>
          </w:p>
        </w:tc>
        <w:tc>
          <w:tcPr>
            <w:tcW w:w="847" w:type="pct"/>
            <w:vAlign w:val="center"/>
          </w:tcPr>
          <w:p w14:paraId="0446C323">
            <w:pPr>
              <w:ind w:firstLine="0" w:firstLineChars="0"/>
            </w:pPr>
            <w:r>
              <w:rPr>
                <w:rFonts w:hint="eastAsia"/>
              </w:rPr>
              <w:t>无</w:t>
            </w:r>
          </w:p>
        </w:tc>
      </w:tr>
      <w:tr w14:paraId="1FDA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43C61FF7">
            <w:pPr>
              <w:ind w:firstLine="0" w:firstLineChars="0"/>
            </w:pPr>
          </w:p>
        </w:tc>
        <w:tc>
          <w:tcPr>
            <w:tcW w:w="462" w:type="pct"/>
            <w:vMerge w:val="continue"/>
            <w:vAlign w:val="center"/>
          </w:tcPr>
          <w:p w14:paraId="40B0FEEA">
            <w:pPr>
              <w:ind w:firstLine="0" w:firstLineChars="0"/>
            </w:pPr>
          </w:p>
        </w:tc>
        <w:tc>
          <w:tcPr>
            <w:tcW w:w="1230" w:type="pct"/>
            <w:vAlign w:val="center"/>
          </w:tcPr>
          <w:p w14:paraId="62027AB9">
            <w:pPr>
              <w:ind w:firstLine="0" w:firstLineChars="0"/>
            </w:pPr>
            <w:r>
              <w:rPr>
                <w:rFonts w:hint="eastAsia"/>
              </w:rPr>
              <w:t>通信数据完整性</w:t>
            </w:r>
          </w:p>
        </w:tc>
        <w:tc>
          <w:tcPr>
            <w:tcW w:w="2000" w:type="pct"/>
            <w:vMerge w:val="restart"/>
            <w:vAlign w:val="center"/>
          </w:tcPr>
          <w:p w14:paraId="348D69A6">
            <w:pPr>
              <w:ind w:firstLine="0" w:firstLineChars="0"/>
            </w:pPr>
            <w:r>
              <w:rPr>
                <w:rFonts w:hint="eastAsia"/>
              </w:rPr>
              <w:t>保护通信过程中重要业务数据的完整性和机密性，防止数据被非授权篡改，防止重要数据泄露。</w:t>
            </w:r>
          </w:p>
        </w:tc>
        <w:tc>
          <w:tcPr>
            <w:tcW w:w="847" w:type="pct"/>
            <w:vAlign w:val="center"/>
          </w:tcPr>
          <w:p w14:paraId="371552F5">
            <w:pPr>
              <w:ind w:firstLine="0" w:firstLineChars="0"/>
            </w:pPr>
            <w:r>
              <w:rPr>
                <w:rFonts w:hint="eastAsia"/>
              </w:rPr>
              <w:t>无</w:t>
            </w:r>
          </w:p>
        </w:tc>
      </w:tr>
      <w:tr w14:paraId="407B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2B091C1B">
            <w:pPr>
              <w:ind w:firstLine="0" w:firstLineChars="0"/>
            </w:pPr>
          </w:p>
        </w:tc>
        <w:tc>
          <w:tcPr>
            <w:tcW w:w="462" w:type="pct"/>
            <w:vMerge w:val="continue"/>
            <w:vAlign w:val="center"/>
          </w:tcPr>
          <w:p w14:paraId="1C1607F3">
            <w:pPr>
              <w:ind w:firstLine="0" w:firstLineChars="0"/>
            </w:pPr>
          </w:p>
        </w:tc>
        <w:tc>
          <w:tcPr>
            <w:tcW w:w="1230" w:type="pct"/>
            <w:vAlign w:val="center"/>
          </w:tcPr>
          <w:p w14:paraId="1B46C64A">
            <w:pPr>
              <w:ind w:firstLine="0" w:firstLineChars="0"/>
            </w:pPr>
            <w:r>
              <w:rPr>
                <w:rFonts w:hint="eastAsia"/>
              </w:rPr>
              <w:t>通信过程中重要数据的机密性</w:t>
            </w:r>
          </w:p>
        </w:tc>
        <w:tc>
          <w:tcPr>
            <w:tcW w:w="2000" w:type="pct"/>
            <w:vMerge w:val="continue"/>
            <w:vAlign w:val="center"/>
          </w:tcPr>
          <w:p w14:paraId="000583A8">
            <w:pPr>
              <w:ind w:firstLine="0" w:firstLineChars="0"/>
            </w:pPr>
          </w:p>
        </w:tc>
        <w:tc>
          <w:tcPr>
            <w:tcW w:w="847" w:type="pct"/>
            <w:vAlign w:val="center"/>
          </w:tcPr>
          <w:p w14:paraId="065E5BAE">
            <w:pPr>
              <w:ind w:firstLine="0" w:firstLineChars="0"/>
            </w:pPr>
            <w:r>
              <w:rPr>
                <w:rFonts w:hint="eastAsia"/>
              </w:rPr>
              <w:t>无</w:t>
            </w:r>
          </w:p>
        </w:tc>
      </w:tr>
      <w:tr w14:paraId="07ECA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37BBB85C">
            <w:pPr>
              <w:ind w:firstLine="0" w:firstLineChars="0"/>
            </w:pPr>
          </w:p>
        </w:tc>
        <w:tc>
          <w:tcPr>
            <w:tcW w:w="462" w:type="pct"/>
            <w:vMerge w:val="continue"/>
            <w:vAlign w:val="center"/>
          </w:tcPr>
          <w:p w14:paraId="70BE015D">
            <w:pPr>
              <w:ind w:firstLine="0" w:firstLineChars="0"/>
            </w:pPr>
          </w:p>
        </w:tc>
        <w:tc>
          <w:tcPr>
            <w:tcW w:w="1230" w:type="pct"/>
            <w:vAlign w:val="center"/>
          </w:tcPr>
          <w:p w14:paraId="255AC7E7">
            <w:pPr>
              <w:ind w:firstLine="0" w:firstLineChars="0"/>
            </w:pPr>
            <w:r>
              <w:rPr>
                <w:rFonts w:hint="eastAsia"/>
              </w:rPr>
              <w:t>网络边界访问控制信息的完整性</w:t>
            </w:r>
            <w:r>
              <w:t xml:space="preserve"> </w:t>
            </w:r>
          </w:p>
        </w:tc>
        <w:tc>
          <w:tcPr>
            <w:tcW w:w="2000" w:type="pct"/>
            <w:vAlign w:val="center"/>
          </w:tcPr>
          <w:p w14:paraId="2C4571C8">
            <w:pPr>
              <w:ind w:firstLine="0" w:firstLineChars="0"/>
            </w:pPr>
            <w:r>
              <w:rPr>
                <w:rFonts w:hint="eastAsia"/>
              </w:rPr>
              <w:t>保护互联网用户访问应用系统的网络边界访问控制信息的完整性，防止被非授权篡改。</w:t>
            </w:r>
          </w:p>
        </w:tc>
        <w:tc>
          <w:tcPr>
            <w:tcW w:w="847" w:type="pct"/>
            <w:vAlign w:val="center"/>
          </w:tcPr>
          <w:p w14:paraId="0761DD8A">
            <w:pPr>
              <w:ind w:firstLine="0" w:firstLineChars="0"/>
            </w:pPr>
            <w:r>
              <w:rPr>
                <w:rFonts w:hint="eastAsia"/>
              </w:rPr>
              <w:t>无</w:t>
            </w:r>
          </w:p>
        </w:tc>
      </w:tr>
      <w:tr w14:paraId="0758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3C5C9484">
            <w:pPr>
              <w:ind w:firstLine="0" w:firstLineChars="0"/>
            </w:pPr>
          </w:p>
        </w:tc>
        <w:tc>
          <w:tcPr>
            <w:tcW w:w="462" w:type="pct"/>
            <w:vMerge w:val="continue"/>
            <w:vAlign w:val="center"/>
          </w:tcPr>
          <w:p w14:paraId="28AF0453">
            <w:pPr>
              <w:ind w:firstLine="0" w:firstLineChars="0"/>
            </w:pPr>
          </w:p>
        </w:tc>
        <w:tc>
          <w:tcPr>
            <w:tcW w:w="1230" w:type="pct"/>
            <w:vAlign w:val="center"/>
          </w:tcPr>
          <w:p w14:paraId="113A9476">
            <w:pPr>
              <w:ind w:firstLine="0" w:firstLineChars="0"/>
            </w:pPr>
            <w:r>
              <w:rPr>
                <w:rFonts w:hint="eastAsia"/>
              </w:rPr>
              <w:t>安全接入认证</w:t>
            </w:r>
          </w:p>
        </w:tc>
        <w:tc>
          <w:tcPr>
            <w:tcW w:w="2000" w:type="pct"/>
            <w:vAlign w:val="center"/>
          </w:tcPr>
          <w:p w14:paraId="44EDE675">
            <w:pPr>
              <w:ind w:firstLine="0" w:firstLineChars="0"/>
            </w:pPr>
            <w:r>
              <w:rPr>
                <w:rFonts w:hint="eastAsia"/>
              </w:rPr>
              <w:t>不适用。</w:t>
            </w:r>
          </w:p>
        </w:tc>
        <w:tc>
          <w:tcPr>
            <w:tcW w:w="847" w:type="pct"/>
            <w:vAlign w:val="center"/>
          </w:tcPr>
          <w:p w14:paraId="1429D4BD">
            <w:pPr>
              <w:ind w:firstLine="0" w:firstLineChars="0"/>
            </w:pPr>
            <w:r>
              <w:rPr>
                <w:rFonts w:hint="eastAsia"/>
              </w:rPr>
              <w:t>无外部设备接入本系统的需求</w:t>
            </w:r>
          </w:p>
        </w:tc>
      </w:tr>
      <w:tr w14:paraId="623D4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0EBF904E">
            <w:pPr>
              <w:ind w:firstLine="0" w:firstLineChars="0"/>
            </w:pPr>
          </w:p>
        </w:tc>
        <w:tc>
          <w:tcPr>
            <w:tcW w:w="462" w:type="pct"/>
            <w:vMerge w:val="continue"/>
            <w:vAlign w:val="center"/>
          </w:tcPr>
          <w:p w14:paraId="532EFFDB">
            <w:pPr>
              <w:ind w:firstLine="0" w:firstLineChars="0"/>
            </w:pPr>
          </w:p>
        </w:tc>
        <w:tc>
          <w:tcPr>
            <w:tcW w:w="1230" w:type="pct"/>
            <w:vAlign w:val="center"/>
          </w:tcPr>
          <w:p w14:paraId="5BD5877F">
            <w:pPr>
              <w:ind w:firstLine="0" w:firstLineChars="0"/>
            </w:pPr>
            <w:r>
              <w:rPr>
                <w:rFonts w:hint="eastAsia"/>
              </w:rPr>
              <w:t>密码服务</w:t>
            </w:r>
          </w:p>
        </w:tc>
        <w:tc>
          <w:tcPr>
            <w:tcW w:w="2000" w:type="pct"/>
            <w:vAlign w:val="center"/>
          </w:tcPr>
          <w:p w14:paraId="36E3B489">
            <w:pPr>
              <w:ind w:firstLine="0" w:firstLineChars="0"/>
            </w:pPr>
            <w:r>
              <w:rPr>
                <w:rFonts w:hint="eastAsia"/>
              </w:rPr>
              <w:t>采用的数字证书由具有电子认证服务资质的机构签发。</w:t>
            </w:r>
          </w:p>
        </w:tc>
        <w:tc>
          <w:tcPr>
            <w:tcW w:w="847" w:type="pct"/>
            <w:vAlign w:val="center"/>
          </w:tcPr>
          <w:p w14:paraId="6178E986">
            <w:pPr>
              <w:ind w:firstLine="0" w:firstLineChars="0"/>
            </w:pPr>
            <w:r>
              <w:rPr>
                <w:rFonts w:hint="eastAsia"/>
              </w:rPr>
              <w:t>无</w:t>
            </w:r>
          </w:p>
        </w:tc>
      </w:tr>
      <w:tr w14:paraId="06AB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3F2E3F6F">
            <w:pPr>
              <w:ind w:firstLine="0" w:firstLineChars="0"/>
            </w:pPr>
          </w:p>
        </w:tc>
        <w:tc>
          <w:tcPr>
            <w:tcW w:w="462" w:type="pct"/>
            <w:vMerge w:val="continue"/>
            <w:vAlign w:val="center"/>
          </w:tcPr>
          <w:p w14:paraId="0CEA720E">
            <w:pPr>
              <w:ind w:firstLine="0" w:firstLineChars="0"/>
            </w:pPr>
          </w:p>
        </w:tc>
        <w:tc>
          <w:tcPr>
            <w:tcW w:w="1230" w:type="pct"/>
            <w:vAlign w:val="center"/>
          </w:tcPr>
          <w:p w14:paraId="785F58D4">
            <w:pPr>
              <w:ind w:firstLine="0" w:firstLineChars="0"/>
            </w:pPr>
            <w:r>
              <w:rPr>
                <w:rFonts w:hint="eastAsia"/>
              </w:rPr>
              <w:t>密码产品</w:t>
            </w:r>
          </w:p>
        </w:tc>
        <w:tc>
          <w:tcPr>
            <w:tcW w:w="2000" w:type="pct"/>
            <w:vAlign w:val="center"/>
          </w:tcPr>
          <w:p w14:paraId="73E965F2">
            <w:pPr>
              <w:ind w:firstLine="0" w:firstLineChars="0"/>
            </w:pPr>
            <w:r>
              <w:rPr>
                <w:rFonts w:hint="eastAsia"/>
              </w:rPr>
              <w:t>采用的密码产品应达到</w:t>
            </w:r>
            <w:r>
              <w:t>GB/T 37092</w:t>
            </w:r>
            <w:r>
              <w:rPr>
                <w:rFonts w:hint="eastAsia"/>
              </w:rPr>
              <w:t>-2018二级及以上安全要求。</w:t>
            </w:r>
          </w:p>
        </w:tc>
        <w:tc>
          <w:tcPr>
            <w:tcW w:w="847" w:type="pct"/>
            <w:vAlign w:val="center"/>
          </w:tcPr>
          <w:p w14:paraId="5BD17C1A">
            <w:pPr>
              <w:ind w:firstLine="0" w:firstLineChars="0"/>
            </w:pPr>
            <w:r>
              <w:rPr>
                <w:rFonts w:hint="eastAsia"/>
              </w:rPr>
              <w:t>无</w:t>
            </w:r>
          </w:p>
        </w:tc>
      </w:tr>
      <w:tr w14:paraId="623CA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0CF1F3C6">
            <w:pPr>
              <w:ind w:firstLine="0" w:firstLineChars="0"/>
            </w:pPr>
          </w:p>
        </w:tc>
        <w:tc>
          <w:tcPr>
            <w:tcW w:w="462" w:type="pct"/>
            <w:vMerge w:val="restart"/>
            <w:vAlign w:val="center"/>
          </w:tcPr>
          <w:p w14:paraId="10D9E234">
            <w:pPr>
              <w:ind w:firstLine="0" w:firstLineChars="0"/>
            </w:pPr>
            <w:r>
              <w:rPr>
                <w:rFonts w:hint="eastAsia"/>
              </w:rPr>
              <w:t>设备和计算安全</w:t>
            </w:r>
          </w:p>
        </w:tc>
        <w:tc>
          <w:tcPr>
            <w:tcW w:w="1230" w:type="pct"/>
            <w:vAlign w:val="center"/>
          </w:tcPr>
          <w:p w14:paraId="6B042CE5">
            <w:pPr>
              <w:ind w:firstLine="0" w:firstLineChars="0"/>
            </w:pPr>
            <w:r>
              <w:rPr>
                <w:rFonts w:hint="eastAsia"/>
              </w:rPr>
              <w:t>身份鉴别</w:t>
            </w:r>
          </w:p>
        </w:tc>
        <w:tc>
          <w:tcPr>
            <w:tcW w:w="2000" w:type="pct"/>
            <w:vAlign w:val="center"/>
          </w:tcPr>
          <w:p w14:paraId="26B17D5E">
            <w:pPr>
              <w:ind w:firstLine="0" w:firstLineChars="0"/>
            </w:pPr>
            <w:r>
              <w:rPr>
                <w:rFonts w:hint="eastAsia"/>
              </w:rPr>
              <w:t>管理员通过远程运维管理终端访问堡垒机、服务器虚拟机、数据库、密码服务时，对其</w:t>
            </w:r>
            <w:r>
              <w:t>身份真实性进行识别和确认，防止假冒人员登录</w:t>
            </w:r>
            <w:r>
              <w:rPr>
                <w:rFonts w:hint="eastAsia"/>
              </w:rPr>
              <w:t>。</w:t>
            </w:r>
          </w:p>
        </w:tc>
        <w:tc>
          <w:tcPr>
            <w:tcW w:w="847" w:type="pct"/>
            <w:vAlign w:val="center"/>
          </w:tcPr>
          <w:p w14:paraId="4A212D7C">
            <w:pPr>
              <w:ind w:firstLine="0" w:firstLineChars="0"/>
            </w:pPr>
            <w:r>
              <w:t>无</w:t>
            </w:r>
          </w:p>
        </w:tc>
      </w:tr>
      <w:tr w14:paraId="7B574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54100FA9">
            <w:pPr>
              <w:ind w:firstLine="0" w:firstLineChars="0"/>
            </w:pPr>
          </w:p>
        </w:tc>
        <w:tc>
          <w:tcPr>
            <w:tcW w:w="462" w:type="pct"/>
            <w:vMerge w:val="continue"/>
            <w:vAlign w:val="center"/>
          </w:tcPr>
          <w:p w14:paraId="59D1AFCA">
            <w:pPr>
              <w:ind w:firstLine="0" w:firstLineChars="0"/>
            </w:pPr>
          </w:p>
        </w:tc>
        <w:tc>
          <w:tcPr>
            <w:tcW w:w="1230" w:type="pct"/>
            <w:vAlign w:val="center"/>
          </w:tcPr>
          <w:p w14:paraId="71572DCC">
            <w:pPr>
              <w:ind w:firstLine="0" w:firstLineChars="0"/>
            </w:pPr>
            <w:r>
              <w:rPr>
                <w:rFonts w:hint="eastAsia"/>
              </w:rPr>
              <w:t>远程管理通道安全</w:t>
            </w:r>
          </w:p>
        </w:tc>
        <w:tc>
          <w:tcPr>
            <w:tcW w:w="2000" w:type="pct"/>
            <w:vAlign w:val="center"/>
          </w:tcPr>
          <w:p w14:paraId="446674C6">
            <w:pPr>
              <w:ind w:firstLine="0" w:firstLineChars="0"/>
            </w:pPr>
            <w:r>
              <w:t>在</w:t>
            </w:r>
            <w:r>
              <w:rPr>
                <w:rFonts w:hint="eastAsia"/>
              </w:rPr>
              <w:t>设备实施</w:t>
            </w:r>
            <w:r>
              <w:t>远程</w:t>
            </w:r>
            <w:r>
              <w:rPr>
                <w:rFonts w:hint="eastAsia"/>
              </w:rPr>
              <w:t>运维</w:t>
            </w:r>
            <w:r>
              <w:t>管理时，对</w:t>
            </w:r>
            <w:r>
              <w:rPr>
                <w:rFonts w:hint="eastAsia"/>
              </w:rPr>
              <w:t>设备的运维</w:t>
            </w:r>
            <w:r>
              <w:t>管理</w:t>
            </w:r>
            <w:r>
              <w:rPr>
                <w:rFonts w:hint="eastAsia"/>
              </w:rPr>
              <w:t>通道进行</w:t>
            </w:r>
            <w:r>
              <w:t>保护，防止</w:t>
            </w:r>
            <w:r>
              <w:rPr>
                <w:rFonts w:hint="eastAsia"/>
              </w:rPr>
              <w:t>运维管理数据</w:t>
            </w:r>
            <w:r>
              <w:t>泄漏</w:t>
            </w:r>
            <w:r>
              <w:rPr>
                <w:rFonts w:hint="eastAsia"/>
              </w:rPr>
              <w:t>。</w:t>
            </w:r>
          </w:p>
        </w:tc>
        <w:tc>
          <w:tcPr>
            <w:tcW w:w="847" w:type="pct"/>
            <w:vAlign w:val="center"/>
          </w:tcPr>
          <w:p w14:paraId="0AB787CB">
            <w:pPr>
              <w:ind w:firstLine="0" w:firstLineChars="0"/>
            </w:pPr>
            <w:r>
              <w:t>无</w:t>
            </w:r>
          </w:p>
        </w:tc>
      </w:tr>
      <w:tr w14:paraId="4B88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4E8D4183">
            <w:pPr>
              <w:ind w:firstLine="0" w:firstLineChars="0"/>
            </w:pPr>
          </w:p>
        </w:tc>
        <w:tc>
          <w:tcPr>
            <w:tcW w:w="462" w:type="pct"/>
            <w:vMerge w:val="continue"/>
            <w:vAlign w:val="center"/>
          </w:tcPr>
          <w:p w14:paraId="3DEF3D12">
            <w:pPr>
              <w:ind w:firstLine="0" w:firstLineChars="0"/>
            </w:pPr>
          </w:p>
        </w:tc>
        <w:tc>
          <w:tcPr>
            <w:tcW w:w="1230" w:type="pct"/>
            <w:vAlign w:val="center"/>
          </w:tcPr>
          <w:p w14:paraId="5C17624E">
            <w:pPr>
              <w:ind w:firstLine="0" w:firstLineChars="0"/>
            </w:pPr>
            <w:r>
              <w:rPr>
                <w:rFonts w:hint="eastAsia"/>
              </w:rPr>
              <w:t>系统资源访问控制信息完整性</w:t>
            </w:r>
          </w:p>
        </w:tc>
        <w:tc>
          <w:tcPr>
            <w:tcW w:w="2000" w:type="pct"/>
            <w:vAlign w:val="center"/>
          </w:tcPr>
          <w:p w14:paraId="3561C21D">
            <w:pPr>
              <w:ind w:firstLine="0" w:firstLineChars="0"/>
            </w:pPr>
            <w:r>
              <w:t>保护系统中服务器</w:t>
            </w:r>
            <w:r>
              <w:rPr>
                <w:rFonts w:hint="eastAsia"/>
              </w:rPr>
              <w:t>虚拟机、数据库、密码服务的</w:t>
            </w:r>
            <w:r>
              <w:t>访问控制信息的完整性，防止被非授权篡改</w:t>
            </w:r>
            <w:r>
              <w:rPr>
                <w:rFonts w:hint="eastAsia"/>
              </w:rPr>
              <w:t>。</w:t>
            </w:r>
          </w:p>
        </w:tc>
        <w:tc>
          <w:tcPr>
            <w:tcW w:w="847" w:type="pct"/>
            <w:vAlign w:val="center"/>
          </w:tcPr>
          <w:p w14:paraId="17E0A822">
            <w:pPr>
              <w:ind w:firstLine="0" w:firstLineChars="0"/>
            </w:pPr>
            <w:r>
              <w:t>无</w:t>
            </w:r>
          </w:p>
        </w:tc>
      </w:tr>
      <w:tr w14:paraId="388F0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386F0EE0">
            <w:pPr>
              <w:ind w:firstLine="0" w:firstLineChars="0"/>
            </w:pPr>
          </w:p>
        </w:tc>
        <w:tc>
          <w:tcPr>
            <w:tcW w:w="462" w:type="pct"/>
            <w:vMerge w:val="continue"/>
            <w:vAlign w:val="center"/>
          </w:tcPr>
          <w:p w14:paraId="13E438C1">
            <w:pPr>
              <w:ind w:firstLine="0" w:firstLineChars="0"/>
            </w:pPr>
          </w:p>
        </w:tc>
        <w:tc>
          <w:tcPr>
            <w:tcW w:w="1230" w:type="pct"/>
            <w:vAlign w:val="center"/>
          </w:tcPr>
          <w:p w14:paraId="08410F81">
            <w:pPr>
              <w:ind w:firstLine="0" w:firstLineChars="0"/>
            </w:pPr>
            <w:r>
              <w:rPr>
                <w:rFonts w:hint="eastAsia"/>
              </w:rPr>
              <w:t>重要信息资源安全标记完整性</w:t>
            </w:r>
          </w:p>
        </w:tc>
        <w:tc>
          <w:tcPr>
            <w:tcW w:w="2000" w:type="pct"/>
            <w:vAlign w:val="center"/>
          </w:tcPr>
          <w:p w14:paraId="13ED3316">
            <w:pPr>
              <w:ind w:firstLine="0" w:firstLineChars="0"/>
            </w:pPr>
            <w:r>
              <w:t>不适用</w:t>
            </w:r>
            <w:r>
              <w:rPr>
                <w:rFonts w:hint="eastAsia"/>
              </w:rPr>
              <w:t>。</w:t>
            </w:r>
          </w:p>
        </w:tc>
        <w:tc>
          <w:tcPr>
            <w:tcW w:w="847" w:type="pct"/>
            <w:vAlign w:val="center"/>
          </w:tcPr>
          <w:p w14:paraId="51B3A1B7">
            <w:pPr>
              <w:ind w:firstLine="0" w:firstLineChars="0"/>
            </w:pPr>
            <w:r>
              <w:t>设备没有安全标记</w:t>
            </w:r>
          </w:p>
        </w:tc>
      </w:tr>
      <w:tr w14:paraId="04A61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47F7141E">
            <w:pPr>
              <w:ind w:firstLine="0" w:firstLineChars="0"/>
            </w:pPr>
          </w:p>
        </w:tc>
        <w:tc>
          <w:tcPr>
            <w:tcW w:w="462" w:type="pct"/>
            <w:vMerge w:val="continue"/>
            <w:vAlign w:val="center"/>
          </w:tcPr>
          <w:p w14:paraId="70EC8A26">
            <w:pPr>
              <w:ind w:firstLine="0" w:firstLineChars="0"/>
            </w:pPr>
          </w:p>
        </w:tc>
        <w:tc>
          <w:tcPr>
            <w:tcW w:w="1230" w:type="pct"/>
            <w:vAlign w:val="center"/>
          </w:tcPr>
          <w:p w14:paraId="2A777E93">
            <w:pPr>
              <w:ind w:firstLine="0" w:firstLineChars="0"/>
            </w:pPr>
            <w:r>
              <w:rPr>
                <w:rFonts w:hint="eastAsia"/>
              </w:rPr>
              <w:t>日志记录完整性</w:t>
            </w:r>
          </w:p>
        </w:tc>
        <w:tc>
          <w:tcPr>
            <w:tcW w:w="2000" w:type="pct"/>
            <w:vAlign w:val="center"/>
          </w:tcPr>
          <w:p w14:paraId="6BEBB43E">
            <w:pPr>
              <w:ind w:firstLine="0" w:firstLineChars="0"/>
            </w:pPr>
            <w:r>
              <w:t>保护系统中服务器</w:t>
            </w:r>
            <w:r>
              <w:rPr>
                <w:rFonts w:hint="eastAsia"/>
              </w:rPr>
              <w:t>虚拟机、数据库、密码服务的</w:t>
            </w:r>
            <w:r>
              <w:t>日志记录的完整性，防止被非授权篡改</w:t>
            </w:r>
            <w:r>
              <w:rPr>
                <w:rFonts w:hint="eastAsia"/>
              </w:rPr>
              <w:t>。</w:t>
            </w:r>
          </w:p>
        </w:tc>
        <w:tc>
          <w:tcPr>
            <w:tcW w:w="847" w:type="pct"/>
            <w:vAlign w:val="center"/>
          </w:tcPr>
          <w:p w14:paraId="733DD864">
            <w:pPr>
              <w:ind w:firstLine="0" w:firstLineChars="0"/>
            </w:pPr>
            <w:r>
              <w:t>无</w:t>
            </w:r>
          </w:p>
        </w:tc>
      </w:tr>
      <w:tr w14:paraId="729ED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5DB37B00">
            <w:pPr>
              <w:ind w:firstLine="0" w:firstLineChars="0"/>
            </w:pPr>
          </w:p>
        </w:tc>
        <w:tc>
          <w:tcPr>
            <w:tcW w:w="462" w:type="pct"/>
            <w:vMerge w:val="continue"/>
            <w:vAlign w:val="center"/>
          </w:tcPr>
          <w:p w14:paraId="3E199112">
            <w:pPr>
              <w:ind w:firstLine="0" w:firstLineChars="0"/>
            </w:pPr>
          </w:p>
        </w:tc>
        <w:tc>
          <w:tcPr>
            <w:tcW w:w="1230" w:type="pct"/>
            <w:vAlign w:val="center"/>
          </w:tcPr>
          <w:p w14:paraId="3D8DACAB">
            <w:pPr>
              <w:ind w:firstLine="0" w:firstLineChars="0"/>
            </w:pPr>
            <w:r>
              <w:rPr>
                <w:rFonts w:hint="eastAsia"/>
              </w:rPr>
              <w:t>重要可执行程序完整性、</w:t>
            </w:r>
          </w:p>
          <w:p w14:paraId="353CEB4E">
            <w:pPr>
              <w:ind w:firstLine="0" w:firstLineChars="0"/>
            </w:pPr>
            <w:r>
              <w:rPr>
                <w:rFonts w:hint="eastAsia"/>
              </w:rPr>
              <w:t>来源真实性</w:t>
            </w:r>
          </w:p>
        </w:tc>
        <w:tc>
          <w:tcPr>
            <w:tcW w:w="2000" w:type="pct"/>
            <w:vAlign w:val="center"/>
          </w:tcPr>
          <w:p w14:paraId="74655AB2">
            <w:pPr>
              <w:ind w:firstLine="0" w:firstLineChars="0"/>
            </w:pPr>
            <w:r>
              <w:t>保护</w:t>
            </w:r>
            <w:r>
              <w:rPr>
                <w:rFonts w:hint="eastAsia"/>
              </w:rPr>
              <w:t>应用</w:t>
            </w:r>
            <w:r>
              <w:t>服务器等设备中</w:t>
            </w:r>
            <w:r>
              <w:rPr>
                <w:rFonts w:hint="eastAsia"/>
              </w:rPr>
              <w:t>部署的</w:t>
            </w:r>
            <w:r>
              <w:t>重要可执行程序的完整性</w:t>
            </w:r>
            <w:r>
              <w:rPr>
                <w:rFonts w:hint="eastAsia"/>
              </w:rPr>
              <w:t>和来源真实性</w:t>
            </w:r>
            <w:r>
              <w:t>，防止被非授权篡改</w:t>
            </w:r>
            <w:r>
              <w:rPr>
                <w:rFonts w:hint="eastAsia"/>
              </w:rPr>
              <w:t>。</w:t>
            </w:r>
          </w:p>
        </w:tc>
        <w:tc>
          <w:tcPr>
            <w:tcW w:w="847" w:type="pct"/>
            <w:vAlign w:val="center"/>
          </w:tcPr>
          <w:p w14:paraId="2526AEF0">
            <w:pPr>
              <w:ind w:firstLine="0" w:firstLineChars="0"/>
            </w:pPr>
            <w:r>
              <w:t>无</w:t>
            </w:r>
          </w:p>
        </w:tc>
      </w:tr>
      <w:tr w14:paraId="4747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0EEE093E">
            <w:pPr>
              <w:ind w:firstLine="0" w:firstLineChars="0"/>
            </w:pPr>
          </w:p>
        </w:tc>
        <w:tc>
          <w:tcPr>
            <w:tcW w:w="462" w:type="pct"/>
            <w:vMerge w:val="continue"/>
            <w:vAlign w:val="center"/>
          </w:tcPr>
          <w:p w14:paraId="126DFD01">
            <w:pPr>
              <w:ind w:firstLine="0" w:firstLineChars="0"/>
            </w:pPr>
          </w:p>
        </w:tc>
        <w:tc>
          <w:tcPr>
            <w:tcW w:w="1230" w:type="pct"/>
            <w:vAlign w:val="center"/>
          </w:tcPr>
          <w:p w14:paraId="4FFD80F4">
            <w:pPr>
              <w:ind w:firstLine="0" w:firstLineChars="0"/>
            </w:pPr>
            <w:r>
              <w:rPr>
                <w:rFonts w:hint="eastAsia"/>
              </w:rPr>
              <w:t>密码服务</w:t>
            </w:r>
          </w:p>
        </w:tc>
        <w:tc>
          <w:tcPr>
            <w:tcW w:w="2000" w:type="pct"/>
            <w:vAlign w:val="center"/>
          </w:tcPr>
          <w:p w14:paraId="165708D4">
            <w:pPr>
              <w:ind w:firstLine="0" w:firstLineChars="0"/>
            </w:pPr>
            <w:r>
              <w:rPr>
                <w:rFonts w:hint="eastAsia"/>
              </w:rPr>
              <w:t>不适用。</w:t>
            </w:r>
          </w:p>
        </w:tc>
        <w:tc>
          <w:tcPr>
            <w:tcW w:w="847" w:type="pct"/>
            <w:vAlign w:val="center"/>
          </w:tcPr>
          <w:p w14:paraId="0296E0A0">
            <w:pPr>
              <w:ind w:firstLine="0" w:firstLineChars="0"/>
            </w:pPr>
            <w:r>
              <w:rPr>
                <w:rFonts w:hint="eastAsia"/>
              </w:rPr>
              <w:t>无密码服务需求</w:t>
            </w:r>
          </w:p>
        </w:tc>
      </w:tr>
      <w:tr w14:paraId="6109E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4E53400F">
            <w:pPr>
              <w:ind w:firstLine="0" w:firstLineChars="0"/>
            </w:pPr>
          </w:p>
        </w:tc>
        <w:tc>
          <w:tcPr>
            <w:tcW w:w="462" w:type="pct"/>
            <w:vMerge w:val="continue"/>
            <w:vAlign w:val="center"/>
          </w:tcPr>
          <w:p w14:paraId="6194581E">
            <w:pPr>
              <w:ind w:firstLine="0" w:firstLineChars="0"/>
            </w:pPr>
          </w:p>
        </w:tc>
        <w:tc>
          <w:tcPr>
            <w:tcW w:w="1230" w:type="pct"/>
            <w:vAlign w:val="center"/>
          </w:tcPr>
          <w:p w14:paraId="76432561">
            <w:pPr>
              <w:ind w:firstLine="0" w:firstLineChars="0"/>
            </w:pPr>
            <w:r>
              <w:rPr>
                <w:rFonts w:hint="eastAsia"/>
              </w:rPr>
              <w:t>密码产品</w:t>
            </w:r>
          </w:p>
        </w:tc>
        <w:tc>
          <w:tcPr>
            <w:tcW w:w="2000" w:type="pct"/>
            <w:vAlign w:val="center"/>
          </w:tcPr>
          <w:p w14:paraId="5429CF6B">
            <w:pPr>
              <w:ind w:firstLine="0" w:firstLineChars="0"/>
            </w:pPr>
            <w:r>
              <w:rPr>
                <w:rFonts w:hint="eastAsia"/>
              </w:rPr>
              <w:t>采用的密码产品应达到</w:t>
            </w:r>
            <w:r>
              <w:t>GB/T 37092</w:t>
            </w:r>
            <w:r>
              <w:rPr>
                <w:rFonts w:hint="eastAsia"/>
              </w:rPr>
              <w:t>-2018二级及以上安全要求。</w:t>
            </w:r>
          </w:p>
        </w:tc>
        <w:tc>
          <w:tcPr>
            <w:tcW w:w="847" w:type="pct"/>
            <w:vAlign w:val="center"/>
          </w:tcPr>
          <w:p w14:paraId="25BB0BB4">
            <w:pPr>
              <w:ind w:firstLine="0" w:firstLineChars="0"/>
            </w:pPr>
            <w:r>
              <w:rPr>
                <w:rFonts w:hint="eastAsia"/>
              </w:rPr>
              <w:t>无</w:t>
            </w:r>
          </w:p>
        </w:tc>
      </w:tr>
      <w:tr w14:paraId="5A210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restart"/>
            <w:vAlign w:val="center"/>
          </w:tcPr>
          <w:p w14:paraId="010D3258">
            <w:pPr>
              <w:ind w:firstLine="0" w:firstLineChars="0"/>
            </w:pPr>
            <w:r>
              <w:rPr>
                <w:rFonts w:hint="eastAsia"/>
              </w:rPr>
              <w:t>业务应用安全</w:t>
            </w:r>
          </w:p>
        </w:tc>
        <w:tc>
          <w:tcPr>
            <w:tcW w:w="462" w:type="pct"/>
            <w:vMerge w:val="restart"/>
            <w:vAlign w:val="center"/>
          </w:tcPr>
          <w:p w14:paraId="3B50F70F">
            <w:pPr>
              <w:ind w:firstLine="0" w:firstLineChars="0"/>
            </w:pPr>
            <w:r>
              <w:rPr>
                <w:rFonts w:hint="eastAsia"/>
              </w:rPr>
              <w:t>应用和数据安全</w:t>
            </w:r>
          </w:p>
        </w:tc>
        <w:tc>
          <w:tcPr>
            <w:tcW w:w="1230" w:type="pct"/>
            <w:vAlign w:val="center"/>
          </w:tcPr>
          <w:p w14:paraId="1EBD84C9">
            <w:pPr>
              <w:ind w:firstLine="0" w:firstLineChars="0"/>
            </w:pPr>
            <w:r>
              <w:rPr>
                <w:rFonts w:hint="eastAsia"/>
              </w:rPr>
              <w:t>身份鉴别</w:t>
            </w:r>
          </w:p>
        </w:tc>
        <w:tc>
          <w:tcPr>
            <w:tcW w:w="2000" w:type="pct"/>
            <w:vAlign w:val="center"/>
          </w:tcPr>
          <w:p w14:paraId="349E2F82">
            <w:pPr>
              <w:ind w:firstLine="0" w:firstLineChars="0"/>
            </w:pPr>
            <w:r>
              <w:t>确认</w:t>
            </w:r>
            <w:r>
              <w:rPr>
                <w:rFonts w:hint="eastAsia"/>
              </w:rPr>
              <w:t>应用系统</w:t>
            </w:r>
            <w:r>
              <w:t>用户身份的真实性，防止假冒人员登录</w:t>
            </w:r>
            <w:r>
              <w:rPr>
                <w:rFonts w:hint="eastAsia"/>
              </w:rPr>
              <w:t>。</w:t>
            </w:r>
          </w:p>
        </w:tc>
        <w:tc>
          <w:tcPr>
            <w:tcW w:w="847" w:type="pct"/>
            <w:vAlign w:val="center"/>
          </w:tcPr>
          <w:p w14:paraId="49DBA363">
            <w:pPr>
              <w:ind w:firstLine="0" w:firstLineChars="0"/>
            </w:pPr>
            <w:r>
              <w:t>无</w:t>
            </w:r>
          </w:p>
        </w:tc>
      </w:tr>
      <w:tr w14:paraId="2882E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03A4A630">
            <w:pPr>
              <w:ind w:firstLine="0" w:firstLineChars="0"/>
            </w:pPr>
          </w:p>
        </w:tc>
        <w:tc>
          <w:tcPr>
            <w:tcW w:w="462" w:type="pct"/>
            <w:vMerge w:val="continue"/>
            <w:vAlign w:val="center"/>
          </w:tcPr>
          <w:p w14:paraId="7F79C47E">
            <w:pPr>
              <w:ind w:firstLine="0" w:firstLineChars="0"/>
            </w:pPr>
          </w:p>
        </w:tc>
        <w:tc>
          <w:tcPr>
            <w:tcW w:w="1230" w:type="pct"/>
            <w:vAlign w:val="center"/>
          </w:tcPr>
          <w:p w14:paraId="42E5F330">
            <w:pPr>
              <w:ind w:firstLine="0" w:firstLineChars="0"/>
            </w:pPr>
            <w:r>
              <w:rPr>
                <w:rFonts w:hint="eastAsia"/>
              </w:rPr>
              <w:t>访问控制信息完整性</w:t>
            </w:r>
          </w:p>
        </w:tc>
        <w:tc>
          <w:tcPr>
            <w:tcW w:w="2000" w:type="pct"/>
            <w:vAlign w:val="center"/>
          </w:tcPr>
          <w:p w14:paraId="6DDF9F1A">
            <w:pPr>
              <w:ind w:firstLine="0" w:firstLineChars="0"/>
            </w:pPr>
            <w:r>
              <w:t>对</w:t>
            </w:r>
            <w:r>
              <w:rPr>
                <w:rFonts w:hint="eastAsia"/>
              </w:rPr>
              <w:t>应用系统</w:t>
            </w:r>
            <w:r>
              <w:t>的访问权限控制列表进行完整性保护，防止被非授权篡改</w:t>
            </w:r>
            <w:r>
              <w:rPr>
                <w:rFonts w:hint="eastAsia"/>
              </w:rPr>
              <w:t>。</w:t>
            </w:r>
          </w:p>
        </w:tc>
        <w:tc>
          <w:tcPr>
            <w:tcW w:w="847" w:type="pct"/>
            <w:vAlign w:val="center"/>
          </w:tcPr>
          <w:p w14:paraId="3731E406">
            <w:pPr>
              <w:ind w:firstLine="0" w:firstLineChars="0"/>
            </w:pPr>
            <w:r>
              <w:t>无</w:t>
            </w:r>
          </w:p>
        </w:tc>
      </w:tr>
      <w:tr w14:paraId="275F1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6B54717D">
            <w:pPr>
              <w:ind w:firstLine="0" w:firstLineChars="0"/>
            </w:pPr>
          </w:p>
        </w:tc>
        <w:tc>
          <w:tcPr>
            <w:tcW w:w="462" w:type="pct"/>
            <w:vMerge w:val="continue"/>
            <w:vAlign w:val="center"/>
          </w:tcPr>
          <w:p w14:paraId="78AE22E8">
            <w:pPr>
              <w:ind w:firstLine="0" w:firstLineChars="0"/>
            </w:pPr>
          </w:p>
        </w:tc>
        <w:tc>
          <w:tcPr>
            <w:tcW w:w="1230" w:type="pct"/>
            <w:vAlign w:val="center"/>
          </w:tcPr>
          <w:p w14:paraId="1527D125">
            <w:pPr>
              <w:ind w:firstLine="0" w:firstLineChars="0"/>
            </w:pPr>
            <w:r>
              <w:rPr>
                <w:rFonts w:hint="eastAsia"/>
              </w:rPr>
              <w:t>重要信息资源安全标记完整性</w:t>
            </w:r>
          </w:p>
        </w:tc>
        <w:tc>
          <w:tcPr>
            <w:tcW w:w="2000" w:type="pct"/>
            <w:vAlign w:val="center"/>
          </w:tcPr>
          <w:p w14:paraId="1F1AA1C2">
            <w:pPr>
              <w:ind w:firstLine="0" w:firstLineChars="0"/>
            </w:pPr>
            <w:r>
              <w:t>不适用</w:t>
            </w:r>
            <w:r>
              <w:rPr>
                <w:rFonts w:hint="eastAsia"/>
              </w:rPr>
              <w:t>。</w:t>
            </w:r>
          </w:p>
        </w:tc>
        <w:tc>
          <w:tcPr>
            <w:tcW w:w="847" w:type="pct"/>
            <w:vAlign w:val="center"/>
          </w:tcPr>
          <w:p w14:paraId="674BCD8E">
            <w:pPr>
              <w:ind w:firstLine="0" w:firstLineChars="0"/>
            </w:pPr>
            <w:r>
              <w:t>应用没有安全标记</w:t>
            </w:r>
            <w:r>
              <w:rPr>
                <w:rFonts w:hint="eastAsia"/>
              </w:rPr>
              <w:t>。</w:t>
            </w:r>
          </w:p>
        </w:tc>
      </w:tr>
      <w:tr w14:paraId="3D07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9" w:type="pct"/>
            <w:vMerge w:val="continue"/>
            <w:vAlign w:val="center"/>
          </w:tcPr>
          <w:p w14:paraId="09327043">
            <w:pPr>
              <w:ind w:firstLine="0" w:firstLineChars="0"/>
            </w:pPr>
          </w:p>
        </w:tc>
        <w:tc>
          <w:tcPr>
            <w:tcW w:w="462" w:type="pct"/>
            <w:vMerge w:val="continue"/>
            <w:vAlign w:val="center"/>
          </w:tcPr>
          <w:p w14:paraId="59B94229">
            <w:pPr>
              <w:ind w:firstLine="0" w:firstLineChars="0"/>
            </w:pPr>
          </w:p>
        </w:tc>
        <w:tc>
          <w:tcPr>
            <w:tcW w:w="1230" w:type="pct"/>
            <w:vAlign w:val="center"/>
          </w:tcPr>
          <w:p w14:paraId="4483ED61">
            <w:pPr>
              <w:ind w:firstLine="0" w:firstLineChars="0"/>
            </w:pPr>
            <w:r>
              <w:rPr>
                <w:rFonts w:hint="eastAsia"/>
              </w:rPr>
              <w:t>数据传输机密性</w:t>
            </w:r>
          </w:p>
        </w:tc>
        <w:tc>
          <w:tcPr>
            <w:tcW w:w="2000" w:type="pct"/>
            <w:vMerge w:val="restart"/>
            <w:vAlign w:val="center"/>
          </w:tcPr>
          <w:p w14:paraId="4DBD6561">
            <w:pPr>
              <w:ind w:firstLine="0" w:firstLineChars="0"/>
            </w:pPr>
            <w:r>
              <w:rPr>
                <w:rFonts w:hint="eastAsia"/>
              </w:rPr>
              <w:t>保护互联网客户端与服务端之间传输和存储的用户登录身份鉴别信息、上海市城市运行智能辅助子系统数据等重要数据的机密性和完整性，防止数据泄露给非授权的个人、进程等。保护系统业务日志数据的完整性，防止该数据被非授权篡改。</w:t>
            </w:r>
          </w:p>
        </w:tc>
        <w:tc>
          <w:tcPr>
            <w:tcW w:w="847" w:type="pct"/>
            <w:vMerge w:val="restart"/>
            <w:vAlign w:val="center"/>
          </w:tcPr>
          <w:p w14:paraId="2EF914A0">
            <w:pPr>
              <w:ind w:firstLine="0" w:firstLineChars="0"/>
            </w:pPr>
            <w:r>
              <w:rPr>
                <w:rFonts w:hint="eastAsia"/>
              </w:rPr>
              <w:t>无</w:t>
            </w:r>
          </w:p>
        </w:tc>
      </w:tr>
      <w:tr w14:paraId="4FAA5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9" w:type="pct"/>
            <w:vMerge w:val="continue"/>
            <w:vAlign w:val="center"/>
          </w:tcPr>
          <w:p w14:paraId="69E84770">
            <w:pPr>
              <w:ind w:firstLine="0" w:firstLineChars="0"/>
            </w:pPr>
          </w:p>
        </w:tc>
        <w:tc>
          <w:tcPr>
            <w:tcW w:w="462" w:type="pct"/>
            <w:vMerge w:val="continue"/>
            <w:vAlign w:val="center"/>
          </w:tcPr>
          <w:p w14:paraId="6172EECE">
            <w:pPr>
              <w:ind w:firstLine="0" w:firstLineChars="0"/>
            </w:pPr>
          </w:p>
        </w:tc>
        <w:tc>
          <w:tcPr>
            <w:tcW w:w="1230" w:type="pct"/>
            <w:vAlign w:val="center"/>
          </w:tcPr>
          <w:p w14:paraId="165E21BB">
            <w:pPr>
              <w:ind w:firstLine="0" w:firstLineChars="0"/>
            </w:pPr>
            <w:r>
              <w:rPr>
                <w:rFonts w:hint="eastAsia"/>
              </w:rPr>
              <w:t>数据存储机密性</w:t>
            </w:r>
          </w:p>
        </w:tc>
        <w:tc>
          <w:tcPr>
            <w:tcW w:w="2000" w:type="pct"/>
            <w:vMerge w:val="continue"/>
            <w:vAlign w:val="center"/>
          </w:tcPr>
          <w:p w14:paraId="08328B5E">
            <w:pPr>
              <w:ind w:firstLine="0" w:firstLineChars="0"/>
            </w:pPr>
          </w:p>
        </w:tc>
        <w:tc>
          <w:tcPr>
            <w:tcW w:w="847" w:type="pct"/>
            <w:vMerge w:val="continue"/>
            <w:vAlign w:val="center"/>
          </w:tcPr>
          <w:p w14:paraId="329AFE63">
            <w:pPr>
              <w:ind w:firstLine="0" w:firstLineChars="0"/>
            </w:pPr>
          </w:p>
        </w:tc>
      </w:tr>
      <w:tr w14:paraId="72ED2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9" w:type="pct"/>
            <w:vMerge w:val="continue"/>
            <w:vAlign w:val="center"/>
          </w:tcPr>
          <w:p w14:paraId="6E1CD702">
            <w:pPr>
              <w:ind w:firstLine="0" w:firstLineChars="0"/>
            </w:pPr>
          </w:p>
        </w:tc>
        <w:tc>
          <w:tcPr>
            <w:tcW w:w="462" w:type="pct"/>
            <w:vMerge w:val="continue"/>
            <w:vAlign w:val="center"/>
          </w:tcPr>
          <w:p w14:paraId="0A8A1AC8">
            <w:pPr>
              <w:ind w:firstLine="0" w:firstLineChars="0"/>
            </w:pPr>
          </w:p>
        </w:tc>
        <w:tc>
          <w:tcPr>
            <w:tcW w:w="1230" w:type="pct"/>
            <w:vAlign w:val="center"/>
          </w:tcPr>
          <w:p w14:paraId="439257C4">
            <w:pPr>
              <w:ind w:firstLine="0" w:firstLineChars="0"/>
            </w:pPr>
            <w:r>
              <w:rPr>
                <w:rFonts w:hint="eastAsia"/>
              </w:rPr>
              <w:t>数据传输完整性</w:t>
            </w:r>
          </w:p>
        </w:tc>
        <w:tc>
          <w:tcPr>
            <w:tcW w:w="2000" w:type="pct"/>
            <w:vMerge w:val="continue"/>
            <w:vAlign w:val="center"/>
          </w:tcPr>
          <w:p w14:paraId="43CE8B29">
            <w:pPr>
              <w:ind w:firstLine="0" w:firstLineChars="0"/>
            </w:pPr>
          </w:p>
        </w:tc>
        <w:tc>
          <w:tcPr>
            <w:tcW w:w="847" w:type="pct"/>
            <w:vMerge w:val="continue"/>
            <w:vAlign w:val="center"/>
          </w:tcPr>
          <w:p w14:paraId="5976FEC3">
            <w:pPr>
              <w:ind w:firstLine="0" w:firstLineChars="0"/>
            </w:pPr>
          </w:p>
        </w:tc>
      </w:tr>
      <w:tr w14:paraId="73B17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9" w:type="pct"/>
            <w:vMerge w:val="continue"/>
            <w:vAlign w:val="center"/>
          </w:tcPr>
          <w:p w14:paraId="07C49DF0">
            <w:pPr>
              <w:ind w:firstLine="0" w:firstLineChars="0"/>
            </w:pPr>
          </w:p>
        </w:tc>
        <w:tc>
          <w:tcPr>
            <w:tcW w:w="462" w:type="pct"/>
            <w:vMerge w:val="continue"/>
            <w:vAlign w:val="center"/>
          </w:tcPr>
          <w:p w14:paraId="197364E9">
            <w:pPr>
              <w:ind w:firstLine="0" w:firstLineChars="0"/>
            </w:pPr>
          </w:p>
        </w:tc>
        <w:tc>
          <w:tcPr>
            <w:tcW w:w="1230" w:type="pct"/>
            <w:vAlign w:val="center"/>
          </w:tcPr>
          <w:p w14:paraId="3EE93D50">
            <w:pPr>
              <w:ind w:firstLine="0" w:firstLineChars="0"/>
            </w:pPr>
            <w:r>
              <w:rPr>
                <w:rFonts w:hint="eastAsia"/>
              </w:rPr>
              <w:t>数据存储完整性</w:t>
            </w:r>
          </w:p>
        </w:tc>
        <w:tc>
          <w:tcPr>
            <w:tcW w:w="2000" w:type="pct"/>
            <w:vMerge w:val="continue"/>
            <w:vAlign w:val="center"/>
          </w:tcPr>
          <w:p w14:paraId="62A904DC">
            <w:pPr>
              <w:ind w:firstLine="0" w:firstLineChars="0"/>
            </w:pPr>
          </w:p>
        </w:tc>
        <w:tc>
          <w:tcPr>
            <w:tcW w:w="847" w:type="pct"/>
            <w:vMerge w:val="continue"/>
            <w:vAlign w:val="center"/>
          </w:tcPr>
          <w:p w14:paraId="12886CD1">
            <w:pPr>
              <w:ind w:firstLine="0" w:firstLineChars="0"/>
            </w:pPr>
          </w:p>
        </w:tc>
      </w:tr>
      <w:tr w14:paraId="46E4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4F7AB3FE">
            <w:pPr>
              <w:ind w:firstLine="0" w:firstLineChars="0"/>
            </w:pPr>
          </w:p>
        </w:tc>
        <w:tc>
          <w:tcPr>
            <w:tcW w:w="462" w:type="pct"/>
            <w:vMerge w:val="continue"/>
            <w:vAlign w:val="center"/>
          </w:tcPr>
          <w:p w14:paraId="29FEA976">
            <w:pPr>
              <w:ind w:firstLine="0" w:firstLineChars="0"/>
            </w:pPr>
          </w:p>
        </w:tc>
        <w:tc>
          <w:tcPr>
            <w:tcW w:w="1230" w:type="pct"/>
            <w:vAlign w:val="center"/>
          </w:tcPr>
          <w:p w14:paraId="01A7FC36">
            <w:pPr>
              <w:ind w:firstLine="0" w:firstLineChars="0"/>
            </w:pPr>
            <w:r>
              <w:rPr>
                <w:rFonts w:hint="eastAsia"/>
              </w:rPr>
              <w:t>不可否认性</w:t>
            </w:r>
          </w:p>
        </w:tc>
        <w:tc>
          <w:tcPr>
            <w:tcW w:w="2000" w:type="pct"/>
            <w:vAlign w:val="center"/>
          </w:tcPr>
          <w:p w14:paraId="4911B7C9">
            <w:pPr>
              <w:ind w:firstLine="0" w:firstLineChars="0"/>
            </w:pPr>
            <w:r>
              <w:t>保护</w:t>
            </w:r>
            <w:r>
              <w:rPr>
                <w:rFonts w:hint="eastAsia"/>
              </w:rPr>
              <w:t>系统中流转的上海市城市运行智能辅助子系统</w:t>
            </w:r>
            <w:r>
              <w:t>数据的不可否认性，确保发送方对已经发生的操作行为无法否认</w:t>
            </w:r>
            <w:r>
              <w:rPr>
                <w:rFonts w:hint="eastAsia"/>
              </w:rPr>
              <w:t>。</w:t>
            </w:r>
          </w:p>
        </w:tc>
        <w:tc>
          <w:tcPr>
            <w:tcW w:w="847" w:type="pct"/>
            <w:vAlign w:val="center"/>
          </w:tcPr>
          <w:p w14:paraId="3795F205">
            <w:pPr>
              <w:ind w:firstLine="0" w:firstLineChars="0"/>
            </w:pPr>
            <w:r>
              <w:rPr>
                <w:rFonts w:hint="eastAsia"/>
              </w:rPr>
              <w:t>无</w:t>
            </w:r>
          </w:p>
        </w:tc>
      </w:tr>
      <w:tr w14:paraId="45E62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526FEAA9">
            <w:pPr>
              <w:ind w:firstLine="0" w:firstLineChars="0"/>
            </w:pPr>
          </w:p>
        </w:tc>
        <w:tc>
          <w:tcPr>
            <w:tcW w:w="462" w:type="pct"/>
            <w:vMerge w:val="continue"/>
            <w:vAlign w:val="center"/>
          </w:tcPr>
          <w:p w14:paraId="0A858AFA">
            <w:pPr>
              <w:ind w:firstLine="0" w:firstLineChars="0"/>
            </w:pPr>
          </w:p>
        </w:tc>
        <w:tc>
          <w:tcPr>
            <w:tcW w:w="1230" w:type="pct"/>
            <w:vAlign w:val="center"/>
          </w:tcPr>
          <w:p w14:paraId="2F647A17">
            <w:pPr>
              <w:ind w:firstLine="0" w:firstLineChars="0"/>
            </w:pPr>
            <w:r>
              <w:rPr>
                <w:rFonts w:hint="eastAsia"/>
              </w:rPr>
              <w:t>密码服务</w:t>
            </w:r>
          </w:p>
        </w:tc>
        <w:tc>
          <w:tcPr>
            <w:tcW w:w="2000" w:type="pct"/>
            <w:vAlign w:val="center"/>
          </w:tcPr>
          <w:p w14:paraId="4C2DFC64">
            <w:pPr>
              <w:ind w:firstLine="0" w:firstLineChars="0"/>
            </w:pPr>
            <w:r>
              <w:rPr>
                <w:rFonts w:hint="eastAsia"/>
              </w:rPr>
              <w:t>采用的数字证书由具有电子认证服务资质的机构签发。</w:t>
            </w:r>
          </w:p>
        </w:tc>
        <w:tc>
          <w:tcPr>
            <w:tcW w:w="847" w:type="pct"/>
            <w:vAlign w:val="center"/>
          </w:tcPr>
          <w:p w14:paraId="4A410E62">
            <w:pPr>
              <w:ind w:firstLine="0" w:firstLineChars="0"/>
            </w:pPr>
            <w:r>
              <w:rPr>
                <w:rFonts w:hint="eastAsia"/>
              </w:rPr>
              <w:t>无</w:t>
            </w:r>
          </w:p>
        </w:tc>
      </w:tr>
      <w:tr w14:paraId="3F89C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59" w:type="pct"/>
            <w:vMerge w:val="continue"/>
            <w:vAlign w:val="center"/>
          </w:tcPr>
          <w:p w14:paraId="1C308E90">
            <w:pPr>
              <w:ind w:firstLine="0" w:firstLineChars="0"/>
            </w:pPr>
          </w:p>
        </w:tc>
        <w:tc>
          <w:tcPr>
            <w:tcW w:w="462" w:type="pct"/>
            <w:vMerge w:val="continue"/>
            <w:vAlign w:val="center"/>
          </w:tcPr>
          <w:p w14:paraId="3350D01B">
            <w:pPr>
              <w:ind w:firstLine="0" w:firstLineChars="0"/>
            </w:pPr>
          </w:p>
        </w:tc>
        <w:tc>
          <w:tcPr>
            <w:tcW w:w="1230" w:type="pct"/>
            <w:vAlign w:val="center"/>
          </w:tcPr>
          <w:p w14:paraId="5E093930">
            <w:pPr>
              <w:ind w:firstLine="0" w:firstLineChars="0"/>
            </w:pPr>
            <w:r>
              <w:rPr>
                <w:rFonts w:hint="eastAsia"/>
              </w:rPr>
              <w:t>密码产品</w:t>
            </w:r>
          </w:p>
        </w:tc>
        <w:tc>
          <w:tcPr>
            <w:tcW w:w="2000" w:type="pct"/>
            <w:vAlign w:val="center"/>
          </w:tcPr>
          <w:p w14:paraId="326F39F7">
            <w:pPr>
              <w:ind w:firstLine="0" w:firstLineChars="0"/>
            </w:pPr>
            <w:r>
              <w:rPr>
                <w:rFonts w:hint="eastAsia"/>
              </w:rPr>
              <w:t>采用的密码产品，应达到</w:t>
            </w:r>
            <w:r>
              <w:t>GB/T 37092</w:t>
            </w:r>
            <w:r>
              <w:rPr>
                <w:rFonts w:hint="eastAsia"/>
              </w:rPr>
              <w:t>-2018二级及以上安全要求。</w:t>
            </w:r>
          </w:p>
        </w:tc>
        <w:tc>
          <w:tcPr>
            <w:tcW w:w="847" w:type="pct"/>
            <w:vAlign w:val="center"/>
          </w:tcPr>
          <w:p w14:paraId="329C7DA2">
            <w:pPr>
              <w:ind w:firstLine="0" w:firstLineChars="0"/>
            </w:pPr>
            <w:r>
              <w:rPr>
                <w:rFonts w:hint="eastAsia"/>
              </w:rPr>
              <w:t>无</w:t>
            </w:r>
          </w:p>
        </w:tc>
      </w:tr>
    </w:tbl>
    <w:p w14:paraId="1135F366">
      <w:pPr>
        <w:ind w:firstLine="0" w:firstLineChars="0"/>
      </w:pPr>
    </w:p>
    <w:p w14:paraId="25D0D96F">
      <w:pPr>
        <w:pStyle w:val="3"/>
      </w:pPr>
      <w:bookmarkStart w:id="37" w:name="_Toc63785512"/>
      <w:r>
        <w:rPr>
          <w:rFonts w:hint="eastAsia"/>
        </w:rPr>
        <w:t>技术文件要求</w:t>
      </w:r>
    </w:p>
    <w:p w14:paraId="5FFFB6C1">
      <w:r>
        <w:rPr>
          <w:rFonts w:hint="eastAsia"/>
        </w:rPr>
        <w:t>投标人提供的书面技术资料应能确保系统正常运行所需的管理、运营及维护有关的全套文件。技术文件应该全面、完整、详细。投标人提供的技术文件至少应包括：</w:t>
      </w:r>
    </w:p>
    <w:p w14:paraId="663D5436">
      <w:r>
        <w:rPr>
          <w:rFonts w:hint="eastAsia"/>
        </w:rPr>
        <w:t>－</w:t>
      </w:r>
      <w:r>
        <w:t>系统说明文件；</w:t>
      </w:r>
    </w:p>
    <w:p w14:paraId="417FA3CA">
      <w:r>
        <w:rPr>
          <w:rFonts w:hint="eastAsia"/>
        </w:rPr>
        <w:t>－</w:t>
      </w:r>
      <w:r>
        <w:t>技术手册(安装、测试、操作、维护、故障排除等)；</w:t>
      </w:r>
    </w:p>
    <w:p w14:paraId="2E28FA84">
      <w:r>
        <w:rPr>
          <w:rFonts w:hint="eastAsia"/>
        </w:rPr>
        <w:t>－</w:t>
      </w:r>
      <w:r>
        <w:t>项目文档，应该包括：</w:t>
      </w:r>
    </w:p>
    <w:p w14:paraId="3FDBFF71">
      <w:pPr>
        <w:ind w:left="360"/>
      </w:pPr>
      <w:r>
        <w:t>(1)软件需求说明书</w:t>
      </w:r>
    </w:p>
    <w:p w14:paraId="76CCADD8">
      <w:pPr>
        <w:ind w:left="360"/>
      </w:pPr>
      <w:r>
        <w:t>(2)</w:t>
      </w:r>
      <w:r>
        <w:tab/>
      </w:r>
      <w:r>
        <w:t>系统总体设计说明书</w:t>
      </w:r>
    </w:p>
    <w:p w14:paraId="6321E2C8">
      <w:pPr>
        <w:ind w:left="360"/>
      </w:pPr>
      <w:r>
        <w:t>(3)</w:t>
      </w:r>
      <w:r>
        <w:tab/>
      </w:r>
      <w:r>
        <w:t>应用软件功能清单</w:t>
      </w:r>
    </w:p>
    <w:p w14:paraId="260F3721">
      <w:r>
        <w:rPr>
          <w:rFonts w:hint="eastAsia"/>
        </w:rPr>
        <w:t>提供全套技术文件纸介质</w:t>
      </w:r>
      <w:r>
        <w:t>3套以及电子文件1套。</w:t>
      </w:r>
    </w:p>
    <w:bookmarkEnd w:id="37"/>
    <w:p w14:paraId="4D9B1DE6">
      <w:pPr>
        <w:pStyle w:val="2"/>
      </w:pPr>
      <w:bookmarkStart w:id="38" w:name="_Toc68798863"/>
      <w:r>
        <w:rPr>
          <w:rFonts w:hint="eastAsia"/>
        </w:rPr>
        <w:t>附录</w:t>
      </w:r>
      <w:bookmarkEnd w:id="38"/>
    </w:p>
    <w:p w14:paraId="175E4C6B">
      <w:pPr>
        <w:ind w:firstLine="482"/>
        <w:rPr>
          <w:b/>
        </w:rPr>
      </w:pPr>
      <w:r>
        <w:rPr>
          <w:rFonts w:hint="eastAsia"/>
          <w:b/>
        </w:rPr>
        <w:t>若项目建设过程中需符合相关技术标准或规范文件的要求，请将相关文件作为附件列出。</w:t>
      </w:r>
    </w:p>
    <w:p w14:paraId="3FC520EB">
      <w:pPr>
        <w:ind w:firstLine="482"/>
      </w:pPr>
      <w:r>
        <w:rPr>
          <w:rFonts w:hint="eastAsia"/>
          <w:b/>
        </w:rPr>
        <w:t>参考如下：</w:t>
      </w:r>
    </w:p>
    <w:p w14:paraId="0B0A60DE">
      <w:pPr>
        <w:ind w:firstLine="0" w:firstLineChars="0"/>
      </w:pPr>
      <w:r>
        <w:rPr>
          <w:rFonts w:hint="eastAsia"/>
        </w:rPr>
        <w:t>1、</w:t>
      </w:r>
      <w:r>
        <w:t>《政务网络安全监测平台总体技术要求》</w:t>
      </w:r>
    </w:p>
    <w:p w14:paraId="296A1FEE">
      <w:pPr>
        <w:ind w:firstLine="0" w:firstLineChars="0"/>
      </w:pPr>
      <w:r>
        <w:object>
          <v:shape id="_x0000_i1026" o:spt="75" type="#_x0000_t75" style="height:55.5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4AA332E0">
      <w:pPr>
        <w:ind w:firstLine="0" w:firstLineChars="0"/>
      </w:pPr>
    </w:p>
    <w:p w14:paraId="3503832B">
      <w:pPr>
        <w:ind w:firstLine="0" w:firstLineChars="0"/>
        <w:jc w:val="left"/>
      </w:pPr>
      <w:r>
        <w:rPr>
          <w:rFonts w:hint="eastAsia"/>
        </w:rPr>
        <w:t>2、《上海市电子政务外网建设和运行管理指南（试行）》</w:t>
      </w:r>
    </w:p>
    <w:p w14:paraId="5859BA69">
      <w:pPr>
        <w:ind w:firstLine="0" w:firstLineChars="0"/>
        <w:jc w:val="left"/>
      </w:pPr>
      <w:r>
        <w:object>
          <v:shape id="_x0000_i1027" o:spt="75" type="#_x0000_t75" style="height:55.5pt;width:76.5pt;" o:ole="t" filled="f" o:preferrelative="t" stroked="f" coordsize="21600,21600">
            <v:path/>
            <v:fill on="f" focussize="0,0"/>
            <v:stroke on="f" joinstyle="miter"/>
            <v:imagedata r:id="rId18" o:title=""/>
            <o:lock v:ext="edit" aspectratio="t"/>
            <w10:wrap type="none"/>
            <w10:anchorlock/>
          </v:shape>
          <o:OLEObject Type="Embed" ProgID="Package" ShapeID="_x0000_i1027" DrawAspect="Icon" ObjectID="_1468075727" r:id="rId17">
            <o:LockedField>false</o:LockedField>
          </o:OLEObject>
        </w:object>
      </w:r>
    </w:p>
    <w:p w14:paraId="65B176F8">
      <w:pPr>
        <w:ind w:firstLine="0" w:firstLineChars="0"/>
        <w:jc w:val="left"/>
      </w:pPr>
      <w:r>
        <w:rPr>
          <w:rFonts w:hint="eastAsia"/>
        </w:rPr>
        <w:t>3、《低代码相关要求（试行）》</w:t>
      </w:r>
    </w:p>
    <w:p w14:paraId="04068418">
      <w:pPr>
        <w:ind w:firstLine="0" w:firstLineChars="0"/>
        <w:jc w:val="left"/>
      </w:pPr>
    </w:p>
    <w:p w14:paraId="3D90E98E">
      <w:pPr>
        <w:numPr>
          <w:ilvl w:val="0"/>
          <w:numId w:val="6"/>
        </w:numPr>
        <w:ind w:firstLine="0" w:firstLineChars="0"/>
        <w:jc w:val="left"/>
      </w:pPr>
      <w:r>
        <w:rPr>
          <w:rFonts w:hint="eastAsia"/>
        </w:rPr>
        <w:t>其他标准</w:t>
      </w:r>
    </w:p>
    <w:p w14:paraId="73E32F8A">
      <w:pPr>
        <w:ind w:left="0" w:leftChars="0" w:firstLine="0" w:firstLineChars="0"/>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文泉驿微米黑"/>
    <w:panose1 w:val="00000000000000000000"/>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MS Mincho">
    <w:altName w:val="方正书宋_GBK"/>
    <w:panose1 w:val="02020609040205080304"/>
    <w:charset w:val="80"/>
    <w:family w:val="modern"/>
    <w:pitch w:val="default"/>
    <w:sig w:usb0="00000000" w:usb1="00000000"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FF09">
    <w:pPr>
      <w:ind w:firstLine="0" w:firstLineChars="0"/>
      <w:jc w:val="center"/>
    </w:pPr>
    <w:r>
      <w:fldChar w:fldCharType="begin"/>
    </w:r>
    <w:r>
      <w:instrText xml:space="preserve">PAGE   \* MERGEFORMAT</w:instrText>
    </w:r>
    <w:r>
      <w:fldChar w:fldCharType="separate"/>
    </w:r>
    <w:r>
      <w:rPr>
        <w:lang w:val="zh-CN"/>
      </w:rPr>
      <w:t>3</w:t>
    </w:r>
    <w:r>
      <w:rPr>
        <w:lang w:val="zh-CN"/>
      </w:rPr>
      <w:fldChar w:fldCharType="end"/>
    </w:r>
  </w:p>
  <w:p w14:paraId="04CD26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A1F2"/>
  <w:p w14:paraId="490653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DD5A">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794C">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2A526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AF7C">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C9166"/>
  <w:p w14:paraId="588F64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1787">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EC9262B9"/>
    <w:multiLevelType w:val="singleLevel"/>
    <w:tmpl w:val="EC9262B9"/>
    <w:lvl w:ilvl="0" w:tentative="0">
      <w:start w:val="1"/>
      <w:numFmt w:val="decimal"/>
      <w:suff w:val="nothing"/>
      <w:lvlText w:val="%1．"/>
      <w:lvlJc w:val="left"/>
      <w:pPr>
        <w:ind w:left="0" w:firstLine="400"/>
      </w:pPr>
      <w:rPr>
        <w:rFonts w:hint="default"/>
      </w:rPr>
    </w:lvl>
  </w:abstractNum>
  <w:abstractNum w:abstractNumId="2">
    <w:nsid w:val="35F09F85"/>
    <w:multiLevelType w:val="singleLevel"/>
    <w:tmpl w:val="35F09F85"/>
    <w:lvl w:ilvl="0" w:tentative="0">
      <w:start w:val="4"/>
      <w:numFmt w:val="decimal"/>
      <w:suff w:val="nothing"/>
      <w:lvlText w:val="%1、"/>
      <w:lvlJc w:val="left"/>
    </w:lvl>
  </w:abstractNum>
  <w:abstractNum w:abstractNumId="3">
    <w:nsid w:val="607D82DD"/>
    <w:multiLevelType w:val="singleLevel"/>
    <w:tmpl w:val="607D82DD"/>
    <w:lvl w:ilvl="0" w:tentative="0">
      <w:start w:val="1"/>
      <w:numFmt w:val="decimal"/>
      <w:lvlText w:val="%1."/>
      <w:lvlJc w:val="left"/>
      <w:pPr>
        <w:ind w:left="425" w:hanging="425"/>
      </w:pPr>
      <w:rPr>
        <w:rFonts w:hint="default" w:ascii="宋体" w:hAnsi="宋体" w:eastAsia="宋体" w:cs="宋体"/>
        <w:sz w:val="22"/>
        <w:szCs w:val="22"/>
      </w:rPr>
    </w:lvl>
  </w:abstractNum>
  <w:abstractNum w:abstractNumId="4">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jdlMzJiYTgyNTJkM2E5NzA5NDNiNGU0YmVkYTRiODEifQ=="/>
  </w:docVars>
  <w:rsids>
    <w:rsidRoot w:val="006910C0"/>
    <w:rsid w:val="0000005A"/>
    <w:rsid w:val="00000AED"/>
    <w:rsid w:val="00002DBA"/>
    <w:rsid w:val="00003516"/>
    <w:rsid w:val="0000380E"/>
    <w:rsid w:val="000050D2"/>
    <w:rsid w:val="00005AFD"/>
    <w:rsid w:val="00006563"/>
    <w:rsid w:val="00007061"/>
    <w:rsid w:val="000074F1"/>
    <w:rsid w:val="00007A41"/>
    <w:rsid w:val="00007DA7"/>
    <w:rsid w:val="00012EF0"/>
    <w:rsid w:val="00014A3E"/>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85FD7"/>
    <w:rsid w:val="00090625"/>
    <w:rsid w:val="00090948"/>
    <w:rsid w:val="00091CD1"/>
    <w:rsid w:val="0009460E"/>
    <w:rsid w:val="000951D4"/>
    <w:rsid w:val="000A065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0F7F61"/>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3FFB"/>
    <w:rsid w:val="0016429B"/>
    <w:rsid w:val="00164525"/>
    <w:rsid w:val="001649EB"/>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A6B22"/>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1F7E22"/>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502"/>
    <w:rsid w:val="00246B41"/>
    <w:rsid w:val="0025002B"/>
    <w:rsid w:val="002500DE"/>
    <w:rsid w:val="00251C0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1EF0"/>
    <w:rsid w:val="002A2342"/>
    <w:rsid w:val="002A279E"/>
    <w:rsid w:val="002A4FA3"/>
    <w:rsid w:val="002B3606"/>
    <w:rsid w:val="002B3D80"/>
    <w:rsid w:val="002B4402"/>
    <w:rsid w:val="002B4946"/>
    <w:rsid w:val="002B4C41"/>
    <w:rsid w:val="002B588D"/>
    <w:rsid w:val="002B7D22"/>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47A"/>
    <w:rsid w:val="002E36D2"/>
    <w:rsid w:val="002E748B"/>
    <w:rsid w:val="002F2002"/>
    <w:rsid w:val="002F335D"/>
    <w:rsid w:val="002F4E32"/>
    <w:rsid w:val="002F503F"/>
    <w:rsid w:val="002F51DD"/>
    <w:rsid w:val="002F5D08"/>
    <w:rsid w:val="002F6895"/>
    <w:rsid w:val="002F6D13"/>
    <w:rsid w:val="00302D27"/>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0EBF"/>
    <w:rsid w:val="003420B5"/>
    <w:rsid w:val="00343646"/>
    <w:rsid w:val="00344CCB"/>
    <w:rsid w:val="00345897"/>
    <w:rsid w:val="00351BFC"/>
    <w:rsid w:val="0035575E"/>
    <w:rsid w:val="003565B4"/>
    <w:rsid w:val="00362792"/>
    <w:rsid w:val="00362E75"/>
    <w:rsid w:val="003631AA"/>
    <w:rsid w:val="003632D5"/>
    <w:rsid w:val="00363575"/>
    <w:rsid w:val="00364EF9"/>
    <w:rsid w:val="00367579"/>
    <w:rsid w:val="0036795B"/>
    <w:rsid w:val="00370A29"/>
    <w:rsid w:val="003722F9"/>
    <w:rsid w:val="00372349"/>
    <w:rsid w:val="00372CBC"/>
    <w:rsid w:val="0037375A"/>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6D44"/>
    <w:rsid w:val="003A7123"/>
    <w:rsid w:val="003B102E"/>
    <w:rsid w:val="003B2167"/>
    <w:rsid w:val="003B5F5D"/>
    <w:rsid w:val="003B62C8"/>
    <w:rsid w:val="003C0C62"/>
    <w:rsid w:val="003C12DC"/>
    <w:rsid w:val="003C2CDA"/>
    <w:rsid w:val="003C500C"/>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0286"/>
    <w:rsid w:val="004730F8"/>
    <w:rsid w:val="00474353"/>
    <w:rsid w:val="00474555"/>
    <w:rsid w:val="004750F4"/>
    <w:rsid w:val="00476CB1"/>
    <w:rsid w:val="00476EFA"/>
    <w:rsid w:val="00480A48"/>
    <w:rsid w:val="00482501"/>
    <w:rsid w:val="00482E7D"/>
    <w:rsid w:val="00484395"/>
    <w:rsid w:val="00485200"/>
    <w:rsid w:val="004865FB"/>
    <w:rsid w:val="00486C03"/>
    <w:rsid w:val="00491773"/>
    <w:rsid w:val="00491AB3"/>
    <w:rsid w:val="00497A33"/>
    <w:rsid w:val="004A1112"/>
    <w:rsid w:val="004A1DA0"/>
    <w:rsid w:val="004A1F20"/>
    <w:rsid w:val="004A2393"/>
    <w:rsid w:val="004A263D"/>
    <w:rsid w:val="004A3569"/>
    <w:rsid w:val="004A452A"/>
    <w:rsid w:val="004A57C6"/>
    <w:rsid w:val="004A5F2C"/>
    <w:rsid w:val="004A6E4F"/>
    <w:rsid w:val="004A720D"/>
    <w:rsid w:val="004B00D0"/>
    <w:rsid w:val="004B6084"/>
    <w:rsid w:val="004B7AE0"/>
    <w:rsid w:val="004C0BC4"/>
    <w:rsid w:val="004C10C3"/>
    <w:rsid w:val="004C260D"/>
    <w:rsid w:val="004C2D47"/>
    <w:rsid w:val="004C4357"/>
    <w:rsid w:val="004C4477"/>
    <w:rsid w:val="004C5730"/>
    <w:rsid w:val="004C6397"/>
    <w:rsid w:val="004C668F"/>
    <w:rsid w:val="004C682B"/>
    <w:rsid w:val="004D0F9E"/>
    <w:rsid w:val="004D142C"/>
    <w:rsid w:val="004D29F7"/>
    <w:rsid w:val="004D363B"/>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2A04"/>
    <w:rsid w:val="004F3A52"/>
    <w:rsid w:val="004F449F"/>
    <w:rsid w:val="004F4E7E"/>
    <w:rsid w:val="004F63AB"/>
    <w:rsid w:val="004F6B76"/>
    <w:rsid w:val="004F6C7C"/>
    <w:rsid w:val="004F7F1A"/>
    <w:rsid w:val="004F7FBB"/>
    <w:rsid w:val="005042B3"/>
    <w:rsid w:val="005045AB"/>
    <w:rsid w:val="005047FA"/>
    <w:rsid w:val="005050D6"/>
    <w:rsid w:val="00507D43"/>
    <w:rsid w:val="005103F2"/>
    <w:rsid w:val="00510E2C"/>
    <w:rsid w:val="00511FDC"/>
    <w:rsid w:val="005124C6"/>
    <w:rsid w:val="00513EBC"/>
    <w:rsid w:val="00514594"/>
    <w:rsid w:val="00514CE1"/>
    <w:rsid w:val="00517155"/>
    <w:rsid w:val="00517DB3"/>
    <w:rsid w:val="005200DC"/>
    <w:rsid w:val="005200F2"/>
    <w:rsid w:val="0052369D"/>
    <w:rsid w:val="005271DB"/>
    <w:rsid w:val="00530D2F"/>
    <w:rsid w:val="0053247B"/>
    <w:rsid w:val="0053487C"/>
    <w:rsid w:val="00534935"/>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67196"/>
    <w:rsid w:val="005714EF"/>
    <w:rsid w:val="005717D9"/>
    <w:rsid w:val="00571CEC"/>
    <w:rsid w:val="00572FCE"/>
    <w:rsid w:val="005750DB"/>
    <w:rsid w:val="005759FC"/>
    <w:rsid w:val="00575B85"/>
    <w:rsid w:val="00576DB9"/>
    <w:rsid w:val="0057738F"/>
    <w:rsid w:val="0057785F"/>
    <w:rsid w:val="005805E4"/>
    <w:rsid w:val="0058202F"/>
    <w:rsid w:val="00584221"/>
    <w:rsid w:val="00584EB6"/>
    <w:rsid w:val="00586B68"/>
    <w:rsid w:val="0058774E"/>
    <w:rsid w:val="005878CF"/>
    <w:rsid w:val="00590CA0"/>
    <w:rsid w:val="00595B01"/>
    <w:rsid w:val="00596D98"/>
    <w:rsid w:val="005979A5"/>
    <w:rsid w:val="005A0021"/>
    <w:rsid w:val="005A017B"/>
    <w:rsid w:val="005A0A1F"/>
    <w:rsid w:val="005A2AEC"/>
    <w:rsid w:val="005A412D"/>
    <w:rsid w:val="005A5212"/>
    <w:rsid w:val="005B002D"/>
    <w:rsid w:val="005B0FFF"/>
    <w:rsid w:val="005B1263"/>
    <w:rsid w:val="005B19AF"/>
    <w:rsid w:val="005B258C"/>
    <w:rsid w:val="005B61DD"/>
    <w:rsid w:val="005B6735"/>
    <w:rsid w:val="005B68A9"/>
    <w:rsid w:val="005B7627"/>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5C13"/>
    <w:rsid w:val="005E7075"/>
    <w:rsid w:val="005E75A7"/>
    <w:rsid w:val="005F38E2"/>
    <w:rsid w:val="005F3EE6"/>
    <w:rsid w:val="005F6736"/>
    <w:rsid w:val="00602C10"/>
    <w:rsid w:val="00602EBD"/>
    <w:rsid w:val="0060464E"/>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252B"/>
    <w:rsid w:val="00636C0A"/>
    <w:rsid w:val="00637EC6"/>
    <w:rsid w:val="006406D0"/>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6E0F"/>
    <w:rsid w:val="00677749"/>
    <w:rsid w:val="00680E07"/>
    <w:rsid w:val="006828F3"/>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B7E90"/>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6F634E"/>
    <w:rsid w:val="00703C00"/>
    <w:rsid w:val="007057CC"/>
    <w:rsid w:val="007066F2"/>
    <w:rsid w:val="00706AE5"/>
    <w:rsid w:val="0070740A"/>
    <w:rsid w:val="00711F93"/>
    <w:rsid w:val="00712940"/>
    <w:rsid w:val="0071428C"/>
    <w:rsid w:val="00715A16"/>
    <w:rsid w:val="007164B0"/>
    <w:rsid w:val="007166FF"/>
    <w:rsid w:val="00723026"/>
    <w:rsid w:val="00724970"/>
    <w:rsid w:val="007260CC"/>
    <w:rsid w:val="00726543"/>
    <w:rsid w:val="0073353E"/>
    <w:rsid w:val="00735FBA"/>
    <w:rsid w:val="00736633"/>
    <w:rsid w:val="00741EE7"/>
    <w:rsid w:val="00742320"/>
    <w:rsid w:val="00743A79"/>
    <w:rsid w:val="007444D4"/>
    <w:rsid w:val="0074594D"/>
    <w:rsid w:val="007459F3"/>
    <w:rsid w:val="007460BF"/>
    <w:rsid w:val="00746E35"/>
    <w:rsid w:val="007470E2"/>
    <w:rsid w:val="00750309"/>
    <w:rsid w:val="0075232F"/>
    <w:rsid w:val="00753132"/>
    <w:rsid w:val="007550B3"/>
    <w:rsid w:val="00760451"/>
    <w:rsid w:val="00766250"/>
    <w:rsid w:val="00766C87"/>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6BD"/>
    <w:rsid w:val="007C1996"/>
    <w:rsid w:val="007C3773"/>
    <w:rsid w:val="007C3F1F"/>
    <w:rsid w:val="007C7086"/>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267C"/>
    <w:rsid w:val="008250A2"/>
    <w:rsid w:val="00825D64"/>
    <w:rsid w:val="008262A0"/>
    <w:rsid w:val="0082650B"/>
    <w:rsid w:val="008301CE"/>
    <w:rsid w:val="008312E3"/>
    <w:rsid w:val="00831D5B"/>
    <w:rsid w:val="00832DD6"/>
    <w:rsid w:val="00832F0C"/>
    <w:rsid w:val="008336F2"/>
    <w:rsid w:val="00834153"/>
    <w:rsid w:val="008345D9"/>
    <w:rsid w:val="008347CB"/>
    <w:rsid w:val="00835647"/>
    <w:rsid w:val="00837A2E"/>
    <w:rsid w:val="00841558"/>
    <w:rsid w:val="00842A68"/>
    <w:rsid w:val="008435BA"/>
    <w:rsid w:val="0084558B"/>
    <w:rsid w:val="0084654A"/>
    <w:rsid w:val="00847654"/>
    <w:rsid w:val="00851064"/>
    <w:rsid w:val="00852B4F"/>
    <w:rsid w:val="00855543"/>
    <w:rsid w:val="008566B3"/>
    <w:rsid w:val="00857517"/>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2073"/>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27C8"/>
    <w:rsid w:val="008E5698"/>
    <w:rsid w:val="008E5733"/>
    <w:rsid w:val="008E77D2"/>
    <w:rsid w:val="008E78FD"/>
    <w:rsid w:val="008F199D"/>
    <w:rsid w:val="008F38A0"/>
    <w:rsid w:val="008F38E4"/>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26524"/>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13BF"/>
    <w:rsid w:val="00973B5D"/>
    <w:rsid w:val="0097755E"/>
    <w:rsid w:val="00981467"/>
    <w:rsid w:val="00981C24"/>
    <w:rsid w:val="009852F6"/>
    <w:rsid w:val="00985DE5"/>
    <w:rsid w:val="00986254"/>
    <w:rsid w:val="0098729E"/>
    <w:rsid w:val="00987475"/>
    <w:rsid w:val="00990067"/>
    <w:rsid w:val="00992977"/>
    <w:rsid w:val="009937D4"/>
    <w:rsid w:val="00993C78"/>
    <w:rsid w:val="009948C7"/>
    <w:rsid w:val="00995850"/>
    <w:rsid w:val="0099796C"/>
    <w:rsid w:val="009A194E"/>
    <w:rsid w:val="009A1EA2"/>
    <w:rsid w:val="009A209E"/>
    <w:rsid w:val="009A3FD7"/>
    <w:rsid w:val="009A4AC9"/>
    <w:rsid w:val="009A6652"/>
    <w:rsid w:val="009A74FD"/>
    <w:rsid w:val="009B25D8"/>
    <w:rsid w:val="009B42E3"/>
    <w:rsid w:val="009B5859"/>
    <w:rsid w:val="009C4834"/>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0E53"/>
    <w:rsid w:val="00A01657"/>
    <w:rsid w:val="00A01C65"/>
    <w:rsid w:val="00A0213D"/>
    <w:rsid w:val="00A0304E"/>
    <w:rsid w:val="00A04C73"/>
    <w:rsid w:val="00A0679A"/>
    <w:rsid w:val="00A06C1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4EA0"/>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5C06"/>
    <w:rsid w:val="00A866FD"/>
    <w:rsid w:val="00A86F10"/>
    <w:rsid w:val="00A87AF2"/>
    <w:rsid w:val="00A87D57"/>
    <w:rsid w:val="00A90B23"/>
    <w:rsid w:val="00A91EB3"/>
    <w:rsid w:val="00A93193"/>
    <w:rsid w:val="00A93800"/>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5E18"/>
    <w:rsid w:val="00AD60EE"/>
    <w:rsid w:val="00AD6A2B"/>
    <w:rsid w:val="00AD73D4"/>
    <w:rsid w:val="00AE1EA2"/>
    <w:rsid w:val="00AE2874"/>
    <w:rsid w:val="00AE2BA2"/>
    <w:rsid w:val="00AE2F98"/>
    <w:rsid w:val="00AE3602"/>
    <w:rsid w:val="00AE5342"/>
    <w:rsid w:val="00AE5987"/>
    <w:rsid w:val="00AE6472"/>
    <w:rsid w:val="00AF1345"/>
    <w:rsid w:val="00AF38A8"/>
    <w:rsid w:val="00AF4D54"/>
    <w:rsid w:val="00AF63EB"/>
    <w:rsid w:val="00B016D2"/>
    <w:rsid w:val="00B018EC"/>
    <w:rsid w:val="00B060C7"/>
    <w:rsid w:val="00B11AB7"/>
    <w:rsid w:val="00B12213"/>
    <w:rsid w:val="00B13710"/>
    <w:rsid w:val="00B16196"/>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21AD"/>
    <w:rsid w:val="00B727C9"/>
    <w:rsid w:val="00B73880"/>
    <w:rsid w:val="00B73CF1"/>
    <w:rsid w:val="00B745B3"/>
    <w:rsid w:val="00B7599D"/>
    <w:rsid w:val="00B76488"/>
    <w:rsid w:val="00B7648F"/>
    <w:rsid w:val="00B76E13"/>
    <w:rsid w:val="00B771EE"/>
    <w:rsid w:val="00B7765B"/>
    <w:rsid w:val="00B77B4B"/>
    <w:rsid w:val="00B80ABC"/>
    <w:rsid w:val="00B814C2"/>
    <w:rsid w:val="00B84223"/>
    <w:rsid w:val="00B85C27"/>
    <w:rsid w:val="00B900FE"/>
    <w:rsid w:val="00B9064C"/>
    <w:rsid w:val="00BA018E"/>
    <w:rsid w:val="00BA0A14"/>
    <w:rsid w:val="00BA228D"/>
    <w:rsid w:val="00BA398D"/>
    <w:rsid w:val="00BA39D3"/>
    <w:rsid w:val="00BA5C56"/>
    <w:rsid w:val="00BA776F"/>
    <w:rsid w:val="00BB0C0D"/>
    <w:rsid w:val="00BB0D69"/>
    <w:rsid w:val="00BB172D"/>
    <w:rsid w:val="00BB366E"/>
    <w:rsid w:val="00BB3AF0"/>
    <w:rsid w:val="00BB4F70"/>
    <w:rsid w:val="00BB67FF"/>
    <w:rsid w:val="00BB7507"/>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E4FBC"/>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3194"/>
    <w:rsid w:val="00C247DD"/>
    <w:rsid w:val="00C25B43"/>
    <w:rsid w:val="00C26A54"/>
    <w:rsid w:val="00C3261C"/>
    <w:rsid w:val="00C3318B"/>
    <w:rsid w:val="00C33C20"/>
    <w:rsid w:val="00C35362"/>
    <w:rsid w:val="00C357EA"/>
    <w:rsid w:val="00C379F8"/>
    <w:rsid w:val="00C37A1C"/>
    <w:rsid w:val="00C42323"/>
    <w:rsid w:val="00C4316E"/>
    <w:rsid w:val="00C4320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161D"/>
    <w:rsid w:val="00C82CE6"/>
    <w:rsid w:val="00C82E22"/>
    <w:rsid w:val="00C85144"/>
    <w:rsid w:val="00C86222"/>
    <w:rsid w:val="00C86738"/>
    <w:rsid w:val="00C86A27"/>
    <w:rsid w:val="00C91517"/>
    <w:rsid w:val="00C929BD"/>
    <w:rsid w:val="00C931A2"/>
    <w:rsid w:val="00C968CF"/>
    <w:rsid w:val="00CA02E1"/>
    <w:rsid w:val="00CA15DA"/>
    <w:rsid w:val="00CA224E"/>
    <w:rsid w:val="00CA35B9"/>
    <w:rsid w:val="00CA41C5"/>
    <w:rsid w:val="00CA42B7"/>
    <w:rsid w:val="00CA4A53"/>
    <w:rsid w:val="00CA51F5"/>
    <w:rsid w:val="00CB218A"/>
    <w:rsid w:val="00CB225A"/>
    <w:rsid w:val="00CB69E6"/>
    <w:rsid w:val="00CB761B"/>
    <w:rsid w:val="00CB7E33"/>
    <w:rsid w:val="00CC137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16680"/>
    <w:rsid w:val="00D203D1"/>
    <w:rsid w:val="00D2057A"/>
    <w:rsid w:val="00D21D98"/>
    <w:rsid w:val="00D2317F"/>
    <w:rsid w:val="00D231A9"/>
    <w:rsid w:val="00D24391"/>
    <w:rsid w:val="00D2472B"/>
    <w:rsid w:val="00D253DD"/>
    <w:rsid w:val="00D26FFA"/>
    <w:rsid w:val="00D31031"/>
    <w:rsid w:val="00D31D93"/>
    <w:rsid w:val="00D320D9"/>
    <w:rsid w:val="00D3215D"/>
    <w:rsid w:val="00D33352"/>
    <w:rsid w:val="00D347D9"/>
    <w:rsid w:val="00D35565"/>
    <w:rsid w:val="00D36A19"/>
    <w:rsid w:val="00D403E5"/>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3CF9"/>
    <w:rsid w:val="00D55A98"/>
    <w:rsid w:val="00D56B49"/>
    <w:rsid w:val="00D6053F"/>
    <w:rsid w:val="00D6073D"/>
    <w:rsid w:val="00D618D6"/>
    <w:rsid w:val="00D62426"/>
    <w:rsid w:val="00D62804"/>
    <w:rsid w:val="00D70BD2"/>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8C6"/>
    <w:rsid w:val="00DA0B39"/>
    <w:rsid w:val="00DA1203"/>
    <w:rsid w:val="00DA2316"/>
    <w:rsid w:val="00DA25E0"/>
    <w:rsid w:val="00DA2700"/>
    <w:rsid w:val="00DA3001"/>
    <w:rsid w:val="00DA3C5D"/>
    <w:rsid w:val="00DA3EFF"/>
    <w:rsid w:val="00DA6583"/>
    <w:rsid w:val="00DA7769"/>
    <w:rsid w:val="00DB08C6"/>
    <w:rsid w:val="00DB1BC2"/>
    <w:rsid w:val="00DB1CBB"/>
    <w:rsid w:val="00DB31ED"/>
    <w:rsid w:val="00DB4124"/>
    <w:rsid w:val="00DB4511"/>
    <w:rsid w:val="00DB4F0C"/>
    <w:rsid w:val="00DB7B56"/>
    <w:rsid w:val="00DC0176"/>
    <w:rsid w:val="00DC043F"/>
    <w:rsid w:val="00DC093E"/>
    <w:rsid w:val="00DC0E29"/>
    <w:rsid w:val="00DC0E7A"/>
    <w:rsid w:val="00DC2A65"/>
    <w:rsid w:val="00DC2A86"/>
    <w:rsid w:val="00DC3631"/>
    <w:rsid w:val="00DC37F7"/>
    <w:rsid w:val="00DC6F54"/>
    <w:rsid w:val="00DD0392"/>
    <w:rsid w:val="00DD0C00"/>
    <w:rsid w:val="00DD0F8C"/>
    <w:rsid w:val="00DD116C"/>
    <w:rsid w:val="00DD23D5"/>
    <w:rsid w:val="00DD2AF1"/>
    <w:rsid w:val="00DD46DA"/>
    <w:rsid w:val="00DD4B3C"/>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904"/>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1FA3"/>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24F8"/>
    <w:rsid w:val="00E84C91"/>
    <w:rsid w:val="00E84E60"/>
    <w:rsid w:val="00E8556E"/>
    <w:rsid w:val="00E86B2D"/>
    <w:rsid w:val="00E86F4D"/>
    <w:rsid w:val="00E87D08"/>
    <w:rsid w:val="00E9055E"/>
    <w:rsid w:val="00E90D0E"/>
    <w:rsid w:val="00E91B2D"/>
    <w:rsid w:val="00E92FCA"/>
    <w:rsid w:val="00E95CAA"/>
    <w:rsid w:val="00E96702"/>
    <w:rsid w:val="00EA0A39"/>
    <w:rsid w:val="00EA0EB2"/>
    <w:rsid w:val="00EA236F"/>
    <w:rsid w:val="00EA3023"/>
    <w:rsid w:val="00EA3E49"/>
    <w:rsid w:val="00EA3FC8"/>
    <w:rsid w:val="00EA53D3"/>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099C"/>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44E"/>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03A"/>
    <w:rsid w:val="00FA7174"/>
    <w:rsid w:val="00FA793D"/>
    <w:rsid w:val="00FB020E"/>
    <w:rsid w:val="00FB0F17"/>
    <w:rsid w:val="00FB4B9D"/>
    <w:rsid w:val="00FB50ED"/>
    <w:rsid w:val="00FB6E18"/>
    <w:rsid w:val="00FC144B"/>
    <w:rsid w:val="00FC2169"/>
    <w:rsid w:val="00FC28E2"/>
    <w:rsid w:val="00FC3BF6"/>
    <w:rsid w:val="00FC3D22"/>
    <w:rsid w:val="00FC64AC"/>
    <w:rsid w:val="00FC6FE1"/>
    <w:rsid w:val="00FD0C3D"/>
    <w:rsid w:val="00FD2F6B"/>
    <w:rsid w:val="00FE064A"/>
    <w:rsid w:val="00FE0B55"/>
    <w:rsid w:val="00FE1E98"/>
    <w:rsid w:val="00FE2452"/>
    <w:rsid w:val="00FE5469"/>
    <w:rsid w:val="00FE66C2"/>
    <w:rsid w:val="00FE684A"/>
    <w:rsid w:val="00FE6F23"/>
    <w:rsid w:val="00FF0F8C"/>
    <w:rsid w:val="00FF408B"/>
    <w:rsid w:val="00FF43E1"/>
    <w:rsid w:val="01555B4B"/>
    <w:rsid w:val="02810A7C"/>
    <w:rsid w:val="03430854"/>
    <w:rsid w:val="0391584F"/>
    <w:rsid w:val="039F5FA6"/>
    <w:rsid w:val="05EF150B"/>
    <w:rsid w:val="09305ADA"/>
    <w:rsid w:val="0B13060F"/>
    <w:rsid w:val="0B792C38"/>
    <w:rsid w:val="0DF2282E"/>
    <w:rsid w:val="0E8013B7"/>
    <w:rsid w:val="0E91480C"/>
    <w:rsid w:val="0EB540D3"/>
    <w:rsid w:val="10D604C6"/>
    <w:rsid w:val="10E04EA0"/>
    <w:rsid w:val="11B515E0"/>
    <w:rsid w:val="12576006"/>
    <w:rsid w:val="137E6912"/>
    <w:rsid w:val="13A53267"/>
    <w:rsid w:val="13F970D2"/>
    <w:rsid w:val="14AA4136"/>
    <w:rsid w:val="1572463D"/>
    <w:rsid w:val="15F555B1"/>
    <w:rsid w:val="163A420B"/>
    <w:rsid w:val="18E831AB"/>
    <w:rsid w:val="19413B26"/>
    <w:rsid w:val="1C542906"/>
    <w:rsid w:val="1C6D3688"/>
    <w:rsid w:val="1C974DF7"/>
    <w:rsid w:val="1CC63D0A"/>
    <w:rsid w:val="1DB00010"/>
    <w:rsid w:val="1DC2081A"/>
    <w:rsid w:val="1DD94266"/>
    <w:rsid w:val="1EEC198E"/>
    <w:rsid w:val="1F316F2E"/>
    <w:rsid w:val="1F9D0947"/>
    <w:rsid w:val="1FAB4F33"/>
    <w:rsid w:val="1FFB29C6"/>
    <w:rsid w:val="203B675F"/>
    <w:rsid w:val="21191C77"/>
    <w:rsid w:val="211F34E2"/>
    <w:rsid w:val="22AF3620"/>
    <w:rsid w:val="22E70AD4"/>
    <w:rsid w:val="24F1508D"/>
    <w:rsid w:val="266F634F"/>
    <w:rsid w:val="275D6B12"/>
    <w:rsid w:val="291059EA"/>
    <w:rsid w:val="2A383867"/>
    <w:rsid w:val="2BBF12EC"/>
    <w:rsid w:val="2BC649D9"/>
    <w:rsid w:val="2C49669C"/>
    <w:rsid w:val="2D172FBB"/>
    <w:rsid w:val="2EC719E7"/>
    <w:rsid w:val="30841438"/>
    <w:rsid w:val="32EA4547"/>
    <w:rsid w:val="34F53AC7"/>
    <w:rsid w:val="3515160D"/>
    <w:rsid w:val="367125DA"/>
    <w:rsid w:val="37F05BF6"/>
    <w:rsid w:val="3B7807FE"/>
    <w:rsid w:val="3B7F30A4"/>
    <w:rsid w:val="3C7D00D8"/>
    <w:rsid w:val="3CA06C0C"/>
    <w:rsid w:val="3CA134EE"/>
    <w:rsid w:val="3CF00258"/>
    <w:rsid w:val="3E1318DF"/>
    <w:rsid w:val="3E1C4CA9"/>
    <w:rsid w:val="3EA25851"/>
    <w:rsid w:val="3F6C3757"/>
    <w:rsid w:val="405D6A10"/>
    <w:rsid w:val="41DA6594"/>
    <w:rsid w:val="444C1A75"/>
    <w:rsid w:val="44A3526F"/>
    <w:rsid w:val="44B032F4"/>
    <w:rsid w:val="4508410A"/>
    <w:rsid w:val="457D25F7"/>
    <w:rsid w:val="46364E41"/>
    <w:rsid w:val="468341CD"/>
    <w:rsid w:val="472C2589"/>
    <w:rsid w:val="496F1CBC"/>
    <w:rsid w:val="49C03205"/>
    <w:rsid w:val="4A760AEB"/>
    <w:rsid w:val="4C87625C"/>
    <w:rsid w:val="4D1C575D"/>
    <w:rsid w:val="4D8209CD"/>
    <w:rsid w:val="4F3162CA"/>
    <w:rsid w:val="500A3B1F"/>
    <w:rsid w:val="50762BBA"/>
    <w:rsid w:val="50D95873"/>
    <w:rsid w:val="526102AF"/>
    <w:rsid w:val="528444DA"/>
    <w:rsid w:val="52CA6EA2"/>
    <w:rsid w:val="53301F7C"/>
    <w:rsid w:val="53457579"/>
    <w:rsid w:val="537745D5"/>
    <w:rsid w:val="544C45CD"/>
    <w:rsid w:val="546C2EF7"/>
    <w:rsid w:val="552306F6"/>
    <w:rsid w:val="55E74C53"/>
    <w:rsid w:val="55FE1D5B"/>
    <w:rsid w:val="56D604AC"/>
    <w:rsid w:val="56E352D5"/>
    <w:rsid w:val="57E435FE"/>
    <w:rsid w:val="582D0655"/>
    <w:rsid w:val="5951205C"/>
    <w:rsid w:val="59D079E8"/>
    <w:rsid w:val="59D40847"/>
    <w:rsid w:val="5AC97A40"/>
    <w:rsid w:val="5ACB44AB"/>
    <w:rsid w:val="5AE37F25"/>
    <w:rsid w:val="5C86208C"/>
    <w:rsid w:val="5CB23D47"/>
    <w:rsid w:val="5FAF09C4"/>
    <w:rsid w:val="5FC24A66"/>
    <w:rsid w:val="60665537"/>
    <w:rsid w:val="608C4642"/>
    <w:rsid w:val="62795572"/>
    <w:rsid w:val="64DD6417"/>
    <w:rsid w:val="66004745"/>
    <w:rsid w:val="6A567F20"/>
    <w:rsid w:val="6A733988"/>
    <w:rsid w:val="6B67EF1B"/>
    <w:rsid w:val="6C7468D0"/>
    <w:rsid w:val="6CD97953"/>
    <w:rsid w:val="6DC365B4"/>
    <w:rsid w:val="6E873A42"/>
    <w:rsid w:val="6ED30FD7"/>
    <w:rsid w:val="6F7F4280"/>
    <w:rsid w:val="6FFF7BD7"/>
    <w:rsid w:val="71213E9D"/>
    <w:rsid w:val="719E357C"/>
    <w:rsid w:val="727D78FD"/>
    <w:rsid w:val="73CC655F"/>
    <w:rsid w:val="73E85B1C"/>
    <w:rsid w:val="73FA8648"/>
    <w:rsid w:val="743C0E2B"/>
    <w:rsid w:val="75957445"/>
    <w:rsid w:val="75D01AE1"/>
    <w:rsid w:val="77524363"/>
    <w:rsid w:val="77875F68"/>
    <w:rsid w:val="77B917B5"/>
    <w:rsid w:val="77F75380"/>
    <w:rsid w:val="77FE041F"/>
    <w:rsid w:val="78703975"/>
    <w:rsid w:val="79EE2C3D"/>
    <w:rsid w:val="7A4D1FE3"/>
    <w:rsid w:val="7A695F3F"/>
    <w:rsid w:val="7BDC08A0"/>
    <w:rsid w:val="7BE420FD"/>
    <w:rsid w:val="7D0D296B"/>
    <w:rsid w:val="7D4E0B54"/>
    <w:rsid w:val="7D503E78"/>
    <w:rsid w:val="7DD76787"/>
    <w:rsid w:val="7E0160D4"/>
    <w:rsid w:val="7E024A8C"/>
    <w:rsid w:val="B79A69B2"/>
    <w:rsid w:val="E0F231F9"/>
    <w:rsid w:val="FFAFBE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43"/>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0"/>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6"/>
    <w:qFormat/>
    <w:uiPriority w:val="0"/>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7"/>
    <w:qFormat/>
    <w:uiPriority w:val="99"/>
    <w:pPr>
      <w:jc w:val="left"/>
    </w:pPr>
    <w:rPr>
      <w:rFonts w:ascii="Times New Roman" w:hAnsi="Times New Roman" w:eastAsia="仿宋"/>
      <w:sz w:val="28"/>
    </w:rPr>
  </w:style>
  <w:style w:type="paragraph" w:styleId="16">
    <w:name w:val="Body Text"/>
    <w:basedOn w:val="1"/>
    <w:link w:val="60"/>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9"/>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4"/>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b/>
    </w:rPr>
  </w:style>
  <w:style w:type="character" w:styleId="39">
    <w:name w:val="page number"/>
    <w:basedOn w:val="37"/>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4 Char"/>
    <w:link w:val="5"/>
    <w:qFormat/>
    <w:uiPriority w:val="0"/>
    <w:rPr>
      <w:rFonts w:ascii="宋体" w:hAnsi="宋体"/>
      <w:b/>
      <w:bCs/>
      <w:kern w:val="2"/>
      <w:sz w:val="30"/>
      <w:szCs w:val="30"/>
    </w:rPr>
  </w:style>
  <w:style w:type="character" w:customStyle="1" w:styleId="44">
    <w:name w:val="标题 3 字符1"/>
    <w:qFormat/>
    <w:uiPriority w:val="0"/>
    <w:rPr>
      <w:rFonts w:ascii="宋体" w:hAnsi="宋体"/>
      <w:b/>
      <w:bCs/>
      <w:kern w:val="2"/>
      <w:sz w:val="28"/>
      <w:szCs w:val="28"/>
    </w:rPr>
  </w:style>
  <w:style w:type="character" w:customStyle="1" w:styleId="45">
    <w:name w:val="首行缩进正文 Char"/>
    <w:link w:val="46"/>
    <w:qFormat/>
    <w:uiPriority w:val="0"/>
    <w:rPr>
      <w:kern w:val="2"/>
      <w:sz w:val="24"/>
    </w:rPr>
  </w:style>
  <w:style w:type="paragraph" w:customStyle="1" w:styleId="46">
    <w:name w:val="首行缩进正文"/>
    <w:basedOn w:val="1"/>
    <w:link w:val="45"/>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7">
    <w:name w:val="批注文字 Char"/>
    <w:link w:val="15"/>
    <w:qFormat/>
    <w:uiPriority w:val="99"/>
    <w:rPr>
      <w:rFonts w:eastAsia="仿宋"/>
      <w:kern w:val="2"/>
      <w:sz w:val="28"/>
      <w:szCs w:val="24"/>
    </w:rPr>
  </w:style>
  <w:style w:type="character" w:customStyle="1" w:styleId="48">
    <w:name w:val="日期 字符"/>
    <w:semiHidden/>
    <w:qFormat/>
    <w:uiPriority w:val="99"/>
    <w:rPr>
      <w:rFonts w:ascii="宋体" w:hAnsi="宋体"/>
      <w:kern w:val="2"/>
      <w:sz w:val="24"/>
      <w:szCs w:val="24"/>
    </w:rPr>
  </w:style>
  <w:style w:type="character" w:customStyle="1" w:styleId="49">
    <w:name w:val="日期 Char"/>
    <w:link w:val="22"/>
    <w:qFormat/>
    <w:uiPriority w:val="0"/>
    <w:rPr>
      <w:kern w:val="2"/>
      <w:sz w:val="21"/>
      <w:szCs w:val="24"/>
    </w:rPr>
  </w:style>
  <w:style w:type="character" w:customStyle="1" w:styleId="50">
    <w:name w:val="标题 9 Char"/>
    <w:link w:val="10"/>
    <w:qFormat/>
    <w:uiPriority w:val="9"/>
    <w:rPr>
      <w:rFonts w:ascii="Cambria" w:hAnsi="Cambria"/>
      <w:kern w:val="2"/>
      <w:sz w:val="21"/>
      <w:szCs w:val="21"/>
    </w:rPr>
  </w:style>
  <w:style w:type="character" w:customStyle="1" w:styleId="51">
    <w:name w:val="未处理的提及1"/>
    <w:unhideWhenUsed/>
    <w:qFormat/>
    <w:uiPriority w:val="99"/>
    <w:rPr>
      <w:color w:val="605E5C"/>
      <w:shd w:val="clear" w:color="auto" w:fill="E1DFDD"/>
    </w:rPr>
  </w:style>
  <w:style w:type="character" w:customStyle="1" w:styleId="52">
    <w:name w:val="标题 1 字符"/>
    <w:qFormat/>
    <w:uiPriority w:val="9"/>
    <w:rPr>
      <w:rFonts w:ascii="宋体" w:hAnsi="宋体"/>
      <w:b/>
      <w:bCs/>
      <w:kern w:val="44"/>
      <w:sz w:val="44"/>
      <w:szCs w:val="44"/>
    </w:rPr>
  </w:style>
  <w:style w:type="character" w:customStyle="1" w:styleId="53">
    <w:name w:val="标题 3 字符"/>
    <w:semiHidden/>
    <w:qFormat/>
    <w:uiPriority w:val="9"/>
    <w:rPr>
      <w:rFonts w:ascii="宋体" w:hAnsi="宋体"/>
      <w:b/>
      <w:bCs/>
      <w:kern w:val="2"/>
      <w:sz w:val="32"/>
      <w:szCs w:val="32"/>
    </w:rPr>
  </w:style>
  <w:style w:type="character" w:customStyle="1" w:styleId="54">
    <w:name w:val="页脚 字符"/>
    <w:qFormat/>
    <w:uiPriority w:val="99"/>
  </w:style>
  <w:style w:type="character" w:customStyle="1" w:styleId="55">
    <w:name w:val="标题 5 字符"/>
    <w:semiHidden/>
    <w:qFormat/>
    <w:uiPriority w:val="9"/>
    <w:rPr>
      <w:rFonts w:ascii="宋体" w:hAnsi="宋体"/>
      <w:b/>
      <w:bCs/>
      <w:kern w:val="2"/>
      <w:sz w:val="28"/>
      <w:szCs w:val="28"/>
    </w:rPr>
  </w:style>
  <w:style w:type="character" w:customStyle="1" w:styleId="56">
    <w:name w:val="题注 Char"/>
    <w:link w:val="13"/>
    <w:qFormat/>
    <w:locked/>
    <w:uiPriority w:val="0"/>
    <w:rPr>
      <w:rFonts w:ascii="Arial" w:hAnsi="Arial" w:eastAsia="黑体"/>
      <w:kern w:val="2"/>
    </w:rPr>
  </w:style>
  <w:style w:type="character" w:customStyle="1" w:styleId="57">
    <w:name w:val="标题 2 字符"/>
    <w:semiHidden/>
    <w:qFormat/>
    <w:uiPriority w:val="9"/>
    <w:rPr>
      <w:rFonts w:ascii="等线 Light" w:hAnsi="等线 Light" w:eastAsia="等线 Light" w:cs="Times New Roman"/>
      <w:b/>
      <w:bCs/>
      <w:kern w:val="2"/>
      <w:sz w:val="32"/>
      <w:szCs w:val="32"/>
    </w:rPr>
  </w:style>
  <w:style w:type="character" w:customStyle="1" w:styleId="58">
    <w:name w:val="纯文本 字符"/>
    <w:qFormat/>
    <w:uiPriority w:val="0"/>
    <w:rPr>
      <w:rFonts w:ascii="宋体" w:hAnsi="Courier New" w:cs="Courier New"/>
      <w:kern w:val="2"/>
      <w:sz w:val="21"/>
      <w:szCs w:val="21"/>
    </w:rPr>
  </w:style>
  <w:style w:type="character" w:customStyle="1" w:styleId="59">
    <w:name w:val="列表段落 字符"/>
    <w:qFormat/>
    <w:uiPriority w:val="34"/>
    <w:rPr>
      <w:kern w:val="2"/>
      <w:sz w:val="21"/>
      <w:szCs w:val="22"/>
    </w:rPr>
  </w:style>
  <w:style w:type="character" w:customStyle="1" w:styleId="60">
    <w:name w:val="正文文本 Char"/>
    <w:link w:val="16"/>
    <w:qFormat/>
    <w:uiPriority w:val="0"/>
    <w:rPr>
      <w:kern w:val="2"/>
      <w:sz w:val="21"/>
      <w:szCs w:val="24"/>
    </w:rPr>
  </w:style>
  <w:style w:type="character" w:customStyle="1" w:styleId="61">
    <w:name w:val="列出段落 Char"/>
    <w:link w:val="62"/>
    <w:qFormat/>
    <w:uiPriority w:val="34"/>
    <w:rPr>
      <w:kern w:val="2"/>
      <w:sz w:val="21"/>
      <w:szCs w:val="24"/>
    </w:rPr>
  </w:style>
  <w:style w:type="paragraph" w:styleId="62">
    <w:name w:val="List Paragraph"/>
    <w:basedOn w:val="1"/>
    <w:link w:val="61"/>
    <w:qFormat/>
    <w:uiPriority w:val="0"/>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time" w:hAnsi="time"/>
      <w:sz w:val="24"/>
      <w:szCs w:val="24"/>
      <w:lang w:bidi="en-US"/>
    </w:rPr>
  </w:style>
  <w:style w:type="paragraph" w:customStyle="1" w:styleId="65">
    <w:name w:val="*正文"/>
    <w:basedOn w:val="1"/>
    <w:link w:val="64"/>
    <w:qFormat/>
    <w:uiPriority w:val="0"/>
    <w:pPr>
      <w:widowControl/>
      <w:ind w:firstLine="200"/>
      <w:contextualSpacing/>
    </w:pPr>
    <w:rPr>
      <w:rFonts w:ascii="time" w:hAnsi="time"/>
      <w:kern w:val="0"/>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Char"/>
    <w:link w:val="20"/>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Char"/>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Char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Char"/>
    <w:link w:val="4"/>
    <w:qFormat/>
    <w:uiPriority w:val="0"/>
    <w:rPr>
      <w:rFonts w:ascii="宋体" w:hAnsi="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Char"/>
    <w:link w:val="34"/>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Char"/>
    <w:link w:val="17"/>
    <w:qFormat/>
    <w:uiPriority w:val="0"/>
    <w:rPr>
      <w:kern w:val="2"/>
      <w:sz w:val="21"/>
    </w:rPr>
  </w:style>
  <w:style w:type="character" w:customStyle="1" w:styleId="87">
    <w:name w:val="标题 5 Char"/>
    <w:link w:val="6"/>
    <w:qFormat/>
    <w:uiPriority w:val="0"/>
    <w:rPr>
      <w:rFonts w:ascii="宋体" w:hAnsi="宋体"/>
      <w:b/>
      <w:bCs/>
      <w:kern w:val="2"/>
      <w:sz w:val="24"/>
      <w:szCs w:val="28"/>
    </w:rPr>
  </w:style>
  <w:style w:type="character" w:customStyle="1" w:styleId="88">
    <w:name w:val="副标题 Char"/>
    <w:link w:val="28"/>
    <w:qFormat/>
    <w:uiPriority w:val="0"/>
    <w:rPr>
      <w:rFonts w:ascii="Calibri Light" w:hAnsi="Calibri Light"/>
      <w:b/>
      <w:bCs/>
      <w:kern w:val="28"/>
      <w:sz w:val="32"/>
      <w:szCs w:val="32"/>
    </w:rPr>
  </w:style>
  <w:style w:type="character" w:customStyle="1" w:styleId="89">
    <w:name w:val="标题 2 Char"/>
    <w:link w:val="3"/>
    <w:qFormat/>
    <w:uiPriority w:val="9"/>
    <w:rPr>
      <w:rFonts w:ascii="宋体" w:hAnsi="宋体"/>
      <w:b/>
      <w:bCs/>
      <w:kern w:val="2"/>
      <w:sz w:val="30"/>
      <w:szCs w:val="32"/>
    </w:rPr>
  </w:style>
  <w:style w:type="character" w:customStyle="1" w:styleId="90">
    <w:name w:val="页脚 Char"/>
    <w:link w:val="24"/>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Char"/>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Char"/>
    <w:link w:val="33"/>
    <w:qFormat/>
    <w:uiPriority w:val="0"/>
    <w:rPr>
      <w:rFonts w:ascii="Cambria" w:hAnsi="Cambria" w:eastAsia="黑体"/>
      <w:b/>
      <w:bCs/>
      <w:kern w:val="2"/>
      <w:sz w:val="52"/>
      <w:szCs w:val="32"/>
    </w:rPr>
  </w:style>
  <w:style w:type="character" w:customStyle="1" w:styleId="97">
    <w:name w:val="批注框文本 Char"/>
    <w:link w:val="23"/>
    <w:qFormat/>
    <w:uiPriority w:val="0"/>
    <w:rPr>
      <w:kern w:val="2"/>
      <w:sz w:val="18"/>
      <w:szCs w:val="18"/>
    </w:rPr>
  </w:style>
  <w:style w:type="character" w:customStyle="1" w:styleId="98">
    <w:name w:val="页眉 Char"/>
    <w:link w:val="25"/>
    <w:qFormat/>
    <w:uiPriority w:val="99"/>
    <w:rPr>
      <w:kern w:val="2"/>
      <w:sz w:val="18"/>
      <w:szCs w:val="18"/>
    </w:rPr>
  </w:style>
  <w:style w:type="character" w:customStyle="1" w:styleId="99">
    <w:name w:val="标题 8 Char"/>
    <w:link w:val="9"/>
    <w:qFormat/>
    <w:uiPriority w:val="9"/>
    <w:rPr>
      <w:rFonts w:ascii="Cambria" w:hAnsi="Cambria"/>
      <w:kern w:val="2"/>
      <w:sz w:val="21"/>
      <w:szCs w:val="24"/>
    </w:rPr>
  </w:style>
  <w:style w:type="character" w:customStyle="1" w:styleId="100">
    <w:name w:val="标题 6 Char"/>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列出段落1"/>
    <w:basedOn w:val="1"/>
    <w:qFormat/>
    <w:uiPriority w:val="34"/>
    <w:pPr>
      <w:spacing w:line="240" w:lineRule="auto"/>
      <w:ind w:firstLine="420"/>
    </w:pPr>
    <w:rPr>
      <w:rFonts w:ascii="Calibri" w:hAnsi="Calibri"/>
      <w:sz w:val="21"/>
      <w:szCs w:val="22"/>
    </w:rPr>
  </w:style>
  <w:style w:type="paragraph" w:customStyle="1" w:styleId="136">
    <w:name w:val="B-表正文"/>
    <w:qFormat/>
    <w:uiPriority w:val="0"/>
    <w:rPr>
      <w:rFonts w:ascii="Times New Roman" w:hAnsi="Times New Roman" w:eastAsia="仿宋" w:cstheme="minorBidi"/>
      <w:kern w:val="2"/>
      <w:sz w:val="21"/>
      <w:szCs w:val="24"/>
      <w:lang w:val="en-US" w:eastAsia="zh-CN" w:bidi="ar-SA"/>
    </w:rPr>
  </w:style>
  <w:style w:type="paragraph" w:customStyle="1" w:styleId="137">
    <w:name w:val="可研正文"/>
    <w:basedOn w:val="1"/>
    <w:qFormat/>
    <w:uiPriority w:val="0"/>
    <w:pPr>
      <w:ind w:firstLine="200"/>
    </w:pPr>
    <w:rPr>
      <w:rFonts w:ascii="仿宋" w:hAnsi="仿宋"/>
      <w:szCs w:val="28"/>
    </w:rPr>
  </w:style>
  <w:style w:type="paragraph" w:customStyle="1" w:styleId="138">
    <w:name w:val="修订2"/>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038C9089-F56D-40AD-B2DB-EF811AC83E61}">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3486</Words>
  <Characters>19872</Characters>
  <Lines>165</Lines>
  <Paragraphs>46</Paragraphs>
  <TotalTime>25</TotalTime>
  <ScaleCrop>false</ScaleCrop>
  <LinksUpToDate>false</LinksUpToDate>
  <CharactersWithSpaces>23312</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2026-02-06T04:53:00Z</dcterms:created>
  <dc:creator>Administrator</dc:creator>
  <cp:lastModifiedBy>user</cp:lastModifiedBy>
  <cp:lastPrinted>2020-08-08T04:08:00Z</cp:lastPrinted>
  <dcterms:modified xsi:type="dcterms:W3CDTF">2026-04-03T10:51:03Z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DF91B8EDD4DF42CD9BB287236A2196F1_13</vt:lpwstr>
  </property>
  <property fmtid="{D5CDD505-2E9C-101B-9397-08002B2CF9AE}" pid="4" name="KSOTemplateDocerSaveRecord">
    <vt:lpwstr>eyJoZGlkIjoiNDI1NGQ4MDY4NjMxYWVlMzc3ODM2NDE0MmU1ODUxYzYiLCJ1c2VySWQiOiI3Nzg0MDE0NDQifQ==</vt:lpwstr>
  </property>
</Properties>
</file>