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D30DBC">
      <w:pPr>
        <w:jc w:val="center"/>
        <w:rPr>
          <w:rFonts w:hint="eastAsia" w:eastAsia="宋体"/>
          <w:sz w:val="20"/>
          <w:szCs w:val="22"/>
          <w:lang w:eastAsia="zh-CN"/>
        </w:rPr>
      </w:pPr>
      <w:bookmarkStart w:id="0" w:name="_Hlk139978763"/>
      <w:bookmarkStart w:id="1" w:name="_Hlk139978783"/>
      <w:r>
        <w:rPr>
          <w:rFonts w:hint="eastAsia"/>
          <w:b/>
          <w:sz w:val="28"/>
          <w:szCs w:val="28"/>
          <w:lang w:eastAsia="zh-CN"/>
        </w:rPr>
        <w:t>（包件</w:t>
      </w:r>
      <w:r>
        <w:rPr>
          <w:rFonts w:hint="eastAsia"/>
          <w:b/>
          <w:sz w:val="28"/>
          <w:szCs w:val="28"/>
          <w:lang w:val="en-US" w:eastAsia="zh-CN"/>
        </w:rPr>
        <w:t>1</w:t>
      </w:r>
      <w:r>
        <w:rPr>
          <w:rFonts w:hint="eastAsia"/>
          <w:b/>
          <w:sz w:val="28"/>
          <w:szCs w:val="28"/>
          <w:lang w:eastAsia="zh-CN"/>
        </w:rPr>
        <w:t>）</w:t>
      </w:r>
      <w:r>
        <w:rPr>
          <w:rFonts w:hint="eastAsia"/>
          <w:b/>
          <w:sz w:val="28"/>
          <w:szCs w:val="28"/>
        </w:rPr>
        <w:t>GPU计算平台及高性能存储服务器集群</w:t>
      </w:r>
      <w:r>
        <w:rPr>
          <w:rFonts w:hint="eastAsia"/>
          <w:b/>
          <w:sz w:val="28"/>
          <w:szCs w:val="28"/>
          <w:lang w:eastAsia="zh-CN"/>
        </w:rPr>
        <w:t>采购需求</w:t>
      </w:r>
    </w:p>
    <w:p w14:paraId="2BC2A5F6">
      <w:pPr>
        <w:spacing w:line="360" w:lineRule="auto"/>
        <w:rPr>
          <w:b/>
          <w:sz w:val="24"/>
        </w:rPr>
      </w:pPr>
    </w:p>
    <w:p w14:paraId="3FFEC34A">
      <w:pPr>
        <w:widowControl/>
        <w:spacing w:line="360" w:lineRule="auto"/>
        <w:jc w:val="left"/>
        <w:rPr>
          <w:kern w:val="0"/>
          <w:sz w:val="24"/>
        </w:rPr>
      </w:pPr>
      <w:r>
        <w:rPr>
          <w:rFonts w:hint="eastAsia"/>
          <w:b/>
          <w:bCs/>
          <w:kern w:val="0"/>
          <w:sz w:val="24"/>
        </w:rPr>
        <w:t>一</w:t>
      </w:r>
      <w:r>
        <w:rPr>
          <w:b/>
          <w:bCs/>
          <w:kern w:val="0"/>
          <w:sz w:val="24"/>
        </w:rPr>
        <w:t>、设备要求和技术规格</w:t>
      </w:r>
    </w:p>
    <w:p w14:paraId="2B96CBD8">
      <w:pPr>
        <w:widowControl/>
        <w:spacing w:line="360" w:lineRule="auto"/>
        <w:jc w:val="left"/>
        <w:rPr>
          <w:b/>
          <w:bCs/>
          <w:kern w:val="0"/>
          <w:sz w:val="24"/>
        </w:rPr>
      </w:pPr>
      <w:r>
        <w:rPr>
          <w:b/>
          <w:bCs/>
          <w:kern w:val="0"/>
          <w:sz w:val="24"/>
        </w:rPr>
        <w:t>1．</w:t>
      </w:r>
      <w:r>
        <w:rPr>
          <w:rFonts w:hint="eastAsia"/>
          <w:b/>
          <w:bCs/>
          <w:kern w:val="0"/>
          <w:sz w:val="24"/>
        </w:rPr>
        <w:t>总体要求</w:t>
      </w:r>
    </w:p>
    <w:p w14:paraId="5316EEC4">
      <w:pPr>
        <w:widowControl/>
        <w:spacing w:line="360" w:lineRule="auto"/>
        <w:jc w:val="left"/>
        <w:rPr>
          <w:b/>
          <w:bCs/>
          <w:kern w:val="0"/>
          <w:sz w:val="24"/>
        </w:rPr>
      </w:pPr>
      <w:r>
        <w:rPr>
          <w:rFonts w:hint="eastAsia"/>
          <w:b/>
          <w:bCs/>
          <w:kern w:val="0"/>
          <w:sz w:val="24"/>
        </w:rPr>
        <w:t>完整性要求：</w:t>
      </w:r>
      <w:r>
        <w:rPr>
          <w:rFonts w:hint="eastAsia" w:ascii="Arial" w:hAnsi="Arial" w:cs="Arial"/>
          <w:sz w:val="24"/>
          <w:lang w:val="zh-TW" w:eastAsia="zh-TW"/>
        </w:rPr>
        <w:t>本项目为交钥匙项目。中标人的工作范围不仅应包括“本技术规格”及所附的货物需求清单、技术条款标明的要求，还应包括任何未明确标出的，但为保证全套设备安装后能够正常安全运行所不可缺少的配件及附件，投标时应自行计算和补充相应内容。</w:t>
      </w:r>
    </w:p>
    <w:p w14:paraId="31D2B21E">
      <w:pPr>
        <w:widowControl/>
        <w:spacing w:line="360" w:lineRule="auto"/>
        <w:jc w:val="left"/>
        <w:rPr>
          <w:b/>
          <w:bCs/>
          <w:kern w:val="0"/>
          <w:sz w:val="24"/>
        </w:rPr>
      </w:pPr>
      <w:r>
        <w:rPr>
          <w:rFonts w:hint="eastAsia"/>
          <w:b/>
          <w:bCs/>
          <w:kern w:val="0"/>
          <w:sz w:val="24"/>
        </w:rPr>
        <w:t>报价要求：</w:t>
      </w:r>
      <w:r>
        <w:rPr>
          <w:rFonts w:hint="eastAsia" w:ascii="Arial" w:hAnsi="Arial" w:cs="Arial"/>
          <w:sz w:val="24"/>
          <w:lang w:val="zh-TW" w:eastAsia="zh-TW"/>
        </w:rPr>
        <w:t>投标人的报价不仅应包含招标文件提供的技术条款的要求，还应包括任何未明确标出的保证正常安全运行所不可缺少的配件及附件的全部费用。报价须包括但不限于货物费、材料费、设计和安装调试费、税金、运输和运输保险费、售后服务费以及其他的风险、责任等各项应有的费用。</w:t>
      </w:r>
    </w:p>
    <w:p w14:paraId="7B07E55D">
      <w:pPr>
        <w:widowControl/>
        <w:spacing w:line="360" w:lineRule="auto"/>
        <w:jc w:val="left"/>
        <w:rPr>
          <w:b/>
          <w:bCs/>
          <w:kern w:val="0"/>
          <w:sz w:val="24"/>
        </w:rPr>
      </w:pPr>
      <w:r>
        <w:rPr>
          <w:b/>
          <w:bCs/>
          <w:kern w:val="0"/>
          <w:sz w:val="24"/>
        </w:rPr>
        <w:t>2. 设备配置清单</w:t>
      </w:r>
    </w:p>
    <w:p w14:paraId="78F71106">
      <w:pPr>
        <w:widowControl/>
        <w:spacing w:line="360" w:lineRule="auto"/>
        <w:jc w:val="left"/>
        <w:rPr>
          <w:b/>
          <w:bCs/>
          <w:kern w:val="0"/>
          <w:sz w:val="24"/>
        </w:rPr>
      </w:pPr>
      <w:r>
        <w:rPr>
          <w:rFonts w:hint="eastAsia"/>
          <w:b/>
          <w:bCs/>
          <w:kern w:val="0"/>
          <w:sz w:val="24"/>
        </w:rPr>
        <w:t>安装条件：</w:t>
      </w:r>
      <w:r>
        <w:rPr>
          <w:rFonts w:hint="eastAsia"/>
          <w:bCs/>
          <w:kern w:val="0"/>
          <w:sz w:val="24"/>
        </w:rPr>
        <w:t>本项目所有服务器须为机架式服务器，可满足标准服务器机柜安装，所有服务器数量均匀安装在1个已有的冷通道内1排8个机柜内，单个机柜功耗不超过1</w:t>
      </w:r>
      <w:r>
        <w:rPr>
          <w:bCs/>
          <w:kern w:val="0"/>
          <w:sz w:val="24"/>
        </w:rPr>
        <w:t>5</w:t>
      </w:r>
      <w:r>
        <w:rPr>
          <w:rFonts w:hint="eastAsia"/>
          <w:bCs/>
          <w:kern w:val="0"/>
          <w:sz w:val="24"/>
        </w:rPr>
        <w:t>kw。</w:t>
      </w:r>
    </w:p>
    <w:p w14:paraId="39551747">
      <w:pPr>
        <w:spacing w:line="360" w:lineRule="auto"/>
        <w:rPr>
          <w:b/>
          <w:sz w:val="24"/>
        </w:rPr>
      </w:pPr>
      <w:r>
        <w:rPr>
          <w:rFonts w:hint="eastAsia"/>
          <w:b/>
          <w:sz w:val="24"/>
        </w:rPr>
        <w:t>配置清单一览表：</w:t>
      </w:r>
    </w:p>
    <w:tbl>
      <w:tblPr>
        <w:tblStyle w:val="7"/>
        <w:tblW w:w="61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3041"/>
        <w:gridCol w:w="709"/>
        <w:gridCol w:w="1710"/>
      </w:tblGrid>
      <w:tr w14:paraId="35602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644" w:type="dxa"/>
            <w:vAlign w:val="center"/>
          </w:tcPr>
          <w:p w14:paraId="106AE1A0">
            <w:pPr>
              <w:jc w:val="center"/>
              <w:rPr>
                <w:rFonts w:ascii="宋体" w:hAnsi="宋体"/>
                <w:b/>
              </w:rPr>
            </w:pPr>
            <w:r>
              <w:rPr>
                <w:rFonts w:hint="eastAsia" w:ascii="宋体" w:hAnsi="宋体"/>
                <w:b/>
              </w:rPr>
              <w:t>序号</w:t>
            </w:r>
          </w:p>
        </w:tc>
        <w:tc>
          <w:tcPr>
            <w:tcW w:w="3041" w:type="dxa"/>
            <w:vAlign w:val="center"/>
          </w:tcPr>
          <w:p w14:paraId="6F5E8100">
            <w:pPr>
              <w:widowControl/>
              <w:jc w:val="center"/>
              <w:rPr>
                <w:rFonts w:ascii="宋体" w:hAnsi="宋体"/>
                <w:b/>
              </w:rPr>
            </w:pPr>
            <w:r>
              <w:rPr>
                <w:rFonts w:hint="eastAsia" w:ascii="宋体" w:hAnsi="宋体"/>
                <w:b/>
              </w:rPr>
              <w:t>货物名称</w:t>
            </w:r>
          </w:p>
        </w:tc>
        <w:tc>
          <w:tcPr>
            <w:tcW w:w="709" w:type="dxa"/>
            <w:vAlign w:val="center"/>
          </w:tcPr>
          <w:p w14:paraId="1787E0F4">
            <w:pPr>
              <w:widowControl/>
              <w:spacing w:line="360" w:lineRule="auto"/>
              <w:jc w:val="center"/>
              <w:rPr>
                <w:rFonts w:ascii="宋体" w:hAnsi="宋体"/>
                <w:b/>
              </w:rPr>
            </w:pPr>
            <w:r>
              <w:rPr>
                <w:rFonts w:hint="eastAsia" w:ascii="宋体" w:hAnsi="宋体"/>
                <w:b/>
              </w:rPr>
              <w:t>单位</w:t>
            </w:r>
          </w:p>
        </w:tc>
        <w:tc>
          <w:tcPr>
            <w:tcW w:w="1710" w:type="dxa"/>
            <w:vAlign w:val="center"/>
          </w:tcPr>
          <w:p w14:paraId="52CD9F2C">
            <w:pPr>
              <w:widowControl/>
              <w:spacing w:line="360" w:lineRule="auto"/>
              <w:jc w:val="center"/>
              <w:rPr>
                <w:rFonts w:ascii="宋体" w:hAnsi="宋体"/>
                <w:b/>
              </w:rPr>
            </w:pPr>
            <w:r>
              <w:rPr>
                <w:rFonts w:hint="eastAsia" w:ascii="宋体" w:hAnsi="宋体"/>
                <w:b/>
              </w:rPr>
              <w:t>数量</w:t>
            </w:r>
          </w:p>
        </w:tc>
      </w:tr>
      <w:tr w14:paraId="477FC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644" w:type="dxa"/>
            <w:vAlign w:val="center"/>
          </w:tcPr>
          <w:p w14:paraId="45AF41A5">
            <w:pPr>
              <w:jc w:val="center"/>
              <w:rPr>
                <w:rFonts w:ascii="宋体" w:hAnsi="宋体"/>
              </w:rPr>
            </w:pPr>
            <w:r>
              <w:rPr>
                <w:rFonts w:hint="eastAsia" w:ascii="宋体" w:hAnsi="宋体"/>
              </w:rPr>
              <w:t>1</w:t>
            </w:r>
          </w:p>
        </w:tc>
        <w:tc>
          <w:tcPr>
            <w:tcW w:w="3041" w:type="dxa"/>
            <w:vAlign w:val="center"/>
          </w:tcPr>
          <w:p w14:paraId="6F7632CD">
            <w:pPr>
              <w:widowControl/>
              <w:jc w:val="center"/>
              <w:rPr>
                <w:rFonts w:ascii="宋体" w:hAnsi="宋体"/>
              </w:rPr>
            </w:pPr>
            <w:r>
              <w:rPr>
                <w:rFonts w:hint="eastAsia" w:ascii="宋体" w:hAnsi="宋体"/>
              </w:rPr>
              <w:t>G</w:t>
            </w:r>
            <w:r>
              <w:rPr>
                <w:rFonts w:ascii="宋体" w:hAnsi="宋体"/>
              </w:rPr>
              <w:t>PU</w:t>
            </w:r>
            <w:r>
              <w:rPr>
                <w:rFonts w:hint="eastAsia" w:ascii="宋体" w:hAnsi="宋体"/>
              </w:rPr>
              <w:t>服务器1</w:t>
            </w:r>
            <w:r>
              <w:rPr>
                <w:rFonts w:hint="eastAsia" w:ascii="宋体" w:hAnsi="宋体"/>
                <w:lang w:eastAsia="zh-CN"/>
              </w:rPr>
              <w:t>（核心产品）</w:t>
            </w:r>
          </w:p>
        </w:tc>
        <w:tc>
          <w:tcPr>
            <w:tcW w:w="709" w:type="dxa"/>
            <w:vAlign w:val="center"/>
          </w:tcPr>
          <w:p w14:paraId="2487D6D7">
            <w:pPr>
              <w:widowControl/>
              <w:spacing w:line="360" w:lineRule="auto"/>
              <w:jc w:val="center"/>
              <w:rPr>
                <w:rFonts w:ascii="宋体" w:hAnsi="宋体"/>
              </w:rPr>
            </w:pPr>
            <w:r>
              <w:rPr>
                <w:rFonts w:hint="eastAsia" w:ascii="宋体" w:hAnsi="宋体"/>
              </w:rPr>
              <w:t>台</w:t>
            </w:r>
          </w:p>
        </w:tc>
        <w:tc>
          <w:tcPr>
            <w:tcW w:w="1710" w:type="dxa"/>
            <w:vAlign w:val="center"/>
          </w:tcPr>
          <w:p w14:paraId="0A49AD08">
            <w:pPr>
              <w:widowControl/>
              <w:spacing w:line="360" w:lineRule="auto"/>
              <w:jc w:val="center"/>
              <w:rPr>
                <w:rFonts w:ascii="宋体" w:hAnsi="宋体"/>
              </w:rPr>
            </w:pPr>
            <w:r>
              <w:rPr>
                <w:rFonts w:hint="eastAsia" w:ascii="宋体" w:hAnsi="宋体"/>
              </w:rPr>
              <w:t>13</w:t>
            </w:r>
          </w:p>
        </w:tc>
      </w:tr>
      <w:tr w14:paraId="0C3C5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644" w:type="dxa"/>
            <w:vAlign w:val="center"/>
          </w:tcPr>
          <w:p w14:paraId="399714A5">
            <w:pPr>
              <w:jc w:val="center"/>
              <w:rPr>
                <w:rFonts w:ascii="宋体" w:hAnsi="宋体"/>
              </w:rPr>
            </w:pPr>
            <w:r>
              <w:rPr>
                <w:rFonts w:hint="eastAsia" w:ascii="宋体" w:hAnsi="宋体"/>
              </w:rPr>
              <w:t>2</w:t>
            </w:r>
          </w:p>
        </w:tc>
        <w:tc>
          <w:tcPr>
            <w:tcW w:w="3041" w:type="dxa"/>
            <w:vAlign w:val="center"/>
          </w:tcPr>
          <w:p w14:paraId="73FFE27E">
            <w:pPr>
              <w:widowControl/>
              <w:jc w:val="center"/>
              <w:rPr>
                <w:rFonts w:ascii="宋体" w:hAnsi="宋体"/>
              </w:rPr>
            </w:pPr>
            <w:r>
              <w:rPr>
                <w:rFonts w:hint="eastAsia" w:ascii="宋体" w:hAnsi="宋体"/>
              </w:rPr>
              <w:t>GPU服务器2</w:t>
            </w:r>
          </w:p>
        </w:tc>
        <w:tc>
          <w:tcPr>
            <w:tcW w:w="709" w:type="dxa"/>
            <w:vAlign w:val="center"/>
          </w:tcPr>
          <w:p w14:paraId="3AA0F2D6">
            <w:pPr>
              <w:widowControl/>
              <w:spacing w:line="360" w:lineRule="auto"/>
              <w:jc w:val="center"/>
              <w:rPr>
                <w:rFonts w:ascii="宋体" w:hAnsi="宋体"/>
              </w:rPr>
            </w:pPr>
            <w:r>
              <w:rPr>
                <w:rFonts w:hint="eastAsia" w:ascii="宋体" w:hAnsi="宋体"/>
              </w:rPr>
              <w:t>台</w:t>
            </w:r>
          </w:p>
        </w:tc>
        <w:tc>
          <w:tcPr>
            <w:tcW w:w="1710" w:type="dxa"/>
            <w:vAlign w:val="center"/>
          </w:tcPr>
          <w:p w14:paraId="4B90C758">
            <w:pPr>
              <w:widowControl/>
              <w:spacing w:line="360" w:lineRule="auto"/>
              <w:jc w:val="center"/>
              <w:rPr>
                <w:rFonts w:ascii="宋体" w:hAnsi="宋体"/>
              </w:rPr>
            </w:pPr>
            <w:r>
              <w:rPr>
                <w:rFonts w:hint="eastAsia" w:ascii="宋体" w:hAnsi="宋体"/>
              </w:rPr>
              <w:t>1</w:t>
            </w:r>
          </w:p>
        </w:tc>
      </w:tr>
      <w:tr w14:paraId="607F4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644" w:type="dxa"/>
            <w:vAlign w:val="center"/>
          </w:tcPr>
          <w:p w14:paraId="16F572C6">
            <w:pPr>
              <w:jc w:val="center"/>
              <w:rPr>
                <w:rFonts w:ascii="宋体" w:hAnsi="宋体"/>
              </w:rPr>
            </w:pPr>
            <w:r>
              <w:rPr>
                <w:rFonts w:hint="eastAsia" w:ascii="宋体" w:hAnsi="宋体"/>
              </w:rPr>
              <w:t>3</w:t>
            </w:r>
          </w:p>
        </w:tc>
        <w:tc>
          <w:tcPr>
            <w:tcW w:w="3041" w:type="dxa"/>
            <w:vAlign w:val="center"/>
          </w:tcPr>
          <w:p w14:paraId="6140E188">
            <w:pPr>
              <w:widowControl/>
              <w:jc w:val="center"/>
              <w:rPr>
                <w:rFonts w:ascii="宋体" w:hAnsi="宋体"/>
              </w:rPr>
            </w:pPr>
            <w:r>
              <w:rPr>
                <w:rFonts w:hint="eastAsia" w:ascii="宋体" w:hAnsi="宋体"/>
              </w:rPr>
              <w:t>高性能存储</w:t>
            </w:r>
          </w:p>
        </w:tc>
        <w:tc>
          <w:tcPr>
            <w:tcW w:w="709" w:type="dxa"/>
            <w:vAlign w:val="center"/>
          </w:tcPr>
          <w:p w14:paraId="111902D0">
            <w:pPr>
              <w:widowControl/>
              <w:spacing w:line="360" w:lineRule="auto"/>
              <w:jc w:val="center"/>
              <w:rPr>
                <w:rFonts w:ascii="宋体" w:hAnsi="宋体"/>
              </w:rPr>
            </w:pPr>
            <w:r>
              <w:rPr>
                <w:rFonts w:hint="eastAsia" w:ascii="宋体" w:hAnsi="宋体"/>
              </w:rPr>
              <w:t>套</w:t>
            </w:r>
          </w:p>
        </w:tc>
        <w:tc>
          <w:tcPr>
            <w:tcW w:w="1710" w:type="dxa"/>
            <w:vAlign w:val="center"/>
          </w:tcPr>
          <w:p w14:paraId="078DA854">
            <w:pPr>
              <w:widowControl/>
              <w:spacing w:line="360" w:lineRule="auto"/>
              <w:jc w:val="center"/>
              <w:rPr>
                <w:rFonts w:ascii="宋体" w:hAnsi="宋体"/>
              </w:rPr>
            </w:pPr>
            <w:r>
              <w:rPr>
                <w:rFonts w:hint="eastAsia" w:ascii="宋体" w:hAnsi="宋体"/>
              </w:rPr>
              <w:t>1</w:t>
            </w:r>
          </w:p>
        </w:tc>
      </w:tr>
      <w:tr w14:paraId="1ED67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644" w:type="dxa"/>
            <w:vAlign w:val="center"/>
          </w:tcPr>
          <w:p w14:paraId="03BA39BC">
            <w:pPr>
              <w:jc w:val="center"/>
              <w:rPr>
                <w:rFonts w:ascii="宋体" w:hAnsi="宋体"/>
              </w:rPr>
            </w:pPr>
            <w:r>
              <w:rPr>
                <w:rFonts w:hint="eastAsia" w:ascii="宋体" w:hAnsi="宋体"/>
              </w:rPr>
              <w:t>4</w:t>
            </w:r>
          </w:p>
        </w:tc>
        <w:tc>
          <w:tcPr>
            <w:tcW w:w="3041" w:type="dxa"/>
            <w:vAlign w:val="center"/>
          </w:tcPr>
          <w:p w14:paraId="1A459D8B">
            <w:pPr>
              <w:widowControl/>
              <w:jc w:val="center"/>
              <w:rPr>
                <w:rFonts w:ascii="宋体" w:hAnsi="宋体"/>
              </w:rPr>
            </w:pPr>
            <w:r>
              <w:rPr>
                <w:rFonts w:hint="eastAsia" w:ascii="宋体" w:hAnsi="宋体"/>
              </w:rPr>
              <w:t>安全网关</w:t>
            </w:r>
          </w:p>
        </w:tc>
        <w:tc>
          <w:tcPr>
            <w:tcW w:w="709" w:type="dxa"/>
            <w:vAlign w:val="center"/>
          </w:tcPr>
          <w:p w14:paraId="7BB99278">
            <w:pPr>
              <w:widowControl/>
              <w:spacing w:line="360" w:lineRule="auto"/>
              <w:jc w:val="center"/>
              <w:rPr>
                <w:rFonts w:ascii="宋体" w:hAnsi="宋体"/>
              </w:rPr>
            </w:pPr>
            <w:r>
              <w:rPr>
                <w:rFonts w:hint="eastAsia" w:ascii="宋体" w:hAnsi="宋体"/>
              </w:rPr>
              <w:t>套</w:t>
            </w:r>
          </w:p>
        </w:tc>
        <w:tc>
          <w:tcPr>
            <w:tcW w:w="1710" w:type="dxa"/>
            <w:vAlign w:val="center"/>
          </w:tcPr>
          <w:p w14:paraId="1934EF8C">
            <w:pPr>
              <w:widowControl/>
              <w:spacing w:line="360" w:lineRule="auto"/>
              <w:jc w:val="center"/>
              <w:rPr>
                <w:rFonts w:ascii="宋体" w:hAnsi="宋体"/>
              </w:rPr>
            </w:pPr>
            <w:r>
              <w:rPr>
                <w:rFonts w:hint="eastAsia" w:ascii="宋体" w:hAnsi="宋体"/>
              </w:rPr>
              <w:t>1</w:t>
            </w:r>
          </w:p>
        </w:tc>
      </w:tr>
    </w:tbl>
    <w:p w14:paraId="713DBA3E">
      <w:pPr>
        <w:spacing w:line="360" w:lineRule="auto"/>
        <w:rPr>
          <w:b/>
          <w:sz w:val="24"/>
        </w:rPr>
      </w:pPr>
    </w:p>
    <w:p w14:paraId="1268B58B">
      <w:pPr>
        <w:widowControl/>
        <w:jc w:val="left"/>
        <w:rPr>
          <w:b/>
          <w:sz w:val="24"/>
        </w:rPr>
      </w:pPr>
      <w:r>
        <w:rPr>
          <w:b/>
          <w:sz w:val="24"/>
        </w:rPr>
        <w:br w:type="page"/>
      </w:r>
    </w:p>
    <w:p w14:paraId="681EE0B2">
      <w:pPr>
        <w:spacing w:line="360" w:lineRule="auto"/>
        <w:rPr>
          <w:b/>
          <w:sz w:val="24"/>
        </w:rPr>
      </w:pPr>
      <w:r>
        <w:rPr>
          <w:b/>
          <w:sz w:val="24"/>
        </w:rPr>
        <w:t>主要技术参数：</w:t>
      </w:r>
    </w:p>
    <w:p w14:paraId="039EF664">
      <w:pPr>
        <w:tabs>
          <w:tab w:val="left" w:pos="1350"/>
        </w:tabs>
        <w:spacing w:line="360" w:lineRule="auto"/>
        <w:rPr>
          <w:rFonts w:hint="eastAsia"/>
          <w:sz w:val="24"/>
        </w:rPr>
      </w:pPr>
      <w:r>
        <w:rPr>
          <w:rFonts w:hint="eastAsia"/>
          <w:sz w:val="24"/>
        </w:rPr>
        <w:t>注: 表中“★”</w:t>
      </w:r>
      <w:r>
        <w:rPr>
          <w:rFonts w:hint="eastAsia"/>
          <w:sz w:val="24"/>
          <w:lang w:eastAsia="zh-CN"/>
        </w:rPr>
        <w:t>为实质性要求：</w:t>
      </w:r>
      <w:r>
        <w:rPr>
          <w:rFonts w:hint="eastAsia"/>
          <w:sz w:val="24"/>
        </w:rPr>
        <w:t>“</w:t>
      </w:r>
      <w:r>
        <w:rPr>
          <w:rFonts w:hint="eastAsia" w:ascii="宋体" w:hAnsi="宋体"/>
          <w:kern w:val="0"/>
          <w:sz w:val="24"/>
        </w:rPr>
        <w:t>▲</w:t>
      </w:r>
      <w:r>
        <w:rPr>
          <w:rFonts w:hint="eastAsia"/>
          <w:sz w:val="24"/>
        </w:rPr>
        <w:t>”代表重要指标</w:t>
      </w:r>
      <w:r>
        <w:rPr>
          <w:rFonts w:hint="eastAsia"/>
          <w:sz w:val="24"/>
          <w:lang w:eastAsia="zh-CN"/>
        </w:rPr>
        <w:t>，为评审因素（▲技术参数）</w:t>
      </w:r>
      <w:r>
        <w:rPr>
          <w:rFonts w:hint="eastAsia"/>
          <w:sz w:val="24"/>
        </w:rPr>
        <w:t>；无标识则表示属一般指标项</w:t>
      </w:r>
      <w:r>
        <w:rPr>
          <w:rFonts w:hint="eastAsia"/>
          <w:sz w:val="24"/>
          <w:lang w:eastAsia="zh-CN"/>
        </w:rPr>
        <w:t>，为评审因素（一般技术参数）</w:t>
      </w:r>
      <w:r>
        <w:rPr>
          <w:rFonts w:hint="eastAsia"/>
          <w:sz w:val="24"/>
        </w:rPr>
        <w:t>。</w:t>
      </w:r>
    </w:p>
    <w:p w14:paraId="097EE708">
      <w:pPr>
        <w:tabs>
          <w:tab w:val="left" w:pos="1350"/>
        </w:tabs>
        <w:spacing w:line="360" w:lineRule="auto"/>
        <w:rPr>
          <w:rFonts w:hint="eastAsia" w:eastAsia="宋体"/>
          <w:b/>
          <w:bCs/>
          <w:sz w:val="24"/>
          <w:lang w:eastAsia="zh-CN"/>
        </w:rPr>
      </w:pPr>
      <w:r>
        <w:rPr>
          <w:rFonts w:hint="eastAsia"/>
          <w:b/>
          <w:bCs/>
          <w:sz w:val="24"/>
        </w:rPr>
        <w:t>“★”指标需提供技术支持资料（同“▲”指标的技术支持资料要求）</w:t>
      </w:r>
      <w:r>
        <w:rPr>
          <w:rFonts w:hint="eastAsia"/>
          <w:b/>
          <w:bCs/>
          <w:sz w:val="24"/>
          <w:lang w:eastAsia="zh-CN"/>
        </w:rPr>
        <w:t>，</w:t>
      </w:r>
      <w:r>
        <w:rPr>
          <w:rFonts w:hint="eastAsia"/>
          <w:b/>
          <w:bCs/>
          <w:sz w:val="24"/>
        </w:rPr>
        <w:t>否则视为无效投标</w:t>
      </w:r>
      <w:r>
        <w:rPr>
          <w:rFonts w:hint="eastAsia"/>
          <w:b/>
          <w:bCs/>
          <w:sz w:val="24"/>
          <w:lang w:eastAsia="zh-CN"/>
        </w:rPr>
        <w:t>。</w:t>
      </w:r>
    </w:p>
    <w:p w14:paraId="4B20E29E">
      <w:pPr>
        <w:tabs>
          <w:tab w:val="left" w:pos="1350"/>
        </w:tabs>
        <w:spacing w:line="360" w:lineRule="auto"/>
        <w:rPr>
          <w:rFonts w:hint="eastAsia"/>
          <w:b/>
          <w:bCs/>
          <w:sz w:val="24"/>
        </w:rPr>
      </w:pPr>
      <w:r>
        <w:rPr>
          <w:rFonts w:hint="eastAsia"/>
          <w:b/>
          <w:bCs/>
          <w:sz w:val="24"/>
        </w:rPr>
        <w:t>“▲”指标均需提供技术支持资料。其中技术支持资料以制造商公开发布的印刷资料（产品彩页、产品说明书、产品白皮书、官网截图）、界面截图、第三方检测机构出具的检测</w:t>
      </w:r>
      <w:bookmarkStart w:id="2" w:name="_GoBack"/>
      <w:bookmarkEnd w:id="2"/>
      <w:r>
        <w:rPr>
          <w:rFonts w:hint="eastAsia"/>
          <w:b/>
          <w:bCs/>
          <w:sz w:val="24"/>
        </w:rPr>
        <w:t>报告或在有效期内的证书扫描件等为准，投标人可以只提供上述材料关键页的复印件，关键页需体现投标产品的品牌、规格型号、相关性能指标，相关性能指标需以醒目的方式标明招标文件技术要求对应的序号，凡不符合上述要求的视为无效技术支持资料。</w:t>
      </w:r>
    </w:p>
    <w:p w14:paraId="41EB2CD5">
      <w:pPr>
        <w:tabs>
          <w:tab w:val="left" w:pos="1350"/>
        </w:tabs>
        <w:spacing w:line="360" w:lineRule="auto"/>
        <w:rPr>
          <w:rFonts w:hint="eastAsia"/>
          <w:sz w:val="24"/>
        </w:rPr>
      </w:pPr>
    </w:p>
    <w:p w14:paraId="045F191F">
      <w:pPr>
        <w:pStyle w:val="16"/>
        <w:numPr>
          <w:ilvl w:val="0"/>
          <w:numId w:val="1"/>
        </w:numPr>
        <w:tabs>
          <w:tab w:val="left" w:pos="1350"/>
        </w:tabs>
        <w:spacing w:line="360" w:lineRule="auto"/>
        <w:ind w:firstLineChars="0"/>
        <w:rPr>
          <w:sz w:val="24"/>
        </w:rPr>
      </w:pPr>
      <w:r>
        <w:rPr>
          <w:rFonts w:hint="eastAsia"/>
          <w:sz w:val="24"/>
        </w:rPr>
        <w:t>G</w:t>
      </w:r>
      <w:r>
        <w:rPr>
          <w:sz w:val="24"/>
        </w:rPr>
        <w:t>PU</w:t>
      </w:r>
      <w:r>
        <w:rPr>
          <w:rFonts w:hint="eastAsia"/>
          <w:sz w:val="24"/>
        </w:rPr>
        <w:t>服务器1</w:t>
      </w:r>
    </w:p>
    <w:tbl>
      <w:tblPr>
        <w:tblStyle w:val="7"/>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1526"/>
        <w:gridCol w:w="5899"/>
      </w:tblGrid>
      <w:tr w14:paraId="12564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876" w:type="dxa"/>
          </w:tcPr>
          <w:p w14:paraId="0CAFFCDC">
            <w:pPr>
              <w:widowControl/>
              <w:jc w:val="center"/>
              <w:rPr>
                <w:rFonts w:asciiTheme="minorEastAsia" w:hAnsiTheme="minorEastAsia" w:eastAsiaTheme="minorEastAsia"/>
                <w:b/>
                <w:bCs/>
                <w:sz w:val="24"/>
              </w:rPr>
            </w:pPr>
            <w:r>
              <w:rPr>
                <w:rFonts w:asciiTheme="minorEastAsia" w:hAnsiTheme="minorEastAsia" w:eastAsiaTheme="minorEastAsia"/>
                <w:b/>
                <w:sz w:val="24"/>
              </w:rPr>
              <w:t>序号</w:t>
            </w:r>
          </w:p>
        </w:tc>
        <w:tc>
          <w:tcPr>
            <w:tcW w:w="1526" w:type="dxa"/>
            <w:shd w:val="clear" w:color="auto" w:fill="auto"/>
          </w:tcPr>
          <w:p w14:paraId="56843081">
            <w:pPr>
              <w:widowControl/>
              <w:jc w:val="center"/>
              <w:rPr>
                <w:rFonts w:cs="宋体" w:asciiTheme="minorEastAsia" w:hAnsiTheme="minorEastAsia" w:eastAsiaTheme="minorEastAsia"/>
                <w:color w:val="000000"/>
                <w:kern w:val="0"/>
                <w:sz w:val="24"/>
              </w:rPr>
            </w:pPr>
            <w:r>
              <w:rPr>
                <w:rFonts w:asciiTheme="minorEastAsia" w:hAnsiTheme="minorEastAsia" w:eastAsiaTheme="minorEastAsia"/>
                <w:b/>
                <w:sz w:val="24"/>
              </w:rPr>
              <w:t>指标项</w:t>
            </w:r>
          </w:p>
        </w:tc>
        <w:tc>
          <w:tcPr>
            <w:tcW w:w="5899" w:type="dxa"/>
            <w:shd w:val="clear" w:color="auto" w:fill="auto"/>
          </w:tcPr>
          <w:p w14:paraId="2845A1A0">
            <w:pPr>
              <w:widowControl/>
              <w:jc w:val="center"/>
              <w:rPr>
                <w:rFonts w:cs="宋体" w:asciiTheme="minorEastAsia" w:hAnsiTheme="minorEastAsia" w:eastAsiaTheme="minorEastAsia"/>
                <w:color w:val="000000"/>
                <w:kern w:val="0"/>
                <w:sz w:val="24"/>
              </w:rPr>
            </w:pPr>
            <w:r>
              <w:rPr>
                <w:rFonts w:asciiTheme="minorEastAsia" w:hAnsiTheme="minorEastAsia" w:eastAsiaTheme="minorEastAsia"/>
                <w:b/>
                <w:sz w:val="24"/>
              </w:rPr>
              <w:t>指标要求</w:t>
            </w:r>
          </w:p>
        </w:tc>
      </w:tr>
      <w:tr w14:paraId="60484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876" w:type="dxa"/>
            <w:vAlign w:val="center"/>
          </w:tcPr>
          <w:p w14:paraId="13AF2DF1">
            <w:pPr>
              <w:widowControl/>
              <w:jc w:val="center"/>
              <w:rPr>
                <w:rFonts w:asciiTheme="minorEastAsia" w:hAnsiTheme="minorEastAsia" w:eastAsiaTheme="minorEastAsia"/>
                <w:bCs/>
                <w:sz w:val="24"/>
              </w:rPr>
            </w:pPr>
            <w:r>
              <w:rPr>
                <w:rFonts w:hint="eastAsia" w:asciiTheme="minorEastAsia" w:hAnsiTheme="minorEastAsia" w:eastAsiaTheme="minorEastAsia"/>
                <w:bCs/>
                <w:sz w:val="24"/>
              </w:rPr>
              <w:t>1</w:t>
            </w:r>
          </w:p>
        </w:tc>
        <w:tc>
          <w:tcPr>
            <w:tcW w:w="1526" w:type="dxa"/>
            <w:shd w:val="clear" w:color="auto" w:fill="auto"/>
          </w:tcPr>
          <w:p w14:paraId="42822D06">
            <w:pPr>
              <w:widowControl/>
              <w:jc w:val="center"/>
              <w:rPr>
                <w:rFonts w:asciiTheme="minorEastAsia" w:hAnsiTheme="minorEastAsia" w:eastAsiaTheme="minorEastAsia"/>
                <w:b/>
                <w:bCs/>
                <w:sz w:val="24"/>
              </w:rPr>
            </w:pPr>
            <w:r>
              <w:rPr>
                <w:rFonts w:hint="eastAsia" w:asciiTheme="minorEastAsia" w:hAnsiTheme="minorEastAsia" w:eastAsiaTheme="minorEastAsia"/>
                <w:bCs/>
                <w:sz w:val="24"/>
              </w:rPr>
              <w:t>规格</w:t>
            </w:r>
          </w:p>
        </w:tc>
        <w:tc>
          <w:tcPr>
            <w:tcW w:w="5899" w:type="dxa"/>
            <w:shd w:val="clear" w:color="auto" w:fill="auto"/>
          </w:tcPr>
          <w:p w14:paraId="17061B0B">
            <w:pPr>
              <w:widowControl/>
              <w:jc w:val="left"/>
              <w:rPr>
                <w:rFonts w:asciiTheme="minorEastAsia" w:hAnsiTheme="minorEastAsia" w:eastAsiaTheme="minorEastAsia"/>
                <w:b/>
                <w:bCs/>
                <w:sz w:val="24"/>
              </w:rPr>
            </w:pPr>
            <w:r>
              <w:rPr>
                <w:rFonts w:hint="eastAsia" w:cs="宋体" w:asciiTheme="minorEastAsia" w:hAnsiTheme="minorEastAsia" w:eastAsiaTheme="minorEastAsia"/>
                <w:kern w:val="0"/>
                <w:sz w:val="24"/>
              </w:rPr>
              <w:t>▲</w:t>
            </w:r>
            <w:r>
              <w:rPr>
                <w:rFonts w:hint="eastAsia" w:asciiTheme="minorEastAsia" w:hAnsiTheme="minorEastAsia" w:eastAsiaTheme="minorEastAsia"/>
                <w:sz w:val="24"/>
              </w:rPr>
              <w:t>机架式服务器，整机高度≥6U</w:t>
            </w:r>
            <w:r>
              <w:rPr>
                <w:rFonts w:hint="eastAsia"/>
                <w:sz w:val="24"/>
              </w:rPr>
              <w:t>，</w:t>
            </w:r>
            <w:r>
              <w:rPr>
                <w:rFonts w:hint="eastAsia"/>
                <w:sz w:val="24"/>
                <w:lang w:eastAsia="zh-CN"/>
              </w:rPr>
              <w:t>提供</w:t>
            </w:r>
            <w:r>
              <w:rPr>
                <w:rFonts w:hint="eastAsia"/>
                <w:sz w:val="24"/>
              </w:rPr>
              <w:t>技术支持资料</w:t>
            </w:r>
          </w:p>
        </w:tc>
      </w:tr>
      <w:tr w14:paraId="118FD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876" w:type="dxa"/>
            <w:vAlign w:val="center"/>
          </w:tcPr>
          <w:p w14:paraId="4F3F0DD9">
            <w:pPr>
              <w:widowControl/>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1526" w:type="dxa"/>
            <w:shd w:val="clear" w:color="auto" w:fill="auto"/>
            <w:vAlign w:val="center"/>
          </w:tcPr>
          <w:p w14:paraId="4103162C">
            <w:pPr>
              <w:widowControl/>
              <w:jc w:val="center"/>
              <w:rPr>
                <w:rFonts w:asciiTheme="minorEastAsia" w:hAnsiTheme="minorEastAsia" w:eastAsiaTheme="minorEastAsia"/>
                <w:b/>
                <w:bCs/>
                <w:sz w:val="24"/>
              </w:rPr>
            </w:pPr>
            <w:r>
              <w:rPr>
                <w:rFonts w:hint="eastAsia" w:asciiTheme="minorEastAsia" w:hAnsiTheme="minorEastAsia" w:eastAsiaTheme="minorEastAsia"/>
                <w:sz w:val="24"/>
              </w:rPr>
              <w:t>C</w:t>
            </w:r>
            <w:r>
              <w:rPr>
                <w:rFonts w:asciiTheme="minorEastAsia" w:hAnsiTheme="minorEastAsia" w:eastAsiaTheme="minorEastAsia"/>
                <w:sz w:val="24"/>
              </w:rPr>
              <w:t>PU</w:t>
            </w:r>
          </w:p>
        </w:tc>
        <w:tc>
          <w:tcPr>
            <w:tcW w:w="5899" w:type="dxa"/>
            <w:shd w:val="clear" w:color="auto" w:fill="auto"/>
            <w:vAlign w:val="center"/>
          </w:tcPr>
          <w:p w14:paraId="2E7675BE">
            <w:pPr>
              <w:widowControl/>
              <w:jc w:val="left"/>
              <w:rPr>
                <w:rFonts w:asciiTheme="minorEastAsia" w:hAnsiTheme="minorEastAsia" w:eastAsiaTheme="minorEastAsia"/>
                <w:b/>
                <w:bCs/>
                <w:sz w:val="24"/>
              </w:rPr>
            </w:pPr>
            <w:r>
              <w:rPr>
                <w:rFonts w:hint="eastAsia" w:asciiTheme="minorEastAsia" w:hAnsiTheme="minorEastAsia" w:eastAsiaTheme="minorEastAsia"/>
                <w:sz w:val="24"/>
              </w:rPr>
              <w:t>▲配置≥2颗处理器，单颗处理器满足：</w:t>
            </w:r>
            <w:r>
              <w:rPr>
                <w:rFonts w:asciiTheme="minorEastAsia" w:hAnsiTheme="minorEastAsia" w:eastAsiaTheme="minorEastAsia"/>
                <w:sz w:val="24"/>
              </w:rPr>
              <w:t>核心≥</w:t>
            </w:r>
            <w:r>
              <w:rPr>
                <w:rFonts w:hint="eastAsia" w:asciiTheme="minorEastAsia" w:hAnsiTheme="minorEastAsia" w:eastAsiaTheme="minorEastAsia"/>
                <w:sz w:val="24"/>
              </w:rPr>
              <w:t>32</w:t>
            </w:r>
            <w:r>
              <w:rPr>
                <w:rFonts w:asciiTheme="minorEastAsia" w:hAnsiTheme="minorEastAsia" w:eastAsiaTheme="minorEastAsia"/>
                <w:sz w:val="24"/>
              </w:rPr>
              <w:t>，主频≥2.</w:t>
            </w:r>
            <w:r>
              <w:rPr>
                <w:rFonts w:hint="eastAsia" w:asciiTheme="minorEastAsia" w:hAnsiTheme="minorEastAsia" w:eastAsiaTheme="minorEastAsia"/>
                <w:sz w:val="24"/>
              </w:rPr>
              <w:t>3</w:t>
            </w:r>
            <w:r>
              <w:rPr>
                <w:rFonts w:asciiTheme="minorEastAsia" w:hAnsiTheme="minorEastAsia" w:eastAsiaTheme="minorEastAsia"/>
                <w:sz w:val="24"/>
              </w:rPr>
              <w:t>GHz，缓存≥</w:t>
            </w:r>
            <w:r>
              <w:rPr>
                <w:rFonts w:hint="eastAsia" w:asciiTheme="minorEastAsia" w:hAnsiTheme="minorEastAsia" w:eastAsiaTheme="minorEastAsia"/>
                <w:sz w:val="24"/>
              </w:rPr>
              <w:t>144</w:t>
            </w:r>
            <w:r>
              <w:rPr>
                <w:rFonts w:asciiTheme="minorEastAsia" w:hAnsiTheme="minorEastAsia" w:eastAsiaTheme="minorEastAsia"/>
                <w:sz w:val="24"/>
              </w:rPr>
              <w:t>MB，</w:t>
            </w:r>
            <w:r>
              <w:rPr>
                <w:rFonts w:hint="eastAsia" w:asciiTheme="minorEastAsia" w:hAnsiTheme="minorEastAsia" w:eastAsiaTheme="minorEastAsia"/>
                <w:sz w:val="24"/>
              </w:rPr>
              <w:t>支持</w:t>
            </w:r>
            <w:r>
              <w:rPr>
                <w:rFonts w:asciiTheme="minorEastAsia" w:hAnsiTheme="minorEastAsia" w:eastAsiaTheme="minorEastAsia"/>
                <w:sz w:val="24"/>
              </w:rPr>
              <w:t>AVX-512</w:t>
            </w:r>
            <w:r>
              <w:rPr>
                <w:rFonts w:hint="eastAsia" w:asciiTheme="minorEastAsia" w:hAnsiTheme="minorEastAsia" w:eastAsiaTheme="minorEastAsia"/>
                <w:sz w:val="24"/>
              </w:rPr>
              <w:t>，AMX等指令集，</w:t>
            </w:r>
            <w:r>
              <w:rPr>
                <w:rFonts w:hint="eastAsia" w:asciiTheme="minorEastAsia" w:hAnsiTheme="minorEastAsia" w:eastAsiaTheme="minorEastAsia"/>
                <w:sz w:val="24"/>
                <w:lang w:eastAsia="zh-CN"/>
              </w:rPr>
              <w:t>提供</w:t>
            </w:r>
            <w:r>
              <w:rPr>
                <w:rFonts w:hint="eastAsia" w:asciiTheme="minorEastAsia" w:hAnsiTheme="minorEastAsia" w:eastAsiaTheme="minorEastAsia"/>
                <w:sz w:val="24"/>
              </w:rPr>
              <w:t>技术支持资料</w:t>
            </w:r>
          </w:p>
        </w:tc>
      </w:tr>
      <w:tr w14:paraId="47191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876" w:type="dxa"/>
            <w:vAlign w:val="center"/>
          </w:tcPr>
          <w:p w14:paraId="5688CDE7">
            <w:pPr>
              <w:widowControl/>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1526" w:type="dxa"/>
            <w:shd w:val="clear" w:color="auto" w:fill="auto"/>
            <w:vAlign w:val="center"/>
          </w:tcPr>
          <w:p w14:paraId="595002BD">
            <w:pPr>
              <w:widowControl/>
              <w:jc w:val="center"/>
              <w:rPr>
                <w:rFonts w:asciiTheme="minorEastAsia" w:hAnsiTheme="minorEastAsia" w:eastAsiaTheme="minorEastAsia"/>
                <w:b/>
                <w:bCs/>
                <w:sz w:val="24"/>
              </w:rPr>
            </w:pPr>
            <w:r>
              <w:rPr>
                <w:rFonts w:hint="eastAsia" w:asciiTheme="minorEastAsia" w:hAnsiTheme="minorEastAsia" w:eastAsiaTheme="minorEastAsia"/>
                <w:sz w:val="24"/>
              </w:rPr>
              <w:t>内存</w:t>
            </w:r>
          </w:p>
        </w:tc>
        <w:tc>
          <w:tcPr>
            <w:tcW w:w="5899" w:type="dxa"/>
            <w:shd w:val="clear" w:color="auto" w:fill="auto"/>
            <w:vAlign w:val="center"/>
          </w:tcPr>
          <w:p w14:paraId="6D85F51C">
            <w:pPr>
              <w:widowControl/>
              <w:jc w:val="left"/>
              <w:rPr>
                <w:rFonts w:asciiTheme="minorEastAsia" w:hAnsiTheme="minorEastAsia" w:eastAsiaTheme="minorEastAsia"/>
                <w:b/>
                <w:bCs/>
                <w:sz w:val="24"/>
              </w:rPr>
            </w:pPr>
            <w:r>
              <w:rPr>
                <w:rFonts w:hint="eastAsia" w:cs="宋体" w:asciiTheme="minorEastAsia" w:hAnsiTheme="minorEastAsia" w:eastAsiaTheme="minorEastAsia"/>
                <w:kern w:val="0"/>
                <w:sz w:val="24"/>
              </w:rPr>
              <w:t>▲</w:t>
            </w:r>
            <w:r>
              <w:rPr>
                <w:rFonts w:hint="eastAsia" w:asciiTheme="minorEastAsia" w:hAnsiTheme="minorEastAsia" w:eastAsiaTheme="minorEastAsia"/>
                <w:sz w:val="24"/>
              </w:rPr>
              <w:t>配置≥24根32GB DDR5</w:t>
            </w:r>
            <w:r>
              <w:rPr>
                <w:rFonts w:asciiTheme="minorEastAsia" w:hAnsiTheme="minorEastAsia" w:eastAsiaTheme="minorEastAsia"/>
                <w:sz w:val="24"/>
              </w:rPr>
              <w:t xml:space="preserve"> </w:t>
            </w:r>
            <w:r>
              <w:rPr>
                <w:rFonts w:hint="eastAsia" w:asciiTheme="minorEastAsia" w:hAnsiTheme="minorEastAsia" w:eastAsiaTheme="minorEastAsia"/>
                <w:sz w:val="24"/>
              </w:rPr>
              <w:t>64</w:t>
            </w:r>
            <w:r>
              <w:rPr>
                <w:rFonts w:asciiTheme="minorEastAsia" w:hAnsiTheme="minorEastAsia" w:eastAsiaTheme="minorEastAsia"/>
                <w:sz w:val="24"/>
              </w:rPr>
              <w:t>00</w:t>
            </w:r>
            <w:r>
              <w:rPr>
                <w:rFonts w:hint="eastAsia" w:asciiTheme="minorEastAsia" w:hAnsiTheme="minorEastAsia" w:eastAsiaTheme="minorEastAsia"/>
                <w:sz w:val="24"/>
              </w:rPr>
              <w:t>MHz内存，支持≥32个内存插槽</w:t>
            </w:r>
            <w:r>
              <w:rPr>
                <w:rFonts w:hint="eastAsia"/>
                <w:sz w:val="24"/>
              </w:rPr>
              <w:t>，</w:t>
            </w:r>
            <w:r>
              <w:rPr>
                <w:rFonts w:hint="eastAsia" w:asciiTheme="minorEastAsia" w:hAnsiTheme="minorEastAsia" w:eastAsiaTheme="minorEastAsia"/>
                <w:sz w:val="24"/>
                <w:lang w:eastAsia="zh-CN"/>
              </w:rPr>
              <w:t>提供</w:t>
            </w:r>
            <w:r>
              <w:rPr>
                <w:rFonts w:hint="eastAsia" w:asciiTheme="minorEastAsia" w:hAnsiTheme="minorEastAsia" w:eastAsiaTheme="minorEastAsia"/>
                <w:sz w:val="24"/>
              </w:rPr>
              <w:t>技术支持资料</w:t>
            </w:r>
          </w:p>
        </w:tc>
      </w:tr>
      <w:tr w14:paraId="311DC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876" w:type="dxa"/>
            <w:vMerge w:val="restart"/>
            <w:vAlign w:val="center"/>
          </w:tcPr>
          <w:p w14:paraId="2845B021">
            <w:pPr>
              <w:widowControl/>
              <w:jc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1526" w:type="dxa"/>
            <w:vMerge w:val="restart"/>
            <w:shd w:val="clear" w:color="auto" w:fill="auto"/>
            <w:vAlign w:val="center"/>
          </w:tcPr>
          <w:p w14:paraId="1482B383">
            <w:pPr>
              <w:widowControl/>
              <w:jc w:val="center"/>
              <w:rPr>
                <w:rFonts w:asciiTheme="minorEastAsia" w:hAnsiTheme="minorEastAsia" w:eastAsiaTheme="minorEastAsia"/>
                <w:b/>
                <w:bCs/>
                <w:sz w:val="24"/>
              </w:rPr>
            </w:pPr>
            <w:r>
              <w:rPr>
                <w:rFonts w:hint="eastAsia" w:cs="宋体" w:asciiTheme="minorEastAsia" w:hAnsiTheme="minorEastAsia" w:eastAsiaTheme="minorEastAsia"/>
                <w:color w:val="000000"/>
                <w:kern w:val="0"/>
                <w:sz w:val="24"/>
              </w:rPr>
              <w:t>本地存储</w:t>
            </w:r>
          </w:p>
        </w:tc>
        <w:tc>
          <w:tcPr>
            <w:tcW w:w="5899" w:type="dxa"/>
            <w:shd w:val="clear" w:color="auto" w:fill="auto"/>
            <w:vAlign w:val="center"/>
          </w:tcPr>
          <w:p w14:paraId="6BC9A076">
            <w:pPr>
              <w:widowControl/>
              <w:jc w:val="left"/>
              <w:rPr>
                <w:rFonts w:asciiTheme="minorEastAsia" w:hAnsiTheme="minorEastAsia" w:eastAsiaTheme="minorEastAsia"/>
                <w:sz w:val="24"/>
              </w:rPr>
            </w:pPr>
            <w:r>
              <w:rPr>
                <w:rFonts w:hint="eastAsia" w:asciiTheme="minorEastAsia" w:hAnsiTheme="minorEastAsia" w:eastAsiaTheme="minorEastAsia"/>
                <w:sz w:val="24"/>
              </w:rPr>
              <w:t>支持≥24个2.5寸或12个3.5寸SAS/SATA硬盘</w:t>
            </w:r>
          </w:p>
        </w:tc>
      </w:tr>
      <w:tr w14:paraId="6DB90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876" w:type="dxa"/>
            <w:vMerge w:val="continue"/>
            <w:vAlign w:val="center"/>
          </w:tcPr>
          <w:p w14:paraId="781EFE35">
            <w:pPr>
              <w:pStyle w:val="16"/>
              <w:widowControl/>
              <w:ind w:left="420" w:firstLine="0" w:firstLineChars="0"/>
              <w:jc w:val="center"/>
              <w:rPr>
                <w:rFonts w:asciiTheme="minorEastAsia" w:hAnsiTheme="minorEastAsia" w:eastAsiaTheme="minorEastAsia"/>
                <w:sz w:val="24"/>
              </w:rPr>
            </w:pPr>
          </w:p>
        </w:tc>
        <w:tc>
          <w:tcPr>
            <w:tcW w:w="1526" w:type="dxa"/>
            <w:vMerge w:val="continue"/>
            <w:shd w:val="clear" w:color="auto" w:fill="auto"/>
            <w:vAlign w:val="center"/>
          </w:tcPr>
          <w:p w14:paraId="580B3AAD">
            <w:pPr>
              <w:widowControl/>
              <w:jc w:val="center"/>
              <w:rPr>
                <w:rFonts w:cs="宋体" w:asciiTheme="minorEastAsia" w:hAnsiTheme="minorEastAsia" w:eastAsiaTheme="minorEastAsia"/>
                <w:color w:val="000000"/>
                <w:kern w:val="0"/>
                <w:sz w:val="24"/>
              </w:rPr>
            </w:pPr>
          </w:p>
        </w:tc>
        <w:tc>
          <w:tcPr>
            <w:tcW w:w="5899" w:type="dxa"/>
            <w:shd w:val="clear" w:color="auto" w:fill="auto"/>
            <w:vAlign w:val="center"/>
          </w:tcPr>
          <w:p w14:paraId="41D6EFC4">
            <w:pPr>
              <w:widowControl/>
              <w:jc w:val="left"/>
              <w:rPr>
                <w:rFonts w:asciiTheme="minorEastAsia" w:hAnsiTheme="minorEastAsia" w:eastAsiaTheme="minorEastAsia"/>
                <w:sz w:val="24"/>
              </w:rPr>
            </w:pPr>
            <w:r>
              <w:rPr>
                <w:rFonts w:hint="eastAsia" w:asciiTheme="minorEastAsia" w:hAnsiTheme="minorEastAsia" w:eastAsiaTheme="minorEastAsia"/>
                <w:sz w:val="24"/>
              </w:rPr>
              <w:t>配置≥2块960GB</w:t>
            </w:r>
            <w:r>
              <w:rPr>
                <w:rFonts w:asciiTheme="minorEastAsia" w:hAnsiTheme="minorEastAsia" w:eastAsiaTheme="minorEastAsia"/>
                <w:sz w:val="24"/>
              </w:rPr>
              <w:t xml:space="preserve"> </w:t>
            </w:r>
            <w:r>
              <w:rPr>
                <w:rFonts w:hint="eastAsia" w:asciiTheme="minorEastAsia" w:hAnsiTheme="minorEastAsia" w:eastAsiaTheme="minorEastAsia"/>
                <w:sz w:val="24"/>
              </w:rPr>
              <w:t>SSD硬盘</w:t>
            </w:r>
          </w:p>
        </w:tc>
      </w:tr>
      <w:tr w14:paraId="43620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876" w:type="dxa"/>
            <w:vAlign w:val="center"/>
          </w:tcPr>
          <w:p w14:paraId="5D6A50A2">
            <w:pPr>
              <w:widowControl/>
              <w:jc w:val="center"/>
              <w:rPr>
                <w:rFonts w:asciiTheme="minorEastAsia" w:hAnsiTheme="minorEastAsia" w:eastAsiaTheme="minorEastAsia"/>
                <w:sz w:val="24"/>
              </w:rPr>
            </w:pPr>
            <w:r>
              <w:rPr>
                <w:rFonts w:hint="eastAsia" w:asciiTheme="minorEastAsia" w:hAnsiTheme="minorEastAsia" w:eastAsiaTheme="minorEastAsia"/>
                <w:sz w:val="24"/>
              </w:rPr>
              <w:t>5</w:t>
            </w:r>
          </w:p>
        </w:tc>
        <w:tc>
          <w:tcPr>
            <w:tcW w:w="1526" w:type="dxa"/>
            <w:shd w:val="clear" w:color="auto" w:fill="auto"/>
            <w:vAlign w:val="center"/>
          </w:tcPr>
          <w:p w14:paraId="52A4394E">
            <w:pPr>
              <w:widowControl/>
              <w:jc w:val="center"/>
              <w:rPr>
                <w:rFonts w:cs="宋体" w:asciiTheme="minorEastAsia" w:hAnsiTheme="minorEastAsia" w:eastAsiaTheme="minorEastAsia"/>
                <w:color w:val="000000"/>
                <w:kern w:val="0"/>
                <w:sz w:val="24"/>
              </w:rPr>
            </w:pPr>
            <w:r>
              <w:rPr>
                <w:rFonts w:hint="eastAsia" w:cs="宋体" w:asciiTheme="minorEastAsia" w:hAnsiTheme="minorEastAsia" w:eastAsiaTheme="minorEastAsia"/>
                <w:color w:val="000000"/>
                <w:kern w:val="0"/>
                <w:sz w:val="24"/>
              </w:rPr>
              <w:t>扩展性</w:t>
            </w:r>
          </w:p>
        </w:tc>
        <w:tc>
          <w:tcPr>
            <w:tcW w:w="5899" w:type="dxa"/>
            <w:shd w:val="clear" w:color="auto" w:fill="auto"/>
            <w:vAlign w:val="center"/>
          </w:tcPr>
          <w:p w14:paraId="0137591B">
            <w:pPr>
              <w:widowControl/>
              <w:jc w:val="left"/>
              <w:rPr>
                <w:rFonts w:asciiTheme="minorEastAsia" w:hAnsiTheme="minorEastAsia" w:eastAsiaTheme="minorEastAsia"/>
                <w:sz w:val="24"/>
              </w:rPr>
            </w:pPr>
            <w:r>
              <w:rPr>
                <w:rFonts w:hint="eastAsia" w:asciiTheme="minorEastAsia" w:hAnsiTheme="minorEastAsia" w:eastAsiaTheme="minorEastAsia"/>
                <w:sz w:val="24"/>
              </w:rPr>
              <w:t>除8个GPU插槽外，支持≥9个PCIe 5.0插槽及≥1个x16 OCP网卡插槽</w:t>
            </w:r>
          </w:p>
        </w:tc>
      </w:tr>
      <w:tr w14:paraId="2FC83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876" w:type="dxa"/>
            <w:vAlign w:val="center"/>
          </w:tcPr>
          <w:p w14:paraId="22977E61">
            <w:pPr>
              <w:widowControl/>
              <w:jc w:val="center"/>
              <w:rPr>
                <w:rFonts w:asciiTheme="minorEastAsia" w:hAnsiTheme="minorEastAsia" w:eastAsiaTheme="minorEastAsia"/>
                <w:sz w:val="24"/>
              </w:rPr>
            </w:pPr>
            <w:r>
              <w:rPr>
                <w:rFonts w:hint="eastAsia" w:asciiTheme="minorEastAsia" w:hAnsiTheme="minorEastAsia" w:eastAsiaTheme="minorEastAsia"/>
                <w:sz w:val="24"/>
              </w:rPr>
              <w:t>6</w:t>
            </w:r>
          </w:p>
        </w:tc>
        <w:tc>
          <w:tcPr>
            <w:tcW w:w="1526" w:type="dxa"/>
            <w:shd w:val="clear" w:color="auto" w:fill="auto"/>
            <w:vAlign w:val="center"/>
          </w:tcPr>
          <w:p w14:paraId="28D8111A">
            <w:pPr>
              <w:widowControl/>
              <w:jc w:val="center"/>
              <w:rPr>
                <w:rFonts w:asciiTheme="minorEastAsia" w:hAnsiTheme="minorEastAsia" w:eastAsiaTheme="minorEastAsia"/>
                <w:b/>
                <w:bCs/>
                <w:sz w:val="24"/>
              </w:rPr>
            </w:pPr>
            <w:r>
              <w:rPr>
                <w:rFonts w:hint="eastAsia" w:asciiTheme="minorEastAsia" w:hAnsiTheme="minorEastAsia" w:eastAsiaTheme="minorEastAsia"/>
                <w:sz w:val="24"/>
              </w:rPr>
              <w:t>阵列控制器</w:t>
            </w:r>
          </w:p>
        </w:tc>
        <w:tc>
          <w:tcPr>
            <w:tcW w:w="5899" w:type="dxa"/>
            <w:shd w:val="clear" w:color="auto" w:fill="auto"/>
            <w:vAlign w:val="center"/>
          </w:tcPr>
          <w:p w14:paraId="0414DF53">
            <w:pPr>
              <w:widowControl/>
              <w:jc w:val="left"/>
              <w:rPr>
                <w:rFonts w:asciiTheme="minorEastAsia" w:hAnsiTheme="minorEastAsia" w:eastAsiaTheme="minorEastAsia"/>
                <w:sz w:val="24"/>
              </w:rPr>
            </w:pPr>
            <w:r>
              <w:rPr>
                <w:rFonts w:hint="eastAsia" w:asciiTheme="minorEastAsia" w:hAnsiTheme="minorEastAsia" w:eastAsiaTheme="minorEastAsia"/>
                <w:sz w:val="24"/>
              </w:rPr>
              <w:t>配置1块8通道S</w:t>
            </w:r>
            <w:r>
              <w:rPr>
                <w:rFonts w:asciiTheme="minorEastAsia" w:hAnsiTheme="minorEastAsia" w:eastAsiaTheme="minorEastAsia"/>
                <w:sz w:val="24"/>
              </w:rPr>
              <w:t xml:space="preserve">AS </w:t>
            </w:r>
            <w:r>
              <w:rPr>
                <w:rFonts w:hint="eastAsia" w:asciiTheme="minorEastAsia" w:hAnsiTheme="minorEastAsia" w:eastAsiaTheme="minorEastAsia"/>
                <w:sz w:val="24"/>
              </w:rPr>
              <w:t>RAID卡，支持RAID</w:t>
            </w:r>
            <w:r>
              <w:rPr>
                <w:rFonts w:asciiTheme="minorEastAsia" w:hAnsiTheme="minorEastAsia" w:eastAsiaTheme="minorEastAsia"/>
                <w:sz w:val="24"/>
              </w:rPr>
              <w:t xml:space="preserve"> 0/1/5</w:t>
            </w:r>
            <w:r>
              <w:rPr>
                <w:rFonts w:hint="eastAsia" w:asciiTheme="minorEastAsia" w:hAnsiTheme="minorEastAsia" w:eastAsiaTheme="minorEastAsia"/>
                <w:sz w:val="24"/>
              </w:rPr>
              <w:t>/6/50/60，缓存≥4GB</w:t>
            </w:r>
          </w:p>
        </w:tc>
      </w:tr>
      <w:tr w14:paraId="37C31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876" w:type="dxa"/>
            <w:vMerge w:val="restart"/>
            <w:vAlign w:val="center"/>
          </w:tcPr>
          <w:p w14:paraId="2E95681B">
            <w:pPr>
              <w:widowControl/>
              <w:jc w:val="center"/>
              <w:rPr>
                <w:rFonts w:asciiTheme="minorEastAsia" w:hAnsiTheme="minorEastAsia" w:eastAsiaTheme="minorEastAsia"/>
                <w:sz w:val="24"/>
              </w:rPr>
            </w:pPr>
            <w:r>
              <w:rPr>
                <w:rFonts w:hint="eastAsia" w:asciiTheme="minorEastAsia" w:hAnsiTheme="minorEastAsia" w:eastAsiaTheme="minorEastAsia"/>
                <w:sz w:val="24"/>
              </w:rPr>
              <w:t>7</w:t>
            </w:r>
          </w:p>
        </w:tc>
        <w:tc>
          <w:tcPr>
            <w:tcW w:w="1526" w:type="dxa"/>
            <w:vMerge w:val="restart"/>
            <w:shd w:val="clear" w:color="auto" w:fill="auto"/>
            <w:vAlign w:val="center"/>
          </w:tcPr>
          <w:p w14:paraId="34C7ADF3">
            <w:pPr>
              <w:widowControl/>
              <w:jc w:val="center"/>
              <w:rPr>
                <w:rFonts w:asciiTheme="minorEastAsia" w:hAnsiTheme="minorEastAsia" w:eastAsiaTheme="minorEastAsia"/>
                <w:sz w:val="24"/>
              </w:rPr>
            </w:pPr>
            <w:r>
              <w:rPr>
                <w:rFonts w:hint="eastAsia" w:asciiTheme="minorEastAsia" w:hAnsiTheme="minorEastAsia" w:eastAsiaTheme="minorEastAsia"/>
                <w:sz w:val="24"/>
              </w:rPr>
              <w:t>GPU</w:t>
            </w:r>
          </w:p>
        </w:tc>
        <w:tc>
          <w:tcPr>
            <w:tcW w:w="5899" w:type="dxa"/>
            <w:shd w:val="clear" w:color="auto" w:fill="auto"/>
            <w:vAlign w:val="center"/>
          </w:tcPr>
          <w:p w14:paraId="6B690A75">
            <w:pPr>
              <w:widowControl/>
              <w:jc w:val="left"/>
              <w:rPr>
                <w:rFonts w:asciiTheme="minorEastAsia" w:hAnsiTheme="minorEastAsia" w:eastAsiaTheme="minorEastAsia"/>
                <w:sz w:val="24"/>
              </w:rPr>
            </w:pPr>
            <w:r>
              <w:rPr>
                <w:rFonts w:hint="eastAsia" w:asciiTheme="minorEastAsia" w:hAnsiTheme="minorEastAsia" w:eastAsiaTheme="minorEastAsia"/>
                <w:sz w:val="24"/>
              </w:rPr>
              <w:t>★配置≥</w:t>
            </w:r>
            <w:r>
              <w:rPr>
                <w:rFonts w:asciiTheme="minorEastAsia" w:hAnsiTheme="minorEastAsia" w:eastAsiaTheme="minorEastAsia"/>
                <w:sz w:val="24"/>
              </w:rPr>
              <w:t>8块</w:t>
            </w:r>
            <w:r>
              <w:rPr>
                <w:rFonts w:hint="eastAsia" w:asciiTheme="minorEastAsia" w:hAnsiTheme="minorEastAsia" w:eastAsiaTheme="minorEastAsia"/>
                <w:sz w:val="24"/>
              </w:rPr>
              <w:t>GPU加速卡，单块GPU满足FP16算力≥148TFLOPS，FP8算力≥290 TFLOPS，</w:t>
            </w:r>
            <w:r>
              <w:rPr>
                <w:rFonts w:hint="eastAsia" w:asciiTheme="minorEastAsia" w:hAnsiTheme="minorEastAsia" w:eastAsiaTheme="minorEastAsia"/>
                <w:sz w:val="24"/>
                <w:lang w:eastAsia="zh-CN"/>
              </w:rPr>
              <w:t>提供</w:t>
            </w:r>
            <w:r>
              <w:rPr>
                <w:rFonts w:hint="eastAsia" w:asciiTheme="minorEastAsia" w:hAnsiTheme="minorEastAsia" w:eastAsiaTheme="minorEastAsia"/>
                <w:sz w:val="24"/>
              </w:rPr>
              <w:t>技术支持资料</w:t>
            </w:r>
          </w:p>
        </w:tc>
      </w:tr>
      <w:tr w14:paraId="7E881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876" w:type="dxa"/>
            <w:vMerge w:val="continue"/>
            <w:vAlign w:val="center"/>
          </w:tcPr>
          <w:p w14:paraId="6B8055BE">
            <w:pPr>
              <w:widowControl/>
              <w:jc w:val="center"/>
              <w:rPr>
                <w:rFonts w:asciiTheme="minorEastAsia" w:hAnsiTheme="minorEastAsia" w:eastAsiaTheme="minorEastAsia"/>
                <w:sz w:val="24"/>
              </w:rPr>
            </w:pPr>
          </w:p>
        </w:tc>
        <w:tc>
          <w:tcPr>
            <w:tcW w:w="1526" w:type="dxa"/>
            <w:vMerge w:val="continue"/>
            <w:shd w:val="clear" w:color="auto" w:fill="auto"/>
            <w:vAlign w:val="center"/>
          </w:tcPr>
          <w:p w14:paraId="35664E17">
            <w:pPr>
              <w:widowControl/>
              <w:jc w:val="center"/>
              <w:rPr>
                <w:rFonts w:asciiTheme="minorEastAsia" w:hAnsiTheme="minorEastAsia" w:eastAsiaTheme="minorEastAsia"/>
                <w:sz w:val="24"/>
              </w:rPr>
            </w:pPr>
          </w:p>
        </w:tc>
        <w:tc>
          <w:tcPr>
            <w:tcW w:w="5899" w:type="dxa"/>
            <w:shd w:val="clear" w:color="auto" w:fill="auto"/>
            <w:vAlign w:val="center"/>
          </w:tcPr>
          <w:p w14:paraId="30CE89C5">
            <w:pPr>
              <w:widowControl/>
              <w:jc w:val="left"/>
              <w:rPr>
                <w:rFonts w:asciiTheme="minorEastAsia" w:hAnsiTheme="minorEastAsia" w:eastAsiaTheme="minorEastAsia"/>
                <w:sz w:val="24"/>
              </w:rPr>
            </w:pPr>
            <w:r>
              <w:rPr>
                <w:rFonts w:hint="eastAsia" w:cs="宋体" w:asciiTheme="minorEastAsia" w:hAnsiTheme="minorEastAsia" w:eastAsiaTheme="minorEastAsia"/>
                <w:kern w:val="0"/>
                <w:sz w:val="24"/>
              </w:rPr>
              <w:t>▲</w:t>
            </w:r>
            <w:r>
              <w:rPr>
                <w:rFonts w:hint="eastAsia" w:asciiTheme="minorEastAsia" w:hAnsiTheme="minorEastAsia" w:eastAsiaTheme="minorEastAsia"/>
                <w:sz w:val="24"/>
              </w:rPr>
              <w:t>单块G</w:t>
            </w:r>
            <w:r>
              <w:rPr>
                <w:rFonts w:asciiTheme="minorEastAsia" w:hAnsiTheme="minorEastAsia" w:eastAsiaTheme="minorEastAsia"/>
                <w:sz w:val="24"/>
              </w:rPr>
              <w:t>PU</w:t>
            </w:r>
            <w:r>
              <w:rPr>
                <w:rFonts w:hint="eastAsia" w:asciiTheme="minorEastAsia" w:hAnsiTheme="minorEastAsia" w:eastAsiaTheme="minorEastAsia"/>
                <w:sz w:val="24"/>
              </w:rPr>
              <w:t>显存容量≥80GB，显存带宽≥1300GB/s</w:t>
            </w:r>
            <w:r>
              <w:rPr>
                <w:rFonts w:hint="eastAsia"/>
                <w:sz w:val="24"/>
              </w:rPr>
              <w:t>，</w:t>
            </w:r>
            <w:r>
              <w:rPr>
                <w:rFonts w:hint="eastAsia" w:asciiTheme="minorEastAsia" w:hAnsiTheme="minorEastAsia" w:eastAsiaTheme="minorEastAsia"/>
                <w:sz w:val="24"/>
                <w:lang w:eastAsia="zh-CN"/>
              </w:rPr>
              <w:t>提供</w:t>
            </w:r>
            <w:r>
              <w:rPr>
                <w:rFonts w:hint="eastAsia" w:asciiTheme="minorEastAsia" w:hAnsiTheme="minorEastAsia" w:eastAsiaTheme="minorEastAsia"/>
                <w:sz w:val="24"/>
              </w:rPr>
              <w:t>技术支持资料</w:t>
            </w:r>
          </w:p>
        </w:tc>
      </w:tr>
      <w:tr w14:paraId="76830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876" w:type="dxa"/>
            <w:vMerge w:val="continue"/>
            <w:vAlign w:val="center"/>
          </w:tcPr>
          <w:p w14:paraId="1A665153">
            <w:pPr>
              <w:widowControl/>
              <w:jc w:val="center"/>
              <w:rPr>
                <w:rFonts w:asciiTheme="minorEastAsia" w:hAnsiTheme="minorEastAsia" w:eastAsiaTheme="minorEastAsia"/>
                <w:sz w:val="24"/>
              </w:rPr>
            </w:pPr>
          </w:p>
        </w:tc>
        <w:tc>
          <w:tcPr>
            <w:tcW w:w="1526" w:type="dxa"/>
            <w:vMerge w:val="continue"/>
            <w:shd w:val="clear" w:color="auto" w:fill="auto"/>
            <w:vAlign w:val="center"/>
          </w:tcPr>
          <w:p w14:paraId="5C754C32">
            <w:pPr>
              <w:widowControl/>
              <w:jc w:val="center"/>
              <w:rPr>
                <w:rFonts w:asciiTheme="minorEastAsia" w:hAnsiTheme="minorEastAsia" w:eastAsiaTheme="minorEastAsia"/>
                <w:sz w:val="24"/>
              </w:rPr>
            </w:pPr>
          </w:p>
        </w:tc>
        <w:tc>
          <w:tcPr>
            <w:tcW w:w="5899" w:type="dxa"/>
            <w:shd w:val="clear" w:color="auto" w:fill="auto"/>
            <w:vAlign w:val="center"/>
          </w:tcPr>
          <w:p w14:paraId="7701BEBC">
            <w:pPr>
              <w:widowControl/>
              <w:jc w:val="left"/>
              <w:rPr>
                <w:rFonts w:asciiTheme="minorEastAsia" w:hAnsiTheme="minorEastAsia" w:eastAsiaTheme="minorEastAsia"/>
                <w:sz w:val="24"/>
              </w:rPr>
            </w:pPr>
            <w:r>
              <w:rPr>
                <w:rFonts w:hint="eastAsia" w:cs="宋体" w:asciiTheme="minorEastAsia" w:hAnsiTheme="minorEastAsia" w:eastAsiaTheme="minorEastAsia"/>
                <w:kern w:val="0"/>
                <w:sz w:val="24"/>
              </w:rPr>
              <w:t>▲</w:t>
            </w:r>
            <w:r>
              <w:rPr>
                <w:rFonts w:hint="eastAsia" w:asciiTheme="minorEastAsia" w:hAnsiTheme="minorEastAsia" w:eastAsiaTheme="minorEastAsia"/>
                <w:sz w:val="24"/>
              </w:rPr>
              <w:t>单块GPU最大TDP功耗不超过600W，</w:t>
            </w:r>
            <w:r>
              <w:rPr>
                <w:rFonts w:hint="eastAsia" w:asciiTheme="minorEastAsia" w:hAnsiTheme="minorEastAsia" w:eastAsiaTheme="minorEastAsia"/>
                <w:sz w:val="24"/>
                <w:lang w:eastAsia="zh-CN"/>
              </w:rPr>
              <w:t>提供</w:t>
            </w:r>
            <w:r>
              <w:rPr>
                <w:rFonts w:hint="eastAsia" w:asciiTheme="minorEastAsia" w:hAnsiTheme="minorEastAsia" w:eastAsiaTheme="minorEastAsia"/>
                <w:sz w:val="24"/>
              </w:rPr>
              <w:t>技术支持资料</w:t>
            </w:r>
          </w:p>
        </w:tc>
      </w:tr>
      <w:tr w14:paraId="7F472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876" w:type="dxa"/>
            <w:vAlign w:val="center"/>
          </w:tcPr>
          <w:p w14:paraId="52C090BA">
            <w:pPr>
              <w:widowControl/>
              <w:jc w:val="center"/>
              <w:rPr>
                <w:rFonts w:asciiTheme="minorEastAsia" w:hAnsiTheme="minorEastAsia" w:eastAsiaTheme="minorEastAsia"/>
                <w:sz w:val="24"/>
              </w:rPr>
            </w:pPr>
            <w:r>
              <w:rPr>
                <w:rFonts w:hint="eastAsia" w:asciiTheme="minorEastAsia" w:hAnsiTheme="minorEastAsia" w:eastAsiaTheme="minorEastAsia"/>
                <w:sz w:val="24"/>
              </w:rPr>
              <w:t>8</w:t>
            </w:r>
          </w:p>
        </w:tc>
        <w:tc>
          <w:tcPr>
            <w:tcW w:w="1526" w:type="dxa"/>
            <w:shd w:val="clear" w:color="auto" w:fill="auto"/>
            <w:vAlign w:val="center"/>
          </w:tcPr>
          <w:p w14:paraId="407D1A91">
            <w:pPr>
              <w:widowControl/>
              <w:jc w:val="center"/>
              <w:rPr>
                <w:rFonts w:asciiTheme="minorEastAsia" w:hAnsiTheme="minorEastAsia" w:eastAsiaTheme="minorEastAsia"/>
                <w:sz w:val="24"/>
              </w:rPr>
            </w:pPr>
            <w:r>
              <w:rPr>
                <w:rFonts w:hint="eastAsia" w:asciiTheme="minorEastAsia" w:hAnsiTheme="minorEastAsia" w:eastAsiaTheme="minorEastAsia"/>
                <w:sz w:val="24"/>
              </w:rPr>
              <w:t>网卡</w:t>
            </w:r>
          </w:p>
        </w:tc>
        <w:tc>
          <w:tcPr>
            <w:tcW w:w="5899" w:type="dxa"/>
            <w:shd w:val="clear" w:color="auto" w:fill="auto"/>
            <w:vAlign w:val="center"/>
          </w:tcPr>
          <w:p w14:paraId="1A711534">
            <w:pPr>
              <w:widowControl/>
              <w:jc w:val="left"/>
              <w:rPr>
                <w:rFonts w:asciiTheme="minorEastAsia" w:hAnsiTheme="minorEastAsia" w:eastAsiaTheme="minorEastAsia"/>
                <w:sz w:val="24"/>
              </w:rPr>
            </w:pPr>
            <w:r>
              <w:rPr>
                <w:rFonts w:hint="eastAsia" w:asciiTheme="minorEastAsia" w:hAnsiTheme="minorEastAsia" w:eastAsiaTheme="minorEastAsia"/>
                <w:sz w:val="24"/>
              </w:rPr>
              <w:t>配置≥4</w:t>
            </w:r>
            <w:r>
              <w:rPr>
                <w:rFonts w:asciiTheme="minorEastAsia" w:hAnsiTheme="minorEastAsia" w:eastAsiaTheme="minorEastAsia"/>
                <w:sz w:val="24"/>
              </w:rPr>
              <w:t>个</w:t>
            </w:r>
            <w:r>
              <w:rPr>
                <w:rFonts w:hint="eastAsia" w:asciiTheme="minorEastAsia" w:hAnsiTheme="minorEastAsia" w:eastAsiaTheme="minorEastAsia"/>
                <w:sz w:val="24"/>
              </w:rPr>
              <w:t>千兆电</w:t>
            </w:r>
            <w:r>
              <w:rPr>
                <w:rFonts w:asciiTheme="minorEastAsia" w:hAnsiTheme="minorEastAsia" w:eastAsiaTheme="minorEastAsia"/>
                <w:sz w:val="24"/>
              </w:rPr>
              <w:t>口</w:t>
            </w:r>
          </w:p>
        </w:tc>
      </w:tr>
      <w:tr w14:paraId="27119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876" w:type="dxa"/>
            <w:vAlign w:val="center"/>
          </w:tcPr>
          <w:p w14:paraId="68C73115">
            <w:pPr>
              <w:widowControl/>
              <w:jc w:val="center"/>
              <w:rPr>
                <w:rFonts w:asciiTheme="minorEastAsia" w:hAnsiTheme="minorEastAsia" w:eastAsiaTheme="minorEastAsia"/>
                <w:sz w:val="24"/>
              </w:rPr>
            </w:pPr>
            <w:r>
              <w:rPr>
                <w:rFonts w:hint="eastAsia" w:asciiTheme="minorEastAsia" w:hAnsiTheme="minorEastAsia" w:eastAsiaTheme="minorEastAsia"/>
                <w:sz w:val="24"/>
              </w:rPr>
              <w:t>9</w:t>
            </w:r>
          </w:p>
        </w:tc>
        <w:tc>
          <w:tcPr>
            <w:tcW w:w="1526" w:type="dxa"/>
            <w:shd w:val="clear" w:color="auto" w:fill="auto"/>
            <w:vAlign w:val="center"/>
          </w:tcPr>
          <w:p w14:paraId="3CB2E3FF">
            <w:pPr>
              <w:widowControl/>
              <w:jc w:val="center"/>
              <w:rPr>
                <w:rFonts w:asciiTheme="minorEastAsia" w:hAnsiTheme="minorEastAsia" w:eastAsiaTheme="minorEastAsia"/>
                <w:sz w:val="24"/>
              </w:rPr>
            </w:pPr>
            <w:r>
              <w:rPr>
                <w:rFonts w:hint="eastAsia" w:asciiTheme="minorEastAsia" w:hAnsiTheme="minorEastAsia" w:eastAsiaTheme="minorEastAsia"/>
                <w:sz w:val="24"/>
              </w:rPr>
              <w:t>高速网卡</w:t>
            </w:r>
          </w:p>
        </w:tc>
        <w:tc>
          <w:tcPr>
            <w:tcW w:w="5899" w:type="dxa"/>
            <w:shd w:val="clear" w:color="auto" w:fill="auto"/>
            <w:vAlign w:val="center"/>
          </w:tcPr>
          <w:p w14:paraId="35E180A9">
            <w:pPr>
              <w:widowControl/>
              <w:jc w:val="left"/>
              <w:rPr>
                <w:rFonts w:asciiTheme="minorEastAsia" w:hAnsiTheme="minorEastAsia" w:eastAsiaTheme="minorEastAsia"/>
                <w:sz w:val="24"/>
              </w:rPr>
            </w:pPr>
            <w:r>
              <w:rPr>
                <w:rFonts w:hint="eastAsia" w:cs="宋体" w:asciiTheme="minorEastAsia" w:hAnsiTheme="minorEastAsia" w:eastAsiaTheme="minorEastAsia"/>
                <w:kern w:val="0"/>
                <w:sz w:val="24"/>
              </w:rPr>
              <w:t>▲</w:t>
            </w:r>
            <w:r>
              <w:rPr>
                <w:rFonts w:hint="eastAsia" w:asciiTheme="minorEastAsia" w:hAnsiTheme="minorEastAsia" w:eastAsiaTheme="minorEastAsia"/>
                <w:sz w:val="24"/>
              </w:rPr>
              <w:t>配置≥1</w:t>
            </w:r>
            <w:r>
              <w:rPr>
                <w:rFonts w:asciiTheme="minorEastAsia" w:hAnsiTheme="minorEastAsia" w:eastAsiaTheme="minorEastAsia"/>
                <w:sz w:val="24"/>
              </w:rPr>
              <w:t>个</w:t>
            </w:r>
            <w:r>
              <w:rPr>
                <w:rFonts w:hint="eastAsia" w:asciiTheme="minorEastAsia" w:hAnsiTheme="minorEastAsia" w:eastAsiaTheme="minorEastAsia"/>
                <w:sz w:val="24"/>
              </w:rPr>
              <w:t>HDR</w:t>
            </w:r>
            <w:r>
              <w:rPr>
                <w:rFonts w:asciiTheme="minorEastAsia" w:hAnsiTheme="minorEastAsia" w:eastAsiaTheme="minorEastAsia"/>
                <w:sz w:val="24"/>
              </w:rPr>
              <w:t xml:space="preserve"> </w:t>
            </w:r>
            <w:r>
              <w:rPr>
                <w:rFonts w:hint="eastAsia" w:asciiTheme="minorEastAsia" w:hAnsiTheme="minorEastAsia" w:eastAsiaTheme="minorEastAsia"/>
                <w:sz w:val="24"/>
              </w:rPr>
              <w:t>200G</w:t>
            </w:r>
            <w:r>
              <w:rPr>
                <w:rFonts w:asciiTheme="minorEastAsia" w:hAnsiTheme="minorEastAsia" w:eastAsiaTheme="minorEastAsia"/>
                <w:sz w:val="24"/>
              </w:rPr>
              <w:t>bps</w:t>
            </w:r>
            <w:r>
              <w:rPr>
                <w:rFonts w:hint="eastAsia" w:asciiTheme="minorEastAsia" w:hAnsiTheme="minorEastAsia" w:eastAsiaTheme="minorEastAsia"/>
                <w:sz w:val="24"/>
              </w:rPr>
              <w:t xml:space="preserve"> </w:t>
            </w:r>
            <w:r>
              <w:rPr>
                <w:rFonts w:asciiTheme="minorEastAsia" w:hAnsiTheme="minorEastAsia" w:eastAsiaTheme="minorEastAsia"/>
                <w:sz w:val="24"/>
              </w:rPr>
              <w:t>I</w:t>
            </w:r>
            <w:r>
              <w:rPr>
                <w:rFonts w:hint="eastAsia" w:asciiTheme="minorEastAsia" w:hAnsiTheme="minorEastAsia" w:eastAsiaTheme="minorEastAsia"/>
                <w:sz w:val="24"/>
              </w:rPr>
              <w:t>nfiniBand网口，包含对应光纤线缆</w:t>
            </w:r>
            <w:r>
              <w:rPr>
                <w:rFonts w:hint="eastAsia"/>
                <w:sz w:val="24"/>
              </w:rPr>
              <w:t>，</w:t>
            </w:r>
            <w:r>
              <w:rPr>
                <w:rFonts w:hint="eastAsia" w:asciiTheme="minorEastAsia" w:hAnsiTheme="minorEastAsia" w:eastAsiaTheme="minorEastAsia"/>
                <w:sz w:val="24"/>
                <w:lang w:eastAsia="zh-CN"/>
              </w:rPr>
              <w:t>提供</w:t>
            </w:r>
            <w:r>
              <w:rPr>
                <w:rFonts w:hint="eastAsia" w:asciiTheme="minorEastAsia" w:hAnsiTheme="minorEastAsia" w:eastAsiaTheme="minorEastAsia"/>
                <w:sz w:val="24"/>
              </w:rPr>
              <w:t>技术支持资料</w:t>
            </w:r>
          </w:p>
        </w:tc>
      </w:tr>
      <w:tr w14:paraId="31363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76" w:type="dxa"/>
            <w:vAlign w:val="center"/>
          </w:tcPr>
          <w:p w14:paraId="67EB599C">
            <w:pPr>
              <w:widowControl/>
              <w:jc w:val="center"/>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0</w:t>
            </w:r>
          </w:p>
        </w:tc>
        <w:tc>
          <w:tcPr>
            <w:tcW w:w="1526" w:type="dxa"/>
            <w:vAlign w:val="center"/>
          </w:tcPr>
          <w:p w14:paraId="4AD9AE88">
            <w:pPr>
              <w:widowControl/>
              <w:jc w:val="center"/>
              <w:rPr>
                <w:rFonts w:asciiTheme="minorEastAsia" w:hAnsiTheme="minorEastAsia" w:eastAsiaTheme="minorEastAsia"/>
                <w:sz w:val="24"/>
              </w:rPr>
            </w:pPr>
            <w:r>
              <w:rPr>
                <w:rFonts w:hint="eastAsia" w:asciiTheme="minorEastAsia" w:hAnsiTheme="minorEastAsia" w:eastAsiaTheme="minorEastAsia"/>
                <w:sz w:val="24"/>
              </w:rPr>
              <w:t>电源</w:t>
            </w:r>
          </w:p>
        </w:tc>
        <w:tc>
          <w:tcPr>
            <w:tcW w:w="5899" w:type="dxa"/>
            <w:shd w:val="clear" w:color="auto" w:fill="auto"/>
            <w:vAlign w:val="center"/>
          </w:tcPr>
          <w:p w14:paraId="1C0970B9">
            <w:pPr>
              <w:jc w:val="left"/>
              <w:rPr>
                <w:rFonts w:asciiTheme="minorEastAsia" w:hAnsiTheme="minorEastAsia" w:eastAsiaTheme="minorEastAsia"/>
                <w:sz w:val="24"/>
              </w:rPr>
            </w:pPr>
            <w:r>
              <w:rPr>
                <w:rFonts w:hint="eastAsia" w:asciiTheme="minorEastAsia" w:hAnsiTheme="minorEastAsia" w:eastAsiaTheme="minorEastAsia"/>
                <w:sz w:val="24"/>
              </w:rPr>
              <w:t>配置≥6个30</w:t>
            </w:r>
            <w:r>
              <w:rPr>
                <w:rFonts w:asciiTheme="minorEastAsia" w:hAnsiTheme="minorEastAsia" w:eastAsiaTheme="minorEastAsia"/>
                <w:sz w:val="24"/>
              </w:rPr>
              <w:t>00</w:t>
            </w:r>
            <w:r>
              <w:rPr>
                <w:rFonts w:hint="eastAsia" w:asciiTheme="minorEastAsia" w:hAnsiTheme="minorEastAsia" w:eastAsiaTheme="minorEastAsia"/>
                <w:sz w:val="24"/>
              </w:rPr>
              <w:t>W热插拔电源，支持N+N电源冗余方式</w:t>
            </w:r>
          </w:p>
        </w:tc>
      </w:tr>
      <w:tr w14:paraId="3E4A3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76" w:type="dxa"/>
            <w:vAlign w:val="center"/>
          </w:tcPr>
          <w:p w14:paraId="06EE151C">
            <w:pPr>
              <w:widowControl/>
              <w:jc w:val="center"/>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1</w:t>
            </w:r>
          </w:p>
        </w:tc>
        <w:tc>
          <w:tcPr>
            <w:tcW w:w="1526" w:type="dxa"/>
            <w:vAlign w:val="center"/>
          </w:tcPr>
          <w:p w14:paraId="76AC7869">
            <w:pPr>
              <w:widowControl/>
              <w:jc w:val="center"/>
              <w:rPr>
                <w:rFonts w:asciiTheme="minorEastAsia" w:hAnsiTheme="minorEastAsia" w:eastAsiaTheme="minorEastAsia"/>
                <w:sz w:val="24"/>
              </w:rPr>
            </w:pPr>
            <w:r>
              <w:rPr>
                <w:rFonts w:hint="eastAsia" w:asciiTheme="minorEastAsia" w:hAnsiTheme="minorEastAsia" w:eastAsiaTheme="minorEastAsia"/>
                <w:sz w:val="24"/>
              </w:rPr>
              <w:t>可靠性</w:t>
            </w:r>
          </w:p>
        </w:tc>
        <w:tc>
          <w:tcPr>
            <w:tcW w:w="5899" w:type="dxa"/>
            <w:shd w:val="clear" w:color="auto" w:fill="auto"/>
            <w:vAlign w:val="center"/>
          </w:tcPr>
          <w:p w14:paraId="5194388C">
            <w:pPr>
              <w:jc w:val="left"/>
              <w:rPr>
                <w:rFonts w:asciiTheme="minorEastAsia" w:hAnsiTheme="minorEastAsia" w:eastAsiaTheme="minorEastAsia"/>
                <w:sz w:val="24"/>
              </w:rPr>
            </w:pPr>
            <w:r>
              <w:rPr>
                <w:rFonts w:hint="eastAsia" w:asciiTheme="minorEastAsia" w:hAnsiTheme="minorEastAsia" w:eastAsiaTheme="minorEastAsia"/>
                <w:sz w:val="24"/>
              </w:rPr>
              <w:t>支持BMC硬件冗余、升级失败后自动回退或切换至另一镜像启动，提供测试报告证明</w:t>
            </w:r>
          </w:p>
        </w:tc>
      </w:tr>
      <w:tr w14:paraId="52EA7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2" w:hRule="atLeast"/>
        </w:trPr>
        <w:tc>
          <w:tcPr>
            <w:tcW w:w="876" w:type="dxa"/>
            <w:vMerge w:val="restart"/>
            <w:vAlign w:val="center"/>
          </w:tcPr>
          <w:p w14:paraId="40EC0651">
            <w:pPr>
              <w:widowControl/>
              <w:jc w:val="center"/>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2</w:t>
            </w:r>
          </w:p>
        </w:tc>
        <w:tc>
          <w:tcPr>
            <w:tcW w:w="1526" w:type="dxa"/>
            <w:vMerge w:val="restart"/>
            <w:vAlign w:val="center"/>
          </w:tcPr>
          <w:p w14:paraId="39BB2E1D">
            <w:pPr>
              <w:widowControl/>
              <w:jc w:val="center"/>
              <w:rPr>
                <w:rFonts w:asciiTheme="minorEastAsia" w:hAnsiTheme="minorEastAsia" w:eastAsiaTheme="minorEastAsia"/>
                <w:color w:val="FF0000"/>
                <w:sz w:val="24"/>
              </w:rPr>
            </w:pPr>
            <w:r>
              <w:rPr>
                <w:rFonts w:hint="eastAsia" w:asciiTheme="minorEastAsia" w:hAnsiTheme="minorEastAsia" w:eastAsiaTheme="minorEastAsia"/>
                <w:color w:val="000000" w:themeColor="text1"/>
                <w:sz w:val="24"/>
                <w14:textFill>
                  <w14:solidFill>
                    <w14:schemeClr w14:val="tx1"/>
                  </w14:solidFill>
                </w14:textFill>
              </w:rPr>
              <w:t>管理功能</w:t>
            </w:r>
          </w:p>
        </w:tc>
        <w:tc>
          <w:tcPr>
            <w:tcW w:w="5899" w:type="dxa"/>
            <w:shd w:val="clear" w:color="auto" w:fill="auto"/>
            <w:vAlign w:val="center"/>
          </w:tcPr>
          <w:p w14:paraId="5CE4DC76">
            <w:pPr>
              <w:jc w:val="left"/>
              <w:rPr>
                <w:rFonts w:asciiTheme="minorEastAsia" w:hAnsiTheme="minorEastAsia" w:eastAsiaTheme="minorEastAsia"/>
                <w:color w:val="FF0000"/>
                <w:sz w:val="24"/>
              </w:rPr>
            </w:pPr>
            <w:r>
              <w:rPr>
                <w:rFonts w:hint="eastAsia" w:asciiTheme="minorEastAsia" w:hAnsiTheme="minorEastAsia" w:eastAsiaTheme="minorEastAsia"/>
                <w:color w:val="000000" w:themeColor="text1"/>
                <w:sz w:val="24"/>
                <w14:textFill>
                  <w14:solidFill>
                    <w14:schemeClr w14:val="tx1"/>
                  </w14:solidFill>
                </w14:textFill>
              </w:rPr>
              <w:t>配置带外管理功能，支持远程控制服务器开关机，远程虚拟媒体，智能故障诊断等功能</w:t>
            </w:r>
          </w:p>
        </w:tc>
      </w:tr>
      <w:tr w14:paraId="5FA89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76" w:type="dxa"/>
            <w:vMerge w:val="continue"/>
            <w:vAlign w:val="center"/>
          </w:tcPr>
          <w:p w14:paraId="282FB404">
            <w:pPr>
              <w:jc w:val="center"/>
              <w:rPr>
                <w:rFonts w:asciiTheme="minorEastAsia" w:hAnsiTheme="minorEastAsia" w:eastAsiaTheme="minorEastAsia"/>
                <w:sz w:val="24"/>
              </w:rPr>
            </w:pPr>
          </w:p>
        </w:tc>
        <w:tc>
          <w:tcPr>
            <w:tcW w:w="1526" w:type="dxa"/>
            <w:vMerge w:val="continue"/>
            <w:vAlign w:val="center"/>
          </w:tcPr>
          <w:p w14:paraId="4919C2C3">
            <w:pPr>
              <w:widowControl/>
              <w:jc w:val="center"/>
              <w:rPr>
                <w:rFonts w:asciiTheme="minorEastAsia" w:hAnsiTheme="minorEastAsia" w:eastAsiaTheme="minorEastAsia"/>
                <w:color w:val="FF0000"/>
                <w:sz w:val="24"/>
              </w:rPr>
            </w:pPr>
          </w:p>
        </w:tc>
        <w:tc>
          <w:tcPr>
            <w:tcW w:w="5899" w:type="dxa"/>
            <w:shd w:val="clear" w:color="auto" w:fill="auto"/>
            <w:vAlign w:val="center"/>
          </w:tcPr>
          <w:p w14:paraId="7C518D5A">
            <w:pPr>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支持对于服务器带外BMC密码托管，实现定期按照规则进行修改，确保服务器BMC密码的安全性</w:t>
            </w:r>
          </w:p>
        </w:tc>
      </w:tr>
      <w:tr w14:paraId="5278E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76" w:type="dxa"/>
            <w:vMerge w:val="continue"/>
            <w:vAlign w:val="center"/>
          </w:tcPr>
          <w:p w14:paraId="02F86111">
            <w:pPr>
              <w:widowControl/>
              <w:jc w:val="center"/>
              <w:rPr>
                <w:rFonts w:asciiTheme="minorEastAsia" w:hAnsiTheme="minorEastAsia" w:eastAsiaTheme="minorEastAsia"/>
                <w:sz w:val="24"/>
              </w:rPr>
            </w:pPr>
          </w:p>
        </w:tc>
        <w:tc>
          <w:tcPr>
            <w:tcW w:w="1526" w:type="dxa"/>
            <w:vMerge w:val="continue"/>
            <w:vAlign w:val="center"/>
          </w:tcPr>
          <w:p w14:paraId="0DB07683">
            <w:pPr>
              <w:widowControl/>
              <w:jc w:val="center"/>
              <w:rPr>
                <w:rFonts w:asciiTheme="minorEastAsia" w:hAnsiTheme="minorEastAsia" w:eastAsiaTheme="minorEastAsia"/>
                <w:color w:val="FF0000"/>
                <w:sz w:val="24"/>
              </w:rPr>
            </w:pPr>
          </w:p>
        </w:tc>
        <w:tc>
          <w:tcPr>
            <w:tcW w:w="5899" w:type="dxa"/>
            <w:shd w:val="clear" w:color="auto" w:fill="auto"/>
            <w:vAlign w:val="center"/>
          </w:tcPr>
          <w:p w14:paraId="45BF2EF2">
            <w:pPr>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支持备件的统一管理，涵盖整机及备件信息的详尽记录，实现用户对服务器及资产的全生命周期管理需求，帮助用户提升运维效率</w:t>
            </w:r>
          </w:p>
        </w:tc>
      </w:tr>
      <w:tr w14:paraId="45807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76" w:type="dxa"/>
            <w:vAlign w:val="center"/>
          </w:tcPr>
          <w:p w14:paraId="185FC743">
            <w:pPr>
              <w:widowControl/>
              <w:jc w:val="center"/>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3</w:t>
            </w:r>
          </w:p>
        </w:tc>
        <w:tc>
          <w:tcPr>
            <w:tcW w:w="1526" w:type="dxa"/>
            <w:vAlign w:val="center"/>
          </w:tcPr>
          <w:p w14:paraId="2D6C1003">
            <w:pPr>
              <w:widowControl/>
              <w:jc w:val="center"/>
              <w:rPr>
                <w:rFonts w:asciiTheme="minorEastAsia" w:hAnsiTheme="minorEastAsia" w:eastAsiaTheme="minorEastAsia"/>
                <w:sz w:val="24"/>
              </w:rPr>
            </w:pPr>
            <w:r>
              <w:rPr>
                <w:rFonts w:hint="eastAsia" w:asciiTheme="minorEastAsia" w:hAnsiTheme="minorEastAsia" w:eastAsiaTheme="minorEastAsia"/>
                <w:sz w:val="24"/>
              </w:rPr>
              <w:t>G</w:t>
            </w:r>
            <w:r>
              <w:rPr>
                <w:rFonts w:asciiTheme="minorEastAsia" w:hAnsiTheme="minorEastAsia" w:eastAsiaTheme="minorEastAsia"/>
                <w:sz w:val="24"/>
              </w:rPr>
              <w:t>PU</w:t>
            </w:r>
            <w:r>
              <w:rPr>
                <w:rFonts w:hint="eastAsia" w:asciiTheme="minorEastAsia" w:hAnsiTheme="minorEastAsia" w:eastAsiaTheme="minorEastAsia"/>
                <w:sz w:val="24"/>
              </w:rPr>
              <w:t>性能</w:t>
            </w:r>
          </w:p>
        </w:tc>
        <w:tc>
          <w:tcPr>
            <w:tcW w:w="5899" w:type="dxa"/>
            <w:shd w:val="clear" w:color="auto" w:fill="auto"/>
            <w:vAlign w:val="center"/>
          </w:tcPr>
          <w:p w14:paraId="25AEFF2F">
            <w:pPr>
              <w:jc w:val="left"/>
              <w:rPr>
                <w:sz w:val="24"/>
              </w:rPr>
            </w:pPr>
            <w:r>
              <w:rPr>
                <w:rFonts w:hint="eastAsia" w:ascii="宋体" w:hAnsi="宋体"/>
                <w:kern w:val="0"/>
                <w:sz w:val="24"/>
              </w:rPr>
              <w:t>实测的节点内GPU Allreduce通信性能≥25GB/s，单机部署</w:t>
            </w:r>
            <w:r>
              <w:rPr>
                <w:rFonts w:ascii="宋体" w:hAnsi="宋体"/>
                <w:kern w:val="0"/>
                <w:sz w:val="24"/>
              </w:rPr>
              <w:t>Qwen3-235B</w:t>
            </w:r>
            <w:r>
              <w:rPr>
                <w:rFonts w:hint="eastAsia" w:ascii="宋体" w:hAnsi="宋体"/>
                <w:kern w:val="0"/>
                <w:sz w:val="24"/>
              </w:rPr>
              <w:t>（235B参数， FP8精度）模型，进行短输入长输出（ISL/OSL=1024/1024）性能测试，要求满足解码性能≥10 tokens/s/user时，可支持≥32并发，GPU规格与投标产品一致，要求提供测试报告并加盖原厂公章，报告需包含软硬件测试环境，并提供不同并发下首字延迟（TTFT）和解码性能变化趋势图等。</w:t>
            </w:r>
          </w:p>
        </w:tc>
      </w:tr>
      <w:tr w14:paraId="5769B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76" w:type="dxa"/>
            <w:vAlign w:val="center"/>
          </w:tcPr>
          <w:p w14:paraId="0C6424D2">
            <w:pPr>
              <w:widowControl/>
              <w:jc w:val="center"/>
              <w:rPr>
                <w:rFonts w:asciiTheme="minorEastAsia" w:hAnsiTheme="minorEastAsia" w:eastAsiaTheme="minorEastAsia"/>
                <w:sz w:val="24"/>
              </w:rPr>
            </w:pPr>
            <w:r>
              <w:rPr>
                <w:rFonts w:asciiTheme="minorEastAsia" w:hAnsiTheme="minorEastAsia" w:eastAsiaTheme="minorEastAsia"/>
                <w:sz w:val="24"/>
              </w:rPr>
              <w:t>14</w:t>
            </w:r>
          </w:p>
        </w:tc>
        <w:tc>
          <w:tcPr>
            <w:tcW w:w="1526" w:type="dxa"/>
            <w:vAlign w:val="center"/>
          </w:tcPr>
          <w:p w14:paraId="78E53FD6">
            <w:pPr>
              <w:widowControl/>
              <w:jc w:val="center"/>
              <w:rPr>
                <w:rFonts w:asciiTheme="minorEastAsia" w:hAnsiTheme="minorEastAsia" w:eastAsiaTheme="minorEastAsia"/>
                <w:sz w:val="24"/>
              </w:rPr>
            </w:pPr>
            <w:r>
              <w:rPr>
                <w:rFonts w:hint="eastAsia" w:asciiTheme="minorEastAsia" w:hAnsiTheme="minorEastAsia" w:eastAsiaTheme="minorEastAsia"/>
                <w:sz w:val="24"/>
              </w:rPr>
              <w:t>安装部署</w:t>
            </w:r>
          </w:p>
        </w:tc>
        <w:tc>
          <w:tcPr>
            <w:tcW w:w="5899" w:type="dxa"/>
            <w:shd w:val="clear" w:color="auto" w:fill="auto"/>
            <w:vAlign w:val="center"/>
          </w:tcPr>
          <w:p w14:paraId="0DCEF3C0">
            <w:pPr>
              <w:jc w:val="left"/>
              <w:rPr>
                <w:rFonts w:asciiTheme="minorEastAsia" w:hAnsiTheme="minorEastAsia" w:eastAsiaTheme="minorEastAsia"/>
                <w:kern w:val="0"/>
                <w:sz w:val="24"/>
              </w:rPr>
            </w:pPr>
            <w:r>
              <w:rPr>
                <w:rFonts w:hint="eastAsia"/>
                <w:sz w:val="24"/>
              </w:rPr>
              <w:t>投标须提供详细的集群安装部署相关文档，包括但不限于：网络拓扑图、软件系统规划、安装实施方案等</w:t>
            </w:r>
          </w:p>
        </w:tc>
      </w:tr>
    </w:tbl>
    <w:p w14:paraId="2884A4D1">
      <w:pPr>
        <w:tabs>
          <w:tab w:val="left" w:pos="1350"/>
        </w:tabs>
        <w:spacing w:line="360" w:lineRule="auto"/>
        <w:rPr>
          <w:sz w:val="24"/>
        </w:rPr>
      </w:pPr>
    </w:p>
    <w:p w14:paraId="1EE73FEF">
      <w:pPr>
        <w:widowControl/>
        <w:jc w:val="left"/>
        <w:rPr>
          <w:sz w:val="24"/>
        </w:rPr>
      </w:pPr>
      <w:r>
        <w:rPr>
          <w:sz w:val="24"/>
        </w:rPr>
        <w:br w:type="page"/>
      </w:r>
    </w:p>
    <w:p w14:paraId="288C637B">
      <w:pPr>
        <w:pStyle w:val="16"/>
        <w:numPr>
          <w:ilvl w:val="0"/>
          <w:numId w:val="1"/>
        </w:numPr>
        <w:tabs>
          <w:tab w:val="left" w:pos="1350"/>
        </w:tabs>
        <w:spacing w:line="360" w:lineRule="auto"/>
        <w:ind w:firstLineChars="0"/>
        <w:rPr>
          <w:sz w:val="24"/>
        </w:rPr>
      </w:pPr>
      <w:r>
        <w:rPr>
          <w:rFonts w:hint="eastAsia"/>
          <w:sz w:val="24"/>
        </w:rPr>
        <w:t>G</w:t>
      </w:r>
      <w:r>
        <w:rPr>
          <w:sz w:val="24"/>
        </w:rPr>
        <w:t>PU</w:t>
      </w:r>
      <w:r>
        <w:rPr>
          <w:rFonts w:hint="eastAsia"/>
          <w:sz w:val="24"/>
        </w:rPr>
        <w:t>服务器2</w:t>
      </w:r>
    </w:p>
    <w:tbl>
      <w:tblPr>
        <w:tblStyle w:val="7"/>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559"/>
        <w:gridCol w:w="6033"/>
      </w:tblGrid>
      <w:tr w14:paraId="57FFB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09" w:type="dxa"/>
            <w:shd w:val="clear" w:color="auto" w:fill="auto"/>
          </w:tcPr>
          <w:p w14:paraId="151178BD">
            <w:pPr>
              <w:jc w:val="center"/>
              <w:rPr>
                <w:rFonts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序号</w:t>
            </w:r>
          </w:p>
        </w:tc>
        <w:tc>
          <w:tcPr>
            <w:tcW w:w="1559" w:type="dxa"/>
            <w:shd w:val="clear" w:color="auto" w:fill="auto"/>
          </w:tcPr>
          <w:p w14:paraId="01FC4CF5">
            <w:pPr>
              <w:jc w:val="center"/>
              <w:rPr>
                <w:rFonts w:cs="宋体" w:asciiTheme="minorEastAsia" w:hAnsiTheme="minorEastAsia" w:eastAsiaTheme="minorEastAsia"/>
                <w:b/>
                <w:bCs/>
                <w:color w:val="000000" w:themeColor="text1"/>
                <w:sz w:val="24"/>
                <w14:textFill>
                  <w14:solidFill>
                    <w14:schemeClr w14:val="tx1"/>
                  </w14:solidFill>
                </w14:textFill>
              </w:rPr>
            </w:pPr>
            <w:r>
              <w:rPr>
                <w:rFonts w:asciiTheme="minorEastAsia" w:hAnsiTheme="minorEastAsia" w:eastAsiaTheme="minorEastAsia"/>
                <w:b/>
                <w:color w:val="000000" w:themeColor="text1"/>
                <w:sz w:val="24"/>
                <w14:textFill>
                  <w14:solidFill>
                    <w14:schemeClr w14:val="tx1"/>
                  </w14:solidFill>
                </w14:textFill>
              </w:rPr>
              <w:t>指标项</w:t>
            </w:r>
          </w:p>
        </w:tc>
        <w:tc>
          <w:tcPr>
            <w:tcW w:w="6033" w:type="dxa"/>
            <w:shd w:val="clear" w:color="auto" w:fill="auto"/>
          </w:tcPr>
          <w:p w14:paraId="4720FFBC">
            <w:pPr>
              <w:jc w:val="center"/>
              <w:rPr>
                <w:rFonts w:cs="宋体" w:asciiTheme="minorEastAsia" w:hAnsiTheme="minorEastAsia" w:eastAsiaTheme="minorEastAsia"/>
                <w:b/>
                <w:bCs/>
                <w:color w:val="000000" w:themeColor="text1"/>
                <w:sz w:val="24"/>
                <w14:textFill>
                  <w14:solidFill>
                    <w14:schemeClr w14:val="tx1"/>
                  </w14:solidFill>
                </w14:textFill>
              </w:rPr>
            </w:pPr>
            <w:r>
              <w:rPr>
                <w:rFonts w:asciiTheme="minorEastAsia" w:hAnsiTheme="minorEastAsia" w:eastAsiaTheme="minorEastAsia"/>
                <w:b/>
                <w:color w:val="000000" w:themeColor="text1"/>
                <w:sz w:val="24"/>
                <w14:textFill>
                  <w14:solidFill>
                    <w14:schemeClr w14:val="tx1"/>
                  </w14:solidFill>
                </w14:textFill>
              </w:rPr>
              <w:t>指标要求</w:t>
            </w:r>
          </w:p>
        </w:tc>
      </w:tr>
      <w:tr w14:paraId="77736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09" w:type="dxa"/>
            <w:vAlign w:val="center"/>
          </w:tcPr>
          <w:p w14:paraId="2F557809">
            <w:pPr>
              <w:jc w:val="center"/>
              <w:rPr>
                <w:rFonts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1</w:t>
            </w:r>
          </w:p>
        </w:tc>
        <w:tc>
          <w:tcPr>
            <w:tcW w:w="1559" w:type="dxa"/>
            <w:shd w:val="clear" w:color="auto" w:fill="auto"/>
          </w:tcPr>
          <w:p w14:paraId="4047FB91">
            <w:pPr>
              <w:jc w:val="center"/>
              <w:rPr>
                <w:rFonts w:asciiTheme="minorEastAsia" w:hAnsiTheme="minorEastAsia" w:eastAsiaTheme="minorEastAsia"/>
                <w:b/>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规格</w:t>
            </w:r>
          </w:p>
        </w:tc>
        <w:tc>
          <w:tcPr>
            <w:tcW w:w="6033" w:type="dxa"/>
            <w:shd w:val="clear" w:color="auto" w:fill="auto"/>
          </w:tcPr>
          <w:p w14:paraId="248AAF4A">
            <w:pPr>
              <w:rPr>
                <w:rFonts w:asciiTheme="minorEastAsia" w:hAnsiTheme="minorEastAsia" w:eastAsiaTheme="minorEastAsia"/>
                <w:b/>
                <w:bCs/>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机架式服务器，整机高度≥</w:t>
            </w:r>
            <w:r>
              <w:rPr>
                <w:rFonts w:asciiTheme="minorEastAsia" w:hAnsiTheme="minorEastAsia" w:eastAsiaTheme="minorEastAsia"/>
                <w:color w:val="000000" w:themeColor="text1"/>
                <w:sz w:val="24"/>
                <w14:textFill>
                  <w14:solidFill>
                    <w14:schemeClr w14:val="tx1"/>
                  </w14:solidFill>
                </w14:textFill>
              </w:rPr>
              <w:t>4</w:t>
            </w:r>
            <w:r>
              <w:rPr>
                <w:rFonts w:hint="eastAsia" w:asciiTheme="minorEastAsia" w:hAnsiTheme="minorEastAsia" w:eastAsiaTheme="minorEastAsia"/>
                <w:color w:val="000000" w:themeColor="text1"/>
                <w:sz w:val="24"/>
                <w14:textFill>
                  <w14:solidFill>
                    <w14:schemeClr w14:val="tx1"/>
                  </w14:solidFill>
                </w14:textFill>
              </w:rPr>
              <w:t>U</w:t>
            </w:r>
          </w:p>
        </w:tc>
      </w:tr>
      <w:tr w14:paraId="74B46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709" w:type="dxa"/>
            <w:vAlign w:val="center"/>
          </w:tcPr>
          <w:p w14:paraId="55E389D4">
            <w:pPr>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w:t>
            </w:r>
          </w:p>
        </w:tc>
        <w:tc>
          <w:tcPr>
            <w:tcW w:w="1559" w:type="dxa"/>
            <w:shd w:val="clear" w:color="auto" w:fill="auto"/>
            <w:vAlign w:val="center"/>
          </w:tcPr>
          <w:p w14:paraId="0F629305">
            <w:pPr>
              <w:jc w:val="center"/>
              <w:rPr>
                <w:rFonts w:asciiTheme="minorEastAsia" w:hAnsiTheme="minorEastAsia" w:eastAsiaTheme="minorEastAsia"/>
                <w:b/>
                <w:bCs/>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C</w:t>
            </w:r>
            <w:r>
              <w:rPr>
                <w:rFonts w:asciiTheme="minorEastAsia" w:hAnsiTheme="minorEastAsia" w:eastAsiaTheme="minorEastAsia"/>
                <w:color w:val="000000" w:themeColor="text1"/>
                <w:sz w:val="24"/>
                <w14:textFill>
                  <w14:solidFill>
                    <w14:schemeClr w14:val="tx1"/>
                  </w14:solidFill>
                </w14:textFill>
              </w:rPr>
              <w:t>PU</w:t>
            </w:r>
          </w:p>
        </w:tc>
        <w:tc>
          <w:tcPr>
            <w:tcW w:w="6033" w:type="dxa"/>
            <w:shd w:val="clear" w:color="auto" w:fill="auto"/>
            <w:vAlign w:val="center"/>
          </w:tcPr>
          <w:p w14:paraId="53AED1D3">
            <w:pPr>
              <w:rPr>
                <w:rFonts w:asciiTheme="minorEastAsia" w:hAnsiTheme="minorEastAsia" w:eastAsiaTheme="minorEastAsia"/>
                <w:b/>
                <w:bCs/>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配置≥2颗处理器，单颗处理器满足：核心数≥32个，主频≥2.1GHz，缓存≥160MB，支持AVX</w:t>
            </w:r>
            <w:r>
              <w:rPr>
                <w:rFonts w:asciiTheme="minorEastAsia" w:hAnsiTheme="minorEastAsia" w:eastAsiaTheme="minorEastAsia"/>
                <w:color w:val="000000" w:themeColor="text1"/>
                <w:sz w:val="24"/>
                <w14:textFill>
                  <w14:solidFill>
                    <w14:schemeClr w14:val="tx1"/>
                  </w14:solidFill>
                </w14:textFill>
              </w:rPr>
              <w:t>512</w:t>
            </w:r>
            <w:r>
              <w:rPr>
                <w:rFonts w:hint="eastAsia" w:asciiTheme="minorEastAsia" w:hAnsiTheme="minorEastAsia" w:eastAsiaTheme="minorEastAsia"/>
                <w:color w:val="000000" w:themeColor="text1"/>
                <w:sz w:val="24"/>
                <w14:textFill>
                  <w14:solidFill>
                    <w14:schemeClr w14:val="tx1"/>
                  </w14:solidFill>
                </w14:textFill>
              </w:rPr>
              <w:t>，AMX等指令集</w:t>
            </w:r>
          </w:p>
        </w:tc>
      </w:tr>
      <w:tr w14:paraId="33619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09" w:type="dxa"/>
            <w:vAlign w:val="center"/>
          </w:tcPr>
          <w:p w14:paraId="3B6C2833">
            <w:pPr>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3</w:t>
            </w:r>
          </w:p>
        </w:tc>
        <w:tc>
          <w:tcPr>
            <w:tcW w:w="1559" w:type="dxa"/>
            <w:shd w:val="clear" w:color="auto" w:fill="auto"/>
            <w:vAlign w:val="center"/>
          </w:tcPr>
          <w:p w14:paraId="0E43B028">
            <w:pPr>
              <w:jc w:val="center"/>
              <w:rPr>
                <w:rFonts w:asciiTheme="minorEastAsia" w:hAnsiTheme="minorEastAsia" w:eastAsiaTheme="minorEastAsia"/>
                <w:b/>
                <w:bCs/>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内存</w:t>
            </w:r>
          </w:p>
        </w:tc>
        <w:tc>
          <w:tcPr>
            <w:tcW w:w="6033" w:type="dxa"/>
            <w:shd w:val="clear" w:color="auto" w:fill="auto"/>
            <w:vAlign w:val="center"/>
          </w:tcPr>
          <w:p w14:paraId="55C9A23B">
            <w:pPr>
              <w:rPr>
                <w:rFonts w:asciiTheme="minorEastAsia" w:hAnsiTheme="minorEastAsia" w:eastAsiaTheme="minorEastAsia"/>
                <w:b/>
                <w:bCs/>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配置≥8根32GB DDR5</w:t>
            </w:r>
            <w:r>
              <w:rPr>
                <w:rFonts w:asciiTheme="minorEastAsia" w:hAnsiTheme="minorEastAsia" w:eastAsiaTheme="minorEastAsia"/>
                <w:color w:val="000000" w:themeColor="text1"/>
                <w:sz w:val="24"/>
                <w14:textFill>
                  <w14:solidFill>
                    <w14:schemeClr w14:val="tx1"/>
                  </w14:solidFill>
                </w14:textFill>
              </w:rPr>
              <w:t xml:space="preserve"> </w:t>
            </w:r>
            <w:r>
              <w:rPr>
                <w:rFonts w:hint="eastAsia" w:asciiTheme="minorEastAsia" w:hAnsiTheme="minorEastAsia" w:eastAsiaTheme="minorEastAsia"/>
                <w:color w:val="000000" w:themeColor="text1"/>
                <w:sz w:val="24"/>
                <w14:textFill>
                  <w14:solidFill>
                    <w14:schemeClr w14:val="tx1"/>
                  </w14:solidFill>
                </w14:textFill>
              </w:rPr>
              <w:t>56</w:t>
            </w:r>
            <w:r>
              <w:rPr>
                <w:rFonts w:asciiTheme="minorEastAsia" w:hAnsiTheme="minorEastAsia" w:eastAsiaTheme="minorEastAsia"/>
                <w:color w:val="000000" w:themeColor="text1"/>
                <w:sz w:val="24"/>
                <w14:textFill>
                  <w14:solidFill>
                    <w14:schemeClr w14:val="tx1"/>
                  </w14:solidFill>
                </w14:textFill>
              </w:rPr>
              <w:t>00</w:t>
            </w:r>
            <w:r>
              <w:rPr>
                <w:rFonts w:hint="eastAsia" w:asciiTheme="minorEastAsia" w:hAnsiTheme="minorEastAsia" w:eastAsiaTheme="minorEastAsia"/>
                <w:color w:val="000000" w:themeColor="text1"/>
                <w:sz w:val="24"/>
                <w14:textFill>
                  <w14:solidFill>
                    <w14:schemeClr w14:val="tx1"/>
                  </w14:solidFill>
                </w14:textFill>
              </w:rPr>
              <w:t>MHz内存，支持≥32个内存插槽</w:t>
            </w:r>
          </w:p>
        </w:tc>
      </w:tr>
      <w:tr w14:paraId="146DB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09" w:type="dxa"/>
            <w:vMerge w:val="restart"/>
            <w:vAlign w:val="center"/>
          </w:tcPr>
          <w:p w14:paraId="4884F372">
            <w:pPr>
              <w:jc w:val="center"/>
              <w:rPr>
                <w:rFonts w:cs="宋体"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4</w:t>
            </w:r>
          </w:p>
          <w:p w14:paraId="535870FA">
            <w:pPr>
              <w:jc w:val="center"/>
              <w:rPr>
                <w:rFonts w:cs="宋体"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5</w:t>
            </w:r>
          </w:p>
        </w:tc>
        <w:tc>
          <w:tcPr>
            <w:tcW w:w="1559" w:type="dxa"/>
            <w:vMerge w:val="restart"/>
            <w:shd w:val="clear" w:color="auto" w:fill="auto"/>
            <w:vAlign w:val="center"/>
          </w:tcPr>
          <w:p w14:paraId="3339E640">
            <w:pPr>
              <w:jc w:val="center"/>
              <w:rPr>
                <w:rFonts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硬盘</w:t>
            </w:r>
          </w:p>
        </w:tc>
        <w:tc>
          <w:tcPr>
            <w:tcW w:w="6033" w:type="dxa"/>
            <w:shd w:val="clear" w:color="auto" w:fill="auto"/>
            <w:vAlign w:val="center"/>
          </w:tcPr>
          <w:p w14:paraId="548F3193">
            <w:pP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支持</w:t>
            </w:r>
            <w:r>
              <w:rPr>
                <w:rFonts w:asciiTheme="minorEastAsia" w:hAnsiTheme="minorEastAsia" w:eastAsiaTheme="minorEastAsia"/>
                <w:color w:val="000000" w:themeColor="text1"/>
                <w:sz w:val="24"/>
                <w14:textFill>
                  <w14:solidFill>
                    <w14:schemeClr w14:val="tx1"/>
                  </w14:solidFill>
                </w14:textFill>
              </w:rPr>
              <w:t>24块2.5或12块3.5寸 SAS/SATA硬盘，最大支持16块NVME或E3.S</w:t>
            </w:r>
            <w:r>
              <w:rPr>
                <w:rFonts w:hint="eastAsia" w:asciiTheme="minorEastAsia" w:hAnsiTheme="minorEastAsia" w:eastAsiaTheme="minorEastAsia"/>
                <w:color w:val="000000" w:themeColor="text1"/>
                <w:sz w:val="24"/>
                <w14:textFill>
                  <w14:solidFill>
                    <w14:schemeClr w14:val="tx1"/>
                  </w14:solidFill>
                </w14:textFill>
              </w:rPr>
              <w:t>，提供证明材料</w:t>
            </w:r>
          </w:p>
        </w:tc>
      </w:tr>
      <w:tr w14:paraId="0AB10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09" w:type="dxa"/>
            <w:vMerge w:val="continue"/>
            <w:vAlign w:val="center"/>
          </w:tcPr>
          <w:p w14:paraId="1C878ADE">
            <w:pPr>
              <w:jc w:val="center"/>
              <w:rPr>
                <w:rFonts w:cs="宋体" w:asciiTheme="minorEastAsia" w:hAnsiTheme="minorEastAsia" w:eastAsiaTheme="minorEastAsia"/>
                <w:color w:val="000000" w:themeColor="text1"/>
                <w:sz w:val="24"/>
                <w14:textFill>
                  <w14:solidFill>
                    <w14:schemeClr w14:val="tx1"/>
                  </w14:solidFill>
                </w14:textFill>
              </w:rPr>
            </w:pPr>
          </w:p>
        </w:tc>
        <w:tc>
          <w:tcPr>
            <w:tcW w:w="1559" w:type="dxa"/>
            <w:vMerge w:val="continue"/>
            <w:shd w:val="clear" w:color="auto" w:fill="auto"/>
            <w:vAlign w:val="center"/>
          </w:tcPr>
          <w:p w14:paraId="16E73986">
            <w:pPr>
              <w:jc w:val="center"/>
              <w:rPr>
                <w:rFonts w:cs="宋体" w:asciiTheme="minorEastAsia" w:hAnsiTheme="minorEastAsia" w:eastAsiaTheme="minorEastAsia"/>
                <w:color w:val="000000" w:themeColor="text1"/>
                <w:sz w:val="24"/>
                <w14:textFill>
                  <w14:solidFill>
                    <w14:schemeClr w14:val="tx1"/>
                  </w14:solidFill>
                </w14:textFill>
              </w:rPr>
            </w:pPr>
          </w:p>
        </w:tc>
        <w:tc>
          <w:tcPr>
            <w:tcW w:w="6033" w:type="dxa"/>
            <w:shd w:val="clear" w:color="auto" w:fill="auto"/>
            <w:vAlign w:val="center"/>
          </w:tcPr>
          <w:p w14:paraId="3F96791C">
            <w:pP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配置≥</w:t>
            </w:r>
            <w:r>
              <w:rPr>
                <w:rFonts w:asciiTheme="minorEastAsia" w:hAnsiTheme="minorEastAsia" w:eastAsiaTheme="minorEastAsia"/>
                <w:color w:val="000000" w:themeColor="text1"/>
                <w:sz w:val="24"/>
                <w14:textFill>
                  <w14:solidFill>
                    <w14:schemeClr w14:val="tx1"/>
                  </w14:solidFill>
                </w14:textFill>
              </w:rPr>
              <w:t>2</w:t>
            </w:r>
            <w:r>
              <w:rPr>
                <w:rFonts w:hint="eastAsia" w:asciiTheme="minorEastAsia" w:hAnsiTheme="minorEastAsia" w:eastAsiaTheme="minorEastAsia"/>
                <w:color w:val="000000" w:themeColor="text1"/>
                <w:sz w:val="24"/>
                <w14:textFill>
                  <w14:solidFill>
                    <w14:schemeClr w14:val="tx1"/>
                  </w14:solidFill>
                </w14:textFill>
              </w:rPr>
              <w:t>块96</w:t>
            </w:r>
            <w:r>
              <w:rPr>
                <w:rFonts w:asciiTheme="minorEastAsia" w:hAnsiTheme="minorEastAsia" w:eastAsiaTheme="minorEastAsia"/>
                <w:color w:val="000000" w:themeColor="text1"/>
                <w:sz w:val="24"/>
                <w14:textFill>
                  <w14:solidFill>
                    <w14:schemeClr w14:val="tx1"/>
                  </w14:solidFill>
                </w14:textFill>
              </w:rPr>
              <w:t>0</w:t>
            </w:r>
            <w:r>
              <w:rPr>
                <w:rFonts w:hint="eastAsia" w:asciiTheme="minorEastAsia" w:hAnsiTheme="minorEastAsia" w:eastAsiaTheme="minorEastAsia"/>
                <w:color w:val="000000" w:themeColor="text1"/>
                <w:sz w:val="24"/>
                <w14:textFill>
                  <w14:solidFill>
                    <w14:schemeClr w14:val="tx1"/>
                  </w14:solidFill>
                </w14:textFill>
              </w:rPr>
              <w:t>GB</w:t>
            </w:r>
            <w:r>
              <w:rPr>
                <w:rFonts w:asciiTheme="minorEastAsia" w:hAnsiTheme="minorEastAsia" w:eastAsiaTheme="minorEastAsia"/>
                <w:color w:val="000000" w:themeColor="text1"/>
                <w:sz w:val="24"/>
                <w14:textFill>
                  <w14:solidFill>
                    <w14:schemeClr w14:val="tx1"/>
                  </w14:solidFill>
                </w14:textFill>
              </w:rPr>
              <w:t xml:space="preserve"> </w:t>
            </w:r>
            <w:r>
              <w:rPr>
                <w:rFonts w:hint="eastAsia" w:asciiTheme="minorEastAsia" w:hAnsiTheme="minorEastAsia" w:eastAsiaTheme="minorEastAsia"/>
                <w:color w:val="000000" w:themeColor="text1"/>
                <w:sz w:val="24"/>
                <w14:textFill>
                  <w14:solidFill>
                    <w14:schemeClr w14:val="tx1"/>
                  </w14:solidFill>
                </w14:textFill>
              </w:rPr>
              <w:t>SSD硬盘</w:t>
            </w:r>
          </w:p>
        </w:tc>
      </w:tr>
      <w:tr w14:paraId="05E8A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09" w:type="dxa"/>
            <w:vAlign w:val="center"/>
          </w:tcPr>
          <w:p w14:paraId="429200DB">
            <w:pPr>
              <w:jc w:val="center"/>
              <w:rPr>
                <w:rFonts w:cs="宋体"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6</w:t>
            </w:r>
          </w:p>
        </w:tc>
        <w:tc>
          <w:tcPr>
            <w:tcW w:w="1559" w:type="dxa"/>
            <w:shd w:val="clear" w:color="auto" w:fill="auto"/>
            <w:vAlign w:val="center"/>
          </w:tcPr>
          <w:p w14:paraId="5C540913">
            <w:pPr>
              <w:jc w:val="center"/>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扩展性</w:t>
            </w:r>
          </w:p>
        </w:tc>
        <w:tc>
          <w:tcPr>
            <w:tcW w:w="6033" w:type="dxa"/>
            <w:shd w:val="clear" w:color="auto" w:fill="auto"/>
            <w:vAlign w:val="center"/>
          </w:tcPr>
          <w:p w14:paraId="1EED0515">
            <w:pP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同时支持≥</w:t>
            </w:r>
            <w:r>
              <w:rPr>
                <w:rFonts w:asciiTheme="minorEastAsia" w:hAnsiTheme="minorEastAsia" w:eastAsiaTheme="minorEastAsia"/>
                <w:color w:val="000000" w:themeColor="text1"/>
                <w:sz w:val="24"/>
                <w14:textFill>
                  <w14:solidFill>
                    <w14:schemeClr w14:val="tx1"/>
                  </w14:solidFill>
                </w14:textFill>
              </w:rPr>
              <w:t>8个双宽x16插槽，≥3个单宽x16插槽</w:t>
            </w:r>
            <w:r>
              <w:rPr>
                <w:rFonts w:hint="eastAsia" w:asciiTheme="minorEastAsia" w:hAnsiTheme="minorEastAsia" w:eastAsiaTheme="minorEastAsia"/>
                <w:color w:val="000000" w:themeColor="text1"/>
                <w:sz w:val="24"/>
                <w14:textFill>
                  <w14:solidFill>
                    <w14:schemeClr w14:val="tx1"/>
                  </w14:solidFill>
                </w14:textFill>
              </w:rPr>
              <w:t>，支持≥2张内置标准RAID卡，提供证明材料；</w:t>
            </w:r>
          </w:p>
        </w:tc>
      </w:tr>
      <w:tr w14:paraId="7CEB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09" w:type="dxa"/>
            <w:vAlign w:val="center"/>
          </w:tcPr>
          <w:p w14:paraId="503316AE">
            <w:pPr>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6</w:t>
            </w:r>
          </w:p>
        </w:tc>
        <w:tc>
          <w:tcPr>
            <w:tcW w:w="1559" w:type="dxa"/>
            <w:shd w:val="clear" w:color="auto" w:fill="auto"/>
            <w:vAlign w:val="center"/>
          </w:tcPr>
          <w:p w14:paraId="77044667">
            <w:pPr>
              <w:jc w:val="center"/>
              <w:rPr>
                <w:rFonts w:asciiTheme="minorEastAsia" w:hAnsiTheme="minorEastAsia" w:eastAsiaTheme="minorEastAsia"/>
                <w:b/>
                <w:bCs/>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阵列控制器</w:t>
            </w:r>
          </w:p>
        </w:tc>
        <w:tc>
          <w:tcPr>
            <w:tcW w:w="6033" w:type="dxa"/>
            <w:shd w:val="clear" w:color="auto" w:fill="auto"/>
            <w:vAlign w:val="center"/>
          </w:tcPr>
          <w:p w14:paraId="7A0DC27E">
            <w:pP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配置1块8通道S</w:t>
            </w:r>
            <w:r>
              <w:rPr>
                <w:rFonts w:asciiTheme="minorEastAsia" w:hAnsiTheme="minorEastAsia" w:eastAsiaTheme="minorEastAsia"/>
                <w:color w:val="000000" w:themeColor="text1"/>
                <w:sz w:val="24"/>
                <w14:textFill>
                  <w14:solidFill>
                    <w14:schemeClr w14:val="tx1"/>
                  </w14:solidFill>
                </w14:textFill>
              </w:rPr>
              <w:t xml:space="preserve">AS </w:t>
            </w:r>
            <w:r>
              <w:rPr>
                <w:rFonts w:hint="eastAsia" w:asciiTheme="minorEastAsia" w:hAnsiTheme="minorEastAsia" w:eastAsiaTheme="minorEastAsia"/>
                <w:color w:val="000000" w:themeColor="text1"/>
                <w:sz w:val="24"/>
                <w14:textFill>
                  <w14:solidFill>
                    <w14:schemeClr w14:val="tx1"/>
                  </w14:solidFill>
                </w14:textFill>
              </w:rPr>
              <w:t>RAID卡，支持RAID</w:t>
            </w:r>
            <w:r>
              <w:rPr>
                <w:rFonts w:asciiTheme="minorEastAsia" w:hAnsiTheme="minorEastAsia" w:eastAsiaTheme="minorEastAsia"/>
                <w:color w:val="000000" w:themeColor="text1"/>
                <w:sz w:val="24"/>
                <w14:textFill>
                  <w14:solidFill>
                    <w14:schemeClr w14:val="tx1"/>
                  </w14:solidFill>
                </w14:textFill>
              </w:rPr>
              <w:t xml:space="preserve"> 0/1/5</w:t>
            </w:r>
            <w:r>
              <w:rPr>
                <w:rFonts w:hint="eastAsia" w:asciiTheme="minorEastAsia" w:hAnsiTheme="minorEastAsia" w:eastAsiaTheme="minorEastAsia"/>
                <w:color w:val="000000" w:themeColor="text1"/>
                <w:sz w:val="24"/>
                <w14:textFill>
                  <w14:solidFill>
                    <w14:schemeClr w14:val="tx1"/>
                  </w14:solidFill>
                </w14:textFill>
              </w:rPr>
              <w:t>/6/50/60，缓存≥4GB</w:t>
            </w:r>
          </w:p>
        </w:tc>
      </w:tr>
      <w:tr w14:paraId="23A0B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09" w:type="dxa"/>
            <w:vAlign w:val="center"/>
          </w:tcPr>
          <w:p w14:paraId="56FAB791">
            <w:pPr>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7</w:t>
            </w:r>
          </w:p>
        </w:tc>
        <w:tc>
          <w:tcPr>
            <w:tcW w:w="1559" w:type="dxa"/>
            <w:shd w:val="clear" w:color="auto" w:fill="auto"/>
            <w:vAlign w:val="center"/>
          </w:tcPr>
          <w:p w14:paraId="7003A823">
            <w:pPr>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GPU</w:t>
            </w:r>
          </w:p>
        </w:tc>
        <w:tc>
          <w:tcPr>
            <w:tcW w:w="6033" w:type="dxa"/>
            <w:shd w:val="clear" w:color="auto" w:fill="auto"/>
            <w:vAlign w:val="center"/>
          </w:tcPr>
          <w:p w14:paraId="575644F8">
            <w:pP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▲配置≥4块GPU加速卡，单块GPU满足：显存≥</w:t>
            </w:r>
            <w:r>
              <w:rPr>
                <w:rFonts w:asciiTheme="minorEastAsia" w:hAnsiTheme="minorEastAsia" w:eastAsiaTheme="minorEastAsia"/>
                <w:color w:val="000000" w:themeColor="text1"/>
                <w:sz w:val="24"/>
                <w14:textFill>
                  <w14:solidFill>
                    <w14:schemeClr w14:val="tx1"/>
                  </w14:solidFill>
                </w14:textFill>
              </w:rPr>
              <w:t>64</w:t>
            </w:r>
            <w:r>
              <w:rPr>
                <w:rFonts w:hint="eastAsia" w:asciiTheme="minorEastAsia" w:hAnsiTheme="minorEastAsia" w:eastAsiaTheme="minorEastAsia"/>
                <w:color w:val="000000" w:themeColor="text1"/>
                <w:sz w:val="24"/>
                <w14:textFill>
                  <w14:solidFill>
                    <w14:schemeClr w14:val="tx1"/>
                  </w14:solidFill>
                </w14:textFill>
              </w:rPr>
              <w:t>GB，FP32算力≥24 TFLOPS，FP</w:t>
            </w:r>
            <w:r>
              <w:rPr>
                <w:rFonts w:asciiTheme="minorEastAsia" w:hAnsiTheme="minorEastAsia" w:eastAsiaTheme="minorEastAsia"/>
                <w:color w:val="000000" w:themeColor="text1"/>
                <w:sz w:val="24"/>
                <w14:textFill>
                  <w14:solidFill>
                    <w14:schemeClr w14:val="tx1"/>
                  </w14:solidFill>
                </w14:textFill>
              </w:rPr>
              <w:t>16</w:t>
            </w:r>
            <w:r>
              <w:rPr>
                <w:rFonts w:hint="eastAsia" w:asciiTheme="minorEastAsia" w:hAnsiTheme="minorEastAsia" w:eastAsiaTheme="minorEastAsia"/>
                <w:color w:val="000000" w:themeColor="text1"/>
                <w:sz w:val="24"/>
                <w14:textFill>
                  <w14:solidFill>
                    <w14:schemeClr w14:val="tx1"/>
                  </w14:solidFill>
                </w14:textFill>
              </w:rPr>
              <w:t>算力≥190 TFLOPS，</w:t>
            </w:r>
            <w:r>
              <w:rPr>
                <w:rFonts w:hint="eastAsia" w:asciiTheme="minorEastAsia" w:hAnsiTheme="minorEastAsia" w:eastAsiaTheme="minorEastAsia"/>
                <w:sz w:val="24"/>
                <w:lang w:eastAsia="zh-CN"/>
              </w:rPr>
              <w:t>提供</w:t>
            </w:r>
            <w:r>
              <w:rPr>
                <w:rFonts w:hint="eastAsia" w:asciiTheme="minorEastAsia" w:hAnsiTheme="minorEastAsia" w:eastAsiaTheme="minorEastAsia"/>
                <w:sz w:val="24"/>
              </w:rPr>
              <w:t>技术支持资料</w:t>
            </w:r>
          </w:p>
        </w:tc>
      </w:tr>
      <w:tr w14:paraId="1F483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09" w:type="dxa"/>
            <w:vAlign w:val="center"/>
          </w:tcPr>
          <w:p w14:paraId="09E71B3A">
            <w:pPr>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8</w:t>
            </w:r>
          </w:p>
        </w:tc>
        <w:tc>
          <w:tcPr>
            <w:tcW w:w="1559" w:type="dxa"/>
            <w:shd w:val="clear" w:color="auto" w:fill="auto"/>
            <w:vAlign w:val="center"/>
          </w:tcPr>
          <w:p w14:paraId="027B7AD0">
            <w:pPr>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网卡</w:t>
            </w:r>
          </w:p>
        </w:tc>
        <w:tc>
          <w:tcPr>
            <w:tcW w:w="6033" w:type="dxa"/>
            <w:shd w:val="clear" w:color="auto" w:fill="auto"/>
            <w:vAlign w:val="center"/>
          </w:tcPr>
          <w:p w14:paraId="56233229">
            <w:pP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配置≥4</w:t>
            </w:r>
            <w:r>
              <w:rPr>
                <w:rFonts w:asciiTheme="minorEastAsia" w:hAnsiTheme="minorEastAsia" w:eastAsiaTheme="minorEastAsia"/>
                <w:color w:val="000000" w:themeColor="text1"/>
                <w:sz w:val="24"/>
                <w14:textFill>
                  <w14:solidFill>
                    <w14:schemeClr w14:val="tx1"/>
                  </w14:solidFill>
                </w14:textFill>
              </w:rPr>
              <w:t>个</w:t>
            </w:r>
            <w:r>
              <w:rPr>
                <w:rFonts w:hint="eastAsia" w:asciiTheme="minorEastAsia" w:hAnsiTheme="minorEastAsia" w:eastAsiaTheme="minorEastAsia"/>
                <w:color w:val="000000" w:themeColor="text1"/>
                <w:sz w:val="24"/>
                <w14:textFill>
                  <w14:solidFill>
                    <w14:schemeClr w14:val="tx1"/>
                  </w14:solidFill>
                </w14:textFill>
              </w:rPr>
              <w:t>千兆电</w:t>
            </w:r>
            <w:r>
              <w:rPr>
                <w:rFonts w:asciiTheme="minorEastAsia" w:hAnsiTheme="minorEastAsia" w:eastAsiaTheme="minorEastAsia"/>
                <w:color w:val="000000" w:themeColor="text1"/>
                <w:sz w:val="24"/>
                <w14:textFill>
                  <w14:solidFill>
                    <w14:schemeClr w14:val="tx1"/>
                  </w14:solidFill>
                </w14:textFill>
              </w:rPr>
              <w:t>口</w:t>
            </w:r>
          </w:p>
        </w:tc>
      </w:tr>
      <w:tr w14:paraId="510D4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09" w:type="dxa"/>
            <w:vAlign w:val="center"/>
          </w:tcPr>
          <w:p w14:paraId="19C6B066">
            <w:pPr>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9</w:t>
            </w:r>
          </w:p>
        </w:tc>
        <w:tc>
          <w:tcPr>
            <w:tcW w:w="1559" w:type="dxa"/>
            <w:shd w:val="clear" w:color="auto" w:fill="auto"/>
            <w:vAlign w:val="center"/>
          </w:tcPr>
          <w:p w14:paraId="7669F9DD">
            <w:pPr>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高速网卡</w:t>
            </w:r>
          </w:p>
        </w:tc>
        <w:tc>
          <w:tcPr>
            <w:tcW w:w="6033" w:type="dxa"/>
            <w:shd w:val="clear" w:color="auto" w:fill="auto"/>
            <w:vAlign w:val="center"/>
          </w:tcPr>
          <w:p w14:paraId="5AA3980F">
            <w:pP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配置≥1</w:t>
            </w:r>
            <w:r>
              <w:rPr>
                <w:rFonts w:asciiTheme="minorEastAsia" w:hAnsiTheme="minorEastAsia" w:eastAsiaTheme="minorEastAsia"/>
                <w:color w:val="000000" w:themeColor="text1"/>
                <w:sz w:val="24"/>
                <w14:textFill>
                  <w14:solidFill>
                    <w14:schemeClr w14:val="tx1"/>
                  </w14:solidFill>
                </w14:textFill>
              </w:rPr>
              <w:t>个</w:t>
            </w:r>
            <w:r>
              <w:rPr>
                <w:rFonts w:hint="eastAsia" w:asciiTheme="minorEastAsia" w:hAnsiTheme="minorEastAsia" w:eastAsiaTheme="minorEastAsia"/>
                <w:color w:val="000000" w:themeColor="text1"/>
                <w:sz w:val="24"/>
                <w14:textFill>
                  <w14:solidFill>
                    <w14:schemeClr w14:val="tx1"/>
                  </w14:solidFill>
                </w14:textFill>
              </w:rPr>
              <w:t>HDR</w:t>
            </w:r>
            <w:r>
              <w:rPr>
                <w:rFonts w:asciiTheme="minorEastAsia" w:hAnsiTheme="minorEastAsia" w:eastAsiaTheme="minorEastAsia"/>
                <w:color w:val="000000" w:themeColor="text1"/>
                <w:sz w:val="24"/>
                <w14:textFill>
                  <w14:solidFill>
                    <w14:schemeClr w14:val="tx1"/>
                  </w14:solidFill>
                </w14:textFill>
              </w:rPr>
              <w:t xml:space="preserve"> </w:t>
            </w:r>
            <w:r>
              <w:rPr>
                <w:rFonts w:hint="eastAsia" w:asciiTheme="minorEastAsia" w:hAnsiTheme="minorEastAsia" w:eastAsiaTheme="minorEastAsia"/>
                <w:color w:val="000000" w:themeColor="text1"/>
                <w:sz w:val="24"/>
                <w14:textFill>
                  <w14:solidFill>
                    <w14:schemeClr w14:val="tx1"/>
                  </w14:solidFill>
                </w14:textFill>
              </w:rPr>
              <w:t>200G</w:t>
            </w:r>
            <w:r>
              <w:rPr>
                <w:rFonts w:asciiTheme="minorEastAsia" w:hAnsiTheme="minorEastAsia" w:eastAsiaTheme="minorEastAsia"/>
                <w:color w:val="000000" w:themeColor="text1"/>
                <w:sz w:val="24"/>
                <w14:textFill>
                  <w14:solidFill>
                    <w14:schemeClr w14:val="tx1"/>
                  </w14:solidFill>
                </w14:textFill>
              </w:rPr>
              <w:t>bps</w:t>
            </w:r>
            <w:r>
              <w:rPr>
                <w:rFonts w:hint="eastAsia" w:asciiTheme="minorEastAsia" w:hAnsiTheme="minorEastAsia" w:eastAsiaTheme="minorEastAsia"/>
                <w:color w:val="000000" w:themeColor="text1"/>
                <w:sz w:val="24"/>
                <w14:textFill>
                  <w14:solidFill>
                    <w14:schemeClr w14:val="tx1"/>
                  </w14:solidFill>
                </w14:textFill>
              </w:rPr>
              <w:t xml:space="preserve"> </w:t>
            </w:r>
            <w:r>
              <w:rPr>
                <w:rFonts w:asciiTheme="minorEastAsia" w:hAnsiTheme="minorEastAsia" w:eastAsiaTheme="minorEastAsia"/>
                <w:color w:val="000000" w:themeColor="text1"/>
                <w:sz w:val="24"/>
                <w14:textFill>
                  <w14:solidFill>
                    <w14:schemeClr w14:val="tx1"/>
                  </w14:solidFill>
                </w14:textFill>
              </w:rPr>
              <w:t>I</w:t>
            </w:r>
            <w:r>
              <w:rPr>
                <w:rFonts w:hint="eastAsia" w:asciiTheme="minorEastAsia" w:hAnsiTheme="minorEastAsia" w:eastAsiaTheme="minorEastAsia"/>
                <w:color w:val="000000" w:themeColor="text1"/>
                <w:sz w:val="24"/>
                <w14:textFill>
                  <w14:solidFill>
                    <w14:schemeClr w14:val="tx1"/>
                  </w14:solidFill>
                </w14:textFill>
              </w:rPr>
              <w:t>nfiniBand网口，包含对应光纤线缆</w:t>
            </w:r>
          </w:p>
        </w:tc>
      </w:tr>
      <w:tr w14:paraId="0541C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709" w:type="dxa"/>
            <w:vAlign w:val="center"/>
          </w:tcPr>
          <w:p w14:paraId="28DD56A3">
            <w:pPr>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1</w:t>
            </w:r>
            <w:r>
              <w:rPr>
                <w:rFonts w:asciiTheme="minorEastAsia" w:hAnsiTheme="minorEastAsia" w:eastAsiaTheme="minorEastAsia"/>
                <w:color w:val="000000" w:themeColor="text1"/>
                <w:sz w:val="24"/>
                <w14:textFill>
                  <w14:solidFill>
                    <w14:schemeClr w14:val="tx1"/>
                  </w14:solidFill>
                </w14:textFill>
              </w:rPr>
              <w:t>0</w:t>
            </w:r>
          </w:p>
        </w:tc>
        <w:tc>
          <w:tcPr>
            <w:tcW w:w="1559" w:type="dxa"/>
            <w:vAlign w:val="center"/>
          </w:tcPr>
          <w:p w14:paraId="1B562C23">
            <w:pPr>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电源</w:t>
            </w:r>
          </w:p>
        </w:tc>
        <w:tc>
          <w:tcPr>
            <w:tcW w:w="6033" w:type="dxa"/>
            <w:shd w:val="clear" w:color="auto" w:fill="auto"/>
            <w:vAlign w:val="center"/>
          </w:tcPr>
          <w:p w14:paraId="53E7F8D4">
            <w:pP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配置≥</w:t>
            </w:r>
            <w:r>
              <w:rPr>
                <w:rFonts w:asciiTheme="minorEastAsia" w:hAnsiTheme="minorEastAsia" w:eastAsiaTheme="minorEastAsia"/>
                <w:color w:val="000000" w:themeColor="text1"/>
                <w:sz w:val="24"/>
                <w14:textFill>
                  <w14:solidFill>
                    <w14:schemeClr w14:val="tx1"/>
                  </w14:solidFill>
                </w14:textFill>
              </w:rPr>
              <w:t>4</w:t>
            </w:r>
            <w:r>
              <w:rPr>
                <w:rFonts w:hint="eastAsia" w:asciiTheme="minorEastAsia" w:hAnsiTheme="minorEastAsia" w:eastAsiaTheme="minorEastAsia"/>
                <w:color w:val="000000" w:themeColor="text1"/>
                <w:sz w:val="24"/>
                <w14:textFill>
                  <w14:solidFill>
                    <w14:schemeClr w14:val="tx1"/>
                  </w14:solidFill>
                </w14:textFill>
              </w:rPr>
              <w:t>个</w:t>
            </w:r>
            <w:r>
              <w:rPr>
                <w:rFonts w:asciiTheme="minorEastAsia" w:hAnsiTheme="minorEastAsia" w:eastAsiaTheme="minorEastAsia"/>
                <w:color w:val="000000" w:themeColor="text1"/>
                <w:sz w:val="24"/>
                <w14:textFill>
                  <w14:solidFill>
                    <w14:schemeClr w14:val="tx1"/>
                  </w14:solidFill>
                </w14:textFill>
              </w:rPr>
              <w:t>3000</w:t>
            </w:r>
            <w:r>
              <w:rPr>
                <w:rFonts w:hint="eastAsia" w:asciiTheme="minorEastAsia" w:hAnsiTheme="minorEastAsia" w:eastAsiaTheme="minorEastAsia"/>
                <w:color w:val="000000" w:themeColor="text1"/>
                <w:sz w:val="24"/>
                <w14:textFill>
                  <w14:solidFill>
                    <w14:schemeClr w14:val="tx1"/>
                  </w14:solidFill>
                </w14:textFill>
              </w:rPr>
              <w:t>W热插拔电源，支持N+N电源冗余方式</w:t>
            </w:r>
          </w:p>
        </w:tc>
      </w:tr>
      <w:tr w14:paraId="1DF77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709" w:type="dxa"/>
            <w:vAlign w:val="center"/>
          </w:tcPr>
          <w:p w14:paraId="42175D7F">
            <w:pPr>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1</w:t>
            </w:r>
            <w:r>
              <w:rPr>
                <w:rFonts w:asciiTheme="minorEastAsia" w:hAnsiTheme="minorEastAsia" w:eastAsiaTheme="minorEastAsia"/>
                <w:color w:val="000000" w:themeColor="text1"/>
                <w:sz w:val="24"/>
                <w14:textFill>
                  <w14:solidFill>
                    <w14:schemeClr w14:val="tx1"/>
                  </w14:solidFill>
                </w14:textFill>
              </w:rPr>
              <w:t>1</w:t>
            </w:r>
          </w:p>
        </w:tc>
        <w:tc>
          <w:tcPr>
            <w:tcW w:w="1559" w:type="dxa"/>
            <w:vAlign w:val="center"/>
          </w:tcPr>
          <w:p w14:paraId="156AB698">
            <w:pPr>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可靠性</w:t>
            </w:r>
          </w:p>
        </w:tc>
        <w:tc>
          <w:tcPr>
            <w:tcW w:w="6033" w:type="dxa"/>
            <w:shd w:val="clear" w:color="auto" w:fill="auto"/>
            <w:vAlign w:val="center"/>
          </w:tcPr>
          <w:p w14:paraId="39EB9673">
            <w:pP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支持BMC硬件冗余、升级失败后自动回退或切换至另一镜像启动，提供测试报告证明</w:t>
            </w:r>
          </w:p>
        </w:tc>
      </w:tr>
      <w:tr w14:paraId="5D069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709" w:type="dxa"/>
            <w:vMerge w:val="restart"/>
            <w:vAlign w:val="center"/>
          </w:tcPr>
          <w:p w14:paraId="25EC2F79">
            <w:pPr>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1</w:t>
            </w:r>
            <w:r>
              <w:rPr>
                <w:rFonts w:asciiTheme="minorEastAsia" w:hAnsiTheme="minorEastAsia" w:eastAsiaTheme="minorEastAsia"/>
                <w:color w:val="000000" w:themeColor="text1"/>
                <w:sz w:val="24"/>
                <w14:textFill>
                  <w14:solidFill>
                    <w14:schemeClr w14:val="tx1"/>
                  </w14:solidFill>
                </w14:textFill>
              </w:rPr>
              <w:t>2</w:t>
            </w:r>
          </w:p>
        </w:tc>
        <w:tc>
          <w:tcPr>
            <w:tcW w:w="1559" w:type="dxa"/>
            <w:vMerge w:val="restart"/>
            <w:vAlign w:val="center"/>
          </w:tcPr>
          <w:p w14:paraId="1E82A75A">
            <w:pPr>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管理功能</w:t>
            </w:r>
          </w:p>
        </w:tc>
        <w:tc>
          <w:tcPr>
            <w:tcW w:w="6033" w:type="dxa"/>
            <w:shd w:val="clear" w:color="auto" w:fill="auto"/>
            <w:vAlign w:val="center"/>
          </w:tcPr>
          <w:p w14:paraId="155AF21A">
            <w:pP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配置带外管理功能，支持远程控制服务器开关机，远程虚拟媒体，智能故障诊断等功能</w:t>
            </w:r>
          </w:p>
        </w:tc>
      </w:tr>
      <w:tr w14:paraId="3452F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709" w:type="dxa"/>
            <w:vMerge w:val="continue"/>
            <w:vAlign w:val="center"/>
          </w:tcPr>
          <w:p w14:paraId="7080AE3A">
            <w:pPr>
              <w:jc w:val="center"/>
              <w:rPr>
                <w:rFonts w:asciiTheme="minorEastAsia" w:hAnsiTheme="minorEastAsia" w:eastAsiaTheme="minorEastAsia"/>
                <w:color w:val="000000" w:themeColor="text1"/>
                <w:sz w:val="24"/>
                <w14:textFill>
                  <w14:solidFill>
                    <w14:schemeClr w14:val="tx1"/>
                  </w14:solidFill>
                </w14:textFill>
              </w:rPr>
            </w:pPr>
          </w:p>
        </w:tc>
        <w:tc>
          <w:tcPr>
            <w:tcW w:w="1559" w:type="dxa"/>
            <w:vMerge w:val="continue"/>
            <w:vAlign w:val="center"/>
          </w:tcPr>
          <w:p w14:paraId="13A8E0FB">
            <w:pPr>
              <w:jc w:val="center"/>
              <w:rPr>
                <w:rFonts w:asciiTheme="minorEastAsia" w:hAnsiTheme="minorEastAsia" w:eastAsiaTheme="minorEastAsia"/>
                <w:color w:val="000000" w:themeColor="text1"/>
                <w:sz w:val="24"/>
                <w14:textFill>
                  <w14:solidFill>
                    <w14:schemeClr w14:val="tx1"/>
                  </w14:solidFill>
                </w14:textFill>
              </w:rPr>
            </w:pPr>
          </w:p>
        </w:tc>
        <w:tc>
          <w:tcPr>
            <w:tcW w:w="6033" w:type="dxa"/>
            <w:shd w:val="clear" w:color="auto" w:fill="auto"/>
            <w:vAlign w:val="center"/>
          </w:tcPr>
          <w:p w14:paraId="50CBC50A">
            <w:pPr>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支持对于服务器带外BMC密码托管，实现定期按照规则进行修改，确保服务器BMC密码的安全性</w:t>
            </w:r>
          </w:p>
        </w:tc>
      </w:tr>
      <w:tr w14:paraId="0F7F9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709" w:type="dxa"/>
            <w:vMerge w:val="continue"/>
            <w:vAlign w:val="center"/>
          </w:tcPr>
          <w:p w14:paraId="0993AAB1">
            <w:pPr>
              <w:jc w:val="center"/>
              <w:rPr>
                <w:rFonts w:asciiTheme="minorEastAsia" w:hAnsiTheme="minorEastAsia" w:eastAsiaTheme="minorEastAsia"/>
                <w:color w:val="000000" w:themeColor="text1"/>
                <w:sz w:val="24"/>
                <w14:textFill>
                  <w14:solidFill>
                    <w14:schemeClr w14:val="tx1"/>
                  </w14:solidFill>
                </w14:textFill>
              </w:rPr>
            </w:pPr>
          </w:p>
        </w:tc>
        <w:tc>
          <w:tcPr>
            <w:tcW w:w="1559" w:type="dxa"/>
            <w:vMerge w:val="continue"/>
            <w:vAlign w:val="center"/>
          </w:tcPr>
          <w:p w14:paraId="0107F470">
            <w:pPr>
              <w:jc w:val="center"/>
              <w:rPr>
                <w:rFonts w:asciiTheme="minorEastAsia" w:hAnsiTheme="minorEastAsia" w:eastAsiaTheme="minorEastAsia"/>
                <w:color w:val="000000" w:themeColor="text1"/>
                <w:sz w:val="24"/>
                <w14:textFill>
                  <w14:solidFill>
                    <w14:schemeClr w14:val="tx1"/>
                  </w14:solidFill>
                </w14:textFill>
              </w:rPr>
            </w:pPr>
          </w:p>
        </w:tc>
        <w:tc>
          <w:tcPr>
            <w:tcW w:w="6033" w:type="dxa"/>
            <w:shd w:val="clear" w:color="auto" w:fill="auto"/>
            <w:vAlign w:val="center"/>
          </w:tcPr>
          <w:p w14:paraId="29391FA4">
            <w:pPr>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支持备件的统一管理，涵盖整机及备件信息的详尽记录，实现用户对服务器及资产的全生命周期管理需求，帮助用户提升运维效率</w:t>
            </w:r>
          </w:p>
        </w:tc>
      </w:tr>
    </w:tbl>
    <w:p w14:paraId="6C8F9D7C">
      <w:pPr>
        <w:tabs>
          <w:tab w:val="left" w:pos="1350"/>
        </w:tabs>
        <w:spacing w:line="360" w:lineRule="auto"/>
        <w:rPr>
          <w:sz w:val="24"/>
        </w:rPr>
      </w:pPr>
    </w:p>
    <w:p w14:paraId="772F8DF3">
      <w:pPr>
        <w:widowControl/>
        <w:jc w:val="left"/>
        <w:rPr>
          <w:sz w:val="24"/>
        </w:rPr>
      </w:pPr>
      <w:r>
        <w:rPr>
          <w:sz w:val="24"/>
        </w:rPr>
        <w:br w:type="page"/>
      </w:r>
    </w:p>
    <w:p w14:paraId="4F794B4D">
      <w:pPr>
        <w:pStyle w:val="16"/>
        <w:numPr>
          <w:ilvl w:val="0"/>
          <w:numId w:val="1"/>
        </w:numPr>
        <w:tabs>
          <w:tab w:val="left" w:pos="1350"/>
        </w:tabs>
        <w:spacing w:line="360" w:lineRule="auto"/>
        <w:ind w:firstLineChars="0"/>
        <w:rPr>
          <w:sz w:val="24"/>
        </w:rPr>
      </w:pPr>
      <w:r>
        <w:rPr>
          <w:rFonts w:hint="eastAsia"/>
          <w:sz w:val="24"/>
        </w:rPr>
        <w:t>高性能存储</w:t>
      </w:r>
    </w:p>
    <w:tbl>
      <w:tblPr>
        <w:tblStyle w:val="7"/>
        <w:tblW w:w="5071"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1455"/>
        <w:gridCol w:w="6313"/>
      </w:tblGrid>
      <w:tr w14:paraId="7D0B0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506" w:type="pct"/>
            <w:shd w:val="clear" w:color="auto" w:fill="auto"/>
          </w:tcPr>
          <w:p w14:paraId="348ACD86">
            <w:pPr>
              <w:ind w:left="46"/>
              <w:jc w:val="center"/>
              <w:rPr>
                <w:rFonts w:asciiTheme="minorEastAsia" w:hAnsiTheme="minorEastAsia" w:eastAsiaTheme="minorEastAsia"/>
                <w:b/>
                <w:sz w:val="24"/>
              </w:rPr>
            </w:pPr>
            <w:r>
              <w:rPr>
                <w:rFonts w:hint="eastAsia" w:asciiTheme="minorEastAsia" w:hAnsiTheme="minorEastAsia" w:eastAsiaTheme="minorEastAsia"/>
                <w:b/>
                <w:sz w:val="24"/>
              </w:rPr>
              <w:t>序号</w:t>
            </w:r>
          </w:p>
        </w:tc>
        <w:tc>
          <w:tcPr>
            <w:tcW w:w="842" w:type="pct"/>
            <w:shd w:val="clear" w:color="auto" w:fill="auto"/>
          </w:tcPr>
          <w:p w14:paraId="4BFB584F">
            <w:pPr>
              <w:ind w:left="46"/>
              <w:jc w:val="center"/>
              <w:rPr>
                <w:rFonts w:asciiTheme="minorEastAsia" w:hAnsiTheme="minorEastAsia" w:eastAsiaTheme="minorEastAsia"/>
                <w:b/>
                <w:sz w:val="24"/>
              </w:rPr>
            </w:pPr>
            <w:r>
              <w:rPr>
                <w:rFonts w:hint="eastAsia" w:asciiTheme="minorEastAsia" w:hAnsiTheme="minorEastAsia" w:eastAsiaTheme="minorEastAsia"/>
                <w:b/>
                <w:sz w:val="24"/>
              </w:rPr>
              <w:t>指标项</w:t>
            </w:r>
          </w:p>
        </w:tc>
        <w:tc>
          <w:tcPr>
            <w:tcW w:w="3652" w:type="pct"/>
            <w:shd w:val="clear" w:color="auto" w:fill="auto"/>
          </w:tcPr>
          <w:p w14:paraId="0477A53F">
            <w:pPr>
              <w:ind w:left="46"/>
              <w:jc w:val="center"/>
              <w:rPr>
                <w:rFonts w:asciiTheme="minorEastAsia" w:hAnsiTheme="minorEastAsia" w:eastAsiaTheme="minorEastAsia"/>
                <w:b/>
                <w:sz w:val="24"/>
              </w:rPr>
            </w:pPr>
            <w:r>
              <w:rPr>
                <w:rFonts w:hint="eastAsia" w:asciiTheme="minorEastAsia" w:hAnsiTheme="minorEastAsia" w:eastAsiaTheme="minorEastAsia"/>
                <w:b/>
                <w:sz w:val="24"/>
              </w:rPr>
              <w:t>技术规格要求</w:t>
            </w:r>
          </w:p>
        </w:tc>
      </w:tr>
      <w:tr w14:paraId="74673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4" w:hRule="atLeast"/>
        </w:trPr>
        <w:tc>
          <w:tcPr>
            <w:tcW w:w="506" w:type="pct"/>
            <w:shd w:val="clear" w:color="auto" w:fill="auto"/>
            <w:vAlign w:val="center"/>
          </w:tcPr>
          <w:p w14:paraId="2C11900A">
            <w:pPr>
              <w:widowControl/>
              <w:jc w:val="center"/>
              <w:rPr>
                <w:rFonts w:asciiTheme="minorEastAsia" w:hAnsiTheme="minorEastAsia" w:eastAsiaTheme="minorEastAsia"/>
                <w:bCs/>
                <w:kern w:val="0"/>
                <w:sz w:val="24"/>
              </w:rPr>
            </w:pPr>
            <w:r>
              <w:rPr>
                <w:rFonts w:hint="eastAsia" w:asciiTheme="minorEastAsia" w:hAnsiTheme="minorEastAsia" w:eastAsiaTheme="minorEastAsia"/>
                <w:bCs/>
                <w:sz w:val="24"/>
              </w:rPr>
              <w:t>1</w:t>
            </w:r>
          </w:p>
        </w:tc>
        <w:tc>
          <w:tcPr>
            <w:tcW w:w="842" w:type="pct"/>
            <w:shd w:val="clear" w:color="auto" w:fill="auto"/>
            <w:vAlign w:val="center"/>
          </w:tcPr>
          <w:p w14:paraId="38CF8D73">
            <w:pPr>
              <w:jc w:val="center"/>
              <w:rPr>
                <w:rFonts w:asciiTheme="minorEastAsia" w:hAnsiTheme="minorEastAsia" w:eastAsiaTheme="minorEastAsia"/>
                <w:kern w:val="0"/>
                <w:sz w:val="24"/>
              </w:rPr>
            </w:pPr>
            <w:r>
              <w:rPr>
                <w:rFonts w:hint="eastAsia" w:asciiTheme="minorEastAsia" w:hAnsiTheme="minorEastAsia" w:eastAsiaTheme="minorEastAsia"/>
                <w:kern w:val="0"/>
                <w:sz w:val="24"/>
              </w:rPr>
              <w:t>总体要求</w:t>
            </w:r>
          </w:p>
        </w:tc>
        <w:tc>
          <w:tcPr>
            <w:tcW w:w="3652" w:type="pct"/>
            <w:shd w:val="clear" w:color="auto" w:fill="auto"/>
          </w:tcPr>
          <w:p w14:paraId="0D724900">
            <w:pPr>
              <w:rPr>
                <w:rFonts w:asciiTheme="minorEastAsia" w:hAnsiTheme="minorEastAsia" w:eastAsiaTheme="minorEastAsia"/>
                <w:bCs/>
                <w:kern w:val="0"/>
                <w:sz w:val="24"/>
              </w:rPr>
            </w:pPr>
            <w:r>
              <w:rPr>
                <w:rFonts w:hint="eastAsia" w:asciiTheme="minorEastAsia" w:hAnsiTheme="minorEastAsia" w:eastAsiaTheme="minorEastAsia"/>
                <w:color w:val="000000" w:themeColor="text1"/>
                <w:kern w:val="0"/>
                <w:sz w:val="24"/>
                <w14:textFill>
                  <w14:solidFill>
                    <w14:schemeClr w14:val="tx1"/>
                  </w14:solidFill>
                </w14:textFill>
              </w:rPr>
              <w:t>存储需为软硬一体产品</w:t>
            </w:r>
          </w:p>
        </w:tc>
      </w:tr>
      <w:tr w14:paraId="75E5F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6" w:type="pct"/>
            <w:vAlign w:val="center"/>
          </w:tcPr>
          <w:p w14:paraId="37DFE721">
            <w:pPr>
              <w:widowControl/>
              <w:jc w:val="center"/>
              <w:rPr>
                <w:rFonts w:asciiTheme="minorEastAsia" w:hAnsiTheme="minorEastAsia" w:eastAsiaTheme="minorEastAsia"/>
                <w:bCs/>
                <w:kern w:val="0"/>
                <w:sz w:val="24"/>
              </w:rPr>
            </w:pPr>
            <w:r>
              <w:rPr>
                <w:rFonts w:hint="eastAsia" w:asciiTheme="minorEastAsia" w:hAnsiTheme="minorEastAsia" w:eastAsiaTheme="minorEastAsia"/>
                <w:sz w:val="24"/>
              </w:rPr>
              <w:t>2</w:t>
            </w:r>
          </w:p>
        </w:tc>
        <w:tc>
          <w:tcPr>
            <w:tcW w:w="842" w:type="pct"/>
            <w:shd w:val="clear" w:color="auto" w:fill="auto"/>
            <w:vAlign w:val="center"/>
          </w:tcPr>
          <w:p w14:paraId="23B2B5A1">
            <w:pPr>
              <w:jc w:val="center"/>
              <w:rPr>
                <w:rFonts w:asciiTheme="minorEastAsia" w:hAnsiTheme="minorEastAsia" w:eastAsiaTheme="minorEastAsia"/>
                <w:kern w:val="0"/>
                <w:sz w:val="24"/>
              </w:rPr>
            </w:pPr>
            <w:r>
              <w:rPr>
                <w:rFonts w:hint="eastAsia" w:asciiTheme="minorEastAsia" w:hAnsiTheme="minorEastAsia" w:eastAsiaTheme="minorEastAsia"/>
                <w:kern w:val="0"/>
                <w:sz w:val="24"/>
              </w:rPr>
              <w:t>体系架构</w:t>
            </w:r>
          </w:p>
        </w:tc>
        <w:tc>
          <w:tcPr>
            <w:tcW w:w="3652" w:type="pct"/>
            <w:shd w:val="clear" w:color="auto" w:fill="auto"/>
          </w:tcPr>
          <w:p w14:paraId="19EEB6C2">
            <w:pPr>
              <w:rPr>
                <w:rFonts w:asciiTheme="minorEastAsia" w:hAnsiTheme="minorEastAsia" w:eastAsiaTheme="minorEastAsia"/>
                <w:kern w:val="0"/>
                <w:sz w:val="24"/>
              </w:rPr>
            </w:pPr>
            <w:r>
              <w:rPr>
                <w:rFonts w:hint="eastAsia" w:asciiTheme="minorEastAsia" w:hAnsiTheme="minorEastAsia" w:eastAsiaTheme="minorEastAsia"/>
                <w:b/>
                <w:bCs/>
                <w:kern w:val="0"/>
                <w:sz w:val="24"/>
              </w:rPr>
              <w:t>▲</w:t>
            </w:r>
            <w:r>
              <w:rPr>
                <w:rFonts w:hint="eastAsia" w:asciiTheme="minorEastAsia" w:hAnsiTheme="minorEastAsia" w:eastAsiaTheme="minorEastAsia"/>
                <w:kern w:val="0"/>
                <w:sz w:val="24"/>
              </w:rPr>
              <w:t>采用全对称分布式架构，元数据和数据的融合部署到存储节点上，无需专用管理节点（元数据节点或索引节点），</w:t>
            </w:r>
            <w:r>
              <w:rPr>
                <w:rFonts w:hint="eastAsia" w:asciiTheme="minorEastAsia" w:hAnsiTheme="minorEastAsia" w:eastAsiaTheme="minorEastAsia"/>
                <w:sz w:val="24"/>
                <w:lang w:eastAsia="zh-CN"/>
              </w:rPr>
              <w:t>提供</w:t>
            </w:r>
            <w:r>
              <w:rPr>
                <w:rFonts w:hint="eastAsia" w:asciiTheme="minorEastAsia" w:hAnsiTheme="minorEastAsia" w:eastAsiaTheme="minorEastAsia"/>
                <w:sz w:val="24"/>
              </w:rPr>
              <w:t>技术支持资料</w:t>
            </w:r>
          </w:p>
        </w:tc>
      </w:tr>
      <w:tr w14:paraId="17AB2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506" w:type="pct"/>
            <w:vAlign w:val="center"/>
          </w:tcPr>
          <w:p w14:paraId="13776A80">
            <w:pPr>
              <w:widowControl/>
              <w:jc w:val="center"/>
              <w:rPr>
                <w:rFonts w:asciiTheme="minorEastAsia" w:hAnsiTheme="minorEastAsia" w:eastAsiaTheme="minorEastAsia"/>
                <w:bCs/>
                <w:kern w:val="0"/>
                <w:sz w:val="24"/>
              </w:rPr>
            </w:pPr>
            <w:r>
              <w:rPr>
                <w:rFonts w:hint="eastAsia" w:asciiTheme="minorEastAsia" w:hAnsiTheme="minorEastAsia" w:eastAsiaTheme="minorEastAsia"/>
                <w:sz w:val="24"/>
              </w:rPr>
              <w:t>3</w:t>
            </w:r>
          </w:p>
        </w:tc>
        <w:tc>
          <w:tcPr>
            <w:tcW w:w="842" w:type="pct"/>
            <w:shd w:val="clear" w:color="auto" w:fill="auto"/>
            <w:vAlign w:val="center"/>
          </w:tcPr>
          <w:p w14:paraId="673D67DF">
            <w:pPr>
              <w:jc w:val="center"/>
              <w:rPr>
                <w:rFonts w:asciiTheme="minorEastAsia" w:hAnsiTheme="minorEastAsia" w:eastAsiaTheme="minorEastAsia"/>
                <w:kern w:val="0"/>
                <w:sz w:val="24"/>
              </w:rPr>
            </w:pPr>
            <w:r>
              <w:rPr>
                <w:rFonts w:hint="eastAsia" w:asciiTheme="minorEastAsia" w:hAnsiTheme="minorEastAsia" w:eastAsiaTheme="minorEastAsia"/>
                <w:kern w:val="0"/>
                <w:sz w:val="24"/>
              </w:rPr>
              <w:t>存储协议</w:t>
            </w:r>
          </w:p>
        </w:tc>
        <w:tc>
          <w:tcPr>
            <w:tcW w:w="3652" w:type="pct"/>
            <w:shd w:val="clear" w:color="auto" w:fill="auto"/>
          </w:tcPr>
          <w:p w14:paraId="39C6B8C5">
            <w:pPr>
              <w:rPr>
                <w:rFonts w:asciiTheme="minorEastAsia" w:hAnsiTheme="minorEastAsia" w:eastAsiaTheme="minorEastAsia"/>
                <w:kern w:val="0"/>
                <w:sz w:val="24"/>
              </w:rPr>
            </w:pPr>
            <w:r>
              <w:rPr>
                <w:rFonts w:hint="eastAsia" w:asciiTheme="minorEastAsia" w:hAnsiTheme="minorEastAsia" w:eastAsiaTheme="minorEastAsia"/>
                <w:kern w:val="0"/>
                <w:sz w:val="24"/>
              </w:rPr>
              <w:t>支持NFS、CIFS、FTP、HTTP、POSIX、OpenStack、HDFS</w:t>
            </w:r>
            <w:r>
              <w:rPr>
                <w:rFonts w:asciiTheme="minorEastAsia" w:hAnsiTheme="minorEastAsia" w:eastAsiaTheme="minorEastAsia"/>
                <w:kern w:val="0"/>
                <w:sz w:val="24"/>
              </w:rPr>
              <w:t>等协议，支持CS</w:t>
            </w:r>
            <w:r>
              <w:rPr>
                <w:rFonts w:hint="eastAsia" w:asciiTheme="minorEastAsia" w:hAnsiTheme="minorEastAsia" w:eastAsiaTheme="minorEastAsia"/>
                <w:kern w:val="0"/>
                <w:sz w:val="24"/>
              </w:rPr>
              <w:t>I接口</w:t>
            </w:r>
          </w:p>
        </w:tc>
      </w:tr>
      <w:tr w14:paraId="4B25F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6" w:type="pct"/>
            <w:vAlign w:val="center"/>
          </w:tcPr>
          <w:p w14:paraId="1B09CA08">
            <w:pPr>
              <w:widowControl/>
              <w:jc w:val="center"/>
              <w:rPr>
                <w:rFonts w:asciiTheme="minorEastAsia" w:hAnsiTheme="minorEastAsia" w:eastAsiaTheme="minorEastAsia"/>
                <w:bCs/>
                <w:kern w:val="0"/>
                <w:sz w:val="24"/>
              </w:rPr>
            </w:pPr>
            <w:r>
              <w:rPr>
                <w:rFonts w:hint="eastAsia" w:asciiTheme="minorEastAsia" w:hAnsiTheme="minorEastAsia" w:eastAsiaTheme="minorEastAsia"/>
                <w:sz w:val="24"/>
              </w:rPr>
              <w:t>4</w:t>
            </w:r>
          </w:p>
        </w:tc>
        <w:tc>
          <w:tcPr>
            <w:tcW w:w="842" w:type="pct"/>
            <w:shd w:val="clear" w:color="auto" w:fill="auto"/>
            <w:vAlign w:val="center"/>
          </w:tcPr>
          <w:p w14:paraId="619842FC">
            <w:pPr>
              <w:jc w:val="center"/>
              <w:rPr>
                <w:rFonts w:asciiTheme="minorEastAsia" w:hAnsiTheme="minorEastAsia" w:eastAsiaTheme="minorEastAsia"/>
                <w:kern w:val="0"/>
                <w:sz w:val="24"/>
              </w:rPr>
            </w:pPr>
            <w:r>
              <w:rPr>
                <w:rFonts w:hint="eastAsia" w:asciiTheme="minorEastAsia" w:hAnsiTheme="minorEastAsia" w:eastAsiaTheme="minorEastAsia"/>
                <w:kern w:val="0"/>
                <w:sz w:val="24"/>
              </w:rPr>
              <w:t>数据安全</w:t>
            </w:r>
          </w:p>
        </w:tc>
        <w:tc>
          <w:tcPr>
            <w:tcW w:w="3652" w:type="pct"/>
            <w:shd w:val="clear" w:color="auto" w:fill="auto"/>
          </w:tcPr>
          <w:p w14:paraId="294EB296">
            <w:pPr>
              <w:rPr>
                <w:rFonts w:asciiTheme="minorEastAsia" w:hAnsiTheme="minorEastAsia" w:eastAsiaTheme="minorEastAsia"/>
                <w:kern w:val="0"/>
                <w:sz w:val="24"/>
              </w:rPr>
            </w:pPr>
            <w:r>
              <w:rPr>
                <w:rFonts w:hint="eastAsia" w:asciiTheme="minorEastAsia" w:hAnsiTheme="minorEastAsia" w:eastAsiaTheme="minorEastAsia"/>
                <w:b/>
                <w:bCs/>
                <w:kern w:val="0"/>
                <w:sz w:val="24"/>
              </w:rPr>
              <w:t>▲</w:t>
            </w:r>
            <w:r>
              <w:rPr>
                <w:rFonts w:hint="eastAsia" w:asciiTheme="minorEastAsia" w:hAnsiTheme="minorEastAsia" w:eastAsiaTheme="minorEastAsia"/>
                <w:kern w:val="0"/>
                <w:sz w:val="24"/>
              </w:rPr>
              <w:t>支持</w:t>
            </w:r>
            <w:r>
              <w:rPr>
                <w:rFonts w:asciiTheme="minorEastAsia" w:hAnsiTheme="minorEastAsia" w:eastAsiaTheme="minorEastAsia"/>
                <w:kern w:val="0"/>
                <w:sz w:val="24"/>
              </w:rPr>
              <w:t>3副本、4副本、4+2P、4+3P、8+2P、8+3P数据冗余保护机制，并支持在</w:t>
            </w:r>
            <w:r>
              <w:rPr>
                <w:rFonts w:hint="eastAsia" w:asciiTheme="minorEastAsia" w:hAnsiTheme="minorEastAsia" w:eastAsiaTheme="minorEastAsia"/>
                <w:kern w:val="0"/>
                <w:sz w:val="24"/>
              </w:rPr>
              <w:t>线更改数据保护机制，</w:t>
            </w:r>
            <w:r>
              <w:rPr>
                <w:rFonts w:hint="eastAsia" w:asciiTheme="minorEastAsia" w:hAnsiTheme="minorEastAsia" w:eastAsiaTheme="minorEastAsia"/>
                <w:sz w:val="24"/>
                <w:lang w:eastAsia="zh-CN"/>
              </w:rPr>
              <w:t>提供</w:t>
            </w:r>
            <w:r>
              <w:rPr>
                <w:rFonts w:hint="eastAsia" w:asciiTheme="minorEastAsia" w:hAnsiTheme="minorEastAsia" w:eastAsiaTheme="minorEastAsia"/>
                <w:sz w:val="24"/>
              </w:rPr>
              <w:t>技术支持资料</w:t>
            </w:r>
          </w:p>
        </w:tc>
      </w:tr>
      <w:tr w14:paraId="0395A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6" w:hRule="atLeast"/>
        </w:trPr>
        <w:tc>
          <w:tcPr>
            <w:tcW w:w="506" w:type="pct"/>
            <w:vAlign w:val="center"/>
          </w:tcPr>
          <w:p w14:paraId="0A02A6EB">
            <w:pPr>
              <w:widowControl/>
              <w:jc w:val="center"/>
              <w:rPr>
                <w:rFonts w:asciiTheme="minorEastAsia" w:hAnsiTheme="minorEastAsia" w:eastAsiaTheme="minorEastAsia"/>
                <w:bCs/>
                <w:kern w:val="0"/>
                <w:sz w:val="24"/>
              </w:rPr>
            </w:pPr>
            <w:r>
              <w:rPr>
                <w:rFonts w:hint="eastAsia" w:asciiTheme="minorEastAsia" w:hAnsiTheme="minorEastAsia" w:eastAsiaTheme="minorEastAsia"/>
                <w:sz w:val="24"/>
              </w:rPr>
              <w:t>5</w:t>
            </w:r>
          </w:p>
        </w:tc>
        <w:tc>
          <w:tcPr>
            <w:tcW w:w="842" w:type="pct"/>
            <w:shd w:val="clear" w:color="auto" w:fill="auto"/>
            <w:vAlign w:val="center"/>
          </w:tcPr>
          <w:p w14:paraId="22CA4224">
            <w:pPr>
              <w:jc w:val="center"/>
              <w:rPr>
                <w:rFonts w:asciiTheme="minorEastAsia" w:hAnsiTheme="minorEastAsia" w:eastAsiaTheme="minorEastAsia"/>
                <w:kern w:val="0"/>
                <w:sz w:val="24"/>
              </w:rPr>
            </w:pPr>
            <w:r>
              <w:rPr>
                <w:rFonts w:hint="eastAsia" w:asciiTheme="minorEastAsia" w:hAnsiTheme="minorEastAsia" w:eastAsiaTheme="minorEastAsia"/>
                <w:kern w:val="0"/>
                <w:sz w:val="24"/>
              </w:rPr>
              <w:t>扩展性</w:t>
            </w:r>
          </w:p>
        </w:tc>
        <w:tc>
          <w:tcPr>
            <w:tcW w:w="3652" w:type="pct"/>
            <w:shd w:val="clear" w:color="auto" w:fill="auto"/>
          </w:tcPr>
          <w:p w14:paraId="44581E78">
            <w:pPr>
              <w:rPr>
                <w:rFonts w:asciiTheme="minorEastAsia" w:hAnsiTheme="minorEastAsia" w:eastAsiaTheme="minorEastAsia"/>
                <w:kern w:val="0"/>
                <w:sz w:val="24"/>
              </w:rPr>
            </w:pPr>
            <w:r>
              <w:rPr>
                <w:rFonts w:hint="eastAsia" w:asciiTheme="minorEastAsia" w:hAnsiTheme="minorEastAsia" w:eastAsiaTheme="minorEastAsia"/>
                <w:kern w:val="0"/>
                <w:sz w:val="24"/>
              </w:rPr>
              <w:t>存储集群支持扩展节点≥10</w:t>
            </w:r>
            <w:r>
              <w:rPr>
                <w:rFonts w:asciiTheme="minorEastAsia" w:hAnsiTheme="minorEastAsia" w:eastAsiaTheme="minorEastAsia"/>
                <w:kern w:val="0"/>
                <w:sz w:val="24"/>
              </w:rPr>
              <w:t>000节点</w:t>
            </w:r>
          </w:p>
        </w:tc>
      </w:tr>
      <w:tr w14:paraId="728CF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6" w:type="pct"/>
            <w:vAlign w:val="center"/>
          </w:tcPr>
          <w:p w14:paraId="205BB8FC">
            <w:pPr>
              <w:widowControl/>
              <w:jc w:val="center"/>
              <w:rPr>
                <w:rFonts w:asciiTheme="minorEastAsia" w:hAnsiTheme="minorEastAsia" w:eastAsiaTheme="minorEastAsia"/>
                <w:bCs/>
                <w:kern w:val="0"/>
                <w:sz w:val="24"/>
              </w:rPr>
            </w:pPr>
            <w:r>
              <w:rPr>
                <w:rFonts w:hint="eastAsia" w:asciiTheme="minorEastAsia" w:hAnsiTheme="minorEastAsia" w:eastAsiaTheme="minorEastAsia"/>
                <w:sz w:val="24"/>
              </w:rPr>
              <w:t>6</w:t>
            </w:r>
          </w:p>
        </w:tc>
        <w:tc>
          <w:tcPr>
            <w:tcW w:w="842" w:type="pct"/>
            <w:shd w:val="clear" w:color="auto" w:fill="auto"/>
            <w:vAlign w:val="center"/>
          </w:tcPr>
          <w:p w14:paraId="79D4589C">
            <w:pPr>
              <w:jc w:val="center"/>
              <w:rPr>
                <w:rFonts w:asciiTheme="minorEastAsia" w:hAnsiTheme="minorEastAsia" w:eastAsiaTheme="minorEastAsia"/>
                <w:kern w:val="0"/>
                <w:sz w:val="24"/>
              </w:rPr>
            </w:pPr>
            <w:r>
              <w:rPr>
                <w:rFonts w:hint="eastAsia" w:asciiTheme="minorEastAsia" w:hAnsiTheme="minorEastAsia" w:eastAsiaTheme="minorEastAsia"/>
                <w:kern w:val="0"/>
                <w:sz w:val="24"/>
              </w:rPr>
              <w:t>GPU服务</w:t>
            </w:r>
          </w:p>
        </w:tc>
        <w:tc>
          <w:tcPr>
            <w:tcW w:w="3652" w:type="pct"/>
            <w:shd w:val="clear" w:color="auto" w:fill="auto"/>
          </w:tcPr>
          <w:p w14:paraId="62585A4C">
            <w:pPr>
              <w:rPr>
                <w:rFonts w:asciiTheme="minorEastAsia" w:hAnsiTheme="minorEastAsia" w:eastAsiaTheme="minorEastAsia"/>
                <w:kern w:val="0"/>
                <w:sz w:val="24"/>
              </w:rPr>
            </w:pPr>
            <w:r>
              <w:rPr>
                <w:rFonts w:hint="eastAsia" w:asciiTheme="minorEastAsia" w:hAnsiTheme="minorEastAsia" w:eastAsiaTheme="minorEastAsia"/>
                <w:b/>
                <w:bCs/>
                <w:kern w:val="0"/>
                <w:sz w:val="24"/>
              </w:rPr>
              <w:t>▲</w:t>
            </w:r>
            <w:r>
              <w:rPr>
                <w:rFonts w:hint="eastAsia" w:asciiTheme="minorEastAsia" w:hAnsiTheme="minorEastAsia" w:eastAsiaTheme="minorEastAsia"/>
                <w:kern w:val="0"/>
                <w:sz w:val="24"/>
              </w:rPr>
              <w:t>支持</w:t>
            </w:r>
            <w:r>
              <w:rPr>
                <w:rFonts w:asciiTheme="minorEastAsia" w:hAnsiTheme="minorEastAsia" w:eastAsiaTheme="minorEastAsia"/>
                <w:kern w:val="0"/>
                <w:sz w:val="24"/>
              </w:rPr>
              <w:t>GDS（GPU Direct）功能，即从GPU卡直通读写，数据可不经过CPU、内存直接从存储放入到GPU应用程序内存中，性能更优</w:t>
            </w:r>
            <w:r>
              <w:rPr>
                <w:rFonts w:hint="eastAsia" w:asciiTheme="minorEastAsia" w:hAnsiTheme="minorEastAsia" w:eastAsiaTheme="minorEastAsia"/>
                <w:kern w:val="0"/>
                <w:sz w:val="24"/>
              </w:rPr>
              <w:t>，</w:t>
            </w:r>
            <w:r>
              <w:rPr>
                <w:rFonts w:hint="eastAsia" w:asciiTheme="minorEastAsia" w:hAnsiTheme="minorEastAsia" w:eastAsiaTheme="minorEastAsia"/>
                <w:sz w:val="24"/>
                <w:lang w:eastAsia="zh-CN"/>
              </w:rPr>
              <w:t>提供</w:t>
            </w:r>
            <w:r>
              <w:rPr>
                <w:rFonts w:hint="eastAsia" w:asciiTheme="minorEastAsia" w:hAnsiTheme="minorEastAsia" w:eastAsiaTheme="minorEastAsia"/>
                <w:sz w:val="24"/>
              </w:rPr>
              <w:t>技术支持资料</w:t>
            </w:r>
          </w:p>
        </w:tc>
      </w:tr>
      <w:tr w14:paraId="5C103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506" w:type="pct"/>
            <w:vAlign w:val="center"/>
          </w:tcPr>
          <w:p w14:paraId="252F506A">
            <w:pPr>
              <w:widowControl/>
              <w:jc w:val="center"/>
              <w:rPr>
                <w:rFonts w:asciiTheme="minorEastAsia" w:hAnsiTheme="minorEastAsia" w:eastAsiaTheme="minorEastAsia"/>
                <w:bCs/>
                <w:kern w:val="0"/>
                <w:sz w:val="24"/>
              </w:rPr>
            </w:pPr>
            <w:r>
              <w:rPr>
                <w:rFonts w:hint="eastAsia" w:asciiTheme="minorEastAsia" w:hAnsiTheme="minorEastAsia" w:eastAsiaTheme="minorEastAsia"/>
                <w:sz w:val="24"/>
              </w:rPr>
              <w:t>7</w:t>
            </w:r>
          </w:p>
        </w:tc>
        <w:tc>
          <w:tcPr>
            <w:tcW w:w="842" w:type="pct"/>
            <w:vAlign w:val="center"/>
          </w:tcPr>
          <w:p w14:paraId="232CBFC3">
            <w:pPr>
              <w:jc w:val="center"/>
              <w:rPr>
                <w:rFonts w:asciiTheme="minorEastAsia" w:hAnsiTheme="minorEastAsia" w:eastAsiaTheme="minorEastAsia"/>
                <w:kern w:val="0"/>
                <w:sz w:val="24"/>
              </w:rPr>
            </w:pPr>
            <w:r>
              <w:rPr>
                <w:rFonts w:hint="eastAsia" w:asciiTheme="minorEastAsia" w:hAnsiTheme="minorEastAsia" w:eastAsiaTheme="minorEastAsia"/>
                <w:kern w:val="0"/>
                <w:sz w:val="24"/>
              </w:rPr>
              <w:t>数据分层</w:t>
            </w:r>
          </w:p>
        </w:tc>
        <w:tc>
          <w:tcPr>
            <w:tcW w:w="3652" w:type="pct"/>
            <w:shd w:val="clear" w:color="auto" w:fill="auto"/>
          </w:tcPr>
          <w:p w14:paraId="06C559BC">
            <w:pPr>
              <w:rPr>
                <w:rFonts w:asciiTheme="minorEastAsia" w:hAnsiTheme="minorEastAsia" w:eastAsiaTheme="minorEastAsia"/>
                <w:kern w:val="0"/>
                <w:sz w:val="24"/>
              </w:rPr>
            </w:pPr>
            <w:r>
              <w:rPr>
                <w:rFonts w:hint="eastAsia" w:asciiTheme="minorEastAsia" w:hAnsiTheme="minorEastAsia" w:eastAsiaTheme="minorEastAsia"/>
                <w:kern w:val="0"/>
                <w:sz w:val="24"/>
              </w:rPr>
              <w:t>▲可基于策略自动在闪存池、</w:t>
            </w:r>
            <w:r>
              <w:rPr>
                <w:rFonts w:asciiTheme="minorEastAsia" w:hAnsiTheme="minorEastAsia" w:eastAsiaTheme="minorEastAsia"/>
                <w:kern w:val="0"/>
                <w:sz w:val="24"/>
              </w:rPr>
              <w:t>HDD池、对象、蓝光、磁带进行存储，实现数据全生命周期管理</w:t>
            </w:r>
            <w:r>
              <w:rPr>
                <w:rFonts w:hint="eastAsia" w:asciiTheme="minorEastAsia" w:hAnsiTheme="minorEastAsia" w:eastAsiaTheme="minorEastAsia"/>
                <w:kern w:val="0"/>
                <w:sz w:val="24"/>
              </w:rPr>
              <w:t>，</w:t>
            </w:r>
            <w:r>
              <w:rPr>
                <w:rFonts w:hint="eastAsia" w:asciiTheme="minorEastAsia" w:hAnsiTheme="minorEastAsia" w:eastAsiaTheme="minorEastAsia"/>
                <w:sz w:val="24"/>
                <w:lang w:eastAsia="zh-CN"/>
              </w:rPr>
              <w:t>提供</w:t>
            </w:r>
            <w:r>
              <w:rPr>
                <w:rFonts w:hint="eastAsia" w:asciiTheme="minorEastAsia" w:hAnsiTheme="minorEastAsia" w:eastAsiaTheme="minorEastAsia"/>
                <w:sz w:val="24"/>
              </w:rPr>
              <w:t>技术支持资料</w:t>
            </w:r>
          </w:p>
        </w:tc>
      </w:tr>
      <w:tr w14:paraId="51DD1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6" w:type="pct"/>
            <w:vAlign w:val="center"/>
          </w:tcPr>
          <w:p w14:paraId="74F91F45">
            <w:pPr>
              <w:widowControl/>
              <w:jc w:val="center"/>
              <w:rPr>
                <w:rFonts w:asciiTheme="minorEastAsia" w:hAnsiTheme="minorEastAsia" w:eastAsiaTheme="minorEastAsia"/>
                <w:bCs/>
                <w:kern w:val="0"/>
                <w:sz w:val="24"/>
              </w:rPr>
            </w:pPr>
            <w:r>
              <w:rPr>
                <w:rFonts w:hint="eastAsia" w:asciiTheme="minorEastAsia" w:hAnsiTheme="minorEastAsia" w:eastAsiaTheme="minorEastAsia"/>
                <w:sz w:val="24"/>
              </w:rPr>
              <w:t>8</w:t>
            </w:r>
          </w:p>
        </w:tc>
        <w:tc>
          <w:tcPr>
            <w:tcW w:w="842" w:type="pct"/>
            <w:vAlign w:val="center"/>
          </w:tcPr>
          <w:p w14:paraId="14319C5F">
            <w:pPr>
              <w:jc w:val="center"/>
              <w:rPr>
                <w:rFonts w:asciiTheme="minorEastAsia" w:hAnsiTheme="minorEastAsia" w:eastAsiaTheme="minorEastAsia"/>
                <w:kern w:val="0"/>
                <w:sz w:val="24"/>
              </w:rPr>
            </w:pPr>
            <w:r>
              <w:rPr>
                <w:rFonts w:hint="eastAsia" w:asciiTheme="minorEastAsia" w:hAnsiTheme="minorEastAsia" w:eastAsiaTheme="minorEastAsia"/>
                <w:kern w:val="0"/>
                <w:sz w:val="24"/>
              </w:rPr>
              <w:t>配额</w:t>
            </w:r>
          </w:p>
        </w:tc>
        <w:tc>
          <w:tcPr>
            <w:tcW w:w="3652" w:type="pct"/>
            <w:shd w:val="clear" w:color="auto" w:fill="auto"/>
          </w:tcPr>
          <w:p w14:paraId="4E489731">
            <w:pPr>
              <w:rPr>
                <w:rFonts w:asciiTheme="minorEastAsia" w:hAnsiTheme="minorEastAsia" w:eastAsiaTheme="minorEastAsia"/>
                <w:kern w:val="0"/>
                <w:sz w:val="24"/>
              </w:rPr>
            </w:pPr>
            <w:r>
              <w:rPr>
                <w:rFonts w:hint="eastAsia" w:asciiTheme="minorEastAsia" w:hAnsiTheme="minorEastAsia" w:eastAsiaTheme="minorEastAsia"/>
                <w:kern w:val="0"/>
                <w:sz w:val="24"/>
              </w:rPr>
              <w:t>支持用户配额、用户组配额和</w:t>
            </w:r>
            <w:r>
              <w:rPr>
                <w:rFonts w:asciiTheme="minorEastAsia" w:hAnsiTheme="minorEastAsia" w:eastAsiaTheme="minorEastAsia"/>
                <w:kern w:val="0"/>
                <w:sz w:val="24"/>
              </w:rPr>
              <w:t>FileSet配额管理，允许限制存储空间使用和文件数</w:t>
            </w:r>
          </w:p>
        </w:tc>
      </w:tr>
      <w:tr w14:paraId="52877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trPr>
        <w:tc>
          <w:tcPr>
            <w:tcW w:w="506" w:type="pct"/>
            <w:vAlign w:val="center"/>
          </w:tcPr>
          <w:p w14:paraId="29295685">
            <w:pPr>
              <w:widowControl/>
              <w:jc w:val="center"/>
              <w:rPr>
                <w:rFonts w:asciiTheme="minorEastAsia" w:hAnsiTheme="minorEastAsia" w:eastAsiaTheme="minorEastAsia"/>
                <w:bCs/>
                <w:kern w:val="0"/>
                <w:sz w:val="24"/>
              </w:rPr>
            </w:pPr>
            <w:r>
              <w:rPr>
                <w:rFonts w:hint="eastAsia" w:asciiTheme="minorEastAsia" w:hAnsiTheme="minorEastAsia" w:eastAsiaTheme="minorEastAsia"/>
                <w:sz w:val="24"/>
              </w:rPr>
              <w:t>9</w:t>
            </w:r>
          </w:p>
        </w:tc>
        <w:tc>
          <w:tcPr>
            <w:tcW w:w="842" w:type="pct"/>
            <w:vAlign w:val="center"/>
          </w:tcPr>
          <w:p w14:paraId="31E8E291">
            <w:pPr>
              <w:jc w:val="center"/>
              <w:rPr>
                <w:rFonts w:asciiTheme="minorEastAsia" w:hAnsiTheme="minorEastAsia" w:eastAsiaTheme="minorEastAsia"/>
                <w:kern w:val="0"/>
                <w:sz w:val="24"/>
              </w:rPr>
            </w:pPr>
            <w:r>
              <w:rPr>
                <w:rFonts w:hint="eastAsia" w:asciiTheme="minorEastAsia" w:hAnsiTheme="minorEastAsia" w:eastAsiaTheme="minorEastAsia"/>
                <w:kern w:val="0"/>
                <w:sz w:val="24"/>
              </w:rPr>
              <w:t>双活</w:t>
            </w:r>
          </w:p>
        </w:tc>
        <w:tc>
          <w:tcPr>
            <w:tcW w:w="3652" w:type="pct"/>
            <w:shd w:val="clear" w:color="auto" w:fill="auto"/>
          </w:tcPr>
          <w:p w14:paraId="4E489BA2">
            <w:pPr>
              <w:rPr>
                <w:rFonts w:asciiTheme="minorEastAsia" w:hAnsiTheme="minorEastAsia" w:eastAsiaTheme="minorEastAsia"/>
                <w:kern w:val="0"/>
                <w:sz w:val="24"/>
              </w:rPr>
            </w:pPr>
            <w:r>
              <w:rPr>
                <w:rFonts w:hint="eastAsia" w:asciiTheme="minorEastAsia" w:hAnsiTheme="minorEastAsia" w:eastAsiaTheme="minorEastAsia"/>
                <w:bCs/>
                <w:kern w:val="0"/>
                <w:sz w:val="24"/>
              </w:rPr>
              <w:t>支持站点级存储双活，当任意一个站点故障时，另外一个站点可接管所有业务确保用户业务连续性和数据安全，</w:t>
            </w:r>
            <w:r>
              <w:rPr>
                <w:rFonts w:hint="eastAsia" w:asciiTheme="minorEastAsia" w:hAnsiTheme="minorEastAsia" w:eastAsiaTheme="minorEastAsia"/>
                <w:kern w:val="0"/>
                <w:sz w:val="24"/>
              </w:rPr>
              <w:t>提供证明材料</w:t>
            </w:r>
          </w:p>
        </w:tc>
      </w:tr>
      <w:tr w14:paraId="13DC9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6" w:type="pct"/>
            <w:vAlign w:val="center"/>
          </w:tcPr>
          <w:p w14:paraId="30E8CA12">
            <w:pPr>
              <w:widowControl/>
              <w:jc w:val="center"/>
              <w:rPr>
                <w:rFonts w:asciiTheme="minorEastAsia" w:hAnsiTheme="minorEastAsia" w:eastAsiaTheme="minorEastAsia"/>
                <w:bCs/>
                <w:kern w:val="0"/>
                <w:sz w:val="24"/>
              </w:rPr>
            </w:pPr>
            <w:r>
              <w:rPr>
                <w:rFonts w:hint="eastAsia" w:asciiTheme="minorEastAsia" w:hAnsiTheme="minorEastAsia" w:eastAsiaTheme="minorEastAsia"/>
                <w:sz w:val="24"/>
              </w:rPr>
              <w:t>1</w:t>
            </w:r>
            <w:r>
              <w:rPr>
                <w:rFonts w:asciiTheme="minorEastAsia" w:hAnsiTheme="minorEastAsia" w:eastAsiaTheme="minorEastAsia"/>
                <w:sz w:val="24"/>
              </w:rPr>
              <w:t>0</w:t>
            </w:r>
          </w:p>
        </w:tc>
        <w:tc>
          <w:tcPr>
            <w:tcW w:w="842" w:type="pct"/>
            <w:vAlign w:val="center"/>
          </w:tcPr>
          <w:p w14:paraId="6D9CD114">
            <w:pPr>
              <w:jc w:val="center"/>
              <w:rPr>
                <w:rFonts w:asciiTheme="minorEastAsia" w:hAnsiTheme="minorEastAsia" w:eastAsiaTheme="minorEastAsia"/>
                <w:kern w:val="0"/>
                <w:sz w:val="24"/>
              </w:rPr>
            </w:pPr>
            <w:r>
              <w:rPr>
                <w:rFonts w:asciiTheme="minorEastAsia" w:hAnsiTheme="minorEastAsia" w:eastAsiaTheme="minorEastAsia"/>
                <w:kern w:val="0"/>
                <w:sz w:val="24"/>
              </w:rPr>
              <w:t>QoS</w:t>
            </w:r>
          </w:p>
        </w:tc>
        <w:tc>
          <w:tcPr>
            <w:tcW w:w="3652" w:type="pct"/>
            <w:shd w:val="clear" w:color="auto" w:fill="auto"/>
          </w:tcPr>
          <w:p w14:paraId="340DE37A">
            <w:pPr>
              <w:rPr>
                <w:rFonts w:asciiTheme="minorEastAsia" w:hAnsiTheme="minorEastAsia" w:eastAsiaTheme="minorEastAsia"/>
                <w:kern w:val="0"/>
                <w:sz w:val="24"/>
              </w:rPr>
            </w:pPr>
            <w:r>
              <w:rPr>
                <w:rFonts w:hint="eastAsia" w:asciiTheme="minorEastAsia" w:hAnsiTheme="minorEastAsia" w:eastAsiaTheme="minorEastAsia"/>
                <w:kern w:val="0"/>
                <w:sz w:val="24"/>
              </w:rPr>
              <w:t>所投产品支持</w:t>
            </w:r>
            <w:r>
              <w:rPr>
                <w:rFonts w:asciiTheme="minorEastAsia" w:hAnsiTheme="minorEastAsia" w:eastAsiaTheme="minorEastAsia"/>
                <w:kern w:val="0"/>
                <w:sz w:val="24"/>
              </w:rPr>
              <w:t>QoS性能服务质量管理，可以进行性能限速，保障关键业务性能</w:t>
            </w:r>
          </w:p>
        </w:tc>
      </w:tr>
      <w:tr w14:paraId="1029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506" w:type="pct"/>
            <w:vAlign w:val="center"/>
          </w:tcPr>
          <w:p w14:paraId="10E10C16">
            <w:pPr>
              <w:widowControl/>
              <w:jc w:val="center"/>
              <w:rPr>
                <w:rFonts w:asciiTheme="minorEastAsia" w:hAnsiTheme="minorEastAsia" w:eastAsiaTheme="minorEastAsia"/>
                <w:bCs/>
                <w:kern w:val="0"/>
                <w:sz w:val="24"/>
              </w:rPr>
            </w:pPr>
            <w:r>
              <w:rPr>
                <w:rFonts w:hint="eastAsia" w:asciiTheme="minorEastAsia" w:hAnsiTheme="minorEastAsia" w:eastAsiaTheme="minorEastAsia"/>
                <w:sz w:val="24"/>
              </w:rPr>
              <w:t>1</w:t>
            </w:r>
            <w:r>
              <w:rPr>
                <w:rFonts w:asciiTheme="minorEastAsia" w:hAnsiTheme="minorEastAsia" w:eastAsiaTheme="minorEastAsia"/>
                <w:sz w:val="24"/>
              </w:rPr>
              <w:t>1</w:t>
            </w:r>
          </w:p>
        </w:tc>
        <w:tc>
          <w:tcPr>
            <w:tcW w:w="842" w:type="pct"/>
            <w:vAlign w:val="center"/>
          </w:tcPr>
          <w:p w14:paraId="24996B81">
            <w:pPr>
              <w:jc w:val="center"/>
              <w:rPr>
                <w:rFonts w:asciiTheme="minorEastAsia" w:hAnsiTheme="minorEastAsia" w:eastAsiaTheme="minorEastAsia"/>
                <w:kern w:val="0"/>
                <w:sz w:val="24"/>
              </w:rPr>
            </w:pPr>
            <w:r>
              <w:rPr>
                <w:rFonts w:hint="eastAsia" w:asciiTheme="minorEastAsia" w:hAnsiTheme="minorEastAsia" w:eastAsiaTheme="minorEastAsia"/>
                <w:kern w:val="0"/>
                <w:sz w:val="24"/>
              </w:rPr>
              <w:t>数据重构</w:t>
            </w:r>
          </w:p>
        </w:tc>
        <w:tc>
          <w:tcPr>
            <w:tcW w:w="3652" w:type="pct"/>
            <w:shd w:val="clear" w:color="auto" w:fill="auto"/>
          </w:tcPr>
          <w:p w14:paraId="2CBE0097">
            <w:pPr>
              <w:rPr>
                <w:rFonts w:asciiTheme="minorEastAsia" w:hAnsiTheme="minorEastAsia" w:eastAsiaTheme="minorEastAsia"/>
                <w:kern w:val="0"/>
                <w:sz w:val="24"/>
              </w:rPr>
            </w:pPr>
            <w:r>
              <w:rPr>
                <w:rFonts w:hint="eastAsia" w:asciiTheme="minorEastAsia" w:hAnsiTheme="minorEastAsia" w:eastAsiaTheme="minorEastAsia"/>
                <w:kern w:val="0"/>
                <w:sz w:val="24"/>
              </w:rPr>
              <w:t>硬盘或节点失效可自动触发数据重构，重构过程无需管理员干预，可调整数据恢复优先级</w:t>
            </w:r>
          </w:p>
        </w:tc>
      </w:tr>
      <w:tr w14:paraId="61CF1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506" w:type="pct"/>
            <w:vAlign w:val="center"/>
          </w:tcPr>
          <w:p w14:paraId="2254D057">
            <w:pPr>
              <w:widowControl/>
              <w:jc w:val="center"/>
              <w:rPr>
                <w:rFonts w:asciiTheme="minorEastAsia" w:hAnsiTheme="minorEastAsia" w:eastAsiaTheme="minorEastAsia"/>
                <w:bCs/>
                <w:kern w:val="0"/>
                <w:sz w:val="24"/>
              </w:rPr>
            </w:pPr>
            <w:r>
              <w:rPr>
                <w:rFonts w:hint="eastAsia" w:asciiTheme="minorEastAsia" w:hAnsiTheme="minorEastAsia" w:eastAsiaTheme="minorEastAsia"/>
                <w:sz w:val="24"/>
              </w:rPr>
              <w:t>1</w:t>
            </w:r>
            <w:r>
              <w:rPr>
                <w:rFonts w:asciiTheme="minorEastAsia" w:hAnsiTheme="minorEastAsia" w:eastAsiaTheme="minorEastAsia"/>
                <w:sz w:val="24"/>
              </w:rPr>
              <w:t>2</w:t>
            </w:r>
          </w:p>
        </w:tc>
        <w:tc>
          <w:tcPr>
            <w:tcW w:w="842" w:type="pct"/>
            <w:shd w:val="clear" w:color="auto" w:fill="auto"/>
            <w:vAlign w:val="center"/>
          </w:tcPr>
          <w:p w14:paraId="2AC94CA2">
            <w:pPr>
              <w:jc w:val="center"/>
              <w:rPr>
                <w:rFonts w:asciiTheme="minorEastAsia" w:hAnsiTheme="minorEastAsia" w:eastAsiaTheme="minorEastAsia"/>
                <w:kern w:val="0"/>
                <w:sz w:val="24"/>
              </w:rPr>
            </w:pPr>
            <w:r>
              <w:rPr>
                <w:rFonts w:hint="eastAsia" w:asciiTheme="minorEastAsia" w:hAnsiTheme="minorEastAsia" w:eastAsiaTheme="minorEastAsia"/>
                <w:kern w:val="0"/>
                <w:sz w:val="24"/>
              </w:rPr>
              <w:t>数据盘</w:t>
            </w:r>
          </w:p>
        </w:tc>
        <w:tc>
          <w:tcPr>
            <w:tcW w:w="3652" w:type="pct"/>
            <w:shd w:val="clear" w:color="auto" w:fill="auto"/>
          </w:tcPr>
          <w:p w14:paraId="078DB115">
            <w:pPr>
              <w:rPr>
                <w:rFonts w:asciiTheme="minorEastAsia" w:hAnsiTheme="minorEastAsia" w:eastAsiaTheme="minorEastAsia"/>
                <w:kern w:val="0"/>
                <w:sz w:val="24"/>
              </w:rPr>
            </w:pPr>
            <w:r>
              <w:rPr>
                <w:rFonts w:hint="eastAsia" w:asciiTheme="minorEastAsia" w:hAnsiTheme="minorEastAsia" w:eastAsiaTheme="minorEastAsia"/>
                <w:kern w:val="0"/>
                <w:sz w:val="24"/>
              </w:rPr>
              <w:t>▲数据盘需为N</w:t>
            </w:r>
            <w:r>
              <w:rPr>
                <w:rFonts w:asciiTheme="minorEastAsia" w:hAnsiTheme="minorEastAsia" w:eastAsiaTheme="minorEastAsia"/>
                <w:kern w:val="0"/>
                <w:sz w:val="24"/>
              </w:rPr>
              <w:t>VM</w:t>
            </w:r>
            <w:r>
              <w:rPr>
                <w:rFonts w:hint="eastAsia" w:asciiTheme="minorEastAsia" w:hAnsiTheme="minorEastAsia" w:eastAsiaTheme="minorEastAsia"/>
                <w:kern w:val="0"/>
                <w:sz w:val="24"/>
              </w:rPr>
              <w:t>e</w:t>
            </w:r>
            <w:r>
              <w:rPr>
                <w:rFonts w:asciiTheme="minorEastAsia" w:hAnsiTheme="minorEastAsia" w:eastAsiaTheme="minorEastAsia"/>
                <w:kern w:val="0"/>
                <w:sz w:val="24"/>
              </w:rPr>
              <w:t xml:space="preserve"> SSD</w:t>
            </w:r>
            <w:r>
              <w:rPr>
                <w:rFonts w:hint="eastAsia" w:asciiTheme="minorEastAsia" w:hAnsiTheme="minorEastAsia" w:eastAsiaTheme="minorEastAsia"/>
                <w:kern w:val="0"/>
                <w:sz w:val="24"/>
              </w:rPr>
              <w:t>，单块数据盘容量≥7</w:t>
            </w:r>
            <w:r>
              <w:rPr>
                <w:rFonts w:asciiTheme="minorEastAsia" w:hAnsiTheme="minorEastAsia" w:eastAsiaTheme="minorEastAsia"/>
                <w:kern w:val="0"/>
                <w:sz w:val="24"/>
              </w:rPr>
              <w:t>.68TB</w:t>
            </w:r>
            <w:r>
              <w:rPr>
                <w:rFonts w:hint="eastAsia"/>
                <w:sz w:val="24"/>
              </w:rPr>
              <w:t>，128KB 最高顺序读取性能7000MB/s，128KB最高顺序写入性能 5000MB/s，</w:t>
            </w:r>
            <w:r>
              <w:rPr>
                <w:rFonts w:hint="eastAsia" w:asciiTheme="minorEastAsia" w:hAnsiTheme="minorEastAsia" w:eastAsiaTheme="minorEastAsia"/>
                <w:sz w:val="24"/>
                <w:lang w:eastAsia="zh-CN"/>
              </w:rPr>
              <w:t>提供</w:t>
            </w:r>
            <w:r>
              <w:rPr>
                <w:rFonts w:hint="eastAsia" w:asciiTheme="minorEastAsia" w:hAnsiTheme="minorEastAsia" w:eastAsiaTheme="minorEastAsia"/>
                <w:sz w:val="24"/>
              </w:rPr>
              <w:t>技术支持资料</w:t>
            </w:r>
          </w:p>
        </w:tc>
      </w:tr>
      <w:tr w14:paraId="4B1A5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7" w:hRule="atLeast"/>
        </w:trPr>
        <w:tc>
          <w:tcPr>
            <w:tcW w:w="506" w:type="pct"/>
            <w:vAlign w:val="center"/>
          </w:tcPr>
          <w:p w14:paraId="41351976">
            <w:pPr>
              <w:widowControl/>
              <w:jc w:val="center"/>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3</w:t>
            </w:r>
          </w:p>
        </w:tc>
        <w:tc>
          <w:tcPr>
            <w:tcW w:w="842" w:type="pct"/>
            <w:shd w:val="clear" w:color="auto" w:fill="auto"/>
            <w:vAlign w:val="center"/>
          </w:tcPr>
          <w:p w14:paraId="2D1EAA72">
            <w:pPr>
              <w:jc w:val="center"/>
              <w:rPr>
                <w:rFonts w:asciiTheme="minorEastAsia" w:hAnsiTheme="minorEastAsia" w:eastAsiaTheme="minorEastAsia"/>
                <w:kern w:val="0"/>
                <w:sz w:val="24"/>
              </w:rPr>
            </w:pPr>
            <w:r>
              <w:rPr>
                <w:rFonts w:hint="eastAsia" w:asciiTheme="minorEastAsia" w:hAnsiTheme="minorEastAsia" w:eastAsiaTheme="minorEastAsia"/>
                <w:kern w:val="0"/>
                <w:sz w:val="24"/>
              </w:rPr>
              <w:t>容量</w:t>
            </w:r>
          </w:p>
        </w:tc>
        <w:tc>
          <w:tcPr>
            <w:tcW w:w="3652" w:type="pct"/>
            <w:shd w:val="clear" w:color="auto" w:fill="auto"/>
          </w:tcPr>
          <w:p w14:paraId="0C7DA472">
            <w:pPr>
              <w:rPr>
                <w:sz w:val="24"/>
              </w:rPr>
            </w:pPr>
            <w:r>
              <w:rPr>
                <w:rFonts w:hint="eastAsia"/>
                <w:sz w:val="24"/>
              </w:rPr>
              <w:t>★高性能存储数据盘总裸容量≥1</w:t>
            </w:r>
            <w:r>
              <w:rPr>
                <w:sz w:val="24"/>
              </w:rPr>
              <w:t>80TB</w:t>
            </w:r>
            <w:r>
              <w:rPr>
                <w:rFonts w:hint="eastAsia"/>
                <w:sz w:val="24"/>
              </w:rPr>
              <w:t>，</w:t>
            </w:r>
            <w:r>
              <w:rPr>
                <w:rFonts w:hint="eastAsia" w:asciiTheme="minorEastAsia" w:hAnsiTheme="minorEastAsia" w:eastAsiaTheme="minorEastAsia"/>
                <w:kern w:val="0"/>
                <w:sz w:val="24"/>
              </w:rPr>
              <w:t>配置相应存储软件许可，</w:t>
            </w:r>
            <w:r>
              <w:rPr>
                <w:rFonts w:hint="eastAsia" w:asciiTheme="minorEastAsia" w:hAnsiTheme="minorEastAsia" w:eastAsiaTheme="minorEastAsia"/>
                <w:sz w:val="24"/>
                <w:lang w:eastAsia="zh-CN"/>
              </w:rPr>
              <w:t>提供</w:t>
            </w:r>
            <w:r>
              <w:rPr>
                <w:rFonts w:hint="eastAsia" w:asciiTheme="minorEastAsia" w:hAnsiTheme="minorEastAsia" w:eastAsiaTheme="minorEastAsia"/>
                <w:sz w:val="24"/>
              </w:rPr>
              <w:t>技术支持资料</w:t>
            </w:r>
          </w:p>
        </w:tc>
      </w:tr>
      <w:tr w14:paraId="4D891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6" w:type="pct"/>
            <w:vAlign w:val="center"/>
          </w:tcPr>
          <w:p w14:paraId="60D943CB">
            <w:pPr>
              <w:widowControl/>
              <w:jc w:val="center"/>
              <w:rPr>
                <w:rFonts w:asciiTheme="minorEastAsia" w:hAnsiTheme="minorEastAsia" w:eastAsiaTheme="minorEastAsia"/>
                <w:bCs/>
                <w:kern w:val="0"/>
                <w:sz w:val="24"/>
              </w:rPr>
            </w:pPr>
            <w:r>
              <w:rPr>
                <w:rFonts w:hint="eastAsia" w:asciiTheme="minorEastAsia" w:hAnsiTheme="minorEastAsia" w:eastAsiaTheme="minorEastAsia"/>
                <w:sz w:val="24"/>
              </w:rPr>
              <w:t>1</w:t>
            </w:r>
            <w:r>
              <w:rPr>
                <w:rFonts w:asciiTheme="minorEastAsia" w:hAnsiTheme="minorEastAsia" w:eastAsiaTheme="minorEastAsia"/>
                <w:sz w:val="24"/>
              </w:rPr>
              <w:t>4</w:t>
            </w:r>
          </w:p>
        </w:tc>
        <w:tc>
          <w:tcPr>
            <w:tcW w:w="842" w:type="pct"/>
            <w:shd w:val="clear" w:color="auto" w:fill="auto"/>
            <w:vAlign w:val="center"/>
          </w:tcPr>
          <w:p w14:paraId="0A0AA3A2">
            <w:pPr>
              <w:jc w:val="center"/>
              <w:rPr>
                <w:rFonts w:asciiTheme="minorEastAsia" w:hAnsiTheme="minorEastAsia" w:eastAsiaTheme="minorEastAsia"/>
                <w:kern w:val="0"/>
                <w:sz w:val="24"/>
              </w:rPr>
            </w:pPr>
            <w:r>
              <w:rPr>
                <w:rFonts w:hint="eastAsia" w:asciiTheme="minorEastAsia" w:hAnsiTheme="minorEastAsia" w:eastAsiaTheme="minorEastAsia"/>
                <w:kern w:val="0"/>
                <w:sz w:val="24"/>
              </w:rPr>
              <w:t>C</w:t>
            </w:r>
            <w:r>
              <w:rPr>
                <w:rFonts w:asciiTheme="minorEastAsia" w:hAnsiTheme="minorEastAsia" w:eastAsiaTheme="minorEastAsia"/>
                <w:kern w:val="0"/>
                <w:sz w:val="24"/>
              </w:rPr>
              <w:t>PU</w:t>
            </w:r>
          </w:p>
        </w:tc>
        <w:tc>
          <w:tcPr>
            <w:tcW w:w="3652" w:type="pct"/>
            <w:shd w:val="clear" w:color="auto" w:fill="auto"/>
          </w:tcPr>
          <w:p w14:paraId="55342C02">
            <w:pPr>
              <w:rPr>
                <w:rFonts w:asciiTheme="minorEastAsia" w:hAnsiTheme="minorEastAsia" w:eastAsiaTheme="minorEastAsia"/>
                <w:kern w:val="0"/>
                <w:sz w:val="24"/>
              </w:rPr>
            </w:pPr>
            <w:r>
              <w:rPr>
                <w:rFonts w:hint="eastAsia" w:asciiTheme="minorEastAsia" w:hAnsiTheme="minorEastAsia" w:eastAsiaTheme="minorEastAsia"/>
                <w:color w:val="000000" w:themeColor="text1"/>
                <w:kern w:val="0"/>
                <w:sz w:val="24"/>
                <w14:textFill>
                  <w14:solidFill>
                    <w14:schemeClr w14:val="tx1"/>
                  </w14:solidFill>
                </w14:textFill>
              </w:rPr>
              <w:t>每节点配置2颗处理器，</w:t>
            </w:r>
            <w:r>
              <w:rPr>
                <w:rFonts w:hint="eastAsia" w:asciiTheme="minorEastAsia" w:hAnsiTheme="minorEastAsia" w:eastAsiaTheme="minorEastAsia"/>
                <w:color w:val="000000" w:themeColor="text1"/>
                <w:sz w:val="24"/>
                <w14:textFill>
                  <w14:solidFill>
                    <w14:schemeClr w14:val="tx1"/>
                  </w14:solidFill>
                </w14:textFill>
              </w:rPr>
              <w:t>单颗处理器满足：</w:t>
            </w:r>
            <w:r>
              <w:rPr>
                <w:rFonts w:hint="eastAsia" w:asciiTheme="minorEastAsia" w:hAnsiTheme="minorEastAsia" w:eastAsiaTheme="minorEastAsia"/>
                <w:color w:val="000000" w:themeColor="text1"/>
                <w:kern w:val="0"/>
                <w:sz w:val="24"/>
                <w14:textFill>
                  <w14:solidFill>
                    <w14:schemeClr w14:val="tx1"/>
                  </w14:solidFill>
                </w14:textFill>
              </w:rPr>
              <w:t>主频≥2.1GHz,核心数≥32核，</w:t>
            </w:r>
            <w:r>
              <w:rPr>
                <w:rFonts w:hint="eastAsia" w:asciiTheme="minorEastAsia" w:hAnsiTheme="minorEastAsia" w:eastAsiaTheme="minorEastAsia"/>
                <w:color w:val="000000" w:themeColor="text1"/>
                <w:sz w:val="24"/>
                <w14:textFill>
                  <w14:solidFill>
                    <w14:schemeClr w14:val="tx1"/>
                  </w14:solidFill>
                </w14:textFill>
              </w:rPr>
              <w:t>支持AVX</w:t>
            </w:r>
            <w:r>
              <w:rPr>
                <w:rFonts w:asciiTheme="minorEastAsia" w:hAnsiTheme="minorEastAsia" w:eastAsiaTheme="minorEastAsia"/>
                <w:color w:val="000000" w:themeColor="text1"/>
                <w:sz w:val="24"/>
                <w14:textFill>
                  <w14:solidFill>
                    <w14:schemeClr w14:val="tx1"/>
                  </w14:solidFill>
                </w14:textFill>
              </w:rPr>
              <w:t>512</w:t>
            </w:r>
            <w:r>
              <w:rPr>
                <w:rFonts w:hint="eastAsia" w:asciiTheme="minorEastAsia" w:hAnsiTheme="minorEastAsia" w:eastAsiaTheme="minorEastAsia"/>
                <w:color w:val="000000" w:themeColor="text1"/>
                <w:sz w:val="24"/>
                <w14:textFill>
                  <w14:solidFill>
                    <w14:schemeClr w14:val="tx1"/>
                  </w14:solidFill>
                </w14:textFill>
              </w:rPr>
              <w:t>，AMX等指令集</w:t>
            </w:r>
          </w:p>
        </w:tc>
      </w:tr>
      <w:tr w14:paraId="70129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3" w:hRule="atLeast"/>
        </w:trPr>
        <w:tc>
          <w:tcPr>
            <w:tcW w:w="506" w:type="pct"/>
            <w:vAlign w:val="center"/>
          </w:tcPr>
          <w:p w14:paraId="256B627B">
            <w:pPr>
              <w:widowControl/>
              <w:jc w:val="center"/>
              <w:rPr>
                <w:rFonts w:asciiTheme="minorEastAsia" w:hAnsiTheme="minorEastAsia" w:eastAsiaTheme="minorEastAsia"/>
                <w:bCs/>
                <w:kern w:val="0"/>
                <w:sz w:val="24"/>
              </w:rPr>
            </w:pPr>
            <w:r>
              <w:rPr>
                <w:rFonts w:hint="eastAsia" w:asciiTheme="minorEastAsia" w:hAnsiTheme="minorEastAsia" w:eastAsiaTheme="minorEastAsia"/>
                <w:kern w:val="0"/>
                <w:sz w:val="24"/>
              </w:rPr>
              <w:t>1</w:t>
            </w:r>
            <w:r>
              <w:rPr>
                <w:rFonts w:asciiTheme="minorEastAsia" w:hAnsiTheme="minorEastAsia" w:eastAsiaTheme="minorEastAsia"/>
                <w:kern w:val="0"/>
                <w:sz w:val="24"/>
              </w:rPr>
              <w:t>5</w:t>
            </w:r>
          </w:p>
        </w:tc>
        <w:tc>
          <w:tcPr>
            <w:tcW w:w="842" w:type="pct"/>
            <w:shd w:val="clear" w:color="auto" w:fill="auto"/>
            <w:vAlign w:val="center"/>
          </w:tcPr>
          <w:p w14:paraId="23ADC0E2">
            <w:pPr>
              <w:jc w:val="center"/>
              <w:rPr>
                <w:rFonts w:asciiTheme="minorEastAsia" w:hAnsiTheme="minorEastAsia" w:eastAsiaTheme="minorEastAsia"/>
                <w:kern w:val="0"/>
                <w:sz w:val="24"/>
              </w:rPr>
            </w:pPr>
            <w:r>
              <w:rPr>
                <w:rFonts w:hint="eastAsia" w:asciiTheme="minorEastAsia" w:hAnsiTheme="minorEastAsia" w:eastAsiaTheme="minorEastAsia"/>
                <w:kern w:val="0"/>
                <w:sz w:val="24"/>
              </w:rPr>
              <w:t>内存</w:t>
            </w:r>
          </w:p>
        </w:tc>
        <w:tc>
          <w:tcPr>
            <w:tcW w:w="3652" w:type="pct"/>
            <w:shd w:val="clear" w:color="auto" w:fill="auto"/>
          </w:tcPr>
          <w:p w14:paraId="5BCD5A6B">
            <w:pPr>
              <w:rPr>
                <w:rFonts w:asciiTheme="minorEastAsia" w:hAnsiTheme="minorEastAsia" w:eastAsiaTheme="minorEastAsia"/>
                <w:kern w:val="0"/>
                <w:sz w:val="24"/>
              </w:rPr>
            </w:pPr>
            <w:r>
              <w:rPr>
                <w:rFonts w:hint="eastAsia" w:asciiTheme="minorEastAsia" w:hAnsiTheme="minorEastAsia" w:eastAsiaTheme="minorEastAsia"/>
                <w:kern w:val="0"/>
                <w:sz w:val="24"/>
              </w:rPr>
              <w:t>每节点配置≥</w:t>
            </w:r>
            <w:r>
              <w:rPr>
                <w:rFonts w:asciiTheme="minorEastAsia" w:hAnsiTheme="minorEastAsia" w:eastAsiaTheme="minorEastAsia"/>
                <w:kern w:val="0"/>
                <w:sz w:val="24"/>
              </w:rPr>
              <w:t>256</w:t>
            </w:r>
            <w:r>
              <w:rPr>
                <w:rFonts w:hint="eastAsia" w:asciiTheme="minorEastAsia" w:hAnsiTheme="minorEastAsia" w:eastAsiaTheme="minorEastAsia"/>
                <w:kern w:val="0"/>
                <w:sz w:val="24"/>
              </w:rPr>
              <w:t>GB DDR5内存</w:t>
            </w:r>
          </w:p>
        </w:tc>
      </w:tr>
      <w:tr w14:paraId="59A2C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6" w:type="pct"/>
            <w:vAlign w:val="center"/>
          </w:tcPr>
          <w:p w14:paraId="205EED98">
            <w:pPr>
              <w:widowControl/>
              <w:jc w:val="center"/>
              <w:rPr>
                <w:rFonts w:asciiTheme="minorEastAsia" w:hAnsiTheme="minorEastAsia" w:eastAsiaTheme="minorEastAsia"/>
                <w:bCs/>
                <w:kern w:val="0"/>
                <w:sz w:val="24"/>
              </w:rPr>
            </w:pPr>
            <w:r>
              <w:rPr>
                <w:rFonts w:hint="eastAsia" w:asciiTheme="minorEastAsia" w:hAnsiTheme="minorEastAsia" w:eastAsiaTheme="minorEastAsia"/>
                <w:kern w:val="0"/>
                <w:sz w:val="24"/>
              </w:rPr>
              <w:t>1</w:t>
            </w:r>
            <w:r>
              <w:rPr>
                <w:rFonts w:asciiTheme="minorEastAsia" w:hAnsiTheme="minorEastAsia" w:eastAsiaTheme="minorEastAsia"/>
                <w:kern w:val="0"/>
                <w:sz w:val="24"/>
              </w:rPr>
              <w:t>6</w:t>
            </w:r>
          </w:p>
        </w:tc>
        <w:tc>
          <w:tcPr>
            <w:tcW w:w="842" w:type="pct"/>
            <w:shd w:val="clear" w:color="auto" w:fill="auto"/>
            <w:vAlign w:val="center"/>
          </w:tcPr>
          <w:p w14:paraId="74CD93D7">
            <w:pPr>
              <w:jc w:val="center"/>
              <w:rPr>
                <w:rFonts w:asciiTheme="minorEastAsia" w:hAnsiTheme="minorEastAsia" w:eastAsiaTheme="minorEastAsia"/>
                <w:kern w:val="0"/>
                <w:sz w:val="24"/>
              </w:rPr>
            </w:pPr>
            <w:r>
              <w:rPr>
                <w:rFonts w:hint="eastAsia" w:asciiTheme="minorEastAsia" w:hAnsiTheme="minorEastAsia" w:eastAsiaTheme="minorEastAsia"/>
                <w:kern w:val="0"/>
                <w:sz w:val="24"/>
              </w:rPr>
              <w:t>系统盘</w:t>
            </w:r>
          </w:p>
        </w:tc>
        <w:tc>
          <w:tcPr>
            <w:tcW w:w="3652" w:type="pct"/>
            <w:shd w:val="clear" w:color="auto" w:fill="auto"/>
          </w:tcPr>
          <w:p w14:paraId="0DADA515">
            <w:pPr>
              <w:rPr>
                <w:rFonts w:asciiTheme="minorEastAsia" w:hAnsiTheme="minorEastAsia" w:eastAsiaTheme="minorEastAsia"/>
                <w:kern w:val="0"/>
                <w:sz w:val="24"/>
              </w:rPr>
            </w:pPr>
            <w:r>
              <w:rPr>
                <w:rFonts w:hint="eastAsia" w:asciiTheme="minorEastAsia" w:hAnsiTheme="minorEastAsia" w:eastAsiaTheme="minorEastAsia"/>
                <w:kern w:val="0"/>
                <w:sz w:val="24"/>
              </w:rPr>
              <w:t>每节点配置≥2块4</w:t>
            </w:r>
            <w:r>
              <w:rPr>
                <w:rFonts w:asciiTheme="minorEastAsia" w:hAnsiTheme="minorEastAsia" w:eastAsiaTheme="minorEastAsia"/>
                <w:kern w:val="0"/>
                <w:sz w:val="24"/>
              </w:rPr>
              <w:t>80GB SSD</w:t>
            </w:r>
            <w:r>
              <w:rPr>
                <w:rFonts w:hint="eastAsia" w:asciiTheme="minorEastAsia" w:hAnsiTheme="minorEastAsia" w:eastAsiaTheme="minorEastAsia"/>
                <w:kern w:val="0"/>
                <w:sz w:val="24"/>
              </w:rPr>
              <w:t>系统盘</w:t>
            </w:r>
          </w:p>
        </w:tc>
      </w:tr>
      <w:tr w14:paraId="258A9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506" w:type="pct"/>
            <w:vAlign w:val="center"/>
          </w:tcPr>
          <w:p w14:paraId="53E2CE7B">
            <w:pPr>
              <w:widowControl/>
              <w:jc w:val="center"/>
              <w:rPr>
                <w:rFonts w:asciiTheme="minorEastAsia" w:hAnsiTheme="minorEastAsia" w:eastAsiaTheme="minorEastAsia"/>
                <w:kern w:val="0"/>
                <w:sz w:val="24"/>
              </w:rPr>
            </w:pPr>
            <w:r>
              <w:rPr>
                <w:rFonts w:hint="eastAsia" w:asciiTheme="minorEastAsia" w:hAnsiTheme="minorEastAsia" w:eastAsiaTheme="minorEastAsia"/>
                <w:kern w:val="0"/>
                <w:sz w:val="24"/>
              </w:rPr>
              <w:t>1</w:t>
            </w:r>
            <w:r>
              <w:rPr>
                <w:rFonts w:asciiTheme="minorEastAsia" w:hAnsiTheme="minorEastAsia" w:eastAsiaTheme="minorEastAsia"/>
                <w:kern w:val="0"/>
                <w:sz w:val="24"/>
              </w:rPr>
              <w:t>7</w:t>
            </w:r>
          </w:p>
        </w:tc>
        <w:tc>
          <w:tcPr>
            <w:tcW w:w="842" w:type="pct"/>
            <w:shd w:val="clear" w:color="auto" w:fill="auto"/>
            <w:vAlign w:val="center"/>
          </w:tcPr>
          <w:p w14:paraId="3F182FC2">
            <w:pPr>
              <w:jc w:val="center"/>
              <w:rPr>
                <w:rFonts w:asciiTheme="minorEastAsia" w:hAnsiTheme="minorEastAsia" w:eastAsiaTheme="minorEastAsia"/>
                <w:kern w:val="0"/>
                <w:sz w:val="24"/>
              </w:rPr>
            </w:pPr>
            <w:r>
              <w:rPr>
                <w:rFonts w:hint="eastAsia" w:asciiTheme="minorEastAsia" w:hAnsiTheme="minorEastAsia" w:eastAsiaTheme="minorEastAsia"/>
                <w:kern w:val="0"/>
                <w:sz w:val="24"/>
              </w:rPr>
              <w:t>网卡</w:t>
            </w:r>
          </w:p>
        </w:tc>
        <w:tc>
          <w:tcPr>
            <w:tcW w:w="3652" w:type="pct"/>
            <w:shd w:val="clear" w:color="auto" w:fill="auto"/>
            <w:vAlign w:val="center"/>
          </w:tcPr>
          <w:p w14:paraId="1DECEE9C">
            <w:pPr>
              <w:rPr>
                <w:rFonts w:asciiTheme="minorEastAsia" w:hAnsiTheme="minorEastAsia" w:eastAsiaTheme="minorEastAsia"/>
                <w:kern w:val="0"/>
                <w:sz w:val="24"/>
              </w:rPr>
            </w:pPr>
            <w:r>
              <w:rPr>
                <w:rFonts w:hint="eastAsia" w:asciiTheme="minorEastAsia" w:hAnsiTheme="minorEastAsia" w:eastAsiaTheme="minorEastAsia"/>
                <w:kern w:val="0"/>
                <w:sz w:val="24"/>
              </w:rPr>
              <w:t>每节点</w:t>
            </w:r>
            <w:r>
              <w:rPr>
                <w:rFonts w:hint="eastAsia" w:asciiTheme="minorEastAsia" w:hAnsiTheme="minorEastAsia" w:eastAsiaTheme="minorEastAsia"/>
                <w:sz w:val="24"/>
              </w:rPr>
              <w:t>配置≥4</w:t>
            </w:r>
            <w:r>
              <w:rPr>
                <w:rFonts w:asciiTheme="minorEastAsia" w:hAnsiTheme="minorEastAsia" w:eastAsiaTheme="minorEastAsia"/>
                <w:sz w:val="24"/>
              </w:rPr>
              <w:t>个</w:t>
            </w:r>
            <w:r>
              <w:rPr>
                <w:rFonts w:hint="eastAsia" w:asciiTheme="minorEastAsia" w:hAnsiTheme="minorEastAsia" w:eastAsiaTheme="minorEastAsia"/>
                <w:sz w:val="24"/>
              </w:rPr>
              <w:t>千兆电</w:t>
            </w:r>
            <w:r>
              <w:rPr>
                <w:rFonts w:asciiTheme="minorEastAsia" w:hAnsiTheme="minorEastAsia" w:eastAsiaTheme="minorEastAsia"/>
                <w:sz w:val="24"/>
              </w:rPr>
              <w:t>口</w:t>
            </w:r>
          </w:p>
        </w:tc>
      </w:tr>
      <w:tr w14:paraId="029F3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6" w:type="pct"/>
            <w:vAlign w:val="center"/>
          </w:tcPr>
          <w:p w14:paraId="06A4688F">
            <w:pPr>
              <w:widowControl/>
              <w:jc w:val="center"/>
              <w:rPr>
                <w:rFonts w:asciiTheme="minorEastAsia" w:hAnsiTheme="minorEastAsia" w:eastAsiaTheme="minorEastAsia"/>
                <w:kern w:val="0"/>
                <w:sz w:val="24"/>
              </w:rPr>
            </w:pPr>
            <w:r>
              <w:rPr>
                <w:rFonts w:hint="eastAsia" w:asciiTheme="minorEastAsia" w:hAnsiTheme="minorEastAsia" w:eastAsiaTheme="minorEastAsia"/>
                <w:kern w:val="0"/>
                <w:sz w:val="24"/>
              </w:rPr>
              <w:t>1</w:t>
            </w:r>
            <w:r>
              <w:rPr>
                <w:rFonts w:asciiTheme="minorEastAsia" w:hAnsiTheme="minorEastAsia" w:eastAsiaTheme="minorEastAsia"/>
                <w:kern w:val="0"/>
                <w:sz w:val="24"/>
              </w:rPr>
              <w:t>8</w:t>
            </w:r>
          </w:p>
        </w:tc>
        <w:tc>
          <w:tcPr>
            <w:tcW w:w="842" w:type="pct"/>
            <w:shd w:val="clear" w:color="auto" w:fill="auto"/>
            <w:vAlign w:val="center"/>
          </w:tcPr>
          <w:p w14:paraId="6C4BF1BD">
            <w:pPr>
              <w:jc w:val="center"/>
              <w:rPr>
                <w:rFonts w:asciiTheme="minorEastAsia" w:hAnsiTheme="minorEastAsia" w:eastAsiaTheme="minorEastAsia"/>
                <w:kern w:val="0"/>
                <w:sz w:val="24"/>
              </w:rPr>
            </w:pPr>
            <w:r>
              <w:rPr>
                <w:rFonts w:hint="eastAsia" w:asciiTheme="minorEastAsia" w:hAnsiTheme="minorEastAsia" w:eastAsiaTheme="minorEastAsia"/>
                <w:kern w:val="0"/>
                <w:sz w:val="24"/>
              </w:rPr>
              <w:t>高速网卡</w:t>
            </w:r>
          </w:p>
        </w:tc>
        <w:tc>
          <w:tcPr>
            <w:tcW w:w="3652" w:type="pct"/>
            <w:shd w:val="clear" w:color="auto" w:fill="auto"/>
            <w:vAlign w:val="center"/>
          </w:tcPr>
          <w:p w14:paraId="3885DDEA">
            <w:pPr>
              <w:rPr>
                <w:rFonts w:asciiTheme="minorEastAsia" w:hAnsiTheme="minorEastAsia" w:eastAsiaTheme="minorEastAsia"/>
                <w:sz w:val="24"/>
              </w:rPr>
            </w:pPr>
            <w:r>
              <w:rPr>
                <w:rFonts w:hint="eastAsia" w:asciiTheme="minorEastAsia" w:hAnsiTheme="minorEastAsia" w:eastAsiaTheme="minorEastAsia"/>
                <w:kern w:val="0"/>
                <w:sz w:val="24"/>
              </w:rPr>
              <w:t>每节点</w:t>
            </w:r>
            <w:r>
              <w:rPr>
                <w:rFonts w:hint="eastAsia" w:asciiTheme="minorEastAsia" w:hAnsiTheme="minorEastAsia" w:eastAsiaTheme="minorEastAsia"/>
                <w:sz w:val="24"/>
              </w:rPr>
              <w:t>配置≥4</w:t>
            </w:r>
            <w:r>
              <w:rPr>
                <w:rFonts w:asciiTheme="minorEastAsia" w:hAnsiTheme="minorEastAsia" w:eastAsiaTheme="minorEastAsia"/>
                <w:sz w:val="24"/>
              </w:rPr>
              <w:t>个</w:t>
            </w:r>
            <w:r>
              <w:rPr>
                <w:rFonts w:hint="eastAsia" w:asciiTheme="minorEastAsia" w:hAnsiTheme="minorEastAsia" w:eastAsiaTheme="minorEastAsia"/>
                <w:sz w:val="24"/>
              </w:rPr>
              <w:t>HDR</w:t>
            </w:r>
            <w:r>
              <w:rPr>
                <w:rFonts w:asciiTheme="minorEastAsia" w:hAnsiTheme="minorEastAsia" w:eastAsiaTheme="minorEastAsia"/>
                <w:sz w:val="24"/>
              </w:rPr>
              <w:t xml:space="preserve"> </w:t>
            </w:r>
            <w:r>
              <w:rPr>
                <w:rFonts w:hint="eastAsia" w:asciiTheme="minorEastAsia" w:hAnsiTheme="minorEastAsia" w:eastAsiaTheme="minorEastAsia"/>
                <w:sz w:val="24"/>
              </w:rPr>
              <w:t>200G</w:t>
            </w:r>
            <w:r>
              <w:rPr>
                <w:rFonts w:asciiTheme="minorEastAsia" w:hAnsiTheme="minorEastAsia" w:eastAsiaTheme="minorEastAsia"/>
                <w:sz w:val="24"/>
              </w:rPr>
              <w:t>bps</w:t>
            </w:r>
            <w:r>
              <w:rPr>
                <w:rFonts w:hint="eastAsia" w:asciiTheme="minorEastAsia" w:hAnsiTheme="minorEastAsia" w:eastAsiaTheme="minorEastAsia"/>
                <w:sz w:val="24"/>
              </w:rPr>
              <w:t xml:space="preserve"> </w:t>
            </w:r>
            <w:r>
              <w:rPr>
                <w:rFonts w:asciiTheme="minorEastAsia" w:hAnsiTheme="minorEastAsia" w:eastAsiaTheme="minorEastAsia"/>
                <w:sz w:val="24"/>
              </w:rPr>
              <w:t>I</w:t>
            </w:r>
            <w:r>
              <w:rPr>
                <w:rFonts w:hint="eastAsia" w:asciiTheme="minorEastAsia" w:hAnsiTheme="minorEastAsia" w:eastAsiaTheme="minorEastAsia"/>
                <w:sz w:val="24"/>
              </w:rPr>
              <w:t>nfiniBand网口，包含对应光纤线缆</w:t>
            </w:r>
          </w:p>
        </w:tc>
      </w:tr>
      <w:tr w14:paraId="263D8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trPr>
        <w:tc>
          <w:tcPr>
            <w:tcW w:w="506" w:type="pct"/>
            <w:vAlign w:val="center"/>
          </w:tcPr>
          <w:p w14:paraId="508092DA">
            <w:pPr>
              <w:widowControl/>
              <w:jc w:val="center"/>
              <w:rPr>
                <w:rFonts w:asciiTheme="minorEastAsia" w:hAnsiTheme="minorEastAsia" w:eastAsiaTheme="minorEastAsia"/>
                <w:kern w:val="0"/>
                <w:sz w:val="24"/>
              </w:rPr>
            </w:pPr>
            <w:r>
              <w:rPr>
                <w:rFonts w:asciiTheme="minorEastAsia" w:hAnsiTheme="minorEastAsia" w:eastAsiaTheme="minorEastAsia"/>
                <w:kern w:val="0"/>
                <w:sz w:val="24"/>
              </w:rPr>
              <w:t>19</w:t>
            </w:r>
          </w:p>
        </w:tc>
        <w:tc>
          <w:tcPr>
            <w:tcW w:w="842" w:type="pct"/>
            <w:shd w:val="clear" w:color="auto" w:fill="auto"/>
            <w:vAlign w:val="center"/>
          </w:tcPr>
          <w:p w14:paraId="6F8EA2F6">
            <w:pPr>
              <w:jc w:val="center"/>
              <w:rPr>
                <w:rFonts w:asciiTheme="minorEastAsia" w:hAnsiTheme="minorEastAsia" w:eastAsiaTheme="minorEastAsia"/>
                <w:kern w:val="0"/>
                <w:sz w:val="24"/>
              </w:rPr>
            </w:pPr>
            <w:r>
              <w:rPr>
                <w:rFonts w:hint="eastAsia" w:asciiTheme="minorEastAsia" w:hAnsiTheme="minorEastAsia" w:eastAsiaTheme="minorEastAsia"/>
                <w:kern w:val="0"/>
                <w:sz w:val="24"/>
              </w:rPr>
              <w:t>电源</w:t>
            </w:r>
          </w:p>
        </w:tc>
        <w:tc>
          <w:tcPr>
            <w:tcW w:w="3652" w:type="pct"/>
            <w:shd w:val="clear" w:color="auto" w:fill="auto"/>
          </w:tcPr>
          <w:p w14:paraId="4E0EBB8A">
            <w:pPr>
              <w:rPr>
                <w:rFonts w:asciiTheme="minorEastAsia" w:hAnsiTheme="minorEastAsia" w:eastAsiaTheme="minorEastAsia"/>
                <w:kern w:val="0"/>
                <w:sz w:val="24"/>
              </w:rPr>
            </w:pPr>
            <w:r>
              <w:rPr>
                <w:rFonts w:hint="eastAsia" w:asciiTheme="minorEastAsia" w:hAnsiTheme="minorEastAsia" w:eastAsiaTheme="minorEastAsia"/>
                <w:kern w:val="0"/>
                <w:sz w:val="24"/>
              </w:rPr>
              <w:t>每节点配置</w:t>
            </w:r>
            <w:r>
              <w:rPr>
                <w:rFonts w:asciiTheme="minorEastAsia" w:hAnsiTheme="minorEastAsia" w:eastAsiaTheme="minorEastAsia"/>
                <w:kern w:val="0"/>
                <w:sz w:val="24"/>
              </w:rPr>
              <w:t>1+1</w:t>
            </w:r>
            <w:r>
              <w:rPr>
                <w:rFonts w:hint="eastAsia" w:asciiTheme="minorEastAsia" w:hAnsiTheme="minorEastAsia" w:eastAsiaTheme="minorEastAsia"/>
                <w:kern w:val="0"/>
                <w:sz w:val="24"/>
              </w:rPr>
              <w:t>冗余电源</w:t>
            </w:r>
          </w:p>
        </w:tc>
      </w:tr>
    </w:tbl>
    <w:p w14:paraId="3446ECB9">
      <w:pPr>
        <w:tabs>
          <w:tab w:val="left" w:pos="1350"/>
        </w:tabs>
        <w:spacing w:line="360" w:lineRule="auto"/>
        <w:rPr>
          <w:sz w:val="24"/>
        </w:rPr>
      </w:pPr>
    </w:p>
    <w:p w14:paraId="009F2EDA">
      <w:pPr>
        <w:widowControl/>
        <w:jc w:val="left"/>
        <w:rPr>
          <w:sz w:val="24"/>
        </w:rPr>
      </w:pPr>
      <w:r>
        <w:rPr>
          <w:sz w:val="24"/>
        </w:rPr>
        <w:br w:type="page"/>
      </w:r>
    </w:p>
    <w:p w14:paraId="75D50A7A">
      <w:pPr>
        <w:pStyle w:val="16"/>
        <w:numPr>
          <w:ilvl w:val="0"/>
          <w:numId w:val="1"/>
        </w:numPr>
        <w:tabs>
          <w:tab w:val="left" w:pos="1350"/>
        </w:tabs>
        <w:spacing w:line="360" w:lineRule="auto"/>
        <w:ind w:firstLineChars="0"/>
        <w:rPr>
          <w:sz w:val="24"/>
        </w:rPr>
      </w:pPr>
      <w:r>
        <w:rPr>
          <w:rFonts w:hint="eastAsia"/>
          <w:sz w:val="24"/>
        </w:rPr>
        <w:t>安全网关</w:t>
      </w:r>
    </w:p>
    <w:tbl>
      <w:tblPr>
        <w:tblStyle w:val="7"/>
        <w:tblW w:w="9073" w:type="dxa"/>
        <w:tblInd w:w="-431" w:type="dxa"/>
        <w:tblLayout w:type="autofit"/>
        <w:tblCellMar>
          <w:top w:w="0" w:type="dxa"/>
          <w:left w:w="108" w:type="dxa"/>
          <w:bottom w:w="0" w:type="dxa"/>
          <w:right w:w="108" w:type="dxa"/>
        </w:tblCellMar>
      </w:tblPr>
      <w:tblGrid>
        <w:gridCol w:w="712"/>
        <w:gridCol w:w="1274"/>
        <w:gridCol w:w="992"/>
        <w:gridCol w:w="6095"/>
      </w:tblGrid>
      <w:tr w14:paraId="309ACD75">
        <w:tblPrEx>
          <w:tblCellMar>
            <w:top w:w="0" w:type="dxa"/>
            <w:left w:w="108" w:type="dxa"/>
            <w:bottom w:w="0" w:type="dxa"/>
            <w:right w:w="108" w:type="dxa"/>
          </w:tblCellMar>
        </w:tblPrEx>
        <w:trPr>
          <w:trHeight w:val="508" w:hRule="atLeast"/>
        </w:trPr>
        <w:tc>
          <w:tcPr>
            <w:tcW w:w="7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38A56D">
            <w:pPr>
              <w:widowControl/>
              <w:jc w:val="center"/>
              <w:rPr>
                <w:rFonts w:ascii="宋体" w:hAnsi="宋体" w:cs="宋体"/>
                <w:b/>
                <w:bCs/>
                <w:kern w:val="0"/>
                <w:sz w:val="24"/>
              </w:rPr>
            </w:pPr>
            <w:r>
              <w:rPr>
                <w:rFonts w:hint="eastAsia" w:ascii="宋体" w:hAnsi="宋体" w:cs="宋体"/>
                <w:b/>
                <w:bCs/>
                <w:kern w:val="0"/>
                <w:sz w:val="24"/>
              </w:rPr>
              <w:t>序号</w:t>
            </w:r>
          </w:p>
        </w:tc>
        <w:tc>
          <w:tcPr>
            <w:tcW w:w="1274" w:type="dxa"/>
            <w:tcBorders>
              <w:top w:val="single" w:color="auto" w:sz="4" w:space="0"/>
              <w:left w:val="nil"/>
              <w:bottom w:val="single" w:color="auto" w:sz="4" w:space="0"/>
              <w:right w:val="single" w:color="auto" w:sz="4" w:space="0"/>
            </w:tcBorders>
            <w:shd w:val="clear" w:color="auto" w:fill="auto"/>
            <w:vAlign w:val="center"/>
          </w:tcPr>
          <w:p w14:paraId="232EF6EE">
            <w:pPr>
              <w:widowControl/>
              <w:jc w:val="center"/>
              <w:rPr>
                <w:rFonts w:ascii="宋体" w:hAnsi="宋体" w:cs="宋体"/>
                <w:b/>
                <w:bCs/>
                <w:kern w:val="0"/>
                <w:sz w:val="24"/>
              </w:rPr>
            </w:pPr>
            <w:r>
              <w:rPr>
                <w:rFonts w:hint="eastAsia" w:ascii="宋体" w:hAnsi="宋体" w:cs="宋体"/>
                <w:b/>
                <w:bCs/>
                <w:kern w:val="0"/>
                <w:sz w:val="24"/>
              </w:rPr>
              <w:t>指标类别</w:t>
            </w:r>
          </w:p>
        </w:tc>
        <w:tc>
          <w:tcPr>
            <w:tcW w:w="992" w:type="dxa"/>
            <w:tcBorders>
              <w:top w:val="single" w:color="auto" w:sz="4" w:space="0"/>
              <w:left w:val="nil"/>
              <w:bottom w:val="single" w:color="auto" w:sz="4" w:space="0"/>
              <w:right w:val="single" w:color="auto" w:sz="4" w:space="0"/>
            </w:tcBorders>
            <w:shd w:val="clear" w:color="auto" w:fill="auto"/>
            <w:noWrap/>
          </w:tcPr>
          <w:p w14:paraId="5BC3C201">
            <w:pPr>
              <w:widowControl/>
              <w:jc w:val="center"/>
              <w:rPr>
                <w:rFonts w:ascii="宋体" w:hAnsi="宋体" w:cs="宋体"/>
                <w:b/>
                <w:bCs/>
                <w:kern w:val="0"/>
                <w:sz w:val="24"/>
              </w:rPr>
            </w:pPr>
            <w:r>
              <w:rPr>
                <w:rFonts w:hint="eastAsia" w:asciiTheme="minorEastAsia" w:hAnsiTheme="minorEastAsia" w:eastAsiaTheme="minorEastAsia"/>
                <w:b/>
                <w:sz w:val="24"/>
              </w:rPr>
              <w:t>指标项</w:t>
            </w:r>
          </w:p>
        </w:tc>
        <w:tc>
          <w:tcPr>
            <w:tcW w:w="6095" w:type="dxa"/>
            <w:tcBorders>
              <w:top w:val="single" w:color="auto" w:sz="4" w:space="0"/>
              <w:left w:val="nil"/>
              <w:bottom w:val="single" w:color="auto" w:sz="4" w:space="0"/>
              <w:right w:val="single" w:color="auto" w:sz="4" w:space="0"/>
            </w:tcBorders>
            <w:shd w:val="clear" w:color="auto" w:fill="auto"/>
          </w:tcPr>
          <w:p w14:paraId="7FF68D61">
            <w:pPr>
              <w:widowControl/>
              <w:jc w:val="center"/>
              <w:rPr>
                <w:rFonts w:ascii="宋体" w:hAnsi="宋体" w:cs="宋体"/>
                <w:b/>
                <w:bCs/>
                <w:kern w:val="0"/>
                <w:sz w:val="24"/>
              </w:rPr>
            </w:pPr>
            <w:r>
              <w:rPr>
                <w:rFonts w:hint="eastAsia" w:asciiTheme="minorEastAsia" w:hAnsiTheme="minorEastAsia" w:eastAsiaTheme="minorEastAsia"/>
                <w:b/>
                <w:sz w:val="24"/>
              </w:rPr>
              <w:t>技术规格要求</w:t>
            </w:r>
          </w:p>
        </w:tc>
      </w:tr>
      <w:tr w14:paraId="7D350D9A">
        <w:tblPrEx>
          <w:tblCellMar>
            <w:top w:w="0" w:type="dxa"/>
            <w:left w:w="108" w:type="dxa"/>
            <w:bottom w:w="0" w:type="dxa"/>
            <w:right w:w="108" w:type="dxa"/>
          </w:tblCellMar>
        </w:tblPrEx>
        <w:trPr>
          <w:trHeight w:val="871" w:hRule="atLeast"/>
        </w:trPr>
        <w:tc>
          <w:tcPr>
            <w:tcW w:w="712" w:type="dxa"/>
            <w:tcBorders>
              <w:top w:val="nil"/>
              <w:left w:val="single" w:color="auto" w:sz="4" w:space="0"/>
              <w:bottom w:val="single" w:color="auto" w:sz="4" w:space="0"/>
              <w:right w:val="single" w:color="auto" w:sz="4" w:space="0"/>
            </w:tcBorders>
            <w:shd w:val="clear" w:color="auto" w:fill="auto"/>
            <w:noWrap/>
            <w:vAlign w:val="center"/>
          </w:tcPr>
          <w:p w14:paraId="3DC8C7DD">
            <w:pPr>
              <w:widowControl/>
              <w:jc w:val="center"/>
              <w:rPr>
                <w:rFonts w:ascii="宋体" w:hAnsi="宋体" w:cs="宋体"/>
                <w:kern w:val="0"/>
                <w:sz w:val="24"/>
              </w:rPr>
            </w:pPr>
            <w:r>
              <w:rPr>
                <w:rFonts w:hint="eastAsia" w:asciiTheme="minorEastAsia" w:hAnsiTheme="minorEastAsia" w:eastAsiaTheme="minorEastAsia"/>
                <w:bCs/>
                <w:sz w:val="24"/>
              </w:rPr>
              <w:t>1</w:t>
            </w:r>
          </w:p>
        </w:tc>
        <w:tc>
          <w:tcPr>
            <w:tcW w:w="1274" w:type="dxa"/>
            <w:tcBorders>
              <w:top w:val="nil"/>
              <w:left w:val="nil"/>
              <w:bottom w:val="single" w:color="auto" w:sz="4" w:space="0"/>
              <w:right w:val="single" w:color="auto" w:sz="4" w:space="0"/>
            </w:tcBorders>
            <w:shd w:val="clear" w:color="auto" w:fill="auto"/>
            <w:vAlign w:val="center"/>
          </w:tcPr>
          <w:p w14:paraId="5AA83244">
            <w:pPr>
              <w:widowControl/>
              <w:jc w:val="center"/>
              <w:rPr>
                <w:rFonts w:ascii="宋体" w:hAnsi="宋体" w:cs="宋体"/>
                <w:kern w:val="0"/>
                <w:sz w:val="24"/>
              </w:rPr>
            </w:pPr>
            <w:r>
              <w:rPr>
                <w:rFonts w:hint="eastAsia" w:ascii="宋体" w:hAnsi="宋体" w:cs="宋体"/>
                <w:kern w:val="0"/>
                <w:sz w:val="24"/>
              </w:rPr>
              <w:t>产品部署</w:t>
            </w:r>
          </w:p>
        </w:tc>
        <w:tc>
          <w:tcPr>
            <w:tcW w:w="992" w:type="dxa"/>
            <w:tcBorders>
              <w:top w:val="nil"/>
              <w:left w:val="nil"/>
              <w:bottom w:val="single" w:color="auto" w:sz="4" w:space="0"/>
              <w:right w:val="single" w:color="auto" w:sz="4" w:space="0"/>
            </w:tcBorders>
            <w:shd w:val="clear" w:color="auto" w:fill="auto"/>
            <w:noWrap/>
            <w:vAlign w:val="center"/>
          </w:tcPr>
          <w:p w14:paraId="019D3166">
            <w:pPr>
              <w:widowControl/>
              <w:jc w:val="center"/>
              <w:rPr>
                <w:rFonts w:ascii="宋体" w:hAnsi="宋体" w:cs="宋体"/>
                <w:kern w:val="0"/>
                <w:sz w:val="24"/>
              </w:rPr>
            </w:pPr>
            <w:r>
              <w:rPr>
                <w:rFonts w:hint="eastAsia" w:ascii="宋体" w:hAnsi="宋体" w:cs="宋体"/>
                <w:kern w:val="0"/>
                <w:sz w:val="24"/>
              </w:rPr>
              <w:t>安装部署</w:t>
            </w:r>
          </w:p>
        </w:tc>
        <w:tc>
          <w:tcPr>
            <w:tcW w:w="6095" w:type="dxa"/>
            <w:tcBorders>
              <w:top w:val="nil"/>
              <w:left w:val="nil"/>
              <w:bottom w:val="single" w:color="auto" w:sz="4" w:space="0"/>
              <w:right w:val="single" w:color="auto" w:sz="4" w:space="0"/>
            </w:tcBorders>
            <w:shd w:val="clear" w:color="auto" w:fill="auto"/>
            <w:vAlign w:val="center"/>
          </w:tcPr>
          <w:p w14:paraId="067CCF9A">
            <w:pPr>
              <w:widowControl/>
              <w:jc w:val="left"/>
              <w:rPr>
                <w:rFonts w:ascii="宋体" w:hAnsi="宋体" w:cs="宋体"/>
                <w:kern w:val="0"/>
                <w:sz w:val="24"/>
              </w:rPr>
            </w:pPr>
            <w:r>
              <w:rPr>
                <w:rFonts w:hint="eastAsia" w:ascii="宋体" w:hAnsi="宋体" w:cs="宋体"/>
                <w:kern w:val="0"/>
                <w:sz w:val="24"/>
              </w:rPr>
              <w:t>产品需具备独立的自助安装界面，产品安装方便快捷，管理平台支持虚拟机模板部署方式，Agent自动生成下载和安装命令，配置许可覆盖本项目设备</w:t>
            </w:r>
          </w:p>
        </w:tc>
      </w:tr>
      <w:tr w14:paraId="744ED5CD">
        <w:tblPrEx>
          <w:tblCellMar>
            <w:top w:w="0" w:type="dxa"/>
            <w:left w:w="108" w:type="dxa"/>
            <w:bottom w:w="0" w:type="dxa"/>
            <w:right w:w="108" w:type="dxa"/>
          </w:tblCellMar>
        </w:tblPrEx>
        <w:trPr>
          <w:trHeight w:val="871" w:hRule="atLeast"/>
        </w:trPr>
        <w:tc>
          <w:tcPr>
            <w:tcW w:w="712" w:type="dxa"/>
            <w:tcBorders>
              <w:top w:val="nil"/>
              <w:left w:val="single" w:color="auto" w:sz="4" w:space="0"/>
              <w:bottom w:val="single" w:color="auto" w:sz="4" w:space="0"/>
              <w:right w:val="single" w:color="auto" w:sz="4" w:space="0"/>
            </w:tcBorders>
            <w:shd w:val="clear" w:color="auto" w:fill="auto"/>
            <w:noWrap/>
            <w:vAlign w:val="center"/>
          </w:tcPr>
          <w:p w14:paraId="38EA348B">
            <w:pPr>
              <w:widowControl/>
              <w:jc w:val="center"/>
              <w:rPr>
                <w:rFonts w:ascii="宋体" w:hAnsi="宋体" w:cs="宋体"/>
                <w:kern w:val="0"/>
                <w:sz w:val="24"/>
              </w:rPr>
            </w:pPr>
            <w:r>
              <w:rPr>
                <w:rFonts w:hint="eastAsia" w:asciiTheme="minorEastAsia" w:hAnsiTheme="minorEastAsia" w:eastAsiaTheme="minorEastAsia"/>
                <w:sz w:val="24"/>
              </w:rPr>
              <w:t>2</w:t>
            </w:r>
          </w:p>
        </w:tc>
        <w:tc>
          <w:tcPr>
            <w:tcW w:w="1274" w:type="dxa"/>
            <w:tcBorders>
              <w:top w:val="nil"/>
              <w:left w:val="nil"/>
              <w:bottom w:val="single" w:color="auto" w:sz="4" w:space="0"/>
              <w:right w:val="single" w:color="auto" w:sz="4" w:space="0"/>
            </w:tcBorders>
            <w:shd w:val="clear" w:color="auto" w:fill="auto"/>
            <w:vAlign w:val="center"/>
          </w:tcPr>
          <w:p w14:paraId="0BEE800E">
            <w:pPr>
              <w:widowControl/>
              <w:jc w:val="center"/>
              <w:rPr>
                <w:rFonts w:ascii="宋体" w:hAnsi="宋体" w:cs="宋体"/>
                <w:kern w:val="0"/>
                <w:sz w:val="24"/>
              </w:rPr>
            </w:pPr>
            <w:r>
              <w:rPr>
                <w:rFonts w:hint="eastAsia" w:ascii="宋体" w:hAnsi="宋体" w:cs="宋体"/>
                <w:kern w:val="0"/>
                <w:sz w:val="24"/>
              </w:rPr>
              <w:t>资产管理</w:t>
            </w:r>
          </w:p>
        </w:tc>
        <w:tc>
          <w:tcPr>
            <w:tcW w:w="992" w:type="dxa"/>
            <w:tcBorders>
              <w:top w:val="nil"/>
              <w:left w:val="nil"/>
              <w:bottom w:val="single" w:color="auto" w:sz="4" w:space="0"/>
              <w:right w:val="single" w:color="auto" w:sz="4" w:space="0"/>
            </w:tcBorders>
            <w:shd w:val="clear" w:color="auto" w:fill="auto"/>
            <w:noWrap/>
            <w:vAlign w:val="center"/>
          </w:tcPr>
          <w:p w14:paraId="57B35E78">
            <w:pPr>
              <w:widowControl/>
              <w:jc w:val="center"/>
              <w:rPr>
                <w:rFonts w:ascii="宋体" w:hAnsi="宋体" w:cs="宋体"/>
                <w:kern w:val="0"/>
                <w:sz w:val="24"/>
              </w:rPr>
            </w:pPr>
            <w:r>
              <w:rPr>
                <w:rFonts w:hint="eastAsia" w:ascii="宋体" w:hAnsi="宋体" w:cs="宋体"/>
                <w:kern w:val="0"/>
                <w:sz w:val="24"/>
              </w:rPr>
              <w:t>资产清点</w:t>
            </w:r>
          </w:p>
        </w:tc>
        <w:tc>
          <w:tcPr>
            <w:tcW w:w="6095" w:type="dxa"/>
            <w:tcBorders>
              <w:top w:val="nil"/>
              <w:left w:val="nil"/>
              <w:bottom w:val="single" w:color="auto" w:sz="4" w:space="0"/>
              <w:right w:val="single" w:color="auto" w:sz="4" w:space="0"/>
            </w:tcBorders>
            <w:shd w:val="clear" w:color="auto" w:fill="auto"/>
            <w:vAlign w:val="center"/>
          </w:tcPr>
          <w:p w14:paraId="173C0314">
            <w:pPr>
              <w:widowControl/>
              <w:jc w:val="left"/>
              <w:rPr>
                <w:rFonts w:ascii="宋体" w:hAnsi="宋体" w:cs="宋体"/>
                <w:kern w:val="0"/>
                <w:sz w:val="24"/>
              </w:rPr>
            </w:pPr>
            <w:r>
              <w:rPr>
                <w:rFonts w:hint="eastAsia" w:ascii="宋体" w:hAnsi="宋体" w:cs="宋体"/>
                <w:kern w:val="0"/>
                <w:sz w:val="24"/>
              </w:rPr>
              <w:t>具备资产清点功能，包括但不限于主机、账号、端口、应用、进程、开机启动项、数据库、Web中间件等资产清点，并可以对资产进行管理，例如：账号管理，结束进程、开机启动项管理；可对各类资产的变动情况进行记录</w:t>
            </w:r>
          </w:p>
        </w:tc>
      </w:tr>
      <w:tr w14:paraId="070DF911">
        <w:trPr>
          <w:trHeight w:val="600" w:hRule="atLeast"/>
        </w:trPr>
        <w:tc>
          <w:tcPr>
            <w:tcW w:w="712" w:type="dxa"/>
            <w:vMerge w:val="restart"/>
            <w:tcBorders>
              <w:top w:val="nil"/>
              <w:left w:val="single" w:color="auto" w:sz="4" w:space="0"/>
              <w:right w:val="single" w:color="auto" w:sz="4" w:space="0"/>
            </w:tcBorders>
            <w:shd w:val="clear" w:color="auto" w:fill="auto"/>
            <w:noWrap/>
            <w:vAlign w:val="center"/>
          </w:tcPr>
          <w:p w14:paraId="77D73CFE">
            <w:pPr>
              <w:widowControl/>
              <w:jc w:val="center"/>
              <w:rPr>
                <w:rFonts w:ascii="宋体" w:hAnsi="宋体" w:cs="宋体"/>
                <w:kern w:val="0"/>
                <w:sz w:val="24"/>
              </w:rPr>
            </w:pPr>
            <w:r>
              <w:rPr>
                <w:rFonts w:hint="eastAsia" w:asciiTheme="minorEastAsia" w:hAnsiTheme="minorEastAsia" w:eastAsiaTheme="minorEastAsia"/>
                <w:sz w:val="24"/>
              </w:rPr>
              <w:t>3</w:t>
            </w:r>
          </w:p>
        </w:tc>
        <w:tc>
          <w:tcPr>
            <w:tcW w:w="1274" w:type="dxa"/>
            <w:vMerge w:val="restart"/>
            <w:tcBorders>
              <w:top w:val="nil"/>
              <w:left w:val="single" w:color="auto" w:sz="4" w:space="0"/>
              <w:bottom w:val="single" w:color="000000" w:sz="4" w:space="0"/>
              <w:right w:val="single" w:color="auto" w:sz="4" w:space="0"/>
            </w:tcBorders>
            <w:shd w:val="clear" w:color="auto" w:fill="auto"/>
            <w:vAlign w:val="center"/>
          </w:tcPr>
          <w:p w14:paraId="174BCEEB">
            <w:pPr>
              <w:widowControl/>
              <w:jc w:val="center"/>
              <w:rPr>
                <w:rFonts w:ascii="宋体" w:hAnsi="宋体" w:cs="宋体"/>
                <w:kern w:val="0"/>
                <w:sz w:val="24"/>
              </w:rPr>
            </w:pPr>
            <w:r>
              <w:rPr>
                <w:rFonts w:hint="eastAsia" w:ascii="宋体" w:hAnsi="宋体" w:cs="宋体"/>
                <w:kern w:val="0"/>
                <w:sz w:val="24"/>
              </w:rPr>
              <w:t>主机安全检测</w:t>
            </w:r>
          </w:p>
        </w:tc>
        <w:tc>
          <w:tcPr>
            <w:tcW w:w="992" w:type="dxa"/>
            <w:tcBorders>
              <w:top w:val="nil"/>
              <w:left w:val="single" w:color="auto" w:sz="4" w:space="0"/>
              <w:bottom w:val="single" w:color="000000" w:sz="4" w:space="0"/>
              <w:right w:val="single" w:color="auto" w:sz="4" w:space="0"/>
            </w:tcBorders>
            <w:shd w:val="clear" w:color="auto" w:fill="auto"/>
            <w:noWrap/>
            <w:vAlign w:val="center"/>
          </w:tcPr>
          <w:p w14:paraId="524DBD8D">
            <w:pPr>
              <w:widowControl/>
              <w:jc w:val="center"/>
              <w:rPr>
                <w:rFonts w:ascii="宋体" w:hAnsi="宋体" w:cs="宋体"/>
                <w:kern w:val="0"/>
                <w:sz w:val="24"/>
              </w:rPr>
            </w:pPr>
            <w:r>
              <w:rPr>
                <w:rFonts w:hint="eastAsia" w:ascii="宋体" w:hAnsi="宋体" w:cs="宋体"/>
                <w:kern w:val="0"/>
                <w:sz w:val="24"/>
              </w:rPr>
              <w:t>病毒查杀</w:t>
            </w:r>
          </w:p>
        </w:tc>
        <w:tc>
          <w:tcPr>
            <w:tcW w:w="6095" w:type="dxa"/>
            <w:tcBorders>
              <w:top w:val="nil"/>
              <w:left w:val="nil"/>
              <w:bottom w:val="single" w:color="auto" w:sz="4" w:space="0"/>
              <w:right w:val="single" w:color="auto" w:sz="4" w:space="0"/>
            </w:tcBorders>
            <w:shd w:val="clear" w:color="auto" w:fill="auto"/>
            <w:vAlign w:val="center"/>
          </w:tcPr>
          <w:p w14:paraId="0B6D9C33">
            <w:pPr>
              <w:widowControl/>
              <w:jc w:val="left"/>
              <w:rPr>
                <w:rFonts w:ascii="宋体" w:hAnsi="宋体" w:cs="宋体"/>
                <w:kern w:val="0"/>
                <w:sz w:val="24"/>
              </w:rPr>
            </w:pPr>
            <w:r>
              <w:rPr>
                <w:rFonts w:hint="eastAsia" w:ascii="宋体" w:hAnsi="宋体" w:cs="宋体"/>
                <w:kern w:val="0"/>
                <w:sz w:val="24"/>
              </w:rPr>
              <w:t>产品需支持对病毒、木马、勒索软件、挖矿软件等恶意程序进行查杀，支持自动对恶意程序进行审计、隔离、恢复、删除等处置操作</w:t>
            </w:r>
          </w:p>
        </w:tc>
      </w:tr>
      <w:tr w14:paraId="4E5313A3">
        <w:tblPrEx>
          <w:tblCellMar>
            <w:top w:w="0" w:type="dxa"/>
            <w:left w:w="108" w:type="dxa"/>
            <w:bottom w:w="0" w:type="dxa"/>
            <w:right w:w="108" w:type="dxa"/>
          </w:tblCellMar>
        </w:tblPrEx>
        <w:trPr>
          <w:trHeight w:val="900" w:hRule="atLeast"/>
        </w:trPr>
        <w:tc>
          <w:tcPr>
            <w:tcW w:w="712" w:type="dxa"/>
            <w:vMerge w:val="continue"/>
            <w:tcBorders>
              <w:left w:val="single" w:color="auto" w:sz="4" w:space="0"/>
              <w:right w:val="single" w:color="auto" w:sz="4" w:space="0"/>
            </w:tcBorders>
            <w:shd w:val="clear" w:color="auto" w:fill="auto"/>
            <w:noWrap/>
            <w:vAlign w:val="center"/>
          </w:tcPr>
          <w:p w14:paraId="6D7B2A94">
            <w:pPr>
              <w:jc w:val="center"/>
              <w:rPr>
                <w:rFonts w:ascii="宋体" w:hAnsi="宋体" w:cs="宋体"/>
                <w:kern w:val="0"/>
                <w:sz w:val="24"/>
              </w:rPr>
            </w:pPr>
          </w:p>
        </w:tc>
        <w:tc>
          <w:tcPr>
            <w:tcW w:w="1274" w:type="dxa"/>
            <w:vMerge w:val="continue"/>
            <w:tcBorders>
              <w:top w:val="nil"/>
              <w:left w:val="single" w:color="auto" w:sz="4" w:space="0"/>
              <w:bottom w:val="single" w:color="000000" w:sz="4" w:space="0"/>
              <w:right w:val="single" w:color="auto" w:sz="4" w:space="0"/>
            </w:tcBorders>
            <w:vAlign w:val="center"/>
          </w:tcPr>
          <w:p w14:paraId="291D57B1">
            <w:pPr>
              <w:widowControl/>
              <w:jc w:val="left"/>
              <w:rPr>
                <w:rFonts w:ascii="宋体" w:hAnsi="宋体" w:cs="宋体"/>
                <w:kern w:val="0"/>
                <w:sz w:val="24"/>
              </w:rPr>
            </w:pPr>
          </w:p>
        </w:tc>
        <w:tc>
          <w:tcPr>
            <w:tcW w:w="992" w:type="dxa"/>
            <w:tcBorders>
              <w:top w:val="nil"/>
              <w:left w:val="nil"/>
              <w:bottom w:val="single" w:color="auto" w:sz="4" w:space="0"/>
              <w:right w:val="single" w:color="auto" w:sz="4" w:space="0"/>
            </w:tcBorders>
            <w:shd w:val="clear" w:color="auto" w:fill="auto"/>
            <w:noWrap/>
            <w:vAlign w:val="center"/>
          </w:tcPr>
          <w:p w14:paraId="65B9F8BD">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漏洞检测</w:t>
            </w:r>
          </w:p>
        </w:tc>
        <w:tc>
          <w:tcPr>
            <w:tcW w:w="6095" w:type="dxa"/>
            <w:tcBorders>
              <w:top w:val="nil"/>
              <w:left w:val="nil"/>
              <w:bottom w:val="single" w:color="auto" w:sz="4" w:space="0"/>
              <w:right w:val="single" w:color="auto" w:sz="4" w:space="0"/>
            </w:tcBorders>
            <w:shd w:val="clear" w:color="auto" w:fill="auto"/>
            <w:vAlign w:val="bottom"/>
          </w:tcPr>
          <w:p w14:paraId="2A8869E4">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产品需支持漏洞检测功能，基于权威漏洞平台构建漏洞库，可快速匹配系统和应用的新型漏洞，可以对漏洞安全级别和漏洞利用特征进行分析，并结合业务资产给出专业的修复建议。支持漏洞库离线升级功能。支持主机维度和漏洞维度风险忽略功能，可以根据不同业务需求进行灵活处置</w:t>
            </w:r>
          </w:p>
        </w:tc>
      </w:tr>
      <w:tr w14:paraId="0ABC45D3">
        <w:tblPrEx>
          <w:tblCellMar>
            <w:top w:w="0" w:type="dxa"/>
            <w:left w:w="108" w:type="dxa"/>
            <w:bottom w:w="0" w:type="dxa"/>
            <w:right w:w="108" w:type="dxa"/>
          </w:tblCellMar>
        </w:tblPrEx>
        <w:trPr>
          <w:trHeight w:val="1200" w:hRule="atLeast"/>
        </w:trPr>
        <w:tc>
          <w:tcPr>
            <w:tcW w:w="712" w:type="dxa"/>
            <w:vMerge w:val="continue"/>
            <w:tcBorders>
              <w:left w:val="single" w:color="auto" w:sz="4" w:space="0"/>
              <w:right w:val="single" w:color="auto" w:sz="4" w:space="0"/>
            </w:tcBorders>
            <w:shd w:val="clear" w:color="auto" w:fill="auto"/>
            <w:noWrap/>
            <w:vAlign w:val="center"/>
          </w:tcPr>
          <w:p w14:paraId="64253CD0">
            <w:pPr>
              <w:jc w:val="center"/>
              <w:rPr>
                <w:rFonts w:ascii="宋体" w:hAnsi="宋体" w:cs="宋体"/>
                <w:kern w:val="0"/>
                <w:sz w:val="24"/>
              </w:rPr>
            </w:pPr>
          </w:p>
        </w:tc>
        <w:tc>
          <w:tcPr>
            <w:tcW w:w="1274" w:type="dxa"/>
            <w:vMerge w:val="continue"/>
            <w:tcBorders>
              <w:top w:val="nil"/>
              <w:left w:val="single" w:color="auto" w:sz="4" w:space="0"/>
              <w:bottom w:val="single" w:color="000000" w:sz="4" w:space="0"/>
              <w:right w:val="single" w:color="auto" w:sz="4" w:space="0"/>
            </w:tcBorders>
            <w:vAlign w:val="center"/>
          </w:tcPr>
          <w:p w14:paraId="039AE749">
            <w:pPr>
              <w:widowControl/>
              <w:jc w:val="left"/>
              <w:rPr>
                <w:rFonts w:ascii="宋体" w:hAnsi="宋体" w:cs="宋体"/>
                <w:kern w:val="0"/>
                <w:sz w:val="24"/>
              </w:rPr>
            </w:pPr>
          </w:p>
        </w:tc>
        <w:tc>
          <w:tcPr>
            <w:tcW w:w="992" w:type="dxa"/>
            <w:tcBorders>
              <w:top w:val="nil"/>
              <w:left w:val="nil"/>
              <w:bottom w:val="single" w:color="auto" w:sz="4" w:space="0"/>
              <w:right w:val="single" w:color="auto" w:sz="4" w:space="0"/>
            </w:tcBorders>
            <w:shd w:val="clear" w:color="auto" w:fill="auto"/>
            <w:noWrap/>
            <w:vAlign w:val="center"/>
          </w:tcPr>
          <w:p w14:paraId="68A78853">
            <w:pPr>
              <w:widowControl/>
              <w:jc w:val="center"/>
              <w:rPr>
                <w:rFonts w:ascii="宋体" w:hAnsi="宋体" w:cs="宋体"/>
                <w:kern w:val="0"/>
                <w:sz w:val="24"/>
              </w:rPr>
            </w:pPr>
            <w:r>
              <w:rPr>
                <w:rFonts w:hint="eastAsia" w:ascii="宋体" w:hAnsi="宋体" w:cs="宋体"/>
                <w:kern w:val="0"/>
                <w:sz w:val="24"/>
              </w:rPr>
              <w:t>防暴力破解</w:t>
            </w:r>
          </w:p>
        </w:tc>
        <w:tc>
          <w:tcPr>
            <w:tcW w:w="6095" w:type="dxa"/>
            <w:tcBorders>
              <w:top w:val="nil"/>
              <w:left w:val="nil"/>
              <w:bottom w:val="single" w:color="auto" w:sz="4" w:space="0"/>
              <w:right w:val="single" w:color="auto" w:sz="4" w:space="0"/>
            </w:tcBorders>
            <w:shd w:val="clear" w:color="auto" w:fill="auto"/>
            <w:vAlign w:val="center"/>
          </w:tcPr>
          <w:p w14:paraId="7E25C9D1">
            <w:pPr>
              <w:widowControl/>
              <w:jc w:val="left"/>
              <w:rPr>
                <w:rFonts w:ascii="宋体" w:hAnsi="宋体" w:cs="宋体"/>
                <w:kern w:val="0"/>
                <w:sz w:val="24"/>
              </w:rPr>
            </w:pPr>
            <w:r>
              <w:rPr>
                <w:rFonts w:hint="eastAsia" w:ascii="宋体" w:hAnsi="宋体" w:cs="宋体"/>
                <w:kern w:val="0"/>
                <w:sz w:val="24"/>
              </w:rPr>
              <w:t>产品需支持实时检测SSH、RDP、SMB服务的快速和慢速暴力破解行为，可以自定义单位时间内登录失败阈值、暴破攻击处置方式（审计和自动封堵）、封堵时长等配置项。支持暴力破解威胁事件一键信任、一键忽略、加入黑名单、取消封堵等操作。支持IP地址白名单设置，不做暴破日志上报和自动封堵，防止产生误报；支持IP地址黑名单设置，可以对攻击源IP地址进行永久封堵</w:t>
            </w:r>
          </w:p>
        </w:tc>
      </w:tr>
      <w:tr w14:paraId="3F6C2ED2">
        <w:tblPrEx>
          <w:tblCellMar>
            <w:top w:w="0" w:type="dxa"/>
            <w:left w:w="108" w:type="dxa"/>
            <w:bottom w:w="0" w:type="dxa"/>
            <w:right w:w="108" w:type="dxa"/>
          </w:tblCellMar>
        </w:tblPrEx>
        <w:trPr>
          <w:trHeight w:val="1200" w:hRule="atLeast"/>
        </w:trPr>
        <w:tc>
          <w:tcPr>
            <w:tcW w:w="712" w:type="dxa"/>
            <w:vMerge w:val="continue"/>
            <w:tcBorders>
              <w:left w:val="single" w:color="auto" w:sz="4" w:space="0"/>
              <w:right w:val="single" w:color="auto" w:sz="4" w:space="0"/>
            </w:tcBorders>
            <w:shd w:val="clear" w:color="auto" w:fill="auto"/>
            <w:noWrap/>
            <w:vAlign w:val="center"/>
          </w:tcPr>
          <w:p w14:paraId="73CF5C88">
            <w:pPr>
              <w:jc w:val="center"/>
              <w:rPr>
                <w:rFonts w:ascii="宋体" w:hAnsi="宋体" w:cs="宋体"/>
                <w:kern w:val="0"/>
                <w:sz w:val="24"/>
              </w:rPr>
            </w:pPr>
          </w:p>
        </w:tc>
        <w:tc>
          <w:tcPr>
            <w:tcW w:w="1274" w:type="dxa"/>
            <w:vMerge w:val="continue"/>
            <w:tcBorders>
              <w:top w:val="nil"/>
              <w:left w:val="single" w:color="auto" w:sz="4" w:space="0"/>
              <w:bottom w:val="single" w:color="000000" w:sz="4" w:space="0"/>
              <w:right w:val="single" w:color="auto" w:sz="4" w:space="0"/>
            </w:tcBorders>
            <w:vAlign w:val="center"/>
          </w:tcPr>
          <w:p w14:paraId="751DC60A">
            <w:pPr>
              <w:widowControl/>
              <w:jc w:val="left"/>
              <w:rPr>
                <w:rFonts w:ascii="宋体" w:hAnsi="宋体" w:cs="宋体"/>
                <w:kern w:val="0"/>
                <w:sz w:val="24"/>
              </w:rPr>
            </w:pPr>
          </w:p>
        </w:tc>
        <w:tc>
          <w:tcPr>
            <w:tcW w:w="992" w:type="dxa"/>
            <w:tcBorders>
              <w:top w:val="nil"/>
              <w:left w:val="nil"/>
              <w:bottom w:val="single" w:color="auto" w:sz="4" w:space="0"/>
              <w:right w:val="single" w:color="auto" w:sz="4" w:space="0"/>
            </w:tcBorders>
            <w:shd w:val="clear" w:color="auto" w:fill="auto"/>
            <w:noWrap/>
            <w:vAlign w:val="center"/>
          </w:tcPr>
          <w:p w14:paraId="1243588F">
            <w:pPr>
              <w:widowControl/>
              <w:jc w:val="center"/>
              <w:rPr>
                <w:rFonts w:ascii="宋体" w:hAnsi="宋体" w:cs="宋体"/>
                <w:kern w:val="0"/>
                <w:sz w:val="24"/>
              </w:rPr>
            </w:pPr>
            <w:r>
              <w:rPr>
                <w:rFonts w:hint="eastAsia" w:ascii="宋体" w:hAnsi="宋体" w:cs="宋体"/>
                <w:kern w:val="0"/>
                <w:sz w:val="24"/>
              </w:rPr>
              <w:t>安全基线检测</w:t>
            </w:r>
          </w:p>
        </w:tc>
        <w:tc>
          <w:tcPr>
            <w:tcW w:w="6095" w:type="dxa"/>
            <w:tcBorders>
              <w:top w:val="nil"/>
              <w:left w:val="nil"/>
              <w:bottom w:val="single" w:color="auto" w:sz="4" w:space="0"/>
              <w:right w:val="single" w:color="auto" w:sz="4" w:space="0"/>
            </w:tcBorders>
            <w:shd w:val="clear" w:color="auto" w:fill="auto"/>
            <w:vAlign w:val="center"/>
          </w:tcPr>
          <w:p w14:paraId="3CA92138">
            <w:pPr>
              <w:widowControl/>
              <w:jc w:val="left"/>
              <w:rPr>
                <w:rFonts w:ascii="宋体" w:hAnsi="宋体" w:cs="宋体"/>
                <w:kern w:val="0"/>
                <w:sz w:val="24"/>
              </w:rPr>
            </w:pPr>
            <w:r>
              <w:rPr>
                <w:rFonts w:hint="eastAsia" w:ascii="宋体" w:hAnsi="宋体" w:cs="宋体"/>
                <w:kern w:val="0"/>
                <w:sz w:val="24"/>
              </w:rPr>
              <w:t>▲具备合规性检测与自动修复功能，需内置合规性检测知识库，支持修复回滚，检测项包括无用系统账号、密码复杂度、不必要系统服务和端口、安全审计策略等，支持知识库离线导入</w:t>
            </w:r>
            <w:r>
              <w:rPr>
                <w:rFonts w:hint="eastAsia"/>
                <w:sz w:val="24"/>
              </w:rPr>
              <w:t>，</w:t>
            </w:r>
            <w:r>
              <w:rPr>
                <w:rFonts w:hint="eastAsia" w:asciiTheme="minorEastAsia" w:hAnsiTheme="minorEastAsia" w:eastAsiaTheme="minorEastAsia"/>
                <w:sz w:val="24"/>
                <w:lang w:eastAsia="zh-CN"/>
              </w:rPr>
              <w:t>提供</w:t>
            </w:r>
            <w:r>
              <w:rPr>
                <w:rFonts w:hint="eastAsia" w:asciiTheme="minorEastAsia" w:hAnsiTheme="minorEastAsia" w:eastAsiaTheme="minorEastAsia"/>
                <w:sz w:val="24"/>
              </w:rPr>
              <w:t>技术支持资料</w:t>
            </w:r>
          </w:p>
        </w:tc>
      </w:tr>
      <w:tr w14:paraId="0F0E241B">
        <w:trPr>
          <w:trHeight w:val="900" w:hRule="atLeast"/>
        </w:trPr>
        <w:tc>
          <w:tcPr>
            <w:tcW w:w="712" w:type="dxa"/>
            <w:vMerge w:val="continue"/>
            <w:tcBorders>
              <w:left w:val="single" w:color="auto" w:sz="4" w:space="0"/>
              <w:right w:val="single" w:color="auto" w:sz="4" w:space="0"/>
            </w:tcBorders>
            <w:shd w:val="clear" w:color="auto" w:fill="auto"/>
            <w:noWrap/>
            <w:vAlign w:val="center"/>
          </w:tcPr>
          <w:p w14:paraId="344D0116">
            <w:pPr>
              <w:jc w:val="center"/>
              <w:rPr>
                <w:rFonts w:ascii="宋体" w:hAnsi="宋体" w:cs="宋体"/>
                <w:kern w:val="0"/>
                <w:sz w:val="24"/>
              </w:rPr>
            </w:pPr>
          </w:p>
        </w:tc>
        <w:tc>
          <w:tcPr>
            <w:tcW w:w="1274" w:type="dxa"/>
            <w:vMerge w:val="continue"/>
            <w:tcBorders>
              <w:top w:val="nil"/>
              <w:left w:val="single" w:color="auto" w:sz="4" w:space="0"/>
              <w:bottom w:val="single" w:color="000000" w:sz="4" w:space="0"/>
              <w:right w:val="single" w:color="auto" w:sz="4" w:space="0"/>
            </w:tcBorders>
            <w:vAlign w:val="center"/>
          </w:tcPr>
          <w:p w14:paraId="092F77D2">
            <w:pPr>
              <w:widowControl/>
              <w:jc w:val="left"/>
              <w:rPr>
                <w:rFonts w:ascii="宋体" w:hAnsi="宋体" w:cs="宋体"/>
                <w:kern w:val="0"/>
                <w:sz w:val="24"/>
              </w:rPr>
            </w:pPr>
          </w:p>
        </w:tc>
        <w:tc>
          <w:tcPr>
            <w:tcW w:w="992" w:type="dxa"/>
            <w:tcBorders>
              <w:top w:val="nil"/>
              <w:left w:val="nil"/>
              <w:bottom w:val="single" w:color="auto" w:sz="4" w:space="0"/>
              <w:right w:val="single" w:color="auto" w:sz="4" w:space="0"/>
            </w:tcBorders>
            <w:shd w:val="clear" w:color="auto" w:fill="auto"/>
            <w:noWrap/>
            <w:vAlign w:val="center"/>
          </w:tcPr>
          <w:p w14:paraId="7D146A0F">
            <w:pPr>
              <w:widowControl/>
              <w:jc w:val="center"/>
              <w:rPr>
                <w:rFonts w:ascii="宋体" w:hAnsi="宋体" w:cs="宋体"/>
                <w:kern w:val="0"/>
                <w:sz w:val="24"/>
              </w:rPr>
            </w:pPr>
            <w:r>
              <w:rPr>
                <w:rFonts w:hint="eastAsia" w:ascii="宋体" w:hAnsi="宋体" w:cs="宋体"/>
                <w:kern w:val="0"/>
                <w:sz w:val="24"/>
              </w:rPr>
              <w:t>入侵检测</w:t>
            </w:r>
          </w:p>
        </w:tc>
        <w:tc>
          <w:tcPr>
            <w:tcW w:w="6095" w:type="dxa"/>
            <w:tcBorders>
              <w:top w:val="nil"/>
              <w:left w:val="nil"/>
              <w:bottom w:val="single" w:color="auto" w:sz="4" w:space="0"/>
              <w:right w:val="single" w:color="auto" w:sz="4" w:space="0"/>
            </w:tcBorders>
            <w:shd w:val="clear" w:color="auto" w:fill="auto"/>
            <w:vAlign w:val="center"/>
          </w:tcPr>
          <w:p w14:paraId="1335B930">
            <w:pPr>
              <w:widowControl/>
              <w:jc w:val="left"/>
              <w:rPr>
                <w:rFonts w:ascii="宋体" w:hAnsi="宋体" w:cs="宋体"/>
                <w:kern w:val="0"/>
                <w:sz w:val="24"/>
              </w:rPr>
            </w:pPr>
            <w:r>
              <w:rPr>
                <w:rFonts w:hint="eastAsia" w:ascii="宋体" w:hAnsi="宋体" w:cs="宋体"/>
                <w:kern w:val="0"/>
                <w:sz w:val="24"/>
              </w:rPr>
              <w:t>实时监控内核层用户进程行为，结合行为的识别方法，实时发现反弹 Shell 行为并告警，包括但不限于bash、Perl、Python，支持提供反弹Shell的详细进程树</w:t>
            </w:r>
          </w:p>
        </w:tc>
      </w:tr>
      <w:tr w14:paraId="25D155EA">
        <w:tblPrEx>
          <w:tblCellMar>
            <w:top w:w="0" w:type="dxa"/>
            <w:left w:w="108" w:type="dxa"/>
            <w:bottom w:w="0" w:type="dxa"/>
            <w:right w:w="108" w:type="dxa"/>
          </w:tblCellMar>
        </w:tblPrEx>
        <w:trPr>
          <w:trHeight w:val="699" w:hRule="atLeast"/>
        </w:trPr>
        <w:tc>
          <w:tcPr>
            <w:tcW w:w="712" w:type="dxa"/>
            <w:vMerge w:val="continue"/>
            <w:tcBorders>
              <w:left w:val="single" w:color="auto" w:sz="4" w:space="0"/>
              <w:right w:val="single" w:color="auto" w:sz="4" w:space="0"/>
            </w:tcBorders>
            <w:shd w:val="clear" w:color="auto" w:fill="auto"/>
            <w:noWrap/>
            <w:vAlign w:val="center"/>
          </w:tcPr>
          <w:p w14:paraId="2C8BE618">
            <w:pPr>
              <w:jc w:val="center"/>
              <w:rPr>
                <w:rFonts w:ascii="宋体" w:hAnsi="宋体" w:cs="宋体"/>
                <w:kern w:val="0"/>
                <w:sz w:val="24"/>
              </w:rPr>
            </w:pPr>
          </w:p>
        </w:tc>
        <w:tc>
          <w:tcPr>
            <w:tcW w:w="1274" w:type="dxa"/>
            <w:vMerge w:val="continue"/>
            <w:tcBorders>
              <w:top w:val="nil"/>
              <w:left w:val="single" w:color="auto" w:sz="4" w:space="0"/>
              <w:bottom w:val="single" w:color="000000" w:sz="4" w:space="0"/>
              <w:right w:val="single" w:color="auto" w:sz="4" w:space="0"/>
            </w:tcBorders>
            <w:vAlign w:val="center"/>
          </w:tcPr>
          <w:p w14:paraId="0E06E8BC">
            <w:pPr>
              <w:widowControl/>
              <w:jc w:val="left"/>
              <w:rPr>
                <w:rFonts w:ascii="宋体" w:hAnsi="宋体" w:cs="宋体"/>
                <w:kern w:val="0"/>
                <w:sz w:val="24"/>
              </w:rPr>
            </w:pPr>
          </w:p>
        </w:tc>
        <w:tc>
          <w:tcPr>
            <w:tcW w:w="992" w:type="dxa"/>
            <w:tcBorders>
              <w:top w:val="nil"/>
              <w:left w:val="nil"/>
              <w:bottom w:val="single" w:color="auto" w:sz="4" w:space="0"/>
              <w:right w:val="single" w:color="auto" w:sz="4" w:space="0"/>
            </w:tcBorders>
            <w:shd w:val="clear" w:color="auto" w:fill="auto"/>
            <w:noWrap/>
            <w:vAlign w:val="center"/>
          </w:tcPr>
          <w:p w14:paraId="3A1B28BF">
            <w:pPr>
              <w:widowControl/>
              <w:jc w:val="center"/>
              <w:rPr>
                <w:rFonts w:ascii="宋体" w:hAnsi="宋体" w:cs="宋体"/>
                <w:kern w:val="0"/>
                <w:sz w:val="24"/>
              </w:rPr>
            </w:pPr>
            <w:r>
              <w:rPr>
                <w:rFonts w:hint="eastAsia" w:ascii="宋体" w:hAnsi="宋体" w:cs="宋体"/>
                <w:kern w:val="0"/>
                <w:sz w:val="24"/>
              </w:rPr>
              <w:t>勒索病毒诱捕防护</w:t>
            </w:r>
          </w:p>
        </w:tc>
        <w:tc>
          <w:tcPr>
            <w:tcW w:w="6095" w:type="dxa"/>
            <w:tcBorders>
              <w:top w:val="nil"/>
              <w:left w:val="nil"/>
              <w:bottom w:val="single" w:color="auto" w:sz="4" w:space="0"/>
              <w:right w:val="single" w:color="auto" w:sz="4" w:space="0"/>
            </w:tcBorders>
            <w:shd w:val="clear" w:color="auto" w:fill="auto"/>
            <w:vAlign w:val="bottom"/>
          </w:tcPr>
          <w:p w14:paraId="3EF706EC">
            <w:pPr>
              <w:widowControl/>
              <w:jc w:val="left"/>
              <w:rPr>
                <w:rFonts w:ascii="宋体" w:hAnsi="宋体" w:cs="宋体"/>
                <w:kern w:val="0"/>
                <w:sz w:val="24"/>
              </w:rPr>
            </w:pPr>
            <w:r>
              <w:rPr>
                <w:rFonts w:hint="eastAsia" w:ascii="宋体" w:hAnsi="宋体" w:cs="宋体"/>
                <w:kern w:val="0"/>
                <w:sz w:val="24"/>
              </w:rPr>
              <w:t>在系统关键目录放置诱饵文件，当病毒加密到诱饵文件时，立即杀掉加密进程阻止加密，有效阻止勒索病毒的进一步的加密。支持基于文件信誉引擎立即将此病毒文件的指纹特征值进行全网通报，做到一台发现，全网感知，在全网主机上如果发现该病毒运行将直接拦截，防止病毒进一步扩散</w:t>
            </w:r>
          </w:p>
        </w:tc>
      </w:tr>
      <w:tr w14:paraId="683C52A5">
        <w:tblPrEx>
          <w:tblCellMar>
            <w:top w:w="0" w:type="dxa"/>
            <w:left w:w="108" w:type="dxa"/>
            <w:bottom w:w="0" w:type="dxa"/>
            <w:right w:w="108" w:type="dxa"/>
          </w:tblCellMar>
        </w:tblPrEx>
        <w:trPr>
          <w:trHeight w:val="600" w:hRule="atLeast"/>
        </w:trPr>
        <w:tc>
          <w:tcPr>
            <w:tcW w:w="712" w:type="dxa"/>
            <w:vMerge w:val="continue"/>
            <w:tcBorders>
              <w:left w:val="single" w:color="auto" w:sz="4" w:space="0"/>
              <w:bottom w:val="single" w:color="auto" w:sz="4" w:space="0"/>
              <w:right w:val="single" w:color="auto" w:sz="4" w:space="0"/>
            </w:tcBorders>
            <w:shd w:val="clear" w:color="auto" w:fill="auto"/>
            <w:noWrap/>
            <w:vAlign w:val="center"/>
          </w:tcPr>
          <w:p w14:paraId="6AD9C51A">
            <w:pPr>
              <w:widowControl/>
              <w:jc w:val="center"/>
              <w:rPr>
                <w:rFonts w:ascii="宋体" w:hAnsi="宋体" w:cs="宋体"/>
                <w:kern w:val="0"/>
                <w:sz w:val="24"/>
              </w:rPr>
            </w:pPr>
          </w:p>
        </w:tc>
        <w:tc>
          <w:tcPr>
            <w:tcW w:w="1274" w:type="dxa"/>
            <w:vMerge w:val="continue"/>
            <w:tcBorders>
              <w:top w:val="nil"/>
              <w:left w:val="single" w:color="auto" w:sz="4" w:space="0"/>
              <w:bottom w:val="single" w:color="000000" w:sz="4" w:space="0"/>
              <w:right w:val="single" w:color="auto" w:sz="4" w:space="0"/>
            </w:tcBorders>
            <w:vAlign w:val="center"/>
          </w:tcPr>
          <w:p w14:paraId="3F6B6125">
            <w:pPr>
              <w:widowControl/>
              <w:jc w:val="left"/>
              <w:rPr>
                <w:rFonts w:ascii="宋体" w:hAnsi="宋体" w:cs="宋体"/>
                <w:kern w:val="0"/>
                <w:sz w:val="24"/>
              </w:rPr>
            </w:pPr>
          </w:p>
        </w:tc>
        <w:tc>
          <w:tcPr>
            <w:tcW w:w="992" w:type="dxa"/>
            <w:tcBorders>
              <w:top w:val="nil"/>
              <w:left w:val="nil"/>
              <w:bottom w:val="single" w:color="auto" w:sz="4" w:space="0"/>
              <w:right w:val="single" w:color="auto" w:sz="4" w:space="0"/>
            </w:tcBorders>
            <w:shd w:val="clear" w:color="auto" w:fill="auto"/>
            <w:noWrap/>
            <w:vAlign w:val="center"/>
          </w:tcPr>
          <w:p w14:paraId="157A9519">
            <w:pPr>
              <w:widowControl/>
              <w:jc w:val="center"/>
              <w:rPr>
                <w:rFonts w:ascii="宋体" w:hAnsi="宋体" w:cs="宋体"/>
                <w:kern w:val="0"/>
                <w:sz w:val="24"/>
              </w:rPr>
            </w:pPr>
            <w:r>
              <w:rPr>
                <w:rFonts w:hint="eastAsia" w:ascii="宋体" w:hAnsi="宋体" w:cs="宋体"/>
                <w:kern w:val="0"/>
                <w:sz w:val="24"/>
              </w:rPr>
              <w:t>完整性检测</w:t>
            </w:r>
          </w:p>
        </w:tc>
        <w:tc>
          <w:tcPr>
            <w:tcW w:w="6095" w:type="dxa"/>
            <w:tcBorders>
              <w:top w:val="nil"/>
              <w:left w:val="nil"/>
              <w:bottom w:val="single" w:color="auto" w:sz="4" w:space="0"/>
              <w:right w:val="single" w:color="auto" w:sz="4" w:space="0"/>
            </w:tcBorders>
            <w:shd w:val="clear" w:color="auto" w:fill="auto"/>
            <w:vAlign w:val="bottom"/>
          </w:tcPr>
          <w:p w14:paraId="1AB68C98">
            <w:pPr>
              <w:widowControl/>
              <w:jc w:val="left"/>
              <w:rPr>
                <w:rFonts w:ascii="宋体" w:hAnsi="宋体" w:cs="宋体"/>
                <w:kern w:val="0"/>
                <w:sz w:val="24"/>
              </w:rPr>
            </w:pPr>
            <w:r>
              <w:rPr>
                <w:rFonts w:hint="eastAsia" w:ascii="宋体" w:hAnsi="宋体" w:cs="宋体"/>
                <w:kern w:val="0"/>
                <w:sz w:val="24"/>
              </w:rPr>
              <w:t>▲支持对主机重要资源（文件/目录、服务、注册表、驱动）进行完整性检测，支持修改前后的异常描述</w:t>
            </w:r>
            <w:r>
              <w:rPr>
                <w:rFonts w:hint="eastAsia"/>
                <w:sz w:val="24"/>
              </w:rPr>
              <w:t>，</w:t>
            </w:r>
            <w:r>
              <w:rPr>
                <w:rFonts w:hint="eastAsia" w:asciiTheme="minorEastAsia" w:hAnsiTheme="minorEastAsia" w:eastAsiaTheme="minorEastAsia"/>
                <w:sz w:val="24"/>
                <w:lang w:eastAsia="zh-CN"/>
              </w:rPr>
              <w:t>提供</w:t>
            </w:r>
            <w:r>
              <w:rPr>
                <w:rFonts w:hint="eastAsia" w:asciiTheme="minorEastAsia" w:hAnsiTheme="minorEastAsia" w:eastAsiaTheme="minorEastAsia"/>
                <w:sz w:val="24"/>
              </w:rPr>
              <w:t>技术支持资料</w:t>
            </w:r>
          </w:p>
        </w:tc>
      </w:tr>
      <w:tr w14:paraId="2B85DE02">
        <w:tblPrEx>
          <w:tblCellMar>
            <w:top w:w="0" w:type="dxa"/>
            <w:left w:w="108" w:type="dxa"/>
            <w:bottom w:w="0" w:type="dxa"/>
            <w:right w:w="108" w:type="dxa"/>
          </w:tblCellMar>
        </w:tblPrEx>
        <w:trPr>
          <w:trHeight w:val="2136" w:hRule="atLeast"/>
        </w:trPr>
        <w:tc>
          <w:tcPr>
            <w:tcW w:w="712" w:type="dxa"/>
            <w:vMerge w:val="restart"/>
            <w:tcBorders>
              <w:top w:val="nil"/>
              <w:left w:val="single" w:color="auto" w:sz="4" w:space="0"/>
              <w:right w:val="single" w:color="auto" w:sz="4" w:space="0"/>
            </w:tcBorders>
            <w:shd w:val="clear" w:color="auto" w:fill="auto"/>
            <w:noWrap/>
            <w:vAlign w:val="center"/>
          </w:tcPr>
          <w:p w14:paraId="4F8DE791">
            <w:pPr>
              <w:widowControl/>
              <w:jc w:val="center"/>
              <w:rPr>
                <w:rFonts w:ascii="宋体" w:hAnsi="宋体" w:cs="宋体"/>
                <w:kern w:val="0"/>
                <w:sz w:val="24"/>
              </w:rPr>
            </w:pPr>
            <w:r>
              <w:rPr>
                <w:rFonts w:asciiTheme="minorEastAsia" w:hAnsiTheme="minorEastAsia" w:eastAsiaTheme="minorEastAsia"/>
                <w:sz w:val="24"/>
              </w:rPr>
              <w:t>4</w:t>
            </w:r>
          </w:p>
        </w:tc>
        <w:tc>
          <w:tcPr>
            <w:tcW w:w="1274" w:type="dxa"/>
            <w:vMerge w:val="restart"/>
            <w:tcBorders>
              <w:top w:val="nil"/>
              <w:left w:val="single" w:color="auto" w:sz="4" w:space="0"/>
              <w:bottom w:val="single" w:color="auto" w:sz="4" w:space="0"/>
              <w:right w:val="single" w:color="auto" w:sz="4" w:space="0"/>
            </w:tcBorders>
            <w:shd w:val="clear" w:color="auto" w:fill="auto"/>
            <w:vAlign w:val="center"/>
          </w:tcPr>
          <w:p w14:paraId="11F9757A">
            <w:pPr>
              <w:widowControl/>
              <w:jc w:val="center"/>
              <w:rPr>
                <w:rFonts w:ascii="宋体" w:hAnsi="宋体" w:cs="宋体"/>
                <w:kern w:val="0"/>
                <w:sz w:val="24"/>
              </w:rPr>
            </w:pPr>
            <w:r>
              <w:rPr>
                <w:rFonts w:hint="eastAsia" w:ascii="宋体" w:hAnsi="宋体" w:cs="宋体"/>
                <w:kern w:val="0"/>
                <w:sz w:val="24"/>
              </w:rPr>
              <w:t>主机加固防护</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1C8DF5">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系统加固</w:t>
            </w:r>
          </w:p>
        </w:tc>
        <w:tc>
          <w:tcPr>
            <w:tcW w:w="6095" w:type="dxa"/>
            <w:tcBorders>
              <w:top w:val="single" w:color="auto" w:sz="4" w:space="0"/>
              <w:left w:val="nil"/>
              <w:bottom w:val="single" w:color="auto" w:sz="4" w:space="0"/>
              <w:right w:val="single" w:color="auto" w:sz="4" w:space="0"/>
            </w:tcBorders>
            <w:shd w:val="clear" w:color="auto" w:fill="auto"/>
            <w:vAlign w:val="center"/>
          </w:tcPr>
          <w:p w14:paraId="247EB22B">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具备对系统文件/目录、进程、注册表等保护功能；需内置高、中、低级别安全加固策略，支持信任列表，支持基于安全标记的强制访问控制功能；具备进程的强制访问控制功能，针对进程保护粒度包括写内存、复制句柄、终止进程等权限控制，以保障关键应用程序的稳定运行</w:t>
            </w:r>
            <w:r>
              <w:rPr>
                <w:rFonts w:hint="eastAsia"/>
                <w:color w:val="000000" w:themeColor="text1"/>
                <w:sz w:val="24"/>
                <w14:textFill>
                  <w14:solidFill>
                    <w14:schemeClr w14:val="tx1"/>
                  </w14:solidFill>
                </w14:textFill>
              </w:rPr>
              <w:t>，</w:t>
            </w:r>
            <w:r>
              <w:rPr>
                <w:rFonts w:hint="eastAsia" w:asciiTheme="minorEastAsia" w:hAnsiTheme="minorEastAsia" w:eastAsiaTheme="minorEastAsia"/>
                <w:sz w:val="24"/>
                <w:lang w:eastAsia="zh-CN"/>
              </w:rPr>
              <w:t>提供</w:t>
            </w:r>
            <w:r>
              <w:rPr>
                <w:rFonts w:hint="eastAsia" w:asciiTheme="minorEastAsia" w:hAnsiTheme="minorEastAsia" w:eastAsiaTheme="minorEastAsia"/>
                <w:sz w:val="24"/>
              </w:rPr>
              <w:t>技术支持资料</w:t>
            </w:r>
          </w:p>
        </w:tc>
      </w:tr>
      <w:tr w14:paraId="2AC8EE2D">
        <w:tblPrEx>
          <w:tblCellMar>
            <w:top w:w="0" w:type="dxa"/>
            <w:left w:w="108" w:type="dxa"/>
            <w:bottom w:w="0" w:type="dxa"/>
            <w:right w:w="108" w:type="dxa"/>
          </w:tblCellMar>
        </w:tblPrEx>
        <w:trPr>
          <w:trHeight w:val="1200" w:hRule="atLeast"/>
        </w:trPr>
        <w:tc>
          <w:tcPr>
            <w:tcW w:w="712" w:type="dxa"/>
            <w:vMerge w:val="continue"/>
            <w:tcBorders>
              <w:left w:val="single" w:color="auto" w:sz="4" w:space="0"/>
              <w:right w:val="single" w:color="auto" w:sz="4" w:space="0"/>
            </w:tcBorders>
            <w:shd w:val="clear" w:color="auto" w:fill="auto"/>
            <w:noWrap/>
            <w:vAlign w:val="center"/>
          </w:tcPr>
          <w:p w14:paraId="16F5E35F">
            <w:pPr>
              <w:jc w:val="center"/>
              <w:rPr>
                <w:rFonts w:ascii="宋体" w:hAnsi="宋体" w:cs="宋体"/>
                <w:kern w:val="0"/>
                <w:sz w:val="24"/>
              </w:rPr>
            </w:pPr>
          </w:p>
        </w:tc>
        <w:tc>
          <w:tcPr>
            <w:tcW w:w="1274" w:type="dxa"/>
            <w:vMerge w:val="continue"/>
            <w:tcBorders>
              <w:top w:val="nil"/>
              <w:left w:val="single" w:color="auto" w:sz="4" w:space="0"/>
              <w:bottom w:val="single" w:color="auto" w:sz="4" w:space="0"/>
              <w:right w:val="single" w:color="auto" w:sz="4" w:space="0"/>
            </w:tcBorders>
            <w:vAlign w:val="center"/>
          </w:tcPr>
          <w:p w14:paraId="72207B97">
            <w:pPr>
              <w:widowControl/>
              <w:jc w:val="left"/>
              <w:rPr>
                <w:rFonts w:ascii="宋体" w:hAnsi="宋体" w:cs="宋体"/>
                <w:kern w:val="0"/>
                <w:sz w:val="24"/>
              </w:rPr>
            </w:pP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63324604">
            <w:pPr>
              <w:widowControl/>
              <w:jc w:val="center"/>
              <w:rPr>
                <w:rFonts w:ascii="宋体" w:hAnsi="宋体" w:cs="宋体"/>
                <w:kern w:val="0"/>
                <w:sz w:val="24"/>
              </w:rPr>
            </w:pPr>
            <w:r>
              <w:rPr>
                <w:rFonts w:hint="eastAsia" w:ascii="宋体" w:hAnsi="宋体" w:cs="宋体"/>
                <w:kern w:val="0"/>
                <w:sz w:val="24"/>
              </w:rPr>
              <w:t>程序管控</w:t>
            </w:r>
          </w:p>
        </w:tc>
        <w:tc>
          <w:tcPr>
            <w:tcW w:w="6095" w:type="dxa"/>
            <w:tcBorders>
              <w:top w:val="single" w:color="auto" w:sz="4" w:space="0"/>
              <w:left w:val="nil"/>
              <w:bottom w:val="single" w:color="auto" w:sz="4" w:space="0"/>
              <w:right w:val="single" w:color="auto" w:sz="4" w:space="0"/>
            </w:tcBorders>
            <w:shd w:val="clear" w:color="auto" w:fill="auto"/>
            <w:vAlign w:val="center"/>
          </w:tcPr>
          <w:p w14:paraId="1AB4F287">
            <w:pPr>
              <w:widowControl/>
              <w:jc w:val="left"/>
              <w:rPr>
                <w:rFonts w:ascii="宋体" w:hAnsi="宋体" w:cs="宋体"/>
                <w:kern w:val="0"/>
                <w:sz w:val="24"/>
              </w:rPr>
            </w:pPr>
            <w:r>
              <w:rPr>
                <w:rFonts w:hint="eastAsia" w:ascii="宋体" w:hAnsi="宋体" w:cs="宋体"/>
                <w:kern w:val="0"/>
                <w:sz w:val="24"/>
              </w:rPr>
              <w:t>具备应用程序管控功能，支持普通、极速、静默三种搜集模式；基于全局清单库进行自动识别黑、白、灰名单；支持高级策略添加信任路径，以便于业务升级时自动信任</w:t>
            </w:r>
          </w:p>
        </w:tc>
      </w:tr>
      <w:tr w14:paraId="75E34D1D">
        <w:tblPrEx>
          <w:tblCellMar>
            <w:top w:w="0" w:type="dxa"/>
            <w:left w:w="108" w:type="dxa"/>
            <w:bottom w:w="0" w:type="dxa"/>
            <w:right w:w="108" w:type="dxa"/>
          </w:tblCellMar>
        </w:tblPrEx>
        <w:trPr>
          <w:trHeight w:val="600" w:hRule="atLeast"/>
        </w:trPr>
        <w:tc>
          <w:tcPr>
            <w:tcW w:w="712" w:type="dxa"/>
            <w:vMerge w:val="continue"/>
            <w:tcBorders>
              <w:left w:val="single" w:color="auto" w:sz="4" w:space="0"/>
              <w:right w:val="single" w:color="auto" w:sz="4" w:space="0"/>
            </w:tcBorders>
            <w:vAlign w:val="center"/>
          </w:tcPr>
          <w:p w14:paraId="23A215C6">
            <w:pPr>
              <w:jc w:val="center"/>
              <w:rPr>
                <w:rFonts w:ascii="宋体" w:hAnsi="宋体" w:cs="宋体"/>
                <w:kern w:val="0"/>
                <w:sz w:val="24"/>
              </w:rPr>
            </w:pPr>
          </w:p>
        </w:tc>
        <w:tc>
          <w:tcPr>
            <w:tcW w:w="1274" w:type="dxa"/>
            <w:vMerge w:val="continue"/>
            <w:tcBorders>
              <w:top w:val="nil"/>
              <w:left w:val="single" w:color="auto" w:sz="4" w:space="0"/>
              <w:bottom w:val="single" w:color="auto" w:sz="4" w:space="0"/>
              <w:right w:val="single" w:color="auto" w:sz="4" w:space="0"/>
            </w:tcBorders>
            <w:vAlign w:val="center"/>
          </w:tcPr>
          <w:p w14:paraId="1C2A1DC8">
            <w:pPr>
              <w:widowControl/>
              <w:jc w:val="left"/>
              <w:rPr>
                <w:rFonts w:ascii="宋体" w:hAnsi="宋体" w:cs="宋体"/>
                <w:kern w:val="0"/>
                <w:sz w:val="24"/>
              </w:rPr>
            </w:pPr>
          </w:p>
        </w:tc>
        <w:tc>
          <w:tcPr>
            <w:tcW w:w="992" w:type="dxa"/>
            <w:tcBorders>
              <w:top w:val="nil"/>
              <w:left w:val="single" w:color="auto" w:sz="4" w:space="0"/>
              <w:bottom w:val="single" w:color="000000" w:sz="4" w:space="0"/>
              <w:right w:val="single" w:color="auto" w:sz="4" w:space="0"/>
            </w:tcBorders>
            <w:vAlign w:val="center"/>
          </w:tcPr>
          <w:p w14:paraId="16C534C3">
            <w:pPr>
              <w:widowControl/>
              <w:jc w:val="left"/>
              <w:rPr>
                <w:rFonts w:ascii="宋体" w:hAnsi="宋体" w:cs="宋体"/>
                <w:kern w:val="0"/>
                <w:sz w:val="24"/>
              </w:rPr>
            </w:pPr>
            <w:r>
              <w:rPr>
                <w:rFonts w:hint="eastAsia" w:ascii="宋体" w:hAnsi="宋体" w:cs="宋体"/>
                <w:kern w:val="0"/>
                <w:sz w:val="24"/>
              </w:rPr>
              <w:t>微隔离</w:t>
            </w:r>
          </w:p>
        </w:tc>
        <w:tc>
          <w:tcPr>
            <w:tcW w:w="6095" w:type="dxa"/>
            <w:tcBorders>
              <w:top w:val="nil"/>
              <w:left w:val="nil"/>
              <w:bottom w:val="single" w:color="auto" w:sz="4" w:space="0"/>
              <w:right w:val="single" w:color="auto" w:sz="4" w:space="0"/>
            </w:tcBorders>
            <w:shd w:val="clear" w:color="auto" w:fill="auto"/>
            <w:vAlign w:val="bottom"/>
          </w:tcPr>
          <w:p w14:paraId="2685CBAC">
            <w:pPr>
              <w:widowControl/>
              <w:jc w:val="left"/>
              <w:rPr>
                <w:rFonts w:ascii="宋体" w:hAnsi="宋体" w:cs="宋体"/>
                <w:kern w:val="0"/>
                <w:sz w:val="24"/>
              </w:rPr>
            </w:pPr>
            <w:r>
              <w:rPr>
                <w:rFonts w:hint="eastAsia" w:ascii="宋体" w:hAnsi="宋体" w:cs="宋体"/>
                <w:kern w:val="0"/>
                <w:sz w:val="24"/>
              </w:rPr>
              <w:t>黑客攻击时，可一键对失陷主机网络进行紧急隔离，支持出站、入站、双向流量多种隔离方式，同时开放特定端口，不影响业务正常访问，阻断横向渗透行为，威胁清除后远程一键解除隔离，恢复正常通信</w:t>
            </w:r>
          </w:p>
        </w:tc>
      </w:tr>
      <w:tr w14:paraId="2280F6C9">
        <w:tblPrEx>
          <w:tblCellMar>
            <w:top w:w="0" w:type="dxa"/>
            <w:left w:w="108" w:type="dxa"/>
            <w:bottom w:w="0" w:type="dxa"/>
            <w:right w:w="108" w:type="dxa"/>
          </w:tblCellMar>
        </w:tblPrEx>
        <w:trPr>
          <w:trHeight w:val="998" w:hRule="atLeast"/>
        </w:trPr>
        <w:tc>
          <w:tcPr>
            <w:tcW w:w="712" w:type="dxa"/>
            <w:vMerge w:val="continue"/>
            <w:tcBorders>
              <w:left w:val="single" w:color="auto" w:sz="4" w:space="0"/>
              <w:bottom w:val="single" w:color="auto" w:sz="4" w:space="0"/>
              <w:right w:val="single" w:color="auto" w:sz="4" w:space="0"/>
            </w:tcBorders>
            <w:shd w:val="clear" w:color="auto" w:fill="auto"/>
            <w:noWrap/>
            <w:vAlign w:val="center"/>
          </w:tcPr>
          <w:p w14:paraId="2C124440">
            <w:pPr>
              <w:widowControl/>
              <w:jc w:val="center"/>
              <w:rPr>
                <w:rFonts w:ascii="宋体" w:hAnsi="宋体" w:cs="宋体"/>
                <w:kern w:val="0"/>
                <w:sz w:val="24"/>
              </w:rPr>
            </w:pPr>
          </w:p>
        </w:tc>
        <w:tc>
          <w:tcPr>
            <w:tcW w:w="1274" w:type="dxa"/>
            <w:vMerge w:val="continue"/>
            <w:tcBorders>
              <w:top w:val="nil"/>
              <w:left w:val="single" w:color="auto" w:sz="4" w:space="0"/>
              <w:bottom w:val="single" w:color="auto" w:sz="4" w:space="0"/>
              <w:right w:val="single" w:color="auto" w:sz="4" w:space="0"/>
            </w:tcBorders>
            <w:vAlign w:val="center"/>
          </w:tcPr>
          <w:p w14:paraId="53D128AF">
            <w:pPr>
              <w:widowControl/>
              <w:jc w:val="left"/>
              <w:rPr>
                <w:rFonts w:ascii="宋体" w:hAnsi="宋体" w:cs="宋体"/>
                <w:kern w:val="0"/>
                <w:sz w:val="24"/>
              </w:rPr>
            </w:pPr>
          </w:p>
        </w:tc>
        <w:tc>
          <w:tcPr>
            <w:tcW w:w="992" w:type="dxa"/>
            <w:tcBorders>
              <w:top w:val="nil"/>
              <w:left w:val="nil"/>
              <w:bottom w:val="single" w:color="auto" w:sz="4" w:space="0"/>
              <w:right w:val="single" w:color="auto" w:sz="4" w:space="0"/>
            </w:tcBorders>
            <w:shd w:val="clear" w:color="auto" w:fill="auto"/>
            <w:noWrap/>
            <w:vAlign w:val="center"/>
          </w:tcPr>
          <w:p w14:paraId="1A12AED3">
            <w:pPr>
              <w:widowControl/>
              <w:jc w:val="center"/>
              <w:rPr>
                <w:rFonts w:ascii="宋体" w:hAnsi="宋体" w:cs="宋体"/>
                <w:kern w:val="0"/>
                <w:sz w:val="24"/>
              </w:rPr>
            </w:pPr>
            <w:r>
              <w:rPr>
                <w:rFonts w:hint="eastAsia" w:ascii="宋体" w:hAnsi="宋体" w:cs="宋体"/>
                <w:kern w:val="0"/>
                <w:sz w:val="24"/>
              </w:rPr>
              <w:t>外设防护</w:t>
            </w:r>
          </w:p>
        </w:tc>
        <w:tc>
          <w:tcPr>
            <w:tcW w:w="6095" w:type="dxa"/>
            <w:tcBorders>
              <w:top w:val="nil"/>
              <w:left w:val="nil"/>
              <w:bottom w:val="single" w:color="auto" w:sz="4" w:space="0"/>
              <w:right w:val="single" w:color="auto" w:sz="4" w:space="0"/>
            </w:tcBorders>
            <w:shd w:val="clear" w:color="auto" w:fill="auto"/>
          </w:tcPr>
          <w:p w14:paraId="59C981AF">
            <w:pPr>
              <w:widowControl/>
              <w:rPr>
                <w:rFonts w:ascii="宋体" w:hAnsi="宋体" w:cs="宋体"/>
                <w:kern w:val="0"/>
                <w:sz w:val="24"/>
              </w:rPr>
            </w:pPr>
            <w:r>
              <w:rPr>
                <w:rFonts w:hint="eastAsia" w:ascii="宋体" w:hAnsi="宋体" w:cs="宋体"/>
                <w:kern w:val="0"/>
                <w:sz w:val="24"/>
              </w:rPr>
              <w:t>具备移动存储设备管控功能，只允许注册的移动存储设备的使用，支持对已注册的移动存储设备设置只读、读写权限控制，支持鼠标、键盘防护</w:t>
            </w:r>
          </w:p>
        </w:tc>
      </w:tr>
      <w:tr w14:paraId="0046098C">
        <w:tblPrEx>
          <w:tblCellMar>
            <w:top w:w="0" w:type="dxa"/>
            <w:left w:w="108" w:type="dxa"/>
            <w:bottom w:w="0" w:type="dxa"/>
            <w:right w:w="108" w:type="dxa"/>
          </w:tblCellMar>
        </w:tblPrEx>
        <w:trPr>
          <w:trHeight w:val="900" w:hRule="atLeast"/>
        </w:trPr>
        <w:tc>
          <w:tcPr>
            <w:tcW w:w="712" w:type="dxa"/>
            <w:vMerge w:val="restart"/>
            <w:tcBorders>
              <w:top w:val="nil"/>
              <w:left w:val="single" w:color="auto" w:sz="4" w:space="0"/>
              <w:right w:val="single" w:color="auto" w:sz="4" w:space="0"/>
            </w:tcBorders>
            <w:shd w:val="clear" w:color="auto" w:fill="auto"/>
            <w:noWrap/>
            <w:vAlign w:val="center"/>
          </w:tcPr>
          <w:p w14:paraId="3A36F083">
            <w:pPr>
              <w:jc w:val="center"/>
              <w:rPr>
                <w:rFonts w:ascii="宋体" w:hAnsi="宋体" w:cs="宋体"/>
                <w:kern w:val="0"/>
                <w:sz w:val="24"/>
              </w:rPr>
            </w:pPr>
            <w:r>
              <w:rPr>
                <w:rFonts w:asciiTheme="minorEastAsia" w:hAnsiTheme="minorEastAsia" w:eastAsiaTheme="minorEastAsia"/>
                <w:kern w:val="0"/>
                <w:sz w:val="24"/>
              </w:rPr>
              <w:t>5</w:t>
            </w:r>
          </w:p>
        </w:tc>
        <w:tc>
          <w:tcPr>
            <w:tcW w:w="1274" w:type="dxa"/>
            <w:vMerge w:val="restart"/>
            <w:tcBorders>
              <w:top w:val="nil"/>
              <w:left w:val="single" w:color="auto" w:sz="4" w:space="0"/>
              <w:bottom w:val="single" w:color="auto" w:sz="4" w:space="0"/>
              <w:right w:val="single" w:color="auto" w:sz="4" w:space="0"/>
            </w:tcBorders>
            <w:shd w:val="clear" w:color="auto" w:fill="auto"/>
            <w:vAlign w:val="center"/>
          </w:tcPr>
          <w:p w14:paraId="68B5958C">
            <w:pPr>
              <w:widowControl/>
              <w:jc w:val="center"/>
              <w:rPr>
                <w:rFonts w:ascii="宋体" w:hAnsi="宋体" w:cs="宋体"/>
                <w:kern w:val="0"/>
                <w:sz w:val="24"/>
              </w:rPr>
            </w:pPr>
            <w:r>
              <w:rPr>
                <w:rFonts w:hint="eastAsia" w:ascii="宋体" w:hAnsi="宋体" w:cs="宋体"/>
                <w:kern w:val="0"/>
                <w:sz w:val="24"/>
              </w:rPr>
              <w:t>主机监控响应</w:t>
            </w:r>
          </w:p>
        </w:tc>
        <w:tc>
          <w:tcPr>
            <w:tcW w:w="992" w:type="dxa"/>
            <w:tcBorders>
              <w:top w:val="nil"/>
              <w:left w:val="nil"/>
              <w:bottom w:val="single" w:color="auto" w:sz="4" w:space="0"/>
              <w:right w:val="single" w:color="auto" w:sz="4" w:space="0"/>
            </w:tcBorders>
            <w:shd w:val="clear" w:color="auto" w:fill="auto"/>
            <w:noWrap/>
            <w:vAlign w:val="center"/>
          </w:tcPr>
          <w:p w14:paraId="19371266">
            <w:pPr>
              <w:widowControl/>
              <w:jc w:val="center"/>
              <w:rPr>
                <w:rFonts w:ascii="宋体" w:hAnsi="宋体" w:cs="宋体"/>
                <w:kern w:val="0"/>
                <w:sz w:val="24"/>
              </w:rPr>
            </w:pPr>
            <w:r>
              <w:rPr>
                <w:rFonts w:hint="eastAsia" w:ascii="宋体" w:hAnsi="宋体" w:cs="宋体"/>
                <w:kern w:val="0"/>
                <w:sz w:val="24"/>
              </w:rPr>
              <w:t>安全监控</w:t>
            </w:r>
          </w:p>
        </w:tc>
        <w:tc>
          <w:tcPr>
            <w:tcW w:w="6095" w:type="dxa"/>
            <w:tcBorders>
              <w:top w:val="nil"/>
              <w:left w:val="nil"/>
              <w:bottom w:val="single" w:color="auto" w:sz="4" w:space="0"/>
              <w:right w:val="single" w:color="auto" w:sz="4" w:space="0"/>
            </w:tcBorders>
            <w:shd w:val="clear" w:color="auto" w:fill="auto"/>
            <w:vAlign w:val="center"/>
          </w:tcPr>
          <w:p w14:paraId="70C9942A">
            <w:pPr>
              <w:widowControl/>
              <w:jc w:val="left"/>
              <w:rPr>
                <w:rFonts w:ascii="宋体" w:hAnsi="宋体" w:cs="宋体"/>
                <w:kern w:val="0"/>
                <w:sz w:val="24"/>
              </w:rPr>
            </w:pPr>
            <w:r>
              <w:rPr>
                <w:rFonts w:hint="eastAsia" w:ascii="宋体" w:hAnsi="宋体" w:cs="宋体"/>
                <w:kern w:val="0"/>
                <w:sz w:val="24"/>
              </w:rPr>
              <w:t>产品需支持全网部署概览、主机风险概览、待处理高危事件数量和涉及主机数、高风险告警主机TOP、高风险漏洞TOP、合规性分析威胁趋势等。待处理高危事件类型包括：入侵风险、高危配置、高危漏洞、可疑程序量、违规外设接入等。支持大屏监控功能，支持主流分辨率</w:t>
            </w:r>
          </w:p>
        </w:tc>
      </w:tr>
      <w:tr w14:paraId="4B761831">
        <w:tblPrEx>
          <w:tblCellMar>
            <w:top w:w="0" w:type="dxa"/>
            <w:left w:w="108" w:type="dxa"/>
            <w:bottom w:w="0" w:type="dxa"/>
            <w:right w:w="108" w:type="dxa"/>
          </w:tblCellMar>
        </w:tblPrEx>
        <w:trPr>
          <w:trHeight w:val="600" w:hRule="atLeast"/>
        </w:trPr>
        <w:tc>
          <w:tcPr>
            <w:tcW w:w="712" w:type="dxa"/>
            <w:vMerge w:val="continue"/>
            <w:tcBorders>
              <w:left w:val="single" w:color="auto" w:sz="4" w:space="0"/>
              <w:right w:val="single" w:color="auto" w:sz="4" w:space="0"/>
            </w:tcBorders>
            <w:shd w:val="clear" w:color="auto" w:fill="auto"/>
            <w:noWrap/>
            <w:vAlign w:val="center"/>
          </w:tcPr>
          <w:p w14:paraId="19E8DDC2">
            <w:pPr>
              <w:jc w:val="center"/>
              <w:rPr>
                <w:rFonts w:ascii="宋体" w:hAnsi="宋体" w:cs="宋体"/>
                <w:kern w:val="0"/>
                <w:sz w:val="24"/>
              </w:rPr>
            </w:pPr>
          </w:p>
        </w:tc>
        <w:tc>
          <w:tcPr>
            <w:tcW w:w="1274" w:type="dxa"/>
            <w:vMerge w:val="continue"/>
            <w:tcBorders>
              <w:top w:val="nil"/>
              <w:left w:val="single" w:color="auto" w:sz="4" w:space="0"/>
              <w:bottom w:val="single" w:color="auto" w:sz="4" w:space="0"/>
              <w:right w:val="single" w:color="auto" w:sz="4" w:space="0"/>
            </w:tcBorders>
            <w:vAlign w:val="center"/>
          </w:tcPr>
          <w:p w14:paraId="1590212A">
            <w:pPr>
              <w:widowControl/>
              <w:jc w:val="left"/>
              <w:rPr>
                <w:rFonts w:ascii="宋体" w:hAnsi="宋体" w:cs="宋体"/>
                <w:kern w:val="0"/>
                <w:sz w:val="24"/>
              </w:rPr>
            </w:pPr>
          </w:p>
        </w:tc>
        <w:tc>
          <w:tcPr>
            <w:tcW w:w="992" w:type="dxa"/>
            <w:tcBorders>
              <w:top w:val="nil"/>
              <w:left w:val="nil"/>
              <w:bottom w:val="single" w:color="auto" w:sz="4" w:space="0"/>
              <w:right w:val="single" w:color="auto" w:sz="4" w:space="0"/>
            </w:tcBorders>
            <w:shd w:val="clear" w:color="auto" w:fill="auto"/>
            <w:noWrap/>
            <w:vAlign w:val="center"/>
          </w:tcPr>
          <w:p w14:paraId="55550741">
            <w:pPr>
              <w:widowControl/>
              <w:jc w:val="center"/>
              <w:rPr>
                <w:rFonts w:ascii="宋体" w:hAnsi="宋体" w:cs="宋体"/>
                <w:kern w:val="0"/>
                <w:sz w:val="24"/>
              </w:rPr>
            </w:pPr>
            <w:r>
              <w:rPr>
                <w:rFonts w:hint="eastAsia" w:ascii="宋体" w:hAnsi="宋体" w:cs="宋体"/>
                <w:kern w:val="0"/>
                <w:sz w:val="24"/>
              </w:rPr>
              <w:t>响应中心</w:t>
            </w:r>
          </w:p>
        </w:tc>
        <w:tc>
          <w:tcPr>
            <w:tcW w:w="6095" w:type="dxa"/>
            <w:tcBorders>
              <w:top w:val="nil"/>
              <w:left w:val="nil"/>
              <w:bottom w:val="single" w:color="auto" w:sz="4" w:space="0"/>
              <w:right w:val="single" w:color="auto" w:sz="4" w:space="0"/>
            </w:tcBorders>
            <w:shd w:val="clear" w:color="auto" w:fill="auto"/>
            <w:vAlign w:val="center"/>
          </w:tcPr>
          <w:p w14:paraId="3A042116">
            <w:pPr>
              <w:widowControl/>
              <w:jc w:val="left"/>
              <w:rPr>
                <w:rFonts w:ascii="宋体" w:hAnsi="宋体" w:cs="宋体"/>
                <w:kern w:val="0"/>
                <w:sz w:val="24"/>
              </w:rPr>
            </w:pPr>
            <w:r>
              <w:rPr>
                <w:rFonts w:hint="eastAsia" w:ascii="宋体" w:hAnsi="宋体" w:cs="宋体"/>
                <w:kern w:val="0"/>
                <w:sz w:val="24"/>
              </w:rPr>
              <w:t>具备反弹 Shell 检测功能，提供反弹Shell的详细进程树，支持一键处置，支持与网络防护功能联动</w:t>
            </w:r>
          </w:p>
        </w:tc>
      </w:tr>
      <w:tr w14:paraId="145B838F">
        <w:tblPrEx>
          <w:tblCellMar>
            <w:top w:w="0" w:type="dxa"/>
            <w:left w:w="108" w:type="dxa"/>
            <w:bottom w:w="0" w:type="dxa"/>
            <w:right w:w="108" w:type="dxa"/>
          </w:tblCellMar>
        </w:tblPrEx>
        <w:trPr>
          <w:trHeight w:val="600" w:hRule="atLeast"/>
        </w:trPr>
        <w:tc>
          <w:tcPr>
            <w:tcW w:w="712" w:type="dxa"/>
            <w:vMerge w:val="continue"/>
            <w:tcBorders>
              <w:left w:val="single" w:color="auto" w:sz="4" w:space="0"/>
              <w:bottom w:val="single" w:color="auto" w:sz="4" w:space="0"/>
              <w:right w:val="single" w:color="auto" w:sz="4" w:space="0"/>
            </w:tcBorders>
            <w:shd w:val="clear" w:color="auto" w:fill="auto"/>
            <w:noWrap/>
            <w:vAlign w:val="center"/>
          </w:tcPr>
          <w:p w14:paraId="0C8AE96B">
            <w:pPr>
              <w:widowControl/>
              <w:jc w:val="center"/>
              <w:rPr>
                <w:rFonts w:ascii="宋体" w:hAnsi="宋体" w:cs="宋体"/>
                <w:kern w:val="0"/>
                <w:sz w:val="24"/>
              </w:rPr>
            </w:pPr>
          </w:p>
        </w:tc>
        <w:tc>
          <w:tcPr>
            <w:tcW w:w="1274" w:type="dxa"/>
            <w:vMerge w:val="continue"/>
            <w:tcBorders>
              <w:top w:val="nil"/>
              <w:left w:val="single" w:color="auto" w:sz="4" w:space="0"/>
              <w:bottom w:val="single" w:color="auto" w:sz="4" w:space="0"/>
              <w:right w:val="single" w:color="auto" w:sz="4" w:space="0"/>
            </w:tcBorders>
            <w:vAlign w:val="center"/>
          </w:tcPr>
          <w:p w14:paraId="48296AA3">
            <w:pPr>
              <w:widowControl/>
              <w:jc w:val="left"/>
              <w:rPr>
                <w:rFonts w:ascii="宋体" w:hAnsi="宋体" w:cs="宋体"/>
                <w:kern w:val="0"/>
                <w:sz w:val="24"/>
              </w:rPr>
            </w:pPr>
          </w:p>
        </w:tc>
        <w:tc>
          <w:tcPr>
            <w:tcW w:w="992" w:type="dxa"/>
            <w:tcBorders>
              <w:top w:val="nil"/>
              <w:left w:val="nil"/>
              <w:bottom w:val="single" w:color="auto" w:sz="4" w:space="0"/>
              <w:right w:val="single" w:color="auto" w:sz="4" w:space="0"/>
            </w:tcBorders>
            <w:shd w:val="clear" w:color="auto" w:fill="auto"/>
            <w:noWrap/>
            <w:vAlign w:val="center"/>
          </w:tcPr>
          <w:p w14:paraId="77ECD4F7">
            <w:pPr>
              <w:widowControl/>
              <w:jc w:val="center"/>
              <w:rPr>
                <w:rFonts w:ascii="宋体" w:hAnsi="宋体" w:cs="宋体"/>
                <w:kern w:val="0"/>
                <w:sz w:val="24"/>
              </w:rPr>
            </w:pPr>
            <w:r>
              <w:rPr>
                <w:rFonts w:hint="eastAsia" w:ascii="宋体" w:hAnsi="宋体" w:cs="宋体"/>
                <w:kern w:val="0"/>
                <w:sz w:val="24"/>
              </w:rPr>
              <w:t>资源监控</w:t>
            </w:r>
          </w:p>
        </w:tc>
        <w:tc>
          <w:tcPr>
            <w:tcW w:w="6095" w:type="dxa"/>
            <w:tcBorders>
              <w:top w:val="nil"/>
              <w:left w:val="nil"/>
              <w:bottom w:val="single" w:color="auto" w:sz="4" w:space="0"/>
              <w:right w:val="single" w:color="auto" w:sz="4" w:space="0"/>
            </w:tcBorders>
            <w:shd w:val="clear" w:color="auto" w:fill="auto"/>
            <w:vAlign w:val="center"/>
          </w:tcPr>
          <w:p w14:paraId="53B2FB32">
            <w:pPr>
              <w:widowControl/>
              <w:jc w:val="left"/>
              <w:rPr>
                <w:rFonts w:ascii="宋体" w:hAnsi="宋体" w:cs="宋体"/>
                <w:kern w:val="0"/>
                <w:sz w:val="24"/>
              </w:rPr>
            </w:pPr>
            <w:r>
              <w:rPr>
                <w:rFonts w:hint="eastAsia" w:ascii="宋体" w:hAnsi="宋体" w:cs="宋体"/>
                <w:kern w:val="0"/>
                <w:sz w:val="24"/>
              </w:rPr>
              <w:t>产品需支持主机的CPU、内存、磁盘进行监控，并在达到设置阈值时及时发出告警，防止系统资源耗尽，支持邮件、syslog告警方式</w:t>
            </w:r>
          </w:p>
        </w:tc>
      </w:tr>
      <w:tr w14:paraId="3417E1DF">
        <w:trPr>
          <w:trHeight w:val="600" w:hRule="atLeast"/>
        </w:trPr>
        <w:tc>
          <w:tcPr>
            <w:tcW w:w="712" w:type="dxa"/>
            <w:vMerge w:val="restart"/>
            <w:tcBorders>
              <w:top w:val="nil"/>
              <w:left w:val="single" w:color="auto" w:sz="4" w:space="0"/>
              <w:right w:val="single" w:color="auto" w:sz="4" w:space="0"/>
            </w:tcBorders>
            <w:shd w:val="clear" w:color="auto" w:fill="auto"/>
            <w:noWrap/>
            <w:vAlign w:val="center"/>
          </w:tcPr>
          <w:p w14:paraId="5841601C">
            <w:pPr>
              <w:jc w:val="center"/>
              <w:rPr>
                <w:rFonts w:ascii="宋体" w:hAnsi="宋体" w:cs="宋体"/>
                <w:kern w:val="0"/>
                <w:sz w:val="24"/>
              </w:rPr>
            </w:pPr>
            <w:r>
              <w:rPr>
                <w:rFonts w:asciiTheme="minorEastAsia" w:hAnsiTheme="minorEastAsia" w:eastAsiaTheme="minorEastAsia"/>
                <w:kern w:val="0"/>
                <w:sz w:val="24"/>
              </w:rPr>
              <w:t>6</w:t>
            </w:r>
          </w:p>
        </w:tc>
        <w:tc>
          <w:tcPr>
            <w:tcW w:w="1274" w:type="dxa"/>
            <w:vMerge w:val="restart"/>
            <w:tcBorders>
              <w:top w:val="nil"/>
              <w:left w:val="single" w:color="auto" w:sz="4" w:space="0"/>
              <w:bottom w:val="single" w:color="auto" w:sz="4" w:space="0"/>
              <w:right w:val="single" w:color="auto" w:sz="4" w:space="0"/>
            </w:tcBorders>
            <w:shd w:val="clear" w:color="auto" w:fill="auto"/>
            <w:vAlign w:val="center"/>
          </w:tcPr>
          <w:p w14:paraId="5F10E6EA">
            <w:pPr>
              <w:widowControl/>
              <w:jc w:val="center"/>
              <w:rPr>
                <w:rFonts w:ascii="宋体" w:hAnsi="宋体" w:cs="宋体"/>
                <w:kern w:val="0"/>
                <w:sz w:val="24"/>
              </w:rPr>
            </w:pPr>
            <w:r>
              <w:rPr>
                <w:rFonts w:hint="eastAsia" w:ascii="宋体" w:hAnsi="宋体" w:cs="宋体"/>
                <w:kern w:val="0"/>
                <w:sz w:val="24"/>
              </w:rPr>
              <w:t>安全管理与运维</w:t>
            </w:r>
          </w:p>
        </w:tc>
        <w:tc>
          <w:tcPr>
            <w:tcW w:w="992" w:type="dxa"/>
            <w:tcBorders>
              <w:top w:val="nil"/>
              <w:left w:val="nil"/>
              <w:bottom w:val="single" w:color="auto" w:sz="4" w:space="0"/>
              <w:right w:val="single" w:color="auto" w:sz="4" w:space="0"/>
            </w:tcBorders>
            <w:shd w:val="clear" w:color="auto" w:fill="auto"/>
            <w:noWrap/>
            <w:vAlign w:val="center"/>
          </w:tcPr>
          <w:p w14:paraId="2677898F">
            <w:pPr>
              <w:widowControl/>
              <w:jc w:val="center"/>
              <w:rPr>
                <w:rFonts w:ascii="宋体" w:hAnsi="宋体" w:cs="宋体"/>
                <w:kern w:val="0"/>
                <w:sz w:val="24"/>
              </w:rPr>
            </w:pPr>
            <w:r>
              <w:rPr>
                <w:rFonts w:hint="eastAsia" w:ascii="宋体" w:hAnsi="宋体" w:cs="宋体"/>
                <w:kern w:val="0"/>
                <w:sz w:val="24"/>
              </w:rPr>
              <w:t>登录管理</w:t>
            </w:r>
          </w:p>
        </w:tc>
        <w:tc>
          <w:tcPr>
            <w:tcW w:w="6095" w:type="dxa"/>
            <w:tcBorders>
              <w:top w:val="nil"/>
              <w:left w:val="nil"/>
              <w:bottom w:val="single" w:color="auto" w:sz="4" w:space="0"/>
              <w:right w:val="single" w:color="auto" w:sz="4" w:space="0"/>
            </w:tcBorders>
            <w:shd w:val="clear" w:color="auto" w:fill="auto"/>
            <w:vAlign w:val="center"/>
          </w:tcPr>
          <w:p w14:paraId="52E4F1AA">
            <w:pPr>
              <w:widowControl/>
              <w:jc w:val="left"/>
              <w:rPr>
                <w:rFonts w:ascii="宋体" w:hAnsi="宋体" w:cs="宋体"/>
                <w:kern w:val="0"/>
                <w:sz w:val="24"/>
              </w:rPr>
            </w:pPr>
            <w:r>
              <w:rPr>
                <w:rFonts w:hint="eastAsia" w:ascii="宋体" w:hAnsi="宋体" w:cs="宋体"/>
                <w:kern w:val="0"/>
                <w:sz w:val="24"/>
              </w:rPr>
              <w:t>产品需支持管理平台三权分立和双因子身份认证功能，可对会话超时、登录失败次数、账号锁定、密码策略和访问终端IP地址进行访问安全策略配置，防止暴力破解保证平台自身安全</w:t>
            </w:r>
          </w:p>
        </w:tc>
      </w:tr>
      <w:tr w14:paraId="31141F4F">
        <w:tblPrEx>
          <w:tblCellMar>
            <w:top w:w="0" w:type="dxa"/>
            <w:left w:w="108" w:type="dxa"/>
            <w:bottom w:w="0" w:type="dxa"/>
            <w:right w:w="108" w:type="dxa"/>
          </w:tblCellMar>
        </w:tblPrEx>
        <w:trPr>
          <w:trHeight w:val="600" w:hRule="atLeast"/>
        </w:trPr>
        <w:tc>
          <w:tcPr>
            <w:tcW w:w="712" w:type="dxa"/>
            <w:vMerge w:val="continue"/>
            <w:tcBorders>
              <w:left w:val="single" w:color="auto" w:sz="4" w:space="0"/>
              <w:right w:val="single" w:color="auto" w:sz="4" w:space="0"/>
            </w:tcBorders>
            <w:shd w:val="clear" w:color="auto" w:fill="auto"/>
            <w:noWrap/>
            <w:vAlign w:val="center"/>
          </w:tcPr>
          <w:p w14:paraId="708209E3">
            <w:pPr>
              <w:widowControl/>
              <w:jc w:val="center"/>
              <w:rPr>
                <w:rFonts w:ascii="宋体" w:hAnsi="宋体" w:cs="宋体"/>
                <w:kern w:val="0"/>
                <w:sz w:val="24"/>
              </w:rPr>
            </w:pPr>
          </w:p>
        </w:tc>
        <w:tc>
          <w:tcPr>
            <w:tcW w:w="1274" w:type="dxa"/>
            <w:vMerge w:val="continue"/>
            <w:tcBorders>
              <w:top w:val="nil"/>
              <w:left w:val="single" w:color="auto" w:sz="4" w:space="0"/>
              <w:bottom w:val="single" w:color="auto" w:sz="4" w:space="0"/>
              <w:right w:val="single" w:color="auto" w:sz="4" w:space="0"/>
            </w:tcBorders>
            <w:vAlign w:val="center"/>
          </w:tcPr>
          <w:p w14:paraId="47C22C98">
            <w:pPr>
              <w:widowControl/>
              <w:jc w:val="left"/>
              <w:rPr>
                <w:rFonts w:ascii="宋体" w:hAnsi="宋体" w:cs="宋体"/>
                <w:kern w:val="0"/>
                <w:sz w:val="24"/>
              </w:rPr>
            </w:pPr>
          </w:p>
        </w:tc>
        <w:tc>
          <w:tcPr>
            <w:tcW w:w="992" w:type="dxa"/>
            <w:tcBorders>
              <w:top w:val="nil"/>
              <w:left w:val="nil"/>
              <w:bottom w:val="single" w:color="auto" w:sz="4" w:space="0"/>
              <w:right w:val="single" w:color="auto" w:sz="4" w:space="0"/>
            </w:tcBorders>
            <w:shd w:val="clear" w:color="auto" w:fill="auto"/>
            <w:noWrap/>
            <w:vAlign w:val="center"/>
          </w:tcPr>
          <w:p w14:paraId="7F35A90B">
            <w:pPr>
              <w:widowControl/>
              <w:jc w:val="center"/>
              <w:rPr>
                <w:rFonts w:ascii="宋体" w:hAnsi="宋体" w:cs="宋体"/>
                <w:kern w:val="0"/>
                <w:sz w:val="24"/>
              </w:rPr>
            </w:pPr>
            <w:r>
              <w:rPr>
                <w:rFonts w:hint="eastAsia" w:ascii="宋体" w:hAnsi="宋体" w:cs="宋体"/>
                <w:kern w:val="0"/>
                <w:sz w:val="24"/>
              </w:rPr>
              <w:t>策略管理</w:t>
            </w:r>
          </w:p>
        </w:tc>
        <w:tc>
          <w:tcPr>
            <w:tcW w:w="6095" w:type="dxa"/>
            <w:tcBorders>
              <w:top w:val="nil"/>
              <w:left w:val="nil"/>
              <w:bottom w:val="single" w:color="auto" w:sz="4" w:space="0"/>
              <w:right w:val="single" w:color="auto" w:sz="4" w:space="0"/>
            </w:tcBorders>
            <w:shd w:val="clear" w:color="auto" w:fill="auto"/>
            <w:vAlign w:val="center"/>
          </w:tcPr>
          <w:p w14:paraId="48A3056E">
            <w:pPr>
              <w:widowControl/>
              <w:jc w:val="left"/>
              <w:rPr>
                <w:rFonts w:ascii="宋体" w:hAnsi="宋体" w:cs="宋体"/>
                <w:kern w:val="0"/>
                <w:sz w:val="24"/>
              </w:rPr>
            </w:pPr>
            <w:r>
              <w:rPr>
                <w:rFonts w:hint="eastAsia" w:ascii="宋体" w:hAnsi="宋体" w:cs="宋体"/>
                <w:kern w:val="0"/>
                <w:sz w:val="24"/>
              </w:rPr>
              <w:t>产品需支持策略分组结构管理，支持策略批量管理和恢复出厂默认策略，并支持策略导入和导出</w:t>
            </w:r>
          </w:p>
        </w:tc>
      </w:tr>
      <w:tr w14:paraId="4D115F65">
        <w:tblPrEx>
          <w:tblCellMar>
            <w:top w:w="0" w:type="dxa"/>
            <w:left w:w="108" w:type="dxa"/>
            <w:bottom w:w="0" w:type="dxa"/>
            <w:right w:w="108" w:type="dxa"/>
          </w:tblCellMar>
        </w:tblPrEx>
        <w:trPr>
          <w:trHeight w:val="300" w:hRule="atLeast"/>
        </w:trPr>
        <w:tc>
          <w:tcPr>
            <w:tcW w:w="712" w:type="dxa"/>
            <w:vMerge w:val="continue"/>
            <w:tcBorders>
              <w:left w:val="single" w:color="auto" w:sz="4" w:space="0"/>
              <w:bottom w:val="single" w:color="auto" w:sz="4" w:space="0"/>
              <w:right w:val="single" w:color="auto" w:sz="4" w:space="0"/>
            </w:tcBorders>
            <w:shd w:val="clear" w:color="auto" w:fill="auto"/>
            <w:noWrap/>
            <w:vAlign w:val="center"/>
          </w:tcPr>
          <w:p w14:paraId="46DCA71C">
            <w:pPr>
              <w:widowControl/>
              <w:jc w:val="center"/>
              <w:rPr>
                <w:rFonts w:ascii="宋体" w:hAnsi="宋体" w:cs="宋体"/>
                <w:kern w:val="0"/>
                <w:sz w:val="24"/>
              </w:rPr>
            </w:pPr>
          </w:p>
        </w:tc>
        <w:tc>
          <w:tcPr>
            <w:tcW w:w="1274" w:type="dxa"/>
            <w:vMerge w:val="continue"/>
            <w:tcBorders>
              <w:top w:val="single" w:color="auto" w:sz="4" w:space="0"/>
              <w:left w:val="single" w:color="auto" w:sz="4" w:space="0"/>
              <w:bottom w:val="single" w:color="auto" w:sz="4" w:space="0"/>
              <w:right w:val="single" w:color="auto" w:sz="4" w:space="0"/>
            </w:tcBorders>
            <w:vAlign w:val="center"/>
          </w:tcPr>
          <w:p w14:paraId="1A03C028">
            <w:pPr>
              <w:widowControl/>
              <w:jc w:val="left"/>
              <w:rPr>
                <w:rFonts w:ascii="宋体" w:hAnsi="宋体" w:cs="宋体"/>
                <w:kern w:val="0"/>
                <w:sz w:val="24"/>
              </w:rPr>
            </w:pPr>
          </w:p>
        </w:tc>
        <w:tc>
          <w:tcPr>
            <w:tcW w:w="992" w:type="dxa"/>
            <w:tcBorders>
              <w:top w:val="nil"/>
              <w:left w:val="nil"/>
              <w:bottom w:val="single" w:color="auto" w:sz="4" w:space="0"/>
              <w:right w:val="single" w:color="auto" w:sz="4" w:space="0"/>
            </w:tcBorders>
            <w:shd w:val="clear" w:color="auto" w:fill="auto"/>
            <w:noWrap/>
            <w:vAlign w:val="center"/>
          </w:tcPr>
          <w:p w14:paraId="1CEF6FFD">
            <w:pPr>
              <w:widowControl/>
              <w:jc w:val="center"/>
              <w:rPr>
                <w:rFonts w:ascii="宋体" w:hAnsi="宋体" w:cs="宋体"/>
                <w:kern w:val="0"/>
                <w:sz w:val="24"/>
              </w:rPr>
            </w:pPr>
            <w:r>
              <w:rPr>
                <w:rFonts w:hint="eastAsia" w:ascii="宋体" w:hAnsi="宋体" w:cs="宋体"/>
                <w:kern w:val="0"/>
                <w:sz w:val="24"/>
              </w:rPr>
              <w:t>故障诊断</w:t>
            </w:r>
          </w:p>
        </w:tc>
        <w:tc>
          <w:tcPr>
            <w:tcW w:w="6095" w:type="dxa"/>
            <w:tcBorders>
              <w:top w:val="nil"/>
              <w:left w:val="nil"/>
              <w:bottom w:val="single" w:color="auto" w:sz="4" w:space="0"/>
              <w:right w:val="single" w:color="auto" w:sz="4" w:space="0"/>
            </w:tcBorders>
            <w:shd w:val="clear" w:color="auto" w:fill="auto"/>
            <w:noWrap/>
            <w:vAlign w:val="center"/>
          </w:tcPr>
          <w:p w14:paraId="28A7EBE4">
            <w:pPr>
              <w:widowControl/>
              <w:jc w:val="left"/>
              <w:rPr>
                <w:rFonts w:ascii="宋体" w:hAnsi="宋体" w:cs="宋体"/>
                <w:kern w:val="0"/>
                <w:sz w:val="24"/>
              </w:rPr>
            </w:pPr>
            <w:r>
              <w:rPr>
                <w:rFonts w:hint="eastAsia" w:ascii="宋体" w:hAnsi="宋体" w:cs="宋体"/>
                <w:kern w:val="0"/>
                <w:sz w:val="24"/>
              </w:rPr>
              <w:t>产品需支持通过管理平台下载运行日志，以便于在出故障时排查定位出问题</w:t>
            </w:r>
          </w:p>
        </w:tc>
      </w:tr>
    </w:tbl>
    <w:p w14:paraId="55CCCFBA">
      <w:pPr>
        <w:widowControl/>
        <w:jc w:val="left"/>
        <w:rPr>
          <w:sz w:val="24"/>
        </w:rPr>
      </w:pPr>
    </w:p>
    <w:p w14:paraId="38AC3292">
      <w:pPr>
        <w:widowControl/>
        <w:jc w:val="left"/>
        <w:rPr>
          <w:b/>
          <w:bCs/>
          <w:sz w:val="24"/>
        </w:rPr>
      </w:pPr>
      <w:r>
        <w:rPr>
          <w:b/>
          <w:bCs/>
          <w:sz w:val="24"/>
        </w:rPr>
        <w:br w:type="page"/>
      </w:r>
    </w:p>
    <w:p w14:paraId="7DAF4DD1">
      <w:pPr>
        <w:spacing w:line="360" w:lineRule="auto"/>
        <w:rPr>
          <w:b/>
          <w:bCs/>
          <w:sz w:val="24"/>
        </w:rPr>
      </w:pPr>
      <w:r>
        <w:rPr>
          <w:rFonts w:hint="eastAsia"/>
          <w:b/>
          <w:bCs/>
          <w:sz w:val="24"/>
        </w:rPr>
        <w:t>二、其他项目要求</w:t>
      </w:r>
    </w:p>
    <w:p w14:paraId="53E50AC7">
      <w:pPr>
        <w:spacing w:line="360" w:lineRule="auto"/>
        <w:rPr>
          <w:bCs/>
          <w:sz w:val="24"/>
        </w:rPr>
      </w:pPr>
      <w:r>
        <w:rPr>
          <w:rFonts w:hint="eastAsia"/>
          <w:b/>
          <w:bCs/>
          <w:sz w:val="24"/>
          <w:lang w:val="en-US" w:eastAsia="zh-CN"/>
        </w:rPr>
        <w:t>1</w:t>
      </w:r>
      <w:r>
        <w:rPr>
          <w:rFonts w:hint="eastAsia"/>
          <w:b/>
          <w:bCs/>
          <w:sz w:val="24"/>
        </w:rPr>
        <w:t>．质保要求</w:t>
      </w:r>
    </w:p>
    <w:p w14:paraId="19261CAE">
      <w:pPr>
        <w:spacing w:line="360" w:lineRule="auto"/>
        <w:ind w:firstLine="480" w:firstLineChars="200"/>
        <w:rPr>
          <w:rFonts w:hint="eastAsia"/>
          <w:bCs/>
          <w:sz w:val="24"/>
          <w:lang w:eastAsia="zh-CN"/>
        </w:rPr>
      </w:pPr>
      <w:r>
        <w:rPr>
          <w:rFonts w:hint="eastAsia"/>
          <w:bCs/>
          <w:sz w:val="24"/>
          <w:lang w:eastAsia="zh-CN"/>
        </w:rPr>
        <w:t>产品</w:t>
      </w:r>
      <w:r>
        <w:rPr>
          <w:rFonts w:hint="eastAsia"/>
          <w:bCs/>
          <w:sz w:val="24"/>
        </w:rPr>
        <w:t>最终验收合格后提供整机</w:t>
      </w:r>
      <w:r>
        <w:rPr>
          <w:rFonts w:hint="eastAsia"/>
          <w:bCs/>
          <w:sz w:val="24"/>
          <w:u w:val="single"/>
        </w:rPr>
        <w:t>36</w:t>
      </w:r>
      <w:r>
        <w:rPr>
          <w:rFonts w:hint="eastAsia"/>
          <w:bCs/>
          <w:sz w:val="24"/>
        </w:rPr>
        <w:t>个月质保</w:t>
      </w:r>
      <w:r>
        <w:rPr>
          <w:rFonts w:hint="eastAsia"/>
          <w:bCs/>
          <w:sz w:val="24"/>
          <w:lang w:eastAsia="zh-CN"/>
        </w:rPr>
        <w:t>。</w:t>
      </w:r>
    </w:p>
    <w:p w14:paraId="4723E668">
      <w:pPr>
        <w:spacing w:line="360" w:lineRule="auto"/>
        <w:ind w:firstLine="480" w:firstLineChars="200"/>
        <w:rPr>
          <w:rFonts w:hint="eastAsia" w:eastAsia="宋体"/>
          <w:bCs/>
          <w:sz w:val="24"/>
          <w:lang w:eastAsia="zh-CN"/>
        </w:rPr>
      </w:pPr>
      <w:r>
        <w:rPr>
          <w:rFonts w:hint="eastAsia"/>
          <w:bCs/>
          <w:sz w:val="24"/>
        </w:rPr>
        <w:t>所有软件、硬件需提供7x24小时原厂维保，10分钟电话响应，4小时上门，硬件故障承诺24小时内更换配件完成修复，软件保修期内提供免费升级。</w:t>
      </w:r>
      <w:r>
        <w:rPr>
          <w:rFonts w:hint="eastAsia"/>
          <w:bCs/>
          <w:sz w:val="24"/>
          <w:lang w:eastAsia="zh-CN"/>
        </w:rPr>
        <w:t>对该售后服务要求提供承诺的优先考虑。</w:t>
      </w:r>
    </w:p>
    <w:p w14:paraId="14DB4D3C">
      <w:pPr>
        <w:spacing w:line="360" w:lineRule="auto"/>
        <w:ind w:firstLine="480" w:firstLineChars="200"/>
        <w:rPr>
          <w:bCs/>
          <w:sz w:val="24"/>
        </w:rPr>
      </w:pPr>
      <w:r>
        <w:rPr>
          <w:rFonts w:hint="eastAsia"/>
          <w:bCs/>
          <w:sz w:val="24"/>
        </w:rPr>
        <w:t>每季度提供系统巡检服务并出具巡检报告。</w:t>
      </w:r>
    </w:p>
    <w:p w14:paraId="10F67E97">
      <w:pPr>
        <w:spacing w:line="360" w:lineRule="auto"/>
        <w:ind w:firstLine="480" w:firstLineChars="200"/>
        <w:rPr>
          <w:bCs/>
          <w:sz w:val="24"/>
        </w:rPr>
      </w:pPr>
    </w:p>
    <w:p w14:paraId="3C2EC193">
      <w:pPr>
        <w:spacing w:line="360" w:lineRule="auto"/>
        <w:rPr>
          <w:b/>
          <w:bCs/>
          <w:sz w:val="24"/>
        </w:rPr>
      </w:pPr>
      <w:r>
        <w:rPr>
          <w:rFonts w:hint="eastAsia"/>
          <w:b/>
          <w:bCs/>
          <w:sz w:val="24"/>
          <w:lang w:val="en-US" w:eastAsia="zh-CN"/>
        </w:rPr>
        <w:t>2</w:t>
      </w:r>
      <w:r>
        <w:rPr>
          <w:rFonts w:hint="eastAsia"/>
          <w:b/>
          <w:bCs/>
          <w:sz w:val="24"/>
        </w:rPr>
        <w:t>．验收标准</w:t>
      </w:r>
    </w:p>
    <w:p w14:paraId="68C508E1">
      <w:pPr>
        <w:spacing w:line="360" w:lineRule="auto"/>
        <w:ind w:firstLine="480" w:firstLineChars="200"/>
        <w:rPr>
          <w:bCs/>
          <w:sz w:val="24"/>
        </w:rPr>
      </w:pPr>
      <w:r>
        <w:rPr>
          <w:rFonts w:hint="eastAsia"/>
          <w:bCs/>
          <w:sz w:val="24"/>
        </w:rPr>
        <w:t>在用户和设备技术人员双方确认设备的各项技术指标均达到要求且运行正常后方可对设备进行验收。</w:t>
      </w:r>
    </w:p>
    <w:p w14:paraId="0C9F3C40">
      <w:pPr>
        <w:spacing w:line="360" w:lineRule="auto"/>
        <w:ind w:firstLine="480" w:firstLineChars="200"/>
        <w:rPr>
          <w:bCs/>
          <w:sz w:val="24"/>
        </w:rPr>
      </w:pPr>
    </w:p>
    <w:p w14:paraId="69F28FD4">
      <w:pPr>
        <w:spacing w:line="360" w:lineRule="auto"/>
        <w:rPr>
          <w:rFonts w:hint="eastAsia" w:eastAsia="宋体"/>
          <w:b/>
          <w:bCs/>
          <w:sz w:val="24"/>
          <w:lang w:eastAsia="zh-CN"/>
        </w:rPr>
      </w:pPr>
      <w:r>
        <w:rPr>
          <w:rFonts w:hint="eastAsia"/>
          <w:b/>
          <w:bCs/>
          <w:sz w:val="24"/>
        </w:rPr>
        <w:t>三、</w:t>
      </w:r>
      <w:r>
        <w:rPr>
          <w:rFonts w:hint="eastAsia"/>
          <w:b/>
          <w:bCs/>
          <w:sz w:val="24"/>
          <w:lang w:eastAsia="zh-CN"/>
        </w:rPr>
        <w:t>其他要求</w:t>
      </w:r>
    </w:p>
    <w:p w14:paraId="12151F9B">
      <w:pPr>
        <w:spacing w:line="360" w:lineRule="auto"/>
        <w:ind w:firstLine="480" w:firstLineChars="200"/>
        <w:rPr>
          <w:bCs/>
          <w:sz w:val="24"/>
        </w:rPr>
      </w:pPr>
      <w:r>
        <w:rPr>
          <w:rFonts w:hint="eastAsia"/>
          <w:bCs/>
          <w:sz w:val="24"/>
        </w:rPr>
        <w:t>交货期：合同签订后</w:t>
      </w:r>
      <w:r>
        <w:rPr>
          <w:rFonts w:hint="eastAsia"/>
          <w:bCs/>
          <w:sz w:val="24"/>
          <w:u w:val="single"/>
        </w:rPr>
        <w:t>30天</w:t>
      </w:r>
      <w:r>
        <w:rPr>
          <w:bCs/>
          <w:sz w:val="24"/>
        </w:rPr>
        <w:t>内完成送货上门</w:t>
      </w:r>
      <w:r>
        <w:rPr>
          <w:rFonts w:hint="eastAsia"/>
          <w:bCs/>
          <w:sz w:val="24"/>
        </w:rPr>
        <w:t>，到货后</w:t>
      </w:r>
      <w:r>
        <w:rPr>
          <w:rFonts w:hint="eastAsia"/>
          <w:bCs/>
          <w:sz w:val="24"/>
          <w:u w:val="single"/>
        </w:rPr>
        <w:t>15天</w:t>
      </w:r>
      <w:r>
        <w:rPr>
          <w:rFonts w:hint="eastAsia"/>
          <w:bCs/>
          <w:sz w:val="24"/>
        </w:rPr>
        <w:t>内完成</w:t>
      </w:r>
      <w:r>
        <w:rPr>
          <w:bCs/>
          <w:sz w:val="24"/>
        </w:rPr>
        <w:t>安装、调试、培训直至验收合格。</w:t>
      </w:r>
    </w:p>
    <w:bookmarkEnd w:id="0"/>
    <w:bookmarkEnd w:id="1"/>
    <w:p w14:paraId="01B7C586">
      <w:pPr>
        <w:spacing w:line="360" w:lineRule="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20570"/>
    <w:multiLevelType w:val="multilevel"/>
    <w:tmpl w:val="1FC20570"/>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2MDM0MzZkMTg4MjI0Yzc4NWI5NzY5Nzk1NDg3ZDkifQ=="/>
  </w:docVars>
  <w:rsids>
    <w:rsidRoot w:val="005661E6"/>
    <w:rsid w:val="000624E9"/>
    <w:rsid w:val="00090C0F"/>
    <w:rsid w:val="00097F10"/>
    <w:rsid w:val="000B66D5"/>
    <w:rsid w:val="000C1B35"/>
    <w:rsid w:val="000E26E5"/>
    <w:rsid w:val="000F4923"/>
    <w:rsid w:val="000F4FFF"/>
    <w:rsid w:val="00100232"/>
    <w:rsid w:val="00107414"/>
    <w:rsid w:val="00112EF9"/>
    <w:rsid w:val="001145C4"/>
    <w:rsid w:val="00121846"/>
    <w:rsid w:val="00163ED2"/>
    <w:rsid w:val="0017548D"/>
    <w:rsid w:val="001759C4"/>
    <w:rsid w:val="00181FE3"/>
    <w:rsid w:val="00195E87"/>
    <w:rsid w:val="00197877"/>
    <w:rsid w:val="001A212F"/>
    <w:rsid w:val="001A34D2"/>
    <w:rsid w:val="001B4B01"/>
    <w:rsid w:val="001D4C6C"/>
    <w:rsid w:val="002373A1"/>
    <w:rsid w:val="002425B5"/>
    <w:rsid w:val="00242CDD"/>
    <w:rsid w:val="00250641"/>
    <w:rsid w:val="00252566"/>
    <w:rsid w:val="00254B9D"/>
    <w:rsid w:val="00287C4C"/>
    <w:rsid w:val="002963DE"/>
    <w:rsid w:val="002B37D7"/>
    <w:rsid w:val="002C7E8D"/>
    <w:rsid w:val="002F0359"/>
    <w:rsid w:val="00323702"/>
    <w:rsid w:val="003308D8"/>
    <w:rsid w:val="00337BF3"/>
    <w:rsid w:val="00345FFA"/>
    <w:rsid w:val="00371D6B"/>
    <w:rsid w:val="003840DD"/>
    <w:rsid w:val="0038709C"/>
    <w:rsid w:val="003962E2"/>
    <w:rsid w:val="003C162E"/>
    <w:rsid w:val="003C4AAA"/>
    <w:rsid w:val="003D14EA"/>
    <w:rsid w:val="003D79CB"/>
    <w:rsid w:val="003E401D"/>
    <w:rsid w:val="003E6F25"/>
    <w:rsid w:val="003F165A"/>
    <w:rsid w:val="00401BFC"/>
    <w:rsid w:val="00422F9D"/>
    <w:rsid w:val="00433E4D"/>
    <w:rsid w:val="00454C7D"/>
    <w:rsid w:val="00466E00"/>
    <w:rsid w:val="00474271"/>
    <w:rsid w:val="00475AAB"/>
    <w:rsid w:val="00497EF9"/>
    <w:rsid w:val="004F7CC2"/>
    <w:rsid w:val="004F7DC8"/>
    <w:rsid w:val="00540D22"/>
    <w:rsid w:val="00542B97"/>
    <w:rsid w:val="0054537C"/>
    <w:rsid w:val="00555799"/>
    <w:rsid w:val="005661E6"/>
    <w:rsid w:val="00572DA4"/>
    <w:rsid w:val="005866AA"/>
    <w:rsid w:val="00587AB5"/>
    <w:rsid w:val="005B6080"/>
    <w:rsid w:val="005B6314"/>
    <w:rsid w:val="005D388C"/>
    <w:rsid w:val="005E16C5"/>
    <w:rsid w:val="005F4FC7"/>
    <w:rsid w:val="006832BE"/>
    <w:rsid w:val="00696984"/>
    <w:rsid w:val="006B0931"/>
    <w:rsid w:val="006C63A6"/>
    <w:rsid w:val="006D7D6A"/>
    <w:rsid w:val="006F2A1D"/>
    <w:rsid w:val="006F4AC3"/>
    <w:rsid w:val="007062C6"/>
    <w:rsid w:val="00712AC2"/>
    <w:rsid w:val="007205F5"/>
    <w:rsid w:val="00721C99"/>
    <w:rsid w:val="007309EC"/>
    <w:rsid w:val="00754F26"/>
    <w:rsid w:val="00773CBA"/>
    <w:rsid w:val="00775D6B"/>
    <w:rsid w:val="0078763F"/>
    <w:rsid w:val="00796154"/>
    <w:rsid w:val="00796E52"/>
    <w:rsid w:val="007A0E22"/>
    <w:rsid w:val="007A7961"/>
    <w:rsid w:val="007C3D95"/>
    <w:rsid w:val="007C74C3"/>
    <w:rsid w:val="007D3844"/>
    <w:rsid w:val="007D3A6C"/>
    <w:rsid w:val="007E3C13"/>
    <w:rsid w:val="007F5454"/>
    <w:rsid w:val="007F7674"/>
    <w:rsid w:val="008441F8"/>
    <w:rsid w:val="008447B4"/>
    <w:rsid w:val="00846289"/>
    <w:rsid w:val="008474E8"/>
    <w:rsid w:val="00852228"/>
    <w:rsid w:val="00886DA4"/>
    <w:rsid w:val="008900E2"/>
    <w:rsid w:val="008913DF"/>
    <w:rsid w:val="00892029"/>
    <w:rsid w:val="008A4CF4"/>
    <w:rsid w:val="008A502F"/>
    <w:rsid w:val="008B0D5B"/>
    <w:rsid w:val="008B17D3"/>
    <w:rsid w:val="008B370E"/>
    <w:rsid w:val="008D47D5"/>
    <w:rsid w:val="00930699"/>
    <w:rsid w:val="00977B42"/>
    <w:rsid w:val="0098217A"/>
    <w:rsid w:val="00994802"/>
    <w:rsid w:val="0099594E"/>
    <w:rsid w:val="009A4FFB"/>
    <w:rsid w:val="009B17D7"/>
    <w:rsid w:val="009C5098"/>
    <w:rsid w:val="009E1E05"/>
    <w:rsid w:val="009E3AA6"/>
    <w:rsid w:val="009F4A06"/>
    <w:rsid w:val="009F7240"/>
    <w:rsid w:val="00A16221"/>
    <w:rsid w:val="00A61158"/>
    <w:rsid w:val="00A73861"/>
    <w:rsid w:val="00AA0E59"/>
    <w:rsid w:val="00AA35AB"/>
    <w:rsid w:val="00AD1E2B"/>
    <w:rsid w:val="00AD62BB"/>
    <w:rsid w:val="00B105B6"/>
    <w:rsid w:val="00B13B4A"/>
    <w:rsid w:val="00B15249"/>
    <w:rsid w:val="00B277BF"/>
    <w:rsid w:val="00B37303"/>
    <w:rsid w:val="00B70D7E"/>
    <w:rsid w:val="00B75F27"/>
    <w:rsid w:val="00BA5374"/>
    <w:rsid w:val="00BA71C0"/>
    <w:rsid w:val="00BC4EE7"/>
    <w:rsid w:val="00BE0FCB"/>
    <w:rsid w:val="00BE440B"/>
    <w:rsid w:val="00BE7355"/>
    <w:rsid w:val="00BF211D"/>
    <w:rsid w:val="00C506D5"/>
    <w:rsid w:val="00C668DD"/>
    <w:rsid w:val="00C72E26"/>
    <w:rsid w:val="00C756CA"/>
    <w:rsid w:val="00CA4CEC"/>
    <w:rsid w:val="00CC085D"/>
    <w:rsid w:val="00CC4C77"/>
    <w:rsid w:val="00CD093B"/>
    <w:rsid w:val="00CD0D2F"/>
    <w:rsid w:val="00CF3580"/>
    <w:rsid w:val="00CF3A72"/>
    <w:rsid w:val="00D0136E"/>
    <w:rsid w:val="00D044A0"/>
    <w:rsid w:val="00D045FA"/>
    <w:rsid w:val="00D07063"/>
    <w:rsid w:val="00D07470"/>
    <w:rsid w:val="00D266D5"/>
    <w:rsid w:val="00D444C1"/>
    <w:rsid w:val="00D47DA6"/>
    <w:rsid w:val="00D81809"/>
    <w:rsid w:val="00DB432F"/>
    <w:rsid w:val="00DC479F"/>
    <w:rsid w:val="00DE2010"/>
    <w:rsid w:val="00E02FC3"/>
    <w:rsid w:val="00E253B6"/>
    <w:rsid w:val="00E327B9"/>
    <w:rsid w:val="00E36651"/>
    <w:rsid w:val="00E522C8"/>
    <w:rsid w:val="00E60F6F"/>
    <w:rsid w:val="00E73B50"/>
    <w:rsid w:val="00E90378"/>
    <w:rsid w:val="00E92A1B"/>
    <w:rsid w:val="00EA4F0C"/>
    <w:rsid w:val="00ED5882"/>
    <w:rsid w:val="00EE7B12"/>
    <w:rsid w:val="00EF0EDA"/>
    <w:rsid w:val="00F07D9C"/>
    <w:rsid w:val="00F121F0"/>
    <w:rsid w:val="00F2019A"/>
    <w:rsid w:val="00F62A81"/>
    <w:rsid w:val="00F64B45"/>
    <w:rsid w:val="00F663F1"/>
    <w:rsid w:val="00F91C21"/>
    <w:rsid w:val="00F93237"/>
    <w:rsid w:val="00F94AD1"/>
    <w:rsid w:val="00FC6D28"/>
    <w:rsid w:val="00FE1EC6"/>
    <w:rsid w:val="068813BA"/>
    <w:rsid w:val="0C670963"/>
    <w:rsid w:val="237F445E"/>
    <w:rsid w:val="2746376E"/>
    <w:rsid w:val="2BEB5D77"/>
    <w:rsid w:val="320944A7"/>
    <w:rsid w:val="32FD04AB"/>
    <w:rsid w:val="38201124"/>
    <w:rsid w:val="38DD98A4"/>
    <w:rsid w:val="51EE200E"/>
    <w:rsid w:val="527F4C20"/>
    <w:rsid w:val="557F89FB"/>
    <w:rsid w:val="577FF78D"/>
    <w:rsid w:val="5D5BB091"/>
    <w:rsid w:val="5E83E771"/>
    <w:rsid w:val="69D3140F"/>
    <w:rsid w:val="6DEB4D1D"/>
    <w:rsid w:val="6DEE5076"/>
    <w:rsid w:val="732478F8"/>
    <w:rsid w:val="735F40D6"/>
    <w:rsid w:val="777EB043"/>
    <w:rsid w:val="77AB3D11"/>
    <w:rsid w:val="77FF4A34"/>
    <w:rsid w:val="7BA5A185"/>
    <w:rsid w:val="7BB57FEE"/>
    <w:rsid w:val="7E7FC3B6"/>
    <w:rsid w:val="7F7B71CC"/>
    <w:rsid w:val="7F7F5891"/>
    <w:rsid w:val="7FB3F507"/>
    <w:rsid w:val="7FEF1ED7"/>
    <w:rsid w:val="7FF012B8"/>
    <w:rsid w:val="7FF67AEC"/>
    <w:rsid w:val="7FFD4A86"/>
    <w:rsid w:val="7FFDCABD"/>
    <w:rsid w:val="7FFF773F"/>
    <w:rsid w:val="876B9A9A"/>
    <w:rsid w:val="97DF8211"/>
    <w:rsid w:val="ADF716AC"/>
    <w:rsid w:val="BEBF4809"/>
    <w:rsid w:val="CA5F9432"/>
    <w:rsid w:val="CDF72B8A"/>
    <w:rsid w:val="CFFD7209"/>
    <w:rsid w:val="DB4B2E59"/>
    <w:rsid w:val="DD7E9D55"/>
    <w:rsid w:val="DFC7EF08"/>
    <w:rsid w:val="E67BB624"/>
    <w:rsid w:val="ECB336AC"/>
    <w:rsid w:val="F7351ABA"/>
    <w:rsid w:val="F7B39BB5"/>
    <w:rsid w:val="FB1C5862"/>
    <w:rsid w:val="FEBF6064"/>
    <w:rsid w:val="FFE70E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autoRedefine/>
    <w:qFormat/>
    <w:uiPriority w:val="0"/>
    <w:pPr>
      <w:jc w:val="left"/>
    </w:pPr>
  </w:style>
  <w:style w:type="paragraph" w:styleId="3">
    <w:name w:val="Balloon Text"/>
    <w:basedOn w:val="1"/>
    <w:link w:val="13"/>
    <w:autoRedefine/>
    <w:semiHidden/>
    <w:unhideWhenUsed/>
    <w:qFormat/>
    <w:uiPriority w:val="99"/>
    <w:rPr>
      <w:sz w:val="18"/>
      <w:szCs w:val="18"/>
    </w:rPr>
  </w:style>
  <w:style w:type="paragraph" w:styleId="4">
    <w:name w:val="footer"/>
    <w:basedOn w:val="1"/>
    <w:link w:val="1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autoRedefine/>
    <w:semiHidden/>
    <w:unhideWhenUsed/>
    <w:qFormat/>
    <w:uiPriority w:val="99"/>
    <w:rPr>
      <w:b/>
      <w:bCs/>
    </w:rPr>
  </w:style>
  <w:style w:type="character" w:styleId="9">
    <w:name w:val="annotation reference"/>
    <w:autoRedefine/>
    <w:qFormat/>
    <w:uiPriority w:val="0"/>
    <w:rPr>
      <w:sz w:val="21"/>
      <w:szCs w:val="21"/>
    </w:rPr>
  </w:style>
  <w:style w:type="character" w:customStyle="1" w:styleId="10">
    <w:name w:val="批注文字 字符"/>
    <w:basedOn w:val="8"/>
    <w:link w:val="2"/>
    <w:autoRedefine/>
    <w:qFormat/>
    <w:uiPriority w:val="0"/>
    <w:rPr>
      <w:rFonts w:ascii="Times New Roman" w:hAnsi="Times New Roman" w:eastAsia="宋体" w:cs="Times New Roman"/>
      <w:szCs w:val="24"/>
    </w:rPr>
  </w:style>
  <w:style w:type="character" w:customStyle="1" w:styleId="11">
    <w:name w:val="页脚 字符"/>
    <w:basedOn w:val="8"/>
    <w:link w:val="4"/>
    <w:autoRedefine/>
    <w:qFormat/>
    <w:uiPriority w:val="0"/>
    <w:rPr>
      <w:rFonts w:ascii="Times New Roman" w:hAnsi="Times New Roman" w:eastAsia="宋体" w:cs="Times New Roman"/>
      <w:sz w:val="18"/>
      <w:szCs w:val="18"/>
    </w:rPr>
  </w:style>
  <w:style w:type="character" w:customStyle="1" w:styleId="12">
    <w:name w:val="页眉 字符"/>
    <w:basedOn w:val="8"/>
    <w:link w:val="5"/>
    <w:autoRedefine/>
    <w:qFormat/>
    <w:uiPriority w:val="0"/>
    <w:rPr>
      <w:rFonts w:ascii="Times New Roman" w:hAnsi="Times New Roman" w:eastAsia="宋体" w:cs="Times New Roman"/>
      <w:sz w:val="18"/>
      <w:szCs w:val="18"/>
    </w:rPr>
  </w:style>
  <w:style w:type="character" w:customStyle="1" w:styleId="13">
    <w:name w:val="批注框文本 字符"/>
    <w:basedOn w:val="8"/>
    <w:link w:val="3"/>
    <w:autoRedefine/>
    <w:semiHidden/>
    <w:qFormat/>
    <w:uiPriority w:val="99"/>
    <w:rPr>
      <w:rFonts w:ascii="Times New Roman" w:hAnsi="Times New Roman" w:eastAsia="宋体" w:cs="Times New Roman"/>
      <w:sz w:val="18"/>
      <w:szCs w:val="18"/>
    </w:rPr>
  </w:style>
  <w:style w:type="character" w:customStyle="1" w:styleId="14">
    <w:name w:val="批注主题 字符"/>
    <w:basedOn w:val="10"/>
    <w:link w:val="6"/>
    <w:autoRedefine/>
    <w:semiHidden/>
    <w:qFormat/>
    <w:uiPriority w:val="99"/>
    <w:rPr>
      <w:rFonts w:ascii="Times New Roman" w:hAnsi="Times New Roman" w:eastAsia="宋体" w:cs="Times New Roman"/>
      <w:b/>
      <w:bCs/>
      <w:szCs w:val="24"/>
    </w:rPr>
  </w:style>
  <w:style w:type="paragraph" w:customStyle="1" w:styleId="15">
    <w:name w:val="修订1"/>
    <w:autoRedefine/>
    <w:hidden/>
    <w:semiHidden/>
    <w:qFormat/>
    <w:uiPriority w:val="99"/>
    <w:rPr>
      <w:rFonts w:ascii="Times New Roman" w:hAnsi="Times New Roman" w:eastAsia="宋体" w:cs="Times New Roman"/>
      <w:kern w:val="2"/>
      <w:sz w:val="21"/>
      <w:szCs w:val="24"/>
      <w:lang w:val="en-US" w:eastAsia="zh-CN" w:bidi="ar-SA"/>
    </w:rPr>
  </w:style>
  <w:style w:type="paragraph" w:styleId="16">
    <w:name w:val="List Paragraph"/>
    <w:basedOn w:val="1"/>
    <w:link w:val="17"/>
    <w:unhideWhenUsed/>
    <w:qFormat/>
    <w:uiPriority w:val="34"/>
    <w:pPr>
      <w:ind w:firstLine="420" w:firstLineChars="200"/>
    </w:pPr>
  </w:style>
  <w:style w:type="character" w:customStyle="1" w:styleId="17">
    <w:name w:val="列表段落 字符"/>
    <w:link w:val="16"/>
    <w:qFormat/>
    <w:uiPriority w:val="34"/>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1142</Words>
  <Characters>6515</Characters>
  <Lines>54</Lines>
  <Paragraphs>15</Paragraphs>
  <TotalTime>2</TotalTime>
  <ScaleCrop>false</ScaleCrop>
  <LinksUpToDate>false</LinksUpToDate>
  <CharactersWithSpaces>7642</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2024-06-22T18:45:00Z</dcterms:created>
  <dc:creator>许云鹏</dc:creator>
  <cp:lastModifiedBy>陈俊宇</cp:lastModifiedBy>
  <dcterms:modified xsi:type="dcterms:W3CDTF">2026-06-24T11:02:23Z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F390027A8ECA4090ABA8B5392DE56B21_13</vt:lpwstr>
  </property>
  <property fmtid="{D5CDD505-2E9C-101B-9397-08002B2CF9AE}" pid="4" name="KSOTemplateDocerSaveRecord">
    <vt:lpwstr>eyJoZGlkIjoiYThlNGMyMmRlNDEwY2JiMzE1MDYzODBmZjgwZGYxMzEiLCJ1c2VySWQiOiIxNzgyMTk0Mzk3In0=</vt:lpwstr>
  </property>
</Properties>
</file>