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3D0F2E">
      <w:pPr>
        <w:jc w:val="center"/>
        <w:rPr>
          <w:rFonts w:hint="eastAsia" w:ascii="宋体" w:hAnsi="宋体" w:eastAsia="宋体" w:cs="宋体"/>
          <w:sz w:val="20"/>
          <w:szCs w:val="22"/>
          <w:lang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（包件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宋体" w:cs="Times New Roman"/>
          <w:b/>
          <w:sz w:val="28"/>
          <w:szCs w:val="28"/>
        </w:rPr>
        <w:t>高性能计算和存储服务器</w:t>
      </w:r>
    </w:p>
    <w:p w14:paraId="26DFA2A8">
      <w:pPr>
        <w:pStyle w:val="2"/>
        <w:numPr>
          <w:ilvl w:val="0"/>
          <w:numId w:val="1"/>
        </w:numPr>
        <w:spacing w:line="360" w:lineRule="auto"/>
        <w:rPr>
          <w:rFonts w:hint="eastAsia" w:eastAsia="华文中宋"/>
          <w:sz w:val="24"/>
          <w:szCs w:val="24"/>
        </w:rPr>
      </w:pPr>
      <w:r>
        <w:rPr>
          <w:rFonts w:hint="eastAsia" w:eastAsia="华文中宋"/>
          <w:sz w:val="24"/>
          <w:szCs w:val="24"/>
        </w:rPr>
        <w:t>整体要求</w:t>
      </w:r>
    </w:p>
    <w:p w14:paraId="1EA09995">
      <w:pPr>
        <w:spacing w:line="360" w:lineRule="auto"/>
        <w:ind w:firstLine="420"/>
        <w:rPr>
          <w:rFonts w:hint="eastAsia" w:eastAsia="华文中宋"/>
          <w:sz w:val="24"/>
        </w:rPr>
      </w:pPr>
      <w:r>
        <w:rPr>
          <w:rFonts w:hint="eastAsia" w:eastAsia="华文中宋"/>
          <w:sz w:val="24"/>
        </w:rPr>
        <w:t>本次项目为整体交付，要求</w:t>
      </w:r>
      <w:r>
        <w:rPr>
          <w:rFonts w:hint="eastAsia" w:ascii="宋体" w:hAnsi="宋体" w:eastAsia="华文中宋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  <w14:ligatures w14:val="none"/>
        </w:rPr>
        <w:t>有商业版或服务器原厂</w:t>
      </w:r>
      <w:r>
        <w:rPr>
          <w:rFonts w:eastAsia="华文中宋"/>
          <w:sz w:val="24"/>
        </w:rPr>
        <w:t>集群</w:t>
      </w:r>
      <w:r>
        <w:rPr>
          <w:rFonts w:hint="eastAsia" w:eastAsia="华文中宋"/>
          <w:sz w:val="24"/>
        </w:rPr>
        <w:t>调度软件安装和实施运行，提供运行报告。同时要有后期扩容能力，包含项目所有点位授权。</w:t>
      </w:r>
    </w:p>
    <w:p w14:paraId="49EE650A">
      <w:pPr>
        <w:spacing w:line="360" w:lineRule="auto"/>
        <w:ind w:firstLine="420"/>
        <w:rPr>
          <w:rFonts w:hint="eastAsia" w:eastAsia="华文中宋"/>
          <w:b w:val="0"/>
          <w:sz w:val="24"/>
        </w:rPr>
      </w:pPr>
      <w:r>
        <w:rPr>
          <w:rFonts w:hint="eastAsia" w:eastAsia="华文中宋"/>
          <w:b w:val="0"/>
          <w:sz w:val="24"/>
        </w:rPr>
        <w:t>配置清单一览表：</w:t>
      </w:r>
    </w:p>
    <w:tbl>
      <w:tblPr>
        <w:tblStyle w:val="16"/>
        <w:tblW w:w="61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3041"/>
        <w:gridCol w:w="709"/>
        <w:gridCol w:w="1710"/>
      </w:tblGrid>
      <w:tr w14:paraId="13D04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644" w:type="dxa"/>
            <w:vAlign w:val="center"/>
          </w:tcPr>
          <w:p w14:paraId="59907F19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序号</w:t>
            </w:r>
          </w:p>
        </w:tc>
        <w:tc>
          <w:tcPr>
            <w:tcW w:w="3041" w:type="dxa"/>
            <w:vAlign w:val="center"/>
          </w:tcPr>
          <w:p w14:paraId="48C0468C">
            <w:pPr>
              <w:widowControl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货物名称</w:t>
            </w:r>
          </w:p>
        </w:tc>
        <w:tc>
          <w:tcPr>
            <w:tcW w:w="709" w:type="dxa"/>
            <w:vAlign w:val="center"/>
          </w:tcPr>
          <w:p w14:paraId="383458EF">
            <w:pPr>
              <w:widowControl/>
              <w:spacing w:line="360" w:lineRule="auto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单位</w:t>
            </w:r>
          </w:p>
        </w:tc>
        <w:tc>
          <w:tcPr>
            <w:tcW w:w="1710" w:type="dxa"/>
            <w:vAlign w:val="center"/>
          </w:tcPr>
          <w:p w14:paraId="2CEC1A61">
            <w:pPr>
              <w:widowControl/>
              <w:spacing w:line="360" w:lineRule="auto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数量</w:t>
            </w:r>
          </w:p>
        </w:tc>
      </w:tr>
      <w:tr w14:paraId="1EA2A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644" w:type="dxa"/>
            <w:vAlign w:val="center"/>
          </w:tcPr>
          <w:p w14:paraId="41F4E81A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3041" w:type="dxa"/>
            <w:vAlign w:val="center"/>
          </w:tcPr>
          <w:p w14:paraId="03303A71"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登陆管理节点</w:t>
            </w:r>
          </w:p>
        </w:tc>
        <w:tc>
          <w:tcPr>
            <w:tcW w:w="709" w:type="dxa"/>
            <w:vAlign w:val="center"/>
          </w:tcPr>
          <w:p w14:paraId="74020C4F">
            <w:pPr>
              <w:widowControl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台</w:t>
            </w:r>
          </w:p>
        </w:tc>
        <w:tc>
          <w:tcPr>
            <w:tcW w:w="1710" w:type="dxa"/>
            <w:vAlign w:val="center"/>
          </w:tcPr>
          <w:p w14:paraId="4F79A849">
            <w:pPr>
              <w:widowControl/>
              <w:spacing w:line="360" w:lineRule="auto"/>
              <w:jc w:val="center"/>
              <w:rPr>
                <w:rFonts w:hint="eastAsia" w:ascii="宋体" w:hAnsi="宋体" w:eastAsiaTheme="minorEastAsia"/>
                <w:lang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</w:t>
            </w:r>
          </w:p>
        </w:tc>
      </w:tr>
      <w:tr w14:paraId="5B255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644" w:type="dxa"/>
            <w:vAlign w:val="center"/>
          </w:tcPr>
          <w:p w14:paraId="7D6AAF6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3041" w:type="dxa"/>
            <w:vAlign w:val="center"/>
          </w:tcPr>
          <w:p w14:paraId="6D6D6DFC">
            <w:pPr>
              <w:widowControl/>
              <w:jc w:val="center"/>
              <w:rPr>
                <w:rFonts w:hint="eastAsia" w:ascii="宋体" w:hAnsi="宋体" w:eastAsiaTheme="minorEastAsia"/>
                <w:lang w:eastAsia="zh-CN"/>
              </w:rPr>
            </w:pPr>
            <w:r>
              <w:rPr>
                <w:rFonts w:hint="eastAsia" w:ascii="宋体" w:hAnsi="宋体"/>
              </w:rPr>
              <w:t>GPU计算节点</w:t>
            </w:r>
            <w:r>
              <w:rPr>
                <w:rFonts w:hint="eastAsia" w:ascii="宋体" w:hAnsi="宋体"/>
                <w:lang w:eastAsia="zh-CN"/>
              </w:rPr>
              <w:t>（核心产品）</w:t>
            </w:r>
          </w:p>
        </w:tc>
        <w:tc>
          <w:tcPr>
            <w:tcW w:w="709" w:type="dxa"/>
            <w:vAlign w:val="center"/>
          </w:tcPr>
          <w:p w14:paraId="3FEFECCA">
            <w:pPr>
              <w:widowControl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台</w:t>
            </w:r>
          </w:p>
        </w:tc>
        <w:tc>
          <w:tcPr>
            <w:tcW w:w="1710" w:type="dxa"/>
            <w:vAlign w:val="center"/>
          </w:tcPr>
          <w:p w14:paraId="2580AFDF">
            <w:pPr>
              <w:widowControl/>
              <w:spacing w:line="360" w:lineRule="auto"/>
              <w:jc w:val="center"/>
              <w:rPr>
                <w:rFonts w:hint="eastAsia" w:ascii="宋体" w:hAnsi="宋体" w:eastAsiaTheme="minorEastAsia"/>
                <w:lang w:val="en-US" w:eastAsia="zh-CN"/>
              </w:rPr>
            </w:pPr>
            <w:r>
              <w:rPr>
                <w:rFonts w:hint="eastAsia" w:ascii="宋体" w:hAnsi="宋体"/>
              </w:rPr>
              <w:t>1</w:t>
            </w:r>
            <w:r>
              <w:rPr>
                <w:rFonts w:hint="eastAsia" w:ascii="宋体" w:hAnsi="宋体"/>
                <w:lang w:val="en-US" w:eastAsia="zh-CN"/>
              </w:rPr>
              <w:t>0</w:t>
            </w:r>
          </w:p>
        </w:tc>
      </w:tr>
      <w:tr w14:paraId="279B7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644" w:type="dxa"/>
            <w:vAlign w:val="center"/>
          </w:tcPr>
          <w:p w14:paraId="55E70C66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3041" w:type="dxa"/>
            <w:vAlign w:val="center"/>
          </w:tcPr>
          <w:p w14:paraId="5214CB4C"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分布式统一存储系统</w:t>
            </w:r>
          </w:p>
        </w:tc>
        <w:tc>
          <w:tcPr>
            <w:tcW w:w="709" w:type="dxa"/>
            <w:vAlign w:val="center"/>
          </w:tcPr>
          <w:p w14:paraId="77C200E4">
            <w:pPr>
              <w:widowControl/>
              <w:spacing w:line="360" w:lineRule="auto"/>
              <w:jc w:val="center"/>
              <w:rPr>
                <w:rFonts w:hint="eastAsia" w:ascii="宋体" w:hAnsi="宋体" w:eastAsiaTheme="minorEastAsia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台</w:t>
            </w:r>
          </w:p>
        </w:tc>
        <w:tc>
          <w:tcPr>
            <w:tcW w:w="1710" w:type="dxa"/>
            <w:vAlign w:val="center"/>
          </w:tcPr>
          <w:p w14:paraId="58F37495">
            <w:pPr>
              <w:widowControl/>
              <w:spacing w:line="360" w:lineRule="auto"/>
              <w:jc w:val="center"/>
              <w:rPr>
                <w:rFonts w:hint="eastAsia" w:ascii="宋体" w:hAnsi="宋体" w:eastAsiaTheme="minorEastAsia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6</w:t>
            </w:r>
          </w:p>
        </w:tc>
      </w:tr>
      <w:tr w14:paraId="2CC16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644" w:type="dxa"/>
            <w:vAlign w:val="center"/>
          </w:tcPr>
          <w:p w14:paraId="4828D11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3041" w:type="dxa"/>
            <w:vAlign w:val="center"/>
          </w:tcPr>
          <w:p w14:paraId="4B959704">
            <w:pPr>
              <w:widowControl/>
              <w:jc w:val="center"/>
              <w:rPr>
                <w:rFonts w:hint="eastAsia" w:ascii="宋体" w:hAnsi="宋体" w:eastAsiaTheme="minorEastAsia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网络连接</w:t>
            </w:r>
          </w:p>
        </w:tc>
        <w:tc>
          <w:tcPr>
            <w:tcW w:w="709" w:type="dxa"/>
            <w:vAlign w:val="center"/>
          </w:tcPr>
          <w:p w14:paraId="28B750F8">
            <w:pPr>
              <w:widowControl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套</w:t>
            </w:r>
          </w:p>
        </w:tc>
        <w:tc>
          <w:tcPr>
            <w:tcW w:w="1710" w:type="dxa"/>
            <w:vAlign w:val="center"/>
          </w:tcPr>
          <w:p w14:paraId="3D503773">
            <w:pPr>
              <w:widowControl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</w:tr>
    </w:tbl>
    <w:p w14:paraId="2829775D">
      <w:pPr>
        <w:spacing w:line="360" w:lineRule="auto"/>
        <w:ind w:firstLine="420"/>
        <w:rPr>
          <w:rFonts w:hint="eastAsia" w:eastAsia="华文中宋"/>
          <w:sz w:val="24"/>
        </w:rPr>
      </w:pPr>
    </w:p>
    <w:p w14:paraId="29BA5BED">
      <w:pPr>
        <w:pStyle w:val="2"/>
        <w:numPr>
          <w:ilvl w:val="0"/>
          <w:numId w:val="1"/>
        </w:numPr>
        <w:spacing w:line="360" w:lineRule="auto"/>
        <w:rPr>
          <w:rFonts w:hint="eastAsia" w:eastAsia="华文中宋"/>
          <w:sz w:val="24"/>
          <w:szCs w:val="24"/>
        </w:rPr>
      </w:pPr>
      <w:r>
        <w:rPr>
          <w:rFonts w:hint="eastAsia" w:eastAsia="华文中宋"/>
          <w:sz w:val="24"/>
          <w:szCs w:val="24"/>
        </w:rPr>
        <w:t>设备参数</w:t>
      </w:r>
    </w:p>
    <w:p w14:paraId="039EF664">
      <w:pPr>
        <w:tabs>
          <w:tab w:val="left" w:pos="1350"/>
        </w:tabs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注: 表中“★”</w:t>
      </w:r>
      <w:r>
        <w:rPr>
          <w:rFonts w:hint="eastAsia"/>
          <w:sz w:val="24"/>
          <w:lang w:eastAsia="zh-CN"/>
        </w:rPr>
        <w:t>为实质性要求：</w:t>
      </w:r>
      <w:r>
        <w:rPr>
          <w:rFonts w:hint="eastAsia"/>
          <w:sz w:val="24"/>
        </w:rPr>
        <w:t>“</w:t>
      </w:r>
      <w:r>
        <w:rPr>
          <w:rFonts w:hint="eastAsia" w:ascii="宋体" w:hAnsi="宋体"/>
          <w:kern w:val="0"/>
          <w:sz w:val="24"/>
        </w:rPr>
        <w:t>▲</w:t>
      </w:r>
      <w:r>
        <w:rPr>
          <w:rFonts w:hint="eastAsia"/>
          <w:sz w:val="24"/>
        </w:rPr>
        <w:t>”代表重要指标</w:t>
      </w:r>
      <w:r>
        <w:rPr>
          <w:rFonts w:hint="eastAsia"/>
          <w:sz w:val="24"/>
          <w:lang w:eastAsia="zh-CN"/>
        </w:rPr>
        <w:t>，为评审因素（▲技术参数）</w:t>
      </w:r>
      <w:r>
        <w:rPr>
          <w:rFonts w:hint="eastAsia"/>
          <w:sz w:val="24"/>
        </w:rPr>
        <w:t>；无标识则表示属一般指标项</w:t>
      </w:r>
      <w:r>
        <w:rPr>
          <w:rFonts w:hint="eastAsia"/>
          <w:sz w:val="24"/>
          <w:lang w:eastAsia="zh-CN"/>
        </w:rPr>
        <w:t>，为评审因素（一般技术参数）</w:t>
      </w:r>
      <w:r>
        <w:rPr>
          <w:rFonts w:hint="eastAsia"/>
          <w:sz w:val="24"/>
        </w:rPr>
        <w:t>。</w:t>
      </w:r>
    </w:p>
    <w:p w14:paraId="097EE708">
      <w:pPr>
        <w:tabs>
          <w:tab w:val="left" w:pos="1350"/>
        </w:tabs>
        <w:spacing w:line="360" w:lineRule="auto"/>
        <w:rPr>
          <w:rFonts w:hint="eastAsia" w:eastAsia="宋体"/>
          <w:b/>
          <w:bCs/>
          <w:sz w:val="24"/>
          <w:lang w:eastAsia="zh-CN"/>
        </w:rPr>
      </w:pPr>
      <w:r>
        <w:rPr>
          <w:rFonts w:hint="eastAsia"/>
          <w:b/>
          <w:bCs/>
          <w:sz w:val="24"/>
        </w:rPr>
        <w:t>“★”指标需提供技术支持资料（同“▲”指标的技术支持资料要求）</w:t>
      </w:r>
      <w:r>
        <w:rPr>
          <w:rFonts w:hint="eastAsia"/>
          <w:b/>
          <w:bCs/>
          <w:sz w:val="24"/>
          <w:lang w:eastAsia="zh-CN"/>
        </w:rPr>
        <w:t>，</w:t>
      </w:r>
      <w:r>
        <w:rPr>
          <w:rFonts w:hint="eastAsia"/>
          <w:b/>
          <w:bCs/>
          <w:sz w:val="24"/>
        </w:rPr>
        <w:t>否则视为无效投标。</w:t>
      </w:r>
    </w:p>
    <w:p w14:paraId="4B20E29E">
      <w:pPr>
        <w:tabs>
          <w:tab w:val="left" w:pos="1350"/>
        </w:tabs>
        <w:spacing w:line="360" w:lineRule="auto"/>
        <w:rPr>
          <w:rFonts w:hint="eastAsia" w:eastAsiaTheme="minorEastAsia"/>
          <w:b/>
          <w:bCs/>
          <w:sz w:val="24"/>
          <w:lang w:eastAsia="zh-CN"/>
        </w:rPr>
      </w:pPr>
      <w:r>
        <w:rPr>
          <w:rFonts w:hint="eastAsia"/>
          <w:b/>
          <w:bCs/>
          <w:sz w:val="24"/>
        </w:rPr>
        <w:t>“▲”指标</w:t>
      </w:r>
      <w:r>
        <w:rPr>
          <w:rFonts w:hint="eastAsia"/>
          <w:b/>
          <w:bCs/>
          <w:sz w:val="24"/>
          <w:lang w:eastAsia="zh-CN"/>
        </w:rPr>
        <w:t>须根据指标具体描述</w:t>
      </w:r>
      <w:r>
        <w:rPr>
          <w:rFonts w:hint="eastAsia"/>
          <w:b/>
          <w:bCs/>
          <w:sz w:val="24"/>
        </w:rPr>
        <w:t>提供技术支持资料</w:t>
      </w:r>
      <w:r>
        <w:rPr>
          <w:rFonts w:hint="eastAsia"/>
          <w:b/>
          <w:bCs/>
          <w:sz w:val="24"/>
          <w:lang w:eastAsia="zh-CN"/>
        </w:rPr>
        <w:t>（文件、截图等）</w:t>
      </w:r>
      <w:r>
        <w:rPr>
          <w:rFonts w:hint="eastAsia"/>
          <w:b/>
          <w:bCs/>
          <w:sz w:val="24"/>
        </w:rPr>
        <w:t>或承诺函</w:t>
      </w:r>
      <w:r>
        <w:rPr>
          <w:rFonts w:hint="eastAsia"/>
          <w:b/>
          <w:bCs/>
          <w:sz w:val="24"/>
          <w:lang w:eastAsia="zh-CN"/>
        </w:rPr>
        <w:t>。要求</w:t>
      </w:r>
      <w:r>
        <w:rPr>
          <w:rFonts w:hint="eastAsia"/>
          <w:b/>
          <w:bCs/>
          <w:sz w:val="24"/>
        </w:rPr>
        <w:t>提供技术支持资料</w:t>
      </w:r>
      <w:r>
        <w:rPr>
          <w:rFonts w:hint="eastAsia"/>
          <w:b/>
          <w:bCs/>
          <w:sz w:val="24"/>
          <w:lang w:eastAsia="zh-CN"/>
        </w:rPr>
        <w:t>（文件、截图等）但提供了承诺函，或要求</w:t>
      </w:r>
      <w:r>
        <w:rPr>
          <w:rFonts w:hint="eastAsia"/>
          <w:b/>
          <w:bCs/>
          <w:sz w:val="24"/>
        </w:rPr>
        <w:t>提供承诺函</w:t>
      </w:r>
      <w:r>
        <w:rPr>
          <w:rFonts w:hint="eastAsia"/>
          <w:b/>
          <w:bCs/>
          <w:sz w:val="24"/>
          <w:lang w:eastAsia="zh-CN"/>
        </w:rPr>
        <w:t>但</w:t>
      </w:r>
      <w:r>
        <w:rPr>
          <w:rFonts w:hint="eastAsia"/>
          <w:b/>
          <w:bCs/>
          <w:sz w:val="24"/>
        </w:rPr>
        <w:t>提供</w:t>
      </w:r>
      <w:r>
        <w:rPr>
          <w:rFonts w:hint="eastAsia"/>
          <w:b/>
          <w:bCs/>
          <w:sz w:val="24"/>
          <w:lang w:eastAsia="zh-CN"/>
        </w:rPr>
        <w:t>了</w:t>
      </w:r>
      <w:r>
        <w:rPr>
          <w:rFonts w:hint="eastAsia"/>
          <w:b/>
          <w:bCs/>
          <w:sz w:val="24"/>
        </w:rPr>
        <w:t>技术支持资料</w:t>
      </w:r>
      <w:r>
        <w:rPr>
          <w:rFonts w:hint="eastAsia"/>
          <w:b/>
          <w:bCs/>
          <w:sz w:val="24"/>
          <w:lang w:eastAsia="zh-CN"/>
        </w:rPr>
        <w:t>（文件、截图等）的，该项为无效响应</w:t>
      </w:r>
      <w:r>
        <w:rPr>
          <w:rFonts w:hint="eastAsia"/>
          <w:b/>
          <w:bCs/>
          <w:sz w:val="24"/>
        </w:rPr>
        <w:t>。其中技术支持资料以制造商公开发布的印刷资料（产品彩页、产品说明书、产品白皮书、官网截图）、界面截图、第三方检测机构出具的检测报告或在有效期内的证书扫描件等为准，投标人可以只提供上述材料关键页的复印件，关键页需体现投标产品的品牌、规格型号、相关性能指标，相关性能指标需以醒目的方式标明招标文件技术要求对应的序号，凡不符合上述要求的视为无效技术支持资料。</w:t>
      </w:r>
      <w:r>
        <w:rPr>
          <w:rFonts w:hint="eastAsia"/>
          <w:b/>
          <w:bCs/>
          <w:sz w:val="24"/>
          <w:lang w:eastAsia="zh-CN"/>
        </w:rPr>
        <w:t>承诺函格式由供应商自拟，须</w:t>
      </w:r>
      <w:r>
        <w:rPr>
          <w:rFonts w:hint="eastAsia"/>
          <w:b/>
          <w:bCs/>
          <w:sz w:val="24"/>
        </w:rPr>
        <w:t>加盖投标人公章</w:t>
      </w:r>
      <w:r>
        <w:rPr>
          <w:rFonts w:hint="eastAsia"/>
          <w:b/>
          <w:bCs/>
          <w:sz w:val="24"/>
          <w:lang w:eastAsia="zh-CN"/>
        </w:rPr>
        <w:t>。</w:t>
      </w:r>
    </w:p>
    <w:p w14:paraId="05489BAF">
      <w:pPr>
        <w:spacing w:line="360" w:lineRule="auto"/>
        <w:rPr>
          <w:rFonts w:hint="eastAsia" w:eastAsia="华文中宋"/>
          <w:b/>
          <w:bCs/>
          <w:sz w:val="24"/>
        </w:rPr>
      </w:pPr>
      <w:r>
        <w:rPr>
          <w:rFonts w:hint="eastAsia" w:eastAsia="华文中宋"/>
          <w:b/>
          <w:bCs/>
          <w:sz w:val="24"/>
        </w:rPr>
        <w:t>1.登陆管理节点（1台）</w:t>
      </w:r>
    </w:p>
    <w:tbl>
      <w:tblPr>
        <w:tblStyle w:val="16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418"/>
        <w:gridCol w:w="8338"/>
      </w:tblGrid>
      <w:tr w14:paraId="6CA9AF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AE9F7" w:themeFill="text2" w:themeFillTint="1A"/>
            <w:vAlign w:val="center"/>
          </w:tcPr>
          <w:p w14:paraId="62DD139D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序号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AE9F7" w:themeFill="text2" w:themeFillTint="1A"/>
            <w:vAlign w:val="center"/>
          </w:tcPr>
          <w:p w14:paraId="61099081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技术指标</w:t>
            </w:r>
          </w:p>
        </w:tc>
        <w:tc>
          <w:tcPr>
            <w:tcW w:w="83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AE9F7" w:themeFill="text2" w:themeFillTint="1A"/>
            <w:vAlign w:val="center"/>
          </w:tcPr>
          <w:p w14:paraId="46F97FD3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参数要求</w:t>
            </w:r>
          </w:p>
        </w:tc>
      </w:tr>
      <w:tr w14:paraId="7029C3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C4005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eastAsia="zh-CN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val="en-US" w:eastAsia="zh-CN"/>
                <w14:ligatures w14:val="none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C90DB3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形态</w:t>
            </w:r>
          </w:p>
        </w:tc>
        <w:tc>
          <w:tcPr>
            <w:tcW w:w="83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1F55C1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机架式服务器，非刀片或高密度服务器产品，高度2U</w:t>
            </w:r>
          </w:p>
        </w:tc>
      </w:tr>
      <w:tr w14:paraId="1883E1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F7FC4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val="en-US" w:eastAsia="zh-CN"/>
                <w14:ligatures w14:val="none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E7345E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处理器</w:t>
            </w:r>
          </w:p>
        </w:tc>
        <w:tc>
          <w:tcPr>
            <w:tcW w:w="83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D0D4E3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配置≥2颗CPU，单颗处理器主频2.0G，28核</w:t>
            </w:r>
          </w:p>
        </w:tc>
      </w:tr>
      <w:tr w14:paraId="39E22D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CBE36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val="en-US" w:eastAsia="zh-CN"/>
                <w14:ligatures w14:val="none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C643AD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内存</w:t>
            </w:r>
          </w:p>
        </w:tc>
        <w:tc>
          <w:tcPr>
            <w:tcW w:w="83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41F252F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配置≥512GB RDIMM内存，支持≥32个内存插槽，最大可支持4TB内存容量，支持内存ECC保护、内存镜像、内存热备；</w:t>
            </w:r>
          </w:p>
        </w:tc>
      </w:tr>
      <w:tr w14:paraId="1B86FD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F2921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eastAsia="zh-CN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val="en-US" w:eastAsia="zh-CN"/>
                <w14:ligatures w14:val="none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817C49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硬盘</w:t>
            </w:r>
          </w:p>
        </w:tc>
        <w:tc>
          <w:tcPr>
            <w:tcW w:w="83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89D396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配置≥2块960G 2.5 SATA SSD，前置支持≥12个3.5寸或2.5寸热插拔硬盘，可支持SAS/SATA/NVMe SSD混插；</w:t>
            </w:r>
          </w:p>
        </w:tc>
      </w:tr>
      <w:tr w14:paraId="0045B1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67928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eastAsia="zh-CN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val="en-US" w:eastAsia="zh-CN"/>
                <w14:ligatures w14:val="none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5C3327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RAID</w:t>
            </w:r>
          </w:p>
        </w:tc>
        <w:tc>
          <w:tcPr>
            <w:tcW w:w="83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234CC9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配置独立8口RAID卡，支持RAID0,1</w:t>
            </w:r>
          </w:p>
        </w:tc>
      </w:tr>
      <w:tr w14:paraId="170C00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DFC95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val="en-US" w:eastAsia="zh-CN"/>
                <w14:ligatures w14:val="none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3CF20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SSD</w:t>
            </w:r>
          </w:p>
        </w:tc>
        <w:tc>
          <w:tcPr>
            <w:tcW w:w="83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3CDBE57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支持主板板载2个M.2接口并提供证明文件</w:t>
            </w:r>
          </w:p>
        </w:tc>
      </w:tr>
      <w:tr w14:paraId="49DE0B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7C2AF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eastAsia="zh-CN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val="en-US" w:eastAsia="zh-CN"/>
                <w14:ligatures w14:val="none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D309A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网络</w:t>
            </w:r>
          </w:p>
        </w:tc>
        <w:tc>
          <w:tcPr>
            <w:tcW w:w="83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E40EF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配置≥1块双口千兆电口，配置≥1块HDR 200G双端口网卡</w:t>
            </w:r>
          </w:p>
        </w:tc>
      </w:tr>
      <w:tr w14:paraId="47465C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B54DC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eastAsia="zh-CN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val="en-US" w:eastAsia="zh-CN"/>
                <w14:ligatures w14:val="none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CD43A0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电源</w:t>
            </w:r>
          </w:p>
        </w:tc>
        <w:tc>
          <w:tcPr>
            <w:tcW w:w="83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A81550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配置2个1300W电源，支持1+1冗余。</w:t>
            </w:r>
          </w:p>
        </w:tc>
      </w:tr>
      <w:tr w14:paraId="0D897E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6" w:hRule="atLeast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D45AF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eastAsia="zh-CN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val="en-US" w:eastAsia="zh-CN"/>
                <w14:ligatures w14:val="none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1E009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硬件管理</w:t>
            </w:r>
          </w:p>
        </w:tc>
        <w:tc>
          <w:tcPr>
            <w:tcW w:w="83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DC7535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 xml:space="preserve">集成系统管理芯片，提供iKVM和KVM Over IP高级管理功能，本地固件更新、错误日志，提供系统状况的可视显示；配置独立的远程管理控制端口，支持远程监控图形界面、支持H5虚拟键盘、支持VNC功能, 可实现与操作系统无关的远程对服务器的完全控制，包括远程的开机、关机、重启、虚拟设备挂载等操作；可实现监控服务器内部主要部件的状态，包括CPU、内存、硬盘、风扇、电源；支持带外获取OS版本、OS下CPU内存使用率、网口状态、系统磁盘分区等，支持RAID卡配置带外导入导出； </w:t>
            </w:r>
          </w:p>
        </w:tc>
      </w:tr>
      <w:tr w14:paraId="794653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" w:hRule="atLeast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4AF8E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1</w:t>
            </w: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val="en-US" w:eastAsia="zh-CN"/>
                <w14:ligatures w14:val="none"/>
              </w:rPr>
              <w:t>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AF6A5E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服务</w:t>
            </w:r>
          </w:p>
        </w:tc>
        <w:tc>
          <w:tcPr>
            <w:tcW w:w="83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907E34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售后服务：5年原厂整机质保，5年原厂免费上门服务，针对本项目提供原厂授权函，原厂服务承诺函原件，以上资料须加盖原厂商公章。</w:t>
            </w:r>
          </w:p>
        </w:tc>
      </w:tr>
      <w:tr w14:paraId="6C17CF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" w:hRule="atLeast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B144A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eastAsia="zh-CN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1</w:t>
            </w: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val="en-US" w:eastAsia="zh-CN"/>
                <w14:ligatures w14:val="none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01AAF1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配套集群管理功能</w:t>
            </w:r>
          </w:p>
        </w:tc>
        <w:tc>
          <w:tcPr>
            <w:tcW w:w="83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DDBB4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eastAsia="zh-CN"/>
                <w14:ligatures w14:val="none"/>
              </w:rPr>
            </w:pPr>
            <w:r>
              <w:rPr>
                <w:rFonts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★</w:t>
            </w: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1.总体要求：提供软件著作版权证书</w:t>
            </w: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eastAsia="zh-CN"/>
                <w14:ligatures w14:val="none"/>
              </w:rPr>
              <w:t>，</w:t>
            </w: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license满足所有节点使用，确保集群统一管理调度。</w:t>
            </w:r>
            <w:r>
              <w:rPr>
                <w:rFonts w:hint="eastAsia" w:ascii="宋体" w:hAnsi="宋体" w:eastAsia="华文中宋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提供技术支持资料</w:t>
            </w:r>
          </w:p>
          <w:p w14:paraId="1262721E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▲2.软件架构：基于B/S架构实现，支持主流浏览器（Firefox、Chrome等），支持移动设备（如IOS,Android等）访问。</w:t>
            </w:r>
            <w:r>
              <w:rPr>
                <w:rFonts w:hint="eastAsia" w:ascii="宋体" w:hAnsi="宋体" w:eastAsia="华文中宋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提供技术支持资料</w:t>
            </w:r>
          </w:p>
          <w:p w14:paraId="65C0A7B0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▲3.物理视图</w:t>
            </w:r>
            <w:r>
              <w:rPr>
                <w:rFonts w:hint="eastAsia" w:ascii="宋体" w:hAnsi="宋体" w:eastAsia="华文中宋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提供技术支持资料</w:t>
            </w:r>
          </w:p>
          <w:p w14:paraId="2AEDED05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3.1提供直观的物理视图，如实展现机柜、服务器等设备的物理分布和相对位置关系，可以直接依据监控视图查找物理设备；</w:t>
            </w:r>
          </w:p>
          <w:p w14:paraId="04AAA9BE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3.2支持远程开关机、iKVM远程管理等远程操作，支持远程处理系统宕机节点；</w:t>
            </w:r>
          </w:p>
          <w:p w14:paraId="223E9818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3.3提供服务器详细状态监控视图，分类展示该节点的静态信息和运行状态。静态配置信息展示至少包括CPU型号、内存大小、管理IP、操作系统版本等，动态信息展示至少包括磁盘分区状态、网卡状态、进程状态、IPMI传感器状态、GPU/MIC状态等。</w:t>
            </w:r>
          </w:p>
          <w:p w14:paraId="565DA1CA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▲4.分组视图：支持按预定义或自定义的角色分组展现服务器状态信息，以及相关联的告警信息，</w:t>
            </w:r>
            <w:r>
              <w:rPr>
                <w:rFonts w:hint="eastAsia" w:ascii="宋体" w:hAnsi="宋体" w:eastAsia="华文中宋" w:cs="宋体"/>
                <w:b/>
                <w:bCs/>
                <w:color w:val="000000"/>
                <w:kern w:val="0"/>
                <w:sz w:val="24"/>
                <w14:ligatures w14:val="none"/>
              </w:rPr>
              <w:t>提供技术支持资料</w:t>
            </w: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。</w:t>
            </w:r>
          </w:p>
          <w:p w14:paraId="6114B0C0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5.服务器热图：支持热图方式集中展现集群中所有服务器的关键指标，至少支持CPU利用率、内存利用率、网络可用性、电源状态、温度等关键指标展示，并可支持指标快速切换，</w:t>
            </w:r>
            <w:r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提供证明文件</w:t>
            </w: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。</w:t>
            </w:r>
          </w:p>
          <w:p w14:paraId="71CDA4F1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6.告警内容：支持服务器、交换机、刀片机箱等不同设备的告警，支持集群、机柜和刀片机箱等不同层次的告警。</w:t>
            </w:r>
          </w:p>
          <w:p w14:paraId="71A41B0F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▲7.告警策略：支持自定义告警策略，至少支持页面预警、邮件告警等通知方式；符合告警策略条件将会产生相应告警信息并通过邮件、短信等方式及时通知负责人。</w:t>
            </w:r>
            <w:r>
              <w:rPr>
                <w:rFonts w:hint="eastAsia" w:ascii="宋体" w:hAnsi="宋体" w:eastAsia="华文中宋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提供技术支持资料</w:t>
            </w:r>
          </w:p>
          <w:p w14:paraId="4C49A859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▲8.实时告警信息显示：与机房物理视图、热图等功能紧密结合，可直观展示信息。</w:t>
            </w:r>
            <w:r>
              <w:rPr>
                <w:rFonts w:hint="eastAsia" w:ascii="宋体" w:hAnsi="宋体" w:eastAsia="华文中宋" w:cs="宋体"/>
                <w:b/>
                <w:bCs/>
                <w:color w:val="000000"/>
                <w:kern w:val="0"/>
                <w:sz w:val="24"/>
                <w14:ligatures w14:val="none"/>
              </w:rPr>
              <w:t>提供技术支持资料</w:t>
            </w:r>
            <w:r>
              <w:rPr>
                <w:rFonts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。</w:t>
            </w:r>
          </w:p>
          <w:p w14:paraId="40CC2B49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9.多指标：支持大规模监控管理，系统采集节点规模≥10000节点，提供证明截图。</w:t>
            </w:r>
          </w:p>
          <w:p w14:paraId="73A557E6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▲10.作业优先级策略：支持基于队列、用户、用户组等多个维度的优先级定义策略，根据作业的静态（如资源请求、所属用户等）和动态指标（如入队时间、公平共享份额等），通过不同的权重设置，灵活控制作业优先级。</w:t>
            </w:r>
            <w:r>
              <w:rPr>
                <w:rFonts w:hint="eastAsia" w:ascii="宋体" w:hAnsi="宋体" w:eastAsia="华文中宋" w:cs="宋体"/>
                <w:b/>
                <w:bCs/>
                <w:color w:val="000000"/>
                <w:kern w:val="0"/>
                <w:sz w:val="24"/>
                <w14:ligatures w14:val="none"/>
              </w:rPr>
              <w:t>提供技术支持资料</w:t>
            </w:r>
            <w:r>
              <w:rPr>
                <w:rFonts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。</w:t>
            </w:r>
          </w:p>
          <w:p w14:paraId="2929FE3A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11.负载均衡调度：支持将作业均衡的分配到所有计算节点上，避免任务堆积在个别节点，因CPU、内存等资源分配不均衡导致计算变慢。</w:t>
            </w:r>
          </w:p>
          <w:p w14:paraId="4B0AD1A9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12.并行环境支持：支持各种并行作业（如MPI、OpenMP、pThread），支持与openmpi、mvapich、mpich等的紧密集成；</w:t>
            </w:r>
          </w:p>
          <w:p w14:paraId="791A0B05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▲13.队列管理：支持基于Web的队列管理，各队列可设置不同的资源配额、访问策略和调度策略；</w:t>
            </w:r>
            <w:r>
              <w:rPr>
                <w:rFonts w:hint="eastAsia" w:ascii="宋体" w:hAnsi="宋体" w:eastAsia="华文中宋" w:cs="宋体"/>
                <w:b/>
                <w:bCs/>
                <w:color w:val="000000"/>
                <w:kern w:val="0"/>
                <w:sz w:val="24"/>
                <w14:ligatures w14:val="none"/>
              </w:rPr>
              <w:t>提供技术支持资料</w:t>
            </w:r>
            <w:r>
              <w:rPr>
                <w:rFonts w:ascii="宋体" w:hAnsi="宋体" w:eastAsia="华文中宋" w:cs="宋体"/>
                <w:b/>
                <w:bCs/>
                <w:color w:val="000000"/>
                <w:kern w:val="0"/>
                <w:sz w:val="24"/>
                <w14:ligatures w14:val="none"/>
              </w:rPr>
              <w:t>。</w:t>
            </w:r>
          </w:p>
          <w:p w14:paraId="7725BBB8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14.作业管理：支持基于Web的作业管理，支持对运行作业的输出进行实时监控，支持输出文件的下载，对VNC图形作业提供基于浏览器的远程访问功能。</w:t>
            </w:r>
            <w:r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提供证明文件</w:t>
            </w:r>
          </w:p>
          <w:p w14:paraId="7D9F7A40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15.历史作业管理：支持基于Web的历史作业管理，允许浏览和下载工作目录下的文件。</w:t>
            </w:r>
          </w:p>
          <w:p w14:paraId="6A21E58E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16.作业热图展现：提供作业热图，可直观展现用户作业在集群的分布情况，以及集群资源的整体使用状况，提供证明截图。</w:t>
            </w:r>
          </w:p>
          <w:p w14:paraId="31705F9D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17.作业通知：作业状态改变（如提交、运行、结束）时，支持邮件和短信通知；</w:t>
            </w:r>
          </w:p>
          <w:p w14:paraId="3F10DA82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18.预付费支持：支持计费账号管理，允许2个以上用户使用一个计费账号；支持通过“先充值后扣费”方式使用集群资源，并且只有账号余额充足时才能运行作业。</w:t>
            </w:r>
          </w:p>
          <w:p w14:paraId="049B8A37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19.多视角统计：支持至少从用户、队列、节点、应用、账号、作业规模等不同角度进行统计计费；支持基于CPU、GPU、存储空间计费；</w:t>
            </w:r>
          </w:p>
          <w:p w14:paraId="5E12236A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20.计费详表：支持导出作业粒度的计费详表，供用户核对；支持GPU、存储计费；</w:t>
            </w:r>
          </w:p>
          <w:p w14:paraId="78E585A0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21.编译器：提供GNU编译器：支持C/C++/Fortran；提供Intel 编译器：支持C/C++/Fortran；</w:t>
            </w:r>
          </w:p>
          <w:p w14:paraId="18444F73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22.并行环境：提供MPICH2、OpenMPI、Mvapich2等MPI环境，提供OpenMP并行环境；</w:t>
            </w:r>
          </w:p>
          <w:p w14:paraId="520B7FFA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23.函数库：至少提供MKL、ACML、BLAS、LAPACK、ScaLAPACK、FFTW、PLAPACK、PETSc、GSL、PLASMA、Boost、HDF、netCDF等函数库。</w:t>
            </w:r>
          </w:p>
          <w:p w14:paraId="2E64C537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▲</w:t>
            </w: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24.</w:t>
            </w:r>
            <w:r>
              <w:rPr>
                <w:rFonts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承诺管理软件支持与学校E算平台对接，实现任务/作业管理功能。可通过提供的接口获取任务/作业的资源需求情况、作业状态等信息，实现作业的基本维护操作，如提交、取消等（</w:t>
            </w:r>
            <w:r>
              <w:rPr>
                <w:rFonts w:ascii="宋体" w:hAnsi="宋体" w:eastAsia="华文中宋" w:cs="宋体"/>
                <w:b/>
                <w:bCs/>
                <w:color w:val="000000"/>
                <w:kern w:val="0"/>
                <w:sz w:val="24"/>
                <w14:ligatures w14:val="none"/>
              </w:rPr>
              <w:t>提供承诺函</w:t>
            </w:r>
            <w:r>
              <w:rPr>
                <w:rFonts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）。</w:t>
            </w:r>
          </w:p>
          <w:p w14:paraId="15143EB0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▲</w:t>
            </w: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25.</w:t>
            </w:r>
            <w:r>
              <w:rPr>
                <w:rFonts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承诺配合学校部署学校统一监控。本项目中所有设备，包括计算节点、存储服务器、管理服务器等，应支持基本的监控通信协议，如SNMP，或根据需要部署监控代理，以实现与统一监控平台的对接，帮助学校实时获取设备运行情况，包括但不限于CPU负载、内存负载、GPU卡负载、运行功耗、机箱温度、故障告警等相关信息。如若无法准确获取，应配合部署需求，提供必要的技术支持和文档，如技术文档、API说明或MIB库等（</w:t>
            </w:r>
            <w:r>
              <w:rPr>
                <w:rFonts w:ascii="宋体" w:hAnsi="宋体" w:eastAsia="华文中宋" w:cs="宋体"/>
                <w:b/>
                <w:bCs/>
                <w:color w:val="000000"/>
                <w:kern w:val="0"/>
                <w:sz w:val="24"/>
                <w14:ligatures w14:val="none"/>
              </w:rPr>
              <w:t>提供承诺函</w:t>
            </w:r>
            <w:r>
              <w:rPr>
                <w:rFonts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）。</w:t>
            </w:r>
          </w:p>
          <w:p w14:paraId="66E10E0E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▲</w:t>
            </w: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26.</w:t>
            </w:r>
            <w:r>
              <w:rPr>
                <w:rFonts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承诺管理软件支持与学校平台对接，实现数据管理功能。提供数据管理接口，支持包括但不限于安全获取用户的文件数据列表、传输数据、修改数据、复制数据等操作（</w:t>
            </w:r>
            <w:r>
              <w:rPr>
                <w:rFonts w:ascii="宋体" w:hAnsi="宋体" w:eastAsia="华文中宋" w:cs="宋体"/>
                <w:b/>
                <w:bCs/>
                <w:color w:val="000000"/>
                <w:kern w:val="0"/>
                <w:sz w:val="24"/>
                <w14:ligatures w14:val="none"/>
              </w:rPr>
              <w:t>提供承诺函</w:t>
            </w:r>
            <w:r>
              <w:rPr>
                <w:rFonts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）。</w:t>
            </w:r>
          </w:p>
          <w:p w14:paraId="5307C4DA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▲</w:t>
            </w: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27.</w:t>
            </w:r>
            <w:r>
              <w:rPr>
                <w:rFonts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学校平台对接：承诺满足与统一监控系统的功能对接，满足通过学校E算平台集中访问和使用的需要（</w:t>
            </w:r>
            <w:r>
              <w:rPr>
                <w:rFonts w:ascii="宋体" w:hAnsi="宋体" w:eastAsia="华文中宋" w:cs="宋体"/>
                <w:b/>
                <w:bCs/>
                <w:color w:val="000000"/>
                <w:kern w:val="0"/>
                <w:sz w:val="24"/>
                <w14:ligatures w14:val="none"/>
              </w:rPr>
              <w:t>提供承诺函</w:t>
            </w:r>
            <w:r>
              <w:rPr>
                <w:rFonts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）。</w:t>
            </w:r>
          </w:p>
        </w:tc>
      </w:tr>
    </w:tbl>
    <w:p w14:paraId="6C96DD82">
      <w:pPr>
        <w:spacing w:line="360" w:lineRule="auto"/>
        <w:rPr>
          <w:rFonts w:hint="eastAsia" w:eastAsia="华文中宋"/>
          <w:b/>
          <w:bCs/>
          <w:sz w:val="24"/>
        </w:rPr>
      </w:pPr>
    </w:p>
    <w:p w14:paraId="2AF287AC">
      <w:pPr>
        <w:widowControl/>
        <w:rPr>
          <w:rFonts w:hint="eastAsia" w:eastAsia="华文中宋"/>
          <w:b/>
          <w:bCs/>
          <w:sz w:val="24"/>
        </w:rPr>
      </w:pPr>
      <w:r>
        <w:rPr>
          <w:rFonts w:hint="eastAsia" w:eastAsia="华文中宋"/>
          <w:b/>
          <w:bCs/>
          <w:sz w:val="24"/>
        </w:rPr>
        <w:br w:type="page"/>
      </w:r>
    </w:p>
    <w:p w14:paraId="1C08ADE1">
      <w:pPr>
        <w:spacing w:line="360" w:lineRule="auto"/>
        <w:rPr>
          <w:rFonts w:hint="eastAsia" w:eastAsia="华文中宋"/>
          <w:b/>
          <w:bCs/>
          <w:sz w:val="24"/>
        </w:rPr>
      </w:pPr>
      <w:r>
        <w:rPr>
          <w:rFonts w:hint="eastAsia" w:eastAsia="华文中宋"/>
          <w:b/>
          <w:bCs/>
          <w:sz w:val="24"/>
        </w:rPr>
        <w:t>2.GPU计算节点（10台）</w:t>
      </w:r>
    </w:p>
    <w:tbl>
      <w:tblPr>
        <w:tblStyle w:val="16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417"/>
        <w:gridCol w:w="8055"/>
      </w:tblGrid>
      <w:tr w14:paraId="1DC345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AE9F7" w:themeFill="text2" w:themeFillTint="1A"/>
            <w:vAlign w:val="center"/>
          </w:tcPr>
          <w:p w14:paraId="27C1CD98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序号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AE9F7" w:themeFill="text2" w:themeFillTint="1A"/>
            <w:vAlign w:val="center"/>
          </w:tcPr>
          <w:p w14:paraId="7A19E04A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技术指标</w:t>
            </w:r>
          </w:p>
        </w:tc>
        <w:tc>
          <w:tcPr>
            <w:tcW w:w="8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AE9F7" w:themeFill="text2" w:themeFillTint="1A"/>
            <w:vAlign w:val="center"/>
          </w:tcPr>
          <w:p w14:paraId="4DBE6F5E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参数要求</w:t>
            </w:r>
          </w:p>
        </w:tc>
      </w:tr>
      <w:tr w14:paraId="2B8DD3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9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12921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val="en-US" w:eastAsia="zh-CN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D64574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认证能力</w:t>
            </w:r>
          </w:p>
        </w:tc>
        <w:tc>
          <w:tcPr>
            <w:tcW w:w="8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33353A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▲</w:t>
            </w:r>
            <w:r>
              <w:rPr>
                <w:rFonts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服务器厂商通过ISO42001人工智能管理体系认证</w:t>
            </w:r>
            <w:r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，</w:t>
            </w:r>
            <w:r>
              <w:rPr>
                <w:rFonts w:hint="eastAsia" w:ascii="宋体" w:hAnsi="宋体" w:eastAsia="华文中宋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提供技术支持资料</w:t>
            </w:r>
            <w:r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。</w:t>
            </w:r>
          </w:p>
        </w:tc>
      </w:tr>
      <w:tr w14:paraId="7B5CF5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9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2D9B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eastAsia="zh-CN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val="en-US" w:eastAsia="zh-CN"/>
                <w14:ligatures w14:val="none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E474B8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处理器</w:t>
            </w:r>
          </w:p>
        </w:tc>
        <w:tc>
          <w:tcPr>
            <w:tcW w:w="8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5E93E8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配置≥2颗</w:t>
            </w:r>
            <w:r>
              <w:rPr>
                <w:rFonts w:ascii="宋体" w:hAnsi="宋体" w:eastAsia="华文中宋" w:cs="宋体"/>
                <w:color w:val="000000"/>
                <w:kern w:val="0"/>
                <w:sz w:val="24"/>
                <w14:ligatures w14:val="none"/>
              </w:rPr>
              <w:t xml:space="preserve"> x86 架构 CPU， 支持 AVX-512 指令集，内存通道数≥8， PCIe 通道数≥80， 基频≥2.1GHz，睿频≥4.0GHz，核心数≥32核，缓存不小于160MB</w:t>
            </w:r>
          </w:p>
        </w:tc>
      </w:tr>
      <w:tr w14:paraId="7A04A0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9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A2293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eastAsia="zh-CN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val="en-US" w:eastAsia="zh-CN"/>
                <w14:ligatures w14:val="none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23036F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内存</w:t>
            </w:r>
          </w:p>
        </w:tc>
        <w:tc>
          <w:tcPr>
            <w:tcW w:w="8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A47A7FF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配置≥512GB DDR5 5600MHz ECC RDIMM内存，支持≥32个内存插槽。</w:t>
            </w:r>
          </w:p>
        </w:tc>
      </w:tr>
      <w:tr w14:paraId="322375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CF854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eastAsia="zh-CN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val="en-US" w:eastAsia="zh-CN"/>
                <w14:ligatures w14:val="none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2F8AC5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硬盘</w:t>
            </w:r>
          </w:p>
        </w:tc>
        <w:tc>
          <w:tcPr>
            <w:tcW w:w="8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EB8A3F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配置≥2块960G 2.5 SATA SSD，前置支持≥24个2.5寸热插拔硬盘或12个3.5寸，可支持SAS/SATA/NVMe SSD混插；</w:t>
            </w:r>
          </w:p>
        </w:tc>
      </w:tr>
      <w:tr w14:paraId="29F600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9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69E80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eastAsia="zh-CN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val="en-US" w:eastAsia="zh-CN"/>
                <w14:ligatures w14:val="none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196259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RAID</w:t>
            </w:r>
          </w:p>
        </w:tc>
        <w:tc>
          <w:tcPr>
            <w:tcW w:w="8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DED09E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配置独立8口SAS卡，支持RAID0,1</w:t>
            </w:r>
          </w:p>
        </w:tc>
      </w:tr>
      <w:tr w14:paraId="06AFF3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9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F5804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eastAsia="zh-CN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val="en-US" w:eastAsia="zh-CN"/>
                <w14:ligatures w14:val="none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176A5B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GPU功能</w:t>
            </w:r>
          </w:p>
        </w:tc>
        <w:tc>
          <w:tcPr>
            <w:tcW w:w="8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B57E9C4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▲</w:t>
            </w:r>
            <w:r>
              <w:rPr>
                <w:rFonts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支持用户态和内核态GPU虚拟化形式，支持GPU按照显存维度进行切分，要求以1%为算力切分单位，以MB为显存切分单位，并</w:t>
            </w:r>
            <w:r>
              <w:rPr>
                <w:rFonts w:ascii="宋体" w:hAnsi="宋体" w:eastAsia="华文中宋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提供算力和显存在软件平台切分颗粒度的</w:t>
            </w:r>
            <w:r>
              <w:rPr>
                <w:rFonts w:hint="eastAsia" w:ascii="宋体" w:hAnsi="宋体" w:eastAsia="华文中宋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技术支持资料</w:t>
            </w:r>
          </w:p>
        </w:tc>
      </w:tr>
      <w:tr w14:paraId="272821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4D84B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eastAsia="zh-CN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val="en-US" w:eastAsia="zh-CN"/>
                <w14:ligatures w14:val="none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CB46B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PCIe扩展</w:t>
            </w:r>
          </w:p>
        </w:tc>
        <w:tc>
          <w:tcPr>
            <w:tcW w:w="8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B22452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▲</w:t>
            </w:r>
            <w:r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投标产品可最大支持12个PCIe5.0 x16插槽，</w:t>
            </w:r>
            <w:r>
              <w:rPr>
                <w:rFonts w:hint="eastAsia" w:ascii="宋体" w:hAnsi="宋体" w:eastAsia="华文中宋" w:cs="宋体"/>
                <w:b/>
                <w:bCs/>
                <w:color w:val="000000"/>
                <w:kern w:val="0"/>
                <w:sz w:val="24"/>
                <w14:ligatures w14:val="none"/>
              </w:rPr>
              <w:t>提供技术支持资料</w:t>
            </w:r>
            <w:r>
              <w:rPr>
                <w:rFonts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。</w:t>
            </w:r>
          </w:p>
        </w:tc>
      </w:tr>
      <w:tr w14:paraId="7F0949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9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C93F5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eastAsia="zh-CN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val="en-US" w:eastAsia="zh-CN"/>
                <w14:ligatures w14:val="none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B11CEB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GPU卡</w:t>
            </w:r>
          </w:p>
        </w:tc>
        <w:tc>
          <w:tcPr>
            <w:tcW w:w="8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BB87CE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★</w:t>
            </w:r>
            <w:r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最大可支持10块双宽GPU加速卡，配置≥8块GPU加速卡，单卡FT32≥59</w:t>
            </w:r>
            <w:r>
              <w:rPr>
                <w:rFonts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TFLOPS</w:t>
            </w:r>
            <w:r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，显存≥</w:t>
            </w:r>
            <w:r>
              <w:rPr>
                <w:rFonts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48GB GDDR6</w:t>
            </w:r>
            <w:r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ECC</w:t>
            </w:r>
            <w:r>
              <w:rPr>
                <w:rFonts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,</w:t>
            </w:r>
            <w:r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功耗≤350W；配置8卡情况下：</w:t>
            </w:r>
            <w:r>
              <w:rPr>
                <w:rFonts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同核心下GPU P2P双向带宽实测</w:t>
            </w:r>
            <w:r>
              <w:rPr>
                <w:rFonts w:ascii="宋体" w:hAnsi="宋体" w:eastAsia="华文中宋" w:cs="宋体"/>
                <w:kern w:val="0"/>
                <w:sz w:val="24"/>
                <w14:ligatures w14:val="none"/>
              </w:rPr>
              <w:t>≥5</w:t>
            </w:r>
            <w:r>
              <w:rPr>
                <w:rFonts w:hint="eastAsia" w:ascii="宋体" w:hAnsi="宋体" w:eastAsia="华文中宋" w:cs="宋体"/>
                <w:kern w:val="0"/>
                <w:sz w:val="24"/>
                <w14:ligatures w14:val="none"/>
              </w:rPr>
              <w:t>0</w:t>
            </w:r>
            <w:r>
              <w:rPr>
                <w:rFonts w:ascii="宋体" w:hAnsi="宋体" w:eastAsia="华文中宋" w:cs="宋体"/>
                <w:kern w:val="0"/>
                <w:sz w:val="24"/>
                <w14:ligatures w14:val="none"/>
              </w:rPr>
              <w:t>GB/s，跨核心P2P带宽实测≥4</w:t>
            </w:r>
            <w:r>
              <w:rPr>
                <w:rFonts w:hint="eastAsia" w:ascii="宋体" w:hAnsi="宋体" w:eastAsia="华文中宋" w:cs="宋体"/>
                <w:kern w:val="0"/>
                <w:sz w:val="24"/>
                <w14:ligatures w14:val="none"/>
              </w:rPr>
              <w:t>0</w:t>
            </w:r>
            <w:r>
              <w:rPr>
                <w:rFonts w:ascii="宋体" w:hAnsi="宋体" w:eastAsia="华文中宋" w:cs="宋体"/>
                <w:kern w:val="0"/>
                <w:sz w:val="24"/>
                <w14:ligatures w14:val="none"/>
              </w:rPr>
              <w:t>GB/s</w:t>
            </w:r>
            <w:r>
              <w:rPr>
                <w:rFonts w:hint="eastAsia" w:ascii="宋体" w:hAnsi="宋体" w:eastAsia="华文中宋" w:cs="宋体"/>
                <w:kern w:val="0"/>
                <w:sz w:val="24"/>
                <w14:ligatures w14:val="none"/>
              </w:rPr>
              <w:t>，</w:t>
            </w:r>
            <w:r>
              <w:rPr>
                <w:rFonts w:hint="eastAsia" w:ascii="宋体" w:hAnsi="宋体" w:eastAsia="华文中宋" w:cs="宋体"/>
                <w:b/>
                <w:bCs/>
                <w:kern w:val="0"/>
                <w:sz w:val="24"/>
                <w14:ligatures w14:val="none"/>
              </w:rPr>
              <w:t>提供技术支持资料</w:t>
            </w:r>
            <w:r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。</w:t>
            </w:r>
          </w:p>
          <w:p w14:paraId="5EAF1D70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</w:tr>
      <w:tr w14:paraId="4AA7F1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718A2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eastAsia="zh-CN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val="en-US" w:eastAsia="zh-CN"/>
                <w14:ligatures w14:val="none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642D33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GPU卡可调</w:t>
            </w:r>
          </w:p>
        </w:tc>
        <w:tc>
          <w:tcPr>
            <w:tcW w:w="8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C26E18F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为满足不同场景下使用达到最优性能，GPU的PCIe 连接拓扑支持调整为CPU：GPU=1：4或者CPU：GPU=1：8</w:t>
            </w:r>
          </w:p>
        </w:tc>
      </w:tr>
      <w:tr w14:paraId="197685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E4CCF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1</w:t>
            </w: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val="en-US" w:eastAsia="zh-CN"/>
                <w14:ligatures w14:val="none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E35EA0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网络</w:t>
            </w:r>
          </w:p>
        </w:tc>
        <w:tc>
          <w:tcPr>
            <w:tcW w:w="8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B1EA4E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配置≥1块双口千兆电口，配置≥1块HDR 200G双端口网卡</w:t>
            </w:r>
          </w:p>
        </w:tc>
      </w:tr>
      <w:tr w14:paraId="2CF5AB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9B7A8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eastAsia="zh-CN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1</w:t>
            </w: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val="en-US" w:eastAsia="zh-CN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43EE4D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电源</w:t>
            </w:r>
          </w:p>
        </w:tc>
        <w:tc>
          <w:tcPr>
            <w:tcW w:w="8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1A031A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配置4个2700W的认证铂金级电源，支持3+1/2+2冗余。</w:t>
            </w:r>
          </w:p>
        </w:tc>
      </w:tr>
      <w:tr w14:paraId="4ED868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2CAAE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eastAsia="zh-CN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1</w:t>
            </w: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val="en-US" w:eastAsia="zh-CN"/>
                <w14:ligatures w14:val="none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D9FE3B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风扇</w:t>
            </w:r>
          </w:p>
        </w:tc>
        <w:tc>
          <w:tcPr>
            <w:tcW w:w="8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FB0AC2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支持8个8056风扇，</w:t>
            </w:r>
            <w:r>
              <w:rPr>
                <w:rFonts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支持N+1 冗余，可在单转子故障状态下保证系统正常运行</w:t>
            </w: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。</w:t>
            </w:r>
          </w:p>
        </w:tc>
      </w:tr>
      <w:tr w14:paraId="5EAF36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CEC68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eastAsia="zh-CN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1</w:t>
            </w: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val="en-US" w:eastAsia="zh-CN"/>
                <w14:ligatures w14:val="none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014C9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系统安全</w:t>
            </w:r>
          </w:p>
        </w:tc>
        <w:tc>
          <w:tcPr>
            <w:tcW w:w="8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BA3C7D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开机密码，管理员密码，支持国民技术TCM/ TPM 2.0可选模块、</w:t>
            </w:r>
            <w:r>
              <w:rPr>
                <w:rFonts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可选的安全前挡板(带锁功能)</w:t>
            </w: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。</w:t>
            </w:r>
          </w:p>
        </w:tc>
      </w:tr>
      <w:tr w14:paraId="67FB93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6" w:hRule="atLeast"/>
        </w:trPr>
        <w:tc>
          <w:tcPr>
            <w:tcW w:w="9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0E7DD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eastAsia="zh-CN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1</w:t>
            </w: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val="en-US" w:eastAsia="zh-CN"/>
                <w14:ligatures w14:val="none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A0E4A6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硬件管理</w:t>
            </w:r>
          </w:p>
        </w:tc>
        <w:tc>
          <w:tcPr>
            <w:tcW w:w="8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708DC5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 xml:space="preserve">集成系统管理芯片，提供iKVM和KVM Over IP高级管理功能，本地固件更新、错误日志，提供系统状况的可视显示；配置独立的远程管理控制端口，支持远程监控图形界面、支持H5虚拟键盘、支持VNC功能, 可实现与操作系统无关的远程对服务器的完全控制，包括远程的开机、关机、重启、虚拟设备挂载等操作；可实现监控服务器内部主要部件的状态，包括CPU、内存、硬盘、风扇、电源；支持带外获取OS版本、OS下CPU内存使用率、网口状态、系统磁盘分区等，支持RAID卡配置带外导入导出； </w:t>
            </w:r>
          </w:p>
        </w:tc>
      </w:tr>
      <w:tr w14:paraId="6FC650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" w:hRule="atLeast"/>
        </w:trPr>
        <w:tc>
          <w:tcPr>
            <w:tcW w:w="9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0811D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eastAsia="zh-CN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1</w:t>
            </w: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val="en-US" w:eastAsia="zh-CN"/>
                <w14:ligatures w14:val="none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7E6B9D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服务</w:t>
            </w:r>
          </w:p>
        </w:tc>
        <w:tc>
          <w:tcPr>
            <w:tcW w:w="8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F34C63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售后服务：5年原厂整机质保，5年原厂免费上门服务，针对本项目提供原厂授权函，原厂服务承诺函原件，以上资料须加盖原厂商公章。</w:t>
            </w:r>
          </w:p>
        </w:tc>
      </w:tr>
    </w:tbl>
    <w:p w14:paraId="7A934C1C">
      <w:pPr>
        <w:spacing w:line="360" w:lineRule="auto"/>
        <w:rPr>
          <w:rFonts w:hint="eastAsia" w:eastAsia="华文中宋"/>
          <w:sz w:val="24"/>
        </w:rPr>
      </w:pPr>
    </w:p>
    <w:p w14:paraId="20BE230B">
      <w:pPr>
        <w:spacing w:line="360" w:lineRule="auto"/>
        <w:rPr>
          <w:rFonts w:hint="eastAsia" w:eastAsia="华文中宋"/>
          <w:b/>
          <w:bCs/>
          <w:sz w:val="24"/>
        </w:rPr>
      </w:pPr>
      <w:r>
        <w:rPr>
          <w:rFonts w:hint="eastAsia" w:eastAsia="华文中宋"/>
          <w:b/>
          <w:bCs/>
          <w:sz w:val="24"/>
        </w:rPr>
        <w:t>3.分布式统一存储系统（6台）</w:t>
      </w:r>
    </w:p>
    <w:tbl>
      <w:tblPr>
        <w:tblStyle w:val="1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374"/>
        <w:gridCol w:w="8592"/>
      </w:tblGrid>
      <w:tr w14:paraId="61E424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AE9F7" w:themeFill="text2" w:themeFillTint="1A"/>
            <w:vAlign w:val="center"/>
          </w:tcPr>
          <w:p w14:paraId="0291BD0D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序号</w:t>
            </w:r>
          </w:p>
        </w:tc>
        <w:tc>
          <w:tcPr>
            <w:tcW w:w="6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AE9F7" w:themeFill="text2" w:themeFillTint="1A"/>
            <w:vAlign w:val="center"/>
          </w:tcPr>
          <w:p w14:paraId="3CB920ED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技术指标</w:t>
            </w:r>
          </w:p>
        </w:tc>
        <w:tc>
          <w:tcPr>
            <w:tcW w:w="40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AE9F7" w:themeFill="text2" w:themeFillTint="1A"/>
            <w:vAlign w:val="center"/>
          </w:tcPr>
          <w:p w14:paraId="2530F2ED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招标参数</w:t>
            </w:r>
          </w:p>
        </w:tc>
      </w:tr>
      <w:tr w14:paraId="1CB47D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33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75063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238465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eastAsia="zh-CN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eastAsia="zh-CN"/>
                <w14:ligatures w14:val="none"/>
              </w:rPr>
              <w:t>基本要求</w:t>
            </w:r>
          </w:p>
        </w:tc>
        <w:tc>
          <w:tcPr>
            <w:tcW w:w="40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9AE0F2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★</w:t>
            </w:r>
            <w:r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具备商业成熟可靠性，由厂商提供商业技术支持保障</w:t>
            </w:r>
            <w:r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  <w14:ligatures w14:val="none"/>
              </w:rPr>
              <w:t>，</w:t>
            </w:r>
            <w:r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非</w:t>
            </w:r>
            <w:r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  <w14:ligatures w14:val="none"/>
              </w:rPr>
              <w:t>基于</w:t>
            </w:r>
            <w:r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开源架构开发的存储系统</w:t>
            </w: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:lang w:eastAsia="zh-CN"/>
                <w14:ligatures w14:val="none"/>
              </w:rPr>
              <w:t>，</w:t>
            </w:r>
            <w:r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提供软件著作版权证书</w:t>
            </w:r>
            <w:r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  <w14:ligatures w14:val="none"/>
              </w:rPr>
              <w:t>。</w:t>
            </w:r>
            <w:r>
              <w:rPr>
                <w:rFonts w:hint="eastAsia" w:ascii="宋体" w:hAnsi="宋体" w:eastAsia="华文中宋" w:cs="宋体"/>
                <w:b/>
                <w:bCs/>
                <w:color w:val="000000"/>
                <w:kern w:val="0"/>
                <w:sz w:val="24"/>
                <w:lang w:eastAsia="zh-CN"/>
                <w14:ligatures w14:val="none"/>
              </w:rPr>
              <w:t>提供技术支持资料</w:t>
            </w:r>
            <w:bookmarkStart w:id="2" w:name="_GoBack"/>
            <w:bookmarkEnd w:id="2"/>
          </w:p>
        </w:tc>
      </w:tr>
      <w:tr w14:paraId="502EFC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33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1C665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A68FB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产品架构</w:t>
            </w:r>
          </w:p>
        </w:tc>
        <w:tc>
          <w:tcPr>
            <w:tcW w:w="40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CA265F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可同时提供NFS、POSIX、CIFS、FTP、iSCSI、S3、HDFS访问协议</w:t>
            </w:r>
          </w:p>
        </w:tc>
      </w:tr>
      <w:tr w14:paraId="5FDD59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33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5D8DB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C9273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/>
                <w:sz w:val="24"/>
              </w:rPr>
              <w:t>功能要求</w:t>
            </w:r>
          </w:p>
        </w:tc>
        <w:tc>
          <w:tcPr>
            <w:tcW w:w="40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6AFF9F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/>
                <w:sz w:val="24"/>
              </w:rPr>
              <w:t>内嵌高性能数据存取引擎，文件协议，用于并行处理所有客户端的数据访问请求，内嵌高性能数据恢复引擎，支持节点间replication（多副本）/N+M（纠删码）数据冗余方式；</w:t>
            </w:r>
          </w:p>
        </w:tc>
      </w:tr>
      <w:tr w14:paraId="5C13D4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33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766B1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40E005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/>
                <w:sz w:val="24"/>
              </w:rPr>
              <w:t>CPU</w:t>
            </w:r>
          </w:p>
        </w:tc>
        <w:tc>
          <w:tcPr>
            <w:tcW w:w="40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3DEF96E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▲</w:t>
            </w:r>
            <w:r>
              <w:rPr>
                <w:rFonts w:hint="eastAsia" w:ascii="宋体" w:hAnsi="宋体" w:eastAsia="华文中宋"/>
                <w:sz w:val="24"/>
              </w:rPr>
              <w:t>配置≥2颗处理器，每颗CPU核心数≥24核，CPU主频≥2.2GHz</w:t>
            </w: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 xml:space="preserve"> ，</w:t>
            </w:r>
            <w:r>
              <w:rPr>
                <w:rFonts w:hint="eastAsia" w:ascii="宋体" w:hAnsi="宋体" w:eastAsia="华文中宋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提供技术支持资料</w:t>
            </w:r>
            <w:r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。</w:t>
            </w:r>
          </w:p>
        </w:tc>
      </w:tr>
      <w:tr w14:paraId="08C4F3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33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C5C1B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EE32D2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/>
                <w:sz w:val="24"/>
              </w:rPr>
              <w:t>内存</w:t>
            </w:r>
          </w:p>
        </w:tc>
        <w:tc>
          <w:tcPr>
            <w:tcW w:w="40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208CC2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eastAsia" w:ascii="宋体" w:hAnsi="宋体" w:eastAsia="华文中宋"/>
                <w:sz w:val="24"/>
              </w:rPr>
              <w:t>配置≥256G DDR5内存容量，不少于8条</w:t>
            </w:r>
          </w:p>
        </w:tc>
      </w:tr>
      <w:tr w14:paraId="7104B4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33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C1376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786AA6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/>
                <w:sz w:val="24"/>
              </w:rPr>
              <w:t>硬盘</w:t>
            </w:r>
          </w:p>
        </w:tc>
        <w:tc>
          <w:tcPr>
            <w:tcW w:w="40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A0485C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eastAsia" w:ascii="宋体" w:hAnsi="宋体" w:eastAsia="华文中宋"/>
                <w:sz w:val="24"/>
              </w:rPr>
              <w:t>配置≥2块480G SSD硬盘，≥2块7.68T NVMe SSD硬盘, ≥16块20T SATA硬盘,</w:t>
            </w:r>
          </w:p>
        </w:tc>
      </w:tr>
      <w:tr w14:paraId="1A2B77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33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142D8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FCD32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/>
                <w:sz w:val="24"/>
              </w:rPr>
              <w:t>网络</w:t>
            </w:r>
          </w:p>
        </w:tc>
        <w:tc>
          <w:tcPr>
            <w:tcW w:w="40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7EFEB88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eastAsia" w:ascii="宋体" w:hAnsi="宋体" w:eastAsia="华文中宋"/>
                <w:sz w:val="24"/>
              </w:rPr>
              <w:t>配置1块双口千兆网卡，1块HDR 200G单端口卡</w:t>
            </w:r>
          </w:p>
        </w:tc>
      </w:tr>
      <w:tr w14:paraId="28AC3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33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DB0D4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8B7857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/>
                <w:sz w:val="24"/>
              </w:rPr>
              <w:t>SAS卡</w:t>
            </w:r>
          </w:p>
        </w:tc>
        <w:tc>
          <w:tcPr>
            <w:tcW w:w="40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948B2E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eastAsia" w:ascii="宋体" w:hAnsi="宋体" w:eastAsia="华文中宋"/>
                <w:sz w:val="24"/>
              </w:rPr>
              <w:t>配置独立10口SAS控制器，支持RAID 0/1/10，RAID状态迁移、RAID配置记忆等功能</w:t>
            </w:r>
          </w:p>
        </w:tc>
      </w:tr>
      <w:tr w14:paraId="758EE3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33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0604A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4F08A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/>
                <w:sz w:val="24"/>
              </w:rPr>
              <w:t>电源</w:t>
            </w:r>
          </w:p>
        </w:tc>
        <w:tc>
          <w:tcPr>
            <w:tcW w:w="40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7C8F35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eastAsia" w:ascii="宋体" w:hAnsi="宋体" w:eastAsia="华文中宋"/>
                <w:sz w:val="24"/>
              </w:rPr>
              <w:t>1+1冗余电源</w:t>
            </w:r>
          </w:p>
        </w:tc>
      </w:tr>
      <w:tr w14:paraId="024DFA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33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9D003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91BAE7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运维管理</w:t>
            </w:r>
          </w:p>
        </w:tc>
        <w:tc>
          <w:tcPr>
            <w:tcW w:w="40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7BBFFB7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▲</w:t>
            </w: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提供对存储整机、所有类型磁盘、网络接口、电源模块等部件的视图级监控，故障位置需与实际保持一致，供货需实配此功能并</w:t>
            </w:r>
            <w:r>
              <w:rPr>
                <w:rFonts w:hint="eastAsia" w:ascii="宋体" w:hAnsi="宋体" w:eastAsia="华文中宋" w:cs="宋体"/>
                <w:b/>
                <w:bCs/>
                <w:color w:val="000000"/>
                <w:kern w:val="0"/>
                <w:sz w:val="24"/>
                <w14:ligatures w14:val="none"/>
              </w:rPr>
              <w:t>提供功能技术支持资料</w:t>
            </w:r>
          </w:p>
        </w:tc>
      </w:tr>
      <w:tr w14:paraId="12B7E2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33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F02D9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11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D4AFA1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IO可视化分析</w:t>
            </w:r>
          </w:p>
        </w:tc>
        <w:tc>
          <w:tcPr>
            <w:tcW w:w="40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628C94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▲</w:t>
            </w: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本地存储系统支持部署IO可视化分析工具，提供IO读写分布统计、IO块大小统计、随机程度统计、客户端带宽IOPS、独立缓存节点特性等分析等。</w:t>
            </w:r>
            <w:r>
              <w:rPr>
                <w:rFonts w:hint="eastAsia" w:ascii="宋体" w:hAnsi="宋体" w:eastAsia="华文中宋" w:cs="宋体"/>
                <w:b/>
                <w:bCs/>
                <w:color w:val="000000"/>
                <w:kern w:val="0"/>
                <w:sz w:val="24"/>
                <w14:ligatures w14:val="none"/>
              </w:rPr>
              <w:t>提供技术支持资料</w:t>
            </w:r>
            <w:r>
              <w:rPr>
                <w:rFonts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。</w:t>
            </w:r>
          </w:p>
        </w:tc>
      </w:tr>
      <w:tr w14:paraId="0D1B9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33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864EC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12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DE1297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服务</w:t>
            </w:r>
          </w:p>
        </w:tc>
        <w:tc>
          <w:tcPr>
            <w:tcW w:w="40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7BDEB5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售后服务：5年原厂整机质保，5年原厂免费上门服务，针对本项目提供原厂授权函，原厂服务承诺函原件，以上资料须加盖原厂商公章。</w:t>
            </w:r>
          </w:p>
        </w:tc>
      </w:tr>
    </w:tbl>
    <w:p w14:paraId="19F61885">
      <w:pPr>
        <w:spacing w:line="360" w:lineRule="auto"/>
        <w:rPr>
          <w:rFonts w:hint="eastAsia" w:eastAsia="华文中宋"/>
          <w:b/>
          <w:bCs/>
          <w:sz w:val="24"/>
        </w:rPr>
      </w:pPr>
    </w:p>
    <w:p w14:paraId="6FF18D14">
      <w:pPr>
        <w:widowControl/>
        <w:rPr>
          <w:rFonts w:hint="eastAsia" w:eastAsia="华文中宋"/>
          <w:b/>
          <w:bCs/>
          <w:sz w:val="24"/>
        </w:rPr>
      </w:pPr>
      <w:r>
        <w:rPr>
          <w:rFonts w:hint="eastAsia" w:eastAsia="华文中宋"/>
          <w:b/>
          <w:bCs/>
          <w:sz w:val="24"/>
        </w:rPr>
        <w:t>4.网络连接</w:t>
      </w:r>
      <w:r>
        <w:rPr>
          <w:rFonts w:hint="eastAsia" w:eastAsia="华文中宋"/>
          <w:b/>
          <w:bCs/>
          <w:sz w:val="24"/>
          <w:lang w:eastAsia="zh-CN"/>
        </w:rPr>
        <w:t>（</w:t>
      </w:r>
      <w:r>
        <w:rPr>
          <w:rFonts w:hint="eastAsia" w:eastAsia="华文中宋"/>
          <w:b/>
          <w:bCs/>
          <w:sz w:val="24"/>
        </w:rPr>
        <w:t>一套</w:t>
      </w:r>
      <w:r>
        <w:rPr>
          <w:rFonts w:hint="eastAsia" w:eastAsia="华文中宋"/>
          <w:b/>
          <w:bCs/>
          <w:sz w:val="24"/>
          <w:lang w:eastAsia="zh-CN"/>
        </w:rPr>
        <w:t>）</w:t>
      </w:r>
    </w:p>
    <w:tbl>
      <w:tblPr>
        <w:tblStyle w:val="16"/>
        <w:tblW w:w="4782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1"/>
        <w:gridCol w:w="1376"/>
        <w:gridCol w:w="8043"/>
      </w:tblGrid>
      <w:tr w14:paraId="4BBD0C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AE9F7" w:themeFill="text2" w:themeFillTint="1A"/>
            <w:vAlign w:val="center"/>
          </w:tcPr>
          <w:p w14:paraId="52FCC470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序号</w:t>
            </w:r>
          </w:p>
        </w:tc>
        <w:tc>
          <w:tcPr>
            <w:tcW w:w="6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AE9F7" w:themeFill="text2" w:themeFillTint="1A"/>
            <w:vAlign w:val="center"/>
          </w:tcPr>
          <w:p w14:paraId="5C938548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技术指标</w:t>
            </w:r>
          </w:p>
        </w:tc>
        <w:tc>
          <w:tcPr>
            <w:tcW w:w="39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AE9F7" w:themeFill="text2" w:themeFillTint="1A"/>
            <w:vAlign w:val="center"/>
          </w:tcPr>
          <w:p w14:paraId="226D0748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招标参数</w:t>
            </w:r>
          </w:p>
        </w:tc>
      </w:tr>
      <w:tr w14:paraId="2DEBC8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3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F1969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1</w:t>
            </w:r>
          </w:p>
        </w:tc>
        <w:tc>
          <w:tcPr>
            <w:tcW w:w="6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8831EA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管理网络</w:t>
            </w:r>
          </w:p>
        </w:tc>
        <w:tc>
          <w:tcPr>
            <w:tcW w:w="39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C84AD6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提供1台48端口千兆以太网，4端口万兆上联、含模块，支持VLAN划分管理。包含本项目所需连接线。五年保修。</w:t>
            </w:r>
          </w:p>
        </w:tc>
      </w:tr>
      <w:tr w14:paraId="292531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3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A0777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2</w:t>
            </w:r>
          </w:p>
        </w:tc>
        <w:tc>
          <w:tcPr>
            <w:tcW w:w="6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3AA9EE">
            <w:pPr>
              <w:widowControl/>
              <w:spacing w:after="0" w:line="360" w:lineRule="auto"/>
              <w:jc w:val="center"/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/>
                <w:kern w:val="0"/>
                <w:sz w:val="24"/>
                <w14:ligatures w14:val="none"/>
              </w:rPr>
              <w:t>高速网络</w:t>
            </w:r>
          </w:p>
        </w:tc>
        <w:tc>
          <w:tcPr>
            <w:tcW w:w="39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95BA9F">
            <w:pPr>
              <w:widowControl/>
              <w:spacing w:after="0" w:line="360" w:lineRule="auto"/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eastAsia" w:ascii="宋体" w:hAnsi="宋体" w:eastAsia="华文中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  <w14:ligatures w14:val="none"/>
              </w:rPr>
              <w:t>提供1台40端口200G HDR RDMA高速网络、冗余电源，包含本项目所需连接线。五年保修。</w:t>
            </w:r>
          </w:p>
        </w:tc>
      </w:tr>
    </w:tbl>
    <w:p w14:paraId="36DFAAF7">
      <w:pPr>
        <w:spacing w:line="360" w:lineRule="auto"/>
        <w:rPr>
          <w:rFonts w:hint="eastAsia" w:eastAsia="华文中宋"/>
          <w:sz w:val="24"/>
        </w:rPr>
      </w:pPr>
    </w:p>
    <w:p w14:paraId="577F2140">
      <w:pPr>
        <w:pStyle w:val="2"/>
        <w:numPr>
          <w:ilvl w:val="0"/>
          <w:numId w:val="1"/>
        </w:numPr>
        <w:spacing w:line="360" w:lineRule="auto"/>
        <w:rPr>
          <w:rFonts w:hint="eastAsia" w:eastAsia="华文中宋"/>
          <w:sz w:val="24"/>
          <w:szCs w:val="24"/>
        </w:rPr>
      </w:pPr>
      <w:bookmarkStart w:id="0" w:name="_Toc31422"/>
      <w:bookmarkStart w:id="1" w:name="_Toc166754169"/>
      <w:r>
        <w:rPr>
          <w:rFonts w:hint="eastAsia" w:eastAsia="华文中宋"/>
          <w:sz w:val="24"/>
          <w:szCs w:val="24"/>
        </w:rPr>
        <w:t>设备</w:t>
      </w:r>
      <w:r>
        <w:rPr>
          <w:rFonts w:eastAsia="华文中宋"/>
          <w:sz w:val="24"/>
          <w:szCs w:val="24"/>
        </w:rPr>
        <w:t>交付</w:t>
      </w:r>
    </w:p>
    <w:p w14:paraId="432B77C2">
      <w:pPr>
        <w:spacing w:line="360" w:lineRule="auto"/>
        <w:ind w:firstLine="480" w:firstLineChars="200"/>
        <w:rPr>
          <w:rFonts w:hint="eastAsia" w:eastAsia="华文中宋" w:cs="Times New Roman"/>
          <w:sz w:val="24"/>
        </w:rPr>
      </w:pPr>
      <w:r>
        <w:rPr>
          <w:rFonts w:eastAsia="华文中宋" w:cs="Times New Roman"/>
          <w:sz w:val="24"/>
        </w:rPr>
        <w:t>交付地点：上海科技大学中心机房</w:t>
      </w:r>
    </w:p>
    <w:p w14:paraId="759E17BA">
      <w:pPr>
        <w:spacing w:line="360" w:lineRule="auto"/>
        <w:ind w:firstLine="480" w:firstLineChars="200"/>
        <w:rPr>
          <w:rFonts w:hint="eastAsia" w:eastAsia="华文中宋" w:cs="Times New Roman"/>
          <w:sz w:val="24"/>
        </w:rPr>
      </w:pPr>
      <w:r>
        <w:rPr>
          <w:rFonts w:eastAsia="华文中宋" w:cs="Times New Roman"/>
          <w:sz w:val="24"/>
        </w:rPr>
        <w:t>交付日期：</w:t>
      </w:r>
      <w:r>
        <w:rPr>
          <w:rFonts w:hint="eastAsia" w:eastAsia="华文中宋" w:cs="Times New Roman"/>
          <w:sz w:val="24"/>
        </w:rPr>
        <w:t>自合同签订之日起60日</w:t>
      </w:r>
      <w:r>
        <w:rPr>
          <w:rFonts w:eastAsia="华文中宋" w:cs="Times New Roman"/>
          <w:sz w:val="24"/>
        </w:rPr>
        <w:t>内完成送货上门、就位、安装、调试、培训</w:t>
      </w:r>
      <w:r>
        <w:rPr>
          <w:rFonts w:hint="eastAsia" w:eastAsia="华文中宋" w:cs="Times New Roman"/>
          <w:sz w:val="24"/>
        </w:rPr>
        <w:t>并通过验收</w:t>
      </w:r>
      <w:r>
        <w:rPr>
          <w:rFonts w:eastAsia="华文中宋" w:cs="Times New Roman"/>
          <w:sz w:val="24"/>
        </w:rPr>
        <w:t>。</w:t>
      </w:r>
    </w:p>
    <w:p w14:paraId="43412F5D">
      <w:pPr>
        <w:spacing w:line="360" w:lineRule="auto"/>
        <w:ind w:firstLine="480" w:firstLineChars="200"/>
        <w:rPr>
          <w:rFonts w:hint="eastAsia" w:eastAsia="华文中宋" w:cs="Times New Roman"/>
          <w:sz w:val="24"/>
        </w:rPr>
      </w:pPr>
    </w:p>
    <w:p w14:paraId="77E21F4B">
      <w:pPr>
        <w:pStyle w:val="2"/>
        <w:spacing w:line="360" w:lineRule="auto"/>
        <w:rPr>
          <w:rFonts w:hint="eastAsia" w:eastAsia="华文中宋"/>
          <w:sz w:val="24"/>
          <w:szCs w:val="24"/>
        </w:rPr>
      </w:pPr>
      <w:r>
        <w:rPr>
          <w:rFonts w:hint="eastAsia" w:eastAsia="华文中宋"/>
          <w:sz w:val="24"/>
          <w:szCs w:val="24"/>
          <w:lang w:eastAsia="zh-CN"/>
        </w:rPr>
        <w:t>四</w:t>
      </w:r>
      <w:r>
        <w:rPr>
          <w:rFonts w:hint="eastAsia" w:eastAsia="华文中宋"/>
          <w:sz w:val="24"/>
          <w:szCs w:val="24"/>
        </w:rPr>
        <w:t>、安装要求</w:t>
      </w:r>
      <w:bookmarkEnd w:id="0"/>
    </w:p>
    <w:p w14:paraId="38D781A6">
      <w:pPr>
        <w:spacing w:line="360" w:lineRule="auto"/>
        <w:ind w:firstLine="420"/>
        <w:rPr>
          <w:rFonts w:hint="eastAsia" w:eastAsia="华文中宋"/>
          <w:sz w:val="24"/>
        </w:rPr>
      </w:pPr>
      <w:r>
        <w:rPr>
          <w:rFonts w:hint="eastAsia" w:eastAsia="华文中宋"/>
          <w:sz w:val="24"/>
        </w:rPr>
        <w:t>本次招标的“</w:t>
      </w:r>
      <w:r>
        <w:rPr>
          <w:rFonts w:hint="eastAsia" w:eastAsia="华文中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GPU服务器和存储设备</w:t>
      </w:r>
      <w:r>
        <w:rPr>
          <w:rFonts w:hint="eastAsia" w:eastAsia="华文中宋"/>
          <w:sz w:val="24"/>
        </w:rPr>
        <w:t>”，将作为已有集群的计算节点扩展通过IB网络挂载数据盘的同时，通过以太网与调度节点互联，并要求使用SLURM调度。同时，投标人需将已有资源和新增资源进行统一管理以及统一分配，投标人可自行提供技术方案。</w:t>
      </w:r>
    </w:p>
    <w:p w14:paraId="3E958B75">
      <w:pPr>
        <w:pStyle w:val="32"/>
        <w:numPr>
          <w:ilvl w:val="0"/>
          <w:numId w:val="2"/>
        </w:numPr>
        <w:spacing w:after="0" w:line="360" w:lineRule="auto"/>
        <w:contextualSpacing w:val="0"/>
        <w:jc w:val="both"/>
        <w:rPr>
          <w:rFonts w:hint="eastAsia" w:eastAsia="华文中宋"/>
          <w:sz w:val="24"/>
        </w:rPr>
      </w:pPr>
      <w:r>
        <w:rPr>
          <w:rFonts w:hint="eastAsia" w:eastAsia="华文中宋"/>
          <w:sz w:val="24"/>
        </w:rPr>
        <w:t>新设备需不影响原有设备性能及运行效率；</w:t>
      </w:r>
    </w:p>
    <w:p w14:paraId="0A13CC4B">
      <w:pPr>
        <w:pStyle w:val="32"/>
        <w:numPr>
          <w:ilvl w:val="0"/>
          <w:numId w:val="2"/>
        </w:numPr>
        <w:spacing w:after="0" w:line="360" w:lineRule="auto"/>
        <w:contextualSpacing w:val="0"/>
        <w:jc w:val="both"/>
        <w:rPr>
          <w:rFonts w:hint="eastAsia" w:eastAsia="华文中宋"/>
          <w:sz w:val="24"/>
        </w:rPr>
      </w:pPr>
      <w:r>
        <w:rPr>
          <w:rFonts w:hint="eastAsia" w:eastAsia="华文中宋"/>
          <w:sz w:val="24"/>
        </w:rPr>
        <w:t>建设过程中不得影响原有正常运行业务；</w:t>
      </w:r>
    </w:p>
    <w:p w14:paraId="349102FB">
      <w:pPr>
        <w:pStyle w:val="32"/>
        <w:numPr>
          <w:ilvl w:val="0"/>
          <w:numId w:val="2"/>
        </w:numPr>
        <w:spacing w:after="0" w:line="360" w:lineRule="auto"/>
        <w:contextualSpacing w:val="0"/>
        <w:jc w:val="both"/>
        <w:rPr>
          <w:rFonts w:hint="eastAsia" w:eastAsia="华文中宋"/>
          <w:sz w:val="24"/>
        </w:rPr>
      </w:pPr>
      <w:r>
        <w:rPr>
          <w:rFonts w:hint="eastAsia" w:eastAsia="华文中宋"/>
          <w:sz w:val="24"/>
        </w:rPr>
        <w:t>须具备</w:t>
      </w:r>
      <w:r>
        <w:rPr>
          <w:rFonts w:eastAsia="华文中宋"/>
          <w:sz w:val="24"/>
        </w:rPr>
        <w:t>良好的可扩展性，能够支持未来业务扩展的需求；</w:t>
      </w:r>
    </w:p>
    <w:p w14:paraId="3A2C37B1">
      <w:pPr>
        <w:pStyle w:val="32"/>
        <w:numPr>
          <w:ilvl w:val="0"/>
          <w:numId w:val="2"/>
        </w:numPr>
        <w:spacing w:after="0" w:line="360" w:lineRule="auto"/>
        <w:contextualSpacing w:val="0"/>
        <w:jc w:val="both"/>
        <w:rPr>
          <w:rFonts w:hint="eastAsia" w:eastAsia="华文中宋"/>
          <w:sz w:val="24"/>
        </w:rPr>
      </w:pPr>
      <w:r>
        <w:rPr>
          <w:rFonts w:eastAsia="华文中宋"/>
          <w:sz w:val="24"/>
        </w:rPr>
        <w:t>需支持安全的远程访问管理和监控，便于随时掌握系统状态</w:t>
      </w:r>
      <w:r>
        <w:rPr>
          <w:rFonts w:hint="eastAsia" w:eastAsia="华文中宋"/>
          <w:sz w:val="24"/>
        </w:rPr>
        <w:t>；</w:t>
      </w:r>
    </w:p>
    <w:p w14:paraId="474E9C0A">
      <w:pPr>
        <w:pStyle w:val="32"/>
        <w:numPr>
          <w:ilvl w:val="0"/>
          <w:numId w:val="2"/>
        </w:numPr>
        <w:spacing w:after="0" w:line="360" w:lineRule="auto"/>
        <w:contextualSpacing w:val="0"/>
        <w:jc w:val="both"/>
        <w:rPr>
          <w:rFonts w:hint="eastAsia" w:eastAsia="华文中宋"/>
          <w:sz w:val="24"/>
        </w:rPr>
      </w:pPr>
      <w:r>
        <w:rPr>
          <w:rFonts w:hint="eastAsia" w:eastAsia="华文中宋"/>
          <w:sz w:val="24"/>
        </w:rPr>
        <w:t>需要确保新的资源和系统配置符合安全要求，以防止潜在的安全风险。</w:t>
      </w:r>
    </w:p>
    <w:bookmarkEnd w:id="1"/>
    <w:p w14:paraId="2EFAA149">
      <w:pPr>
        <w:spacing w:after="0" w:line="360" w:lineRule="auto"/>
        <w:jc w:val="both"/>
        <w:rPr>
          <w:rFonts w:hint="eastAsia" w:eastAsia="华文中宋"/>
          <w:sz w:val="24"/>
        </w:rPr>
      </w:pPr>
    </w:p>
    <w:sectPr>
      <w:footerReference r:id="rId5" w:type="default"/>
      <w:type w:val="continuous"/>
      <w:pgSz w:w="11910" w:h="16840"/>
      <w:pgMar w:top="720" w:right="720" w:bottom="720" w:left="720" w:header="720" w:footer="272" w:gutter="0"/>
      <w:cols w:space="720" w:num="1"/>
      <w:docGrid w:linePitch="29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Noto Sans CJK SC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Noto Sans CJK SC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等线">
    <w:altName w:val="Noto Sans CJK SC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Noto Sans CJK S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汉仪中圆B5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圆B5">
    <w:panose1 w:val="02010600000101010101"/>
    <w:charset w:val="88"/>
    <w:family w:val="auto"/>
    <w:pitch w:val="default"/>
    <w:sig w:usb0="00000001" w:usb1="080E0800" w:usb2="00000002" w:usb3="00000000" w:csb0="0010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GWZT-EN">
    <w:panose1 w:val="02020400000000000000"/>
    <w:charset w:val="86"/>
    <w:family w:val="auto"/>
    <w:pitch w:val="default"/>
    <w:sig w:usb0="A00002BF" w:usb1="38CF7CFA" w:usb2="00082016" w:usb3="00000000" w:csb0="00040001" w:csb1="00000000"/>
  </w:font>
  <w:font w:name="等线 Light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  <w:docPartObj>
        <w:docPartGallery w:val="autotext"/>
      </w:docPartObj>
    </w:sdtPr>
    <w:sdtContent>
      <w:p w14:paraId="376BB90E">
        <w:pPr>
          <w:pStyle w:val="1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FE77AC"/>
    <w:multiLevelType w:val="multilevel"/>
    <w:tmpl w:val="15FE77AC"/>
    <w:lvl w:ilvl="0" w:tentative="0">
      <w:start w:val="1"/>
      <w:numFmt w:val="chineseCountingThousand"/>
      <w:lvlText w:val="%1、"/>
      <w:lvlJc w:val="left"/>
      <w:pPr>
        <w:ind w:left="425" w:hanging="425"/>
      </w:pPr>
    </w:lvl>
    <w:lvl w:ilvl="1" w:tentative="0">
      <w:start w:val="1"/>
      <w:numFmt w:val="decimal"/>
      <w:lvlText w:val="%1.%2"/>
      <w:lvlJc w:val="left"/>
      <w:pPr>
        <w:ind w:left="992" w:hanging="567"/>
      </w:pPr>
    </w:lvl>
    <w:lvl w:ilvl="2" w:tentative="0">
      <w:start w:val="1"/>
      <w:numFmt w:val="decimal"/>
      <w:lvlText w:val="%1.%2.%3"/>
      <w:lvlJc w:val="left"/>
      <w:pPr>
        <w:ind w:left="1418" w:hanging="567"/>
      </w:pPr>
    </w:lvl>
    <w:lvl w:ilvl="3" w:tentative="0">
      <w:start w:val="1"/>
      <w:numFmt w:val="decimal"/>
      <w:lvlText w:val="%1.%2.%3.%4"/>
      <w:lvlJc w:val="left"/>
      <w:pPr>
        <w:ind w:left="1984" w:hanging="708"/>
      </w:p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>
    <w:nsid w:val="1E362B77"/>
    <w:multiLevelType w:val="multilevel"/>
    <w:tmpl w:val="1E362B77"/>
    <w:lvl w:ilvl="0" w:tentative="0">
      <w:start w:val="1"/>
      <w:numFmt w:val="bullet"/>
      <w:lvlText w:val=""/>
      <w:lvlJc w:val="left"/>
      <w:pPr>
        <w:ind w:left="98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4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8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4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F49"/>
    <w:rsid w:val="0000211A"/>
    <w:rsid w:val="00002DD8"/>
    <w:rsid w:val="00013485"/>
    <w:rsid w:val="00017131"/>
    <w:rsid w:val="00027840"/>
    <w:rsid w:val="000553D7"/>
    <w:rsid w:val="00062F58"/>
    <w:rsid w:val="000661E0"/>
    <w:rsid w:val="0007017A"/>
    <w:rsid w:val="000918D3"/>
    <w:rsid w:val="000C20AB"/>
    <w:rsid w:val="00113F20"/>
    <w:rsid w:val="00122381"/>
    <w:rsid w:val="00131D73"/>
    <w:rsid w:val="00197850"/>
    <w:rsid w:val="001D1AE5"/>
    <w:rsid w:val="001F6E95"/>
    <w:rsid w:val="002174FA"/>
    <w:rsid w:val="00235D09"/>
    <w:rsid w:val="00244269"/>
    <w:rsid w:val="002576E3"/>
    <w:rsid w:val="00264734"/>
    <w:rsid w:val="00274217"/>
    <w:rsid w:val="002C79A7"/>
    <w:rsid w:val="002E0DFF"/>
    <w:rsid w:val="002E5B45"/>
    <w:rsid w:val="00314DEF"/>
    <w:rsid w:val="00334D16"/>
    <w:rsid w:val="0036444F"/>
    <w:rsid w:val="00392E97"/>
    <w:rsid w:val="003C67F8"/>
    <w:rsid w:val="003E23CD"/>
    <w:rsid w:val="0040614D"/>
    <w:rsid w:val="00411615"/>
    <w:rsid w:val="00426A56"/>
    <w:rsid w:val="00426D88"/>
    <w:rsid w:val="00434D12"/>
    <w:rsid w:val="004D0CE4"/>
    <w:rsid w:val="004D232E"/>
    <w:rsid w:val="004E3ECB"/>
    <w:rsid w:val="004F19F6"/>
    <w:rsid w:val="004F30EB"/>
    <w:rsid w:val="00500BFD"/>
    <w:rsid w:val="00506A93"/>
    <w:rsid w:val="00511320"/>
    <w:rsid w:val="0051673F"/>
    <w:rsid w:val="005172A0"/>
    <w:rsid w:val="005203A1"/>
    <w:rsid w:val="00521115"/>
    <w:rsid w:val="00527744"/>
    <w:rsid w:val="005334C3"/>
    <w:rsid w:val="005408AC"/>
    <w:rsid w:val="0055064B"/>
    <w:rsid w:val="00562528"/>
    <w:rsid w:val="00563BBE"/>
    <w:rsid w:val="005714CA"/>
    <w:rsid w:val="00571978"/>
    <w:rsid w:val="006674D4"/>
    <w:rsid w:val="006A108C"/>
    <w:rsid w:val="006A44AE"/>
    <w:rsid w:val="006D1911"/>
    <w:rsid w:val="00735230"/>
    <w:rsid w:val="007A382E"/>
    <w:rsid w:val="007C13BA"/>
    <w:rsid w:val="007D12EB"/>
    <w:rsid w:val="007D6966"/>
    <w:rsid w:val="00814895"/>
    <w:rsid w:val="00863D1E"/>
    <w:rsid w:val="0086785B"/>
    <w:rsid w:val="00871487"/>
    <w:rsid w:val="00886014"/>
    <w:rsid w:val="00892359"/>
    <w:rsid w:val="008B47B2"/>
    <w:rsid w:val="008E1F19"/>
    <w:rsid w:val="00901C24"/>
    <w:rsid w:val="009066F7"/>
    <w:rsid w:val="00931ECB"/>
    <w:rsid w:val="00931F6F"/>
    <w:rsid w:val="0094521F"/>
    <w:rsid w:val="00945361"/>
    <w:rsid w:val="00995EDD"/>
    <w:rsid w:val="009C17C6"/>
    <w:rsid w:val="00A1786A"/>
    <w:rsid w:val="00A7078A"/>
    <w:rsid w:val="00A74AFA"/>
    <w:rsid w:val="00AA1418"/>
    <w:rsid w:val="00AE2CCB"/>
    <w:rsid w:val="00AF28D4"/>
    <w:rsid w:val="00AF7C79"/>
    <w:rsid w:val="00B276C5"/>
    <w:rsid w:val="00B27A2B"/>
    <w:rsid w:val="00B4179D"/>
    <w:rsid w:val="00B7110B"/>
    <w:rsid w:val="00BA62C4"/>
    <w:rsid w:val="00BB40D5"/>
    <w:rsid w:val="00C56F5C"/>
    <w:rsid w:val="00C73148"/>
    <w:rsid w:val="00C73372"/>
    <w:rsid w:val="00CE061D"/>
    <w:rsid w:val="00D143EB"/>
    <w:rsid w:val="00D200A9"/>
    <w:rsid w:val="00D21E02"/>
    <w:rsid w:val="00D33CD9"/>
    <w:rsid w:val="00D37E1C"/>
    <w:rsid w:val="00D55FC3"/>
    <w:rsid w:val="00D66641"/>
    <w:rsid w:val="00D77BEF"/>
    <w:rsid w:val="00D8010C"/>
    <w:rsid w:val="00D80F15"/>
    <w:rsid w:val="00D9615B"/>
    <w:rsid w:val="00DA2F49"/>
    <w:rsid w:val="00DA42F2"/>
    <w:rsid w:val="00DD1C91"/>
    <w:rsid w:val="00DD5BDF"/>
    <w:rsid w:val="00DE02BB"/>
    <w:rsid w:val="00DE5180"/>
    <w:rsid w:val="00DF1207"/>
    <w:rsid w:val="00E0607C"/>
    <w:rsid w:val="00E37BEF"/>
    <w:rsid w:val="00E767A4"/>
    <w:rsid w:val="00E87F1E"/>
    <w:rsid w:val="00EC0065"/>
    <w:rsid w:val="00EC4303"/>
    <w:rsid w:val="00ED66CC"/>
    <w:rsid w:val="00F0018C"/>
    <w:rsid w:val="00F07C50"/>
    <w:rsid w:val="00F334B8"/>
    <w:rsid w:val="00F45CBE"/>
    <w:rsid w:val="00F84715"/>
    <w:rsid w:val="00F86168"/>
    <w:rsid w:val="00FD0A36"/>
    <w:rsid w:val="00FE7BE0"/>
    <w:rsid w:val="00FF51AB"/>
    <w:rsid w:val="2DC37231"/>
    <w:rsid w:val="39FCFF0B"/>
    <w:rsid w:val="3C3E6284"/>
    <w:rsid w:val="3DC73167"/>
    <w:rsid w:val="4BCCB36B"/>
    <w:rsid w:val="4F76EB6D"/>
    <w:rsid w:val="4FED9C1B"/>
    <w:rsid w:val="58A9A248"/>
    <w:rsid w:val="5B7DF9E3"/>
    <w:rsid w:val="5CB222B0"/>
    <w:rsid w:val="5FF728C6"/>
    <w:rsid w:val="6270BCE6"/>
    <w:rsid w:val="6BB38C1B"/>
    <w:rsid w:val="6FB1A472"/>
    <w:rsid w:val="73F1479E"/>
    <w:rsid w:val="73FF5D86"/>
    <w:rsid w:val="77A780CE"/>
    <w:rsid w:val="77ED26CF"/>
    <w:rsid w:val="77FFE25A"/>
    <w:rsid w:val="7B7FF40F"/>
    <w:rsid w:val="7BB1E82D"/>
    <w:rsid w:val="7BDEC374"/>
    <w:rsid w:val="7BEFF625"/>
    <w:rsid w:val="7BFBFFF5"/>
    <w:rsid w:val="7BFF4591"/>
    <w:rsid w:val="7DFD21C1"/>
    <w:rsid w:val="7E63C05A"/>
    <w:rsid w:val="7EF75CD2"/>
    <w:rsid w:val="7EFFDBA9"/>
    <w:rsid w:val="7FDBFCEA"/>
    <w:rsid w:val="7FDEF010"/>
    <w:rsid w:val="7FF8E8BA"/>
    <w:rsid w:val="7FF9E274"/>
    <w:rsid w:val="7FFDD9AC"/>
    <w:rsid w:val="7FFFA07C"/>
    <w:rsid w:val="9D7F5270"/>
    <w:rsid w:val="9FEFFFF9"/>
    <w:rsid w:val="A9B28346"/>
    <w:rsid w:val="B6F3A04A"/>
    <w:rsid w:val="B774921F"/>
    <w:rsid w:val="B8F9B5B2"/>
    <w:rsid w:val="B97B53B5"/>
    <w:rsid w:val="BB6B0DEC"/>
    <w:rsid w:val="BDF2DCCA"/>
    <w:rsid w:val="BF2B0A35"/>
    <w:rsid w:val="BF4FF4B1"/>
    <w:rsid w:val="C57C5DA4"/>
    <w:rsid w:val="CFBEDECA"/>
    <w:rsid w:val="D6F9A3EE"/>
    <w:rsid w:val="D95B6F8B"/>
    <w:rsid w:val="D9CFD17B"/>
    <w:rsid w:val="DBEB13E9"/>
    <w:rsid w:val="DE3ECAED"/>
    <w:rsid w:val="E9FAA9FC"/>
    <w:rsid w:val="EFD748EB"/>
    <w:rsid w:val="F1FD9941"/>
    <w:rsid w:val="F4FF75B3"/>
    <w:rsid w:val="F7E7E7BF"/>
    <w:rsid w:val="F7FFB851"/>
    <w:rsid w:val="FB331363"/>
    <w:rsid w:val="FB3BC0C8"/>
    <w:rsid w:val="FDDF1CF6"/>
    <w:rsid w:val="FDF57E03"/>
    <w:rsid w:val="FDF80DD4"/>
    <w:rsid w:val="FDFF19DA"/>
    <w:rsid w:val="FEF6155A"/>
    <w:rsid w:val="FEFB1E3F"/>
    <w:rsid w:val="FEFCA583"/>
    <w:rsid w:val="FFE28BBD"/>
    <w:rsid w:val="FFFF6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link w:val="38"/>
    <w:qFormat/>
    <w:uiPriority w:val="1"/>
    <w:pPr>
      <w:autoSpaceDE w:val="0"/>
      <w:autoSpaceDN w:val="0"/>
      <w:spacing w:before="10" w:after="0" w:line="240" w:lineRule="auto"/>
      <w:ind w:left="333"/>
    </w:pPr>
    <w:rPr>
      <w:rFonts w:ascii="宋体" w:hAnsi="宋体" w:eastAsia="宋体" w:cs="宋体"/>
      <w:kern w:val="0"/>
      <w:sz w:val="21"/>
      <w:szCs w:val="21"/>
      <w:lang w:eastAsia="en-US"/>
      <w14:ligatures w14:val="none"/>
    </w:rPr>
  </w:style>
  <w:style w:type="paragraph" w:styleId="12">
    <w:name w:val="footer"/>
    <w:basedOn w:val="1"/>
    <w:link w:val="4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3">
    <w:name w:val="header"/>
    <w:basedOn w:val="1"/>
    <w:link w:val="4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9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8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8">
    <w:name w:val="Strong"/>
    <w:basedOn w:val="17"/>
    <w:qFormat/>
    <w:uiPriority w:val="22"/>
    <w:rPr>
      <w:b/>
      <w:bCs/>
    </w:rPr>
  </w:style>
  <w:style w:type="character" w:customStyle="1" w:styleId="19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0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1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2">
    <w:name w:val="标题 4 字符"/>
    <w:basedOn w:val="17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3">
    <w:name w:val="标题 5 字符"/>
    <w:basedOn w:val="17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4">
    <w:name w:val="标题 6 字符"/>
    <w:basedOn w:val="17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5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字符"/>
    <w:basedOn w:val="17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link w:val="42"/>
    <w:qFormat/>
    <w:uiPriority w:val="34"/>
    <w:pPr>
      <w:ind w:left="720"/>
      <w:contextualSpacing/>
    </w:pPr>
  </w:style>
  <w:style w:type="character" w:customStyle="1" w:styleId="33">
    <w:name w:val="Intense Emphasis"/>
    <w:basedOn w:val="17"/>
    <w:qFormat/>
    <w:uiPriority w:val="21"/>
    <w:rPr>
      <w:i/>
      <w:iCs/>
      <w:color w:val="104862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5">
    <w:name w:val="明显引用 字符"/>
    <w:basedOn w:val="17"/>
    <w:link w:val="34"/>
    <w:qFormat/>
    <w:uiPriority w:val="30"/>
    <w:rPr>
      <w:i/>
      <w:iCs/>
      <w:color w:val="104862" w:themeColor="accent1" w:themeShade="BF"/>
    </w:rPr>
  </w:style>
  <w:style w:type="character" w:customStyle="1" w:styleId="36">
    <w:name w:val="Intense Reference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table" w:customStyle="1" w:styleId="37">
    <w:name w:val="Table Normal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kern w:val="0"/>
      <w:szCs w:val="22"/>
      <w:lang w:eastAsia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8">
    <w:name w:val="正文文本 字符"/>
    <w:basedOn w:val="17"/>
    <w:link w:val="11"/>
    <w:qFormat/>
    <w:uiPriority w:val="1"/>
    <w:rPr>
      <w:rFonts w:ascii="宋体" w:hAnsi="宋体" w:eastAsia="宋体" w:cs="宋体"/>
      <w:kern w:val="0"/>
      <w:sz w:val="21"/>
      <w:szCs w:val="21"/>
      <w:lang w:eastAsia="en-US"/>
      <w14:ligatures w14:val="none"/>
    </w:rPr>
  </w:style>
  <w:style w:type="paragraph" w:customStyle="1" w:styleId="39">
    <w:name w:val="Table Paragraph"/>
    <w:basedOn w:val="1"/>
    <w:qFormat/>
    <w:uiPriority w:val="1"/>
    <w:pPr>
      <w:autoSpaceDE w:val="0"/>
      <w:autoSpaceDN w:val="0"/>
      <w:spacing w:before="3" w:after="0" w:line="240" w:lineRule="auto"/>
      <w:ind w:left="108"/>
    </w:pPr>
    <w:rPr>
      <w:rFonts w:ascii="宋体" w:hAnsi="宋体" w:eastAsia="宋体" w:cs="宋体"/>
      <w:kern w:val="0"/>
      <w:szCs w:val="22"/>
      <w:lang w:eastAsia="en-US"/>
      <w14:ligatures w14:val="none"/>
    </w:rPr>
  </w:style>
  <w:style w:type="character" w:customStyle="1" w:styleId="40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41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42">
    <w:name w:val="列表段落 字符"/>
    <w:link w:val="32"/>
    <w:autoRedefine/>
    <w:qFormat/>
    <w:locked/>
    <w:uiPriority w:val="34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827</Words>
  <Characters>4719</Characters>
  <Lines>39</Lines>
  <Paragraphs>11</Paragraphs>
  <TotalTime>0</TotalTime>
  <ScaleCrop>false</ScaleCrop>
  <LinksUpToDate>false</LinksUpToDate>
  <CharactersWithSpaces>5535</CharactersWithSpaces>
  <Application>WPS Office_12.8.2.21176_F1E327BC-269C-435d-A152-05C5408002CA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2026-04-26T14:06:00Z</dcterms:created>
  <dc:creator>jiaming guo</dc:creator>
  <cp:lastModifiedBy>陈俊宇</cp:lastModifiedBy>
  <dcterms:modified xsi:type="dcterms:W3CDTF">2026-06-24T11:03:53Z</dcterms:modified>
  <cp:revision>103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2052-12.8.2.21176</vt:lpwstr>
  </property>
  <property fmtid="{D5CDD505-2E9C-101B-9397-08002B2CF9AE}" pid="3" name="ICV">
    <vt:lpwstr>B86DA3E63FD9145250A5306A865DA630_42</vt:lpwstr>
  </property>
</Properties>
</file>