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1F683">
      <w:pPr>
        <w:adjustRightInd w:val="0"/>
        <w:snapToGrid w:val="0"/>
        <w:spacing w:line="360" w:lineRule="auto"/>
        <w:jc w:val="center"/>
        <w:rPr>
          <w:rFonts w:ascii="华文中宋" w:hAnsi="华文中宋" w:eastAsia="华文中宋" w:cs="华文中宋"/>
          <w:b/>
          <w:bCs/>
          <w:kern w:val="0"/>
          <w:sz w:val="36"/>
          <w:szCs w:val="36"/>
        </w:rPr>
      </w:pPr>
      <w:r>
        <w:rPr>
          <w:rFonts w:hint="eastAsia" w:ascii="华文中宋" w:hAnsi="华文中宋" w:eastAsia="华文中宋" w:cs="华文中宋"/>
          <w:b/>
          <w:bCs/>
          <w:kern w:val="0"/>
          <w:sz w:val="36"/>
          <w:szCs w:val="36"/>
        </w:rPr>
        <w:t>新址实验室运维保障服务项目采购需求</w:t>
      </w:r>
    </w:p>
    <w:p w14:paraId="604C680E">
      <w:pPr>
        <w:rPr>
          <w:sz w:val="24"/>
        </w:rPr>
      </w:pPr>
    </w:p>
    <w:p w14:paraId="50480DE7">
      <w:pPr>
        <w:spacing w:line="360" w:lineRule="auto"/>
        <w:jc w:val="left"/>
        <w:rPr>
          <w:rFonts w:ascii="宋体"/>
          <w:b/>
          <w:sz w:val="28"/>
          <w:szCs w:val="28"/>
        </w:rPr>
      </w:pPr>
      <w:r>
        <w:rPr>
          <w:rFonts w:hint="eastAsia" w:ascii="宋体"/>
          <w:b/>
          <w:sz w:val="28"/>
          <w:szCs w:val="28"/>
        </w:rPr>
        <w:t>一．委托管理服务的物业概况</w:t>
      </w:r>
    </w:p>
    <w:p w14:paraId="4AF5CE34">
      <w:pPr>
        <w:spacing w:line="360" w:lineRule="auto"/>
        <w:rPr>
          <w:rFonts w:ascii="宋体"/>
        </w:rPr>
      </w:pPr>
      <w:r>
        <w:rPr>
          <w:rFonts w:hint="eastAsia" w:ascii="宋体"/>
        </w:rPr>
        <w:t>（一）物业基本情况</w:t>
      </w:r>
    </w:p>
    <w:p w14:paraId="512626D9">
      <w:pPr>
        <w:spacing w:line="360" w:lineRule="auto"/>
        <w:ind w:firstLine="420" w:firstLineChars="200"/>
        <w:rPr>
          <w:rFonts w:ascii="宋体"/>
          <w:u w:val="single"/>
        </w:rPr>
      </w:pPr>
      <w:r>
        <w:rPr>
          <w:rFonts w:hint="eastAsia" w:ascii="宋体"/>
        </w:rPr>
        <w:t>物业名称：</w:t>
      </w:r>
      <w:r>
        <w:rPr>
          <w:rFonts w:hint="eastAsia" w:ascii="宋体"/>
          <w:u w:val="single"/>
        </w:rPr>
        <w:t>上海市疾病预防控制中心（新址）实验室运维保障服务</w:t>
      </w:r>
    </w:p>
    <w:p w14:paraId="09148D8F">
      <w:pPr>
        <w:spacing w:line="360" w:lineRule="auto"/>
        <w:ind w:firstLine="420" w:firstLineChars="200"/>
        <w:rPr>
          <w:rFonts w:ascii="宋体"/>
        </w:rPr>
      </w:pPr>
      <w:r>
        <w:rPr>
          <w:rFonts w:hint="eastAsia" w:ascii="宋体"/>
        </w:rPr>
        <w:t>物业类型：</w:t>
      </w:r>
      <w:r>
        <w:rPr>
          <w:rFonts w:hint="eastAsia" w:ascii="宋体"/>
          <w:u w:val="single"/>
        </w:rPr>
        <w:t>综合服务</w:t>
      </w:r>
    </w:p>
    <w:p w14:paraId="57CBF6D1">
      <w:pPr>
        <w:spacing w:line="360" w:lineRule="auto"/>
        <w:ind w:firstLine="420" w:firstLineChars="200"/>
        <w:rPr>
          <w:rFonts w:ascii="宋体"/>
        </w:rPr>
      </w:pPr>
      <w:r>
        <w:rPr>
          <w:rFonts w:hint="eastAsia" w:ascii="宋体"/>
        </w:rPr>
        <w:t>坐落位置：</w:t>
      </w:r>
      <w:r>
        <w:rPr>
          <w:rFonts w:hint="eastAsia" w:ascii="宋体"/>
          <w:u w:val="single"/>
        </w:rPr>
        <w:t>上海</w:t>
      </w:r>
      <w:r>
        <w:rPr>
          <w:rFonts w:hint="eastAsia" w:ascii="宋体"/>
        </w:rPr>
        <w:t>市</w:t>
      </w:r>
      <w:r>
        <w:rPr>
          <w:rFonts w:hint="eastAsia" w:ascii="宋体"/>
          <w:u w:val="single"/>
        </w:rPr>
        <w:t>闵行</w:t>
      </w:r>
      <w:r>
        <w:rPr>
          <w:rFonts w:hint="eastAsia" w:ascii="宋体"/>
        </w:rPr>
        <w:t>区</w:t>
      </w:r>
      <w:r>
        <w:rPr>
          <w:rFonts w:hint="eastAsia" w:ascii="宋体"/>
          <w:u w:val="single"/>
        </w:rPr>
        <w:t>申虹</w:t>
      </w:r>
      <w:r>
        <w:rPr>
          <w:rFonts w:hint="eastAsia" w:ascii="宋体"/>
        </w:rPr>
        <w:t>路</w:t>
      </w:r>
      <w:r>
        <w:rPr>
          <w:rFonts w:hint="eastAsia" w:ascii="宋体"/>
          <w:u w:val="single"/>
        </w:rPr>
        <w:t xml:space="preserve">1399 </w:t>
      </w:r>
      <w:r>
        <w:rPr>
          <w:rFonts w:hint="eastAsia" w:ascii="宋体"/>
        </w:rPr>
        <w:t>号</w:t>
      </w:r>
    </w:p>
    <w:p w14:paraId="09A21D6D">
      <w:pPr>
        <w:spacing w:line="360" w:lineRule="auto"/>
        <w:ind w:firstLine="420" w:firstLineChars="200"/>
        <w:rPr>
          <w:rFonts w:ascii="宋体"/>
        </w:rPr>
      </w:pPr>
      <w:r>
        <w:rPr>
          <w:rFonts w:hint="eastAsia" w:ascii="宋体"/>
        </w:rPr>
        <w:t>占地面积：</w:t>
      </w:r>
      <w:r>
        <w:rPr>
          <w:rFonts w:hint="eastAsia" w:ascii="宋体"/>
          <w:u w:val="single"/>
        </w:rPr>
        <w:t>117420平</w:t>
      </w:r>
      <w:r>
        <w:rPr>
          <w:rFonts w:hint="eastAsia" w:ascii="宋体"/>
        </w:rPr>
        <w:t>方米，其中地上建筑面积</w:t>
      </w:r>
      <w:r>
        <w:rPr>
          <w:rFonts w:hint="eastAsia" w:ascii="宋体"/>
          <w:u w:val="single"/>
        </w:rPr>
        <w:t>80000</w:t>
      </w:r>
      <w:r>
        <w:rPr>
          <w:rFonts w:hint="eastAsia" w:ascii="宋体"/>
        </w:rPr>
        <w:t>平方米，地下建筑面积</w:t>
      </w:r>
      <w:r>
        <w:rPr>
          <w:rFonts w:hint="eastAsia" w:ascii="宋体"/>
          <w:u w:val="single"/>
        </w:rPr>
        <w:t>37420</w:t>
      </w:r>
      <w:r>
        <w:rPr>
          <w:rFonts w:hint="eastAsia" w:ascii="宋体"/>
        </w:rPr>
        <w:t>平方米。</w:t>
      </w:r>
    </w:p>
    <w:p w14:paraId="03A11377">
      <w:pPr>
        <w:spacing w:line="360" w:lineRule="auto"/>
        <w:rPr>
          <w:rFonts w:ascii="宋体"/>
        </w:rPr>
      </w:pPr>
      <w:r>
        <w:rPr>
          <w:rFonts w:hint="eastAsia" w:ascii="宋体"/>
          <w:b/>
        </w:rPr>
        <w:t>（二）各楼宇各层功能分布情况</w:t>
      </w:r>
    </w:p>
    <w:p w14:paraId="57B81C10">
      <w:pPr>
        <w:spacing w:line="360" w:lineRule="auto"/>
        <w:ind w:firstLine="420" w:firstLineChars="200"/>
        <w:rPr>
          <w:rFonts w:ascii="宋体"/>
        </w:rPr>
      </w:pPr>
      <w:r>
        <w:rPr>
          <w:rFonts w:hint="eastAsia" w:ascii="宋体"/>
        </w:rPr>
        <w:t>地上由三幢主要建筑组成，园区自南向北依次为综合楼、微生物实验楼、理化实验楼。其中，综合楼建筑面积为27800m</w:t>
      </w:r>
      <w:r>
        <w:rPr>
          <w:rFonts w:hint="eastAsia" w:ascii="宋体"/>
          <w:vertAlign w:val="superscript"/>
        </w:rPr>
        <w:t>2</w:t>
      </w:r>
      <w:r>
        <w:rPr>
          <w:rFonts w:hint="eastAsia" w:ascii="宋体"/>
        </w:rPr>
        <w:t>，由应急响应中心、对外服务中心和后勤保障中心组成。应急响应中心主要包括应急车辆的停放及洗消、应急演练空间、流行病调查及疫情判研、应急指挥等公共卫生应急响应功能。对外服务中心主要包括公共教育展厅、培训中心、公共服务等业务用房。后勤保障中心包括信息中心、员工餐厅及厨房、后勤保障业务用房、行政实验用房等。</w:t>
      </w:r>
    </w:p>
    <w:p w14:paraId="05FCE2AE">
      <w:pPr>
        <w:spacing w:line="360" w:lineRule="auto"/>
        <w:ind w:firstLine="420" w:firstLineChars="200"/>
        <w:rPr>
          <w:rFonts w:ascii="宋体"/>
        </w:rPr>
      </w:pPr>
      <w:r>
        <w:rPr>
          <w:rFonts w:hint="eastAsia" w:ascii="宋体"/>
        </w:rPr>
        <w:t>微生物实验楼建筑面积为26200m</w:t>
      </w:r>
      <w:r>
        <w:rPr>
          <w:rFonts w:hint="eastAsia" w:ascii="宋体"/>
          <w:vertAlign w:val="superscript"/>
        </w:rPr>
        <w:t>2</w:t>
      </w:r>
      <w:r>
        <w:rPr>
          <w:rFonts w:hint="eastAsia" w:ascii="宋体"/>
        </w:rPr>
        <w:t>，包括病原微生物实验室、结核病检测实验室、艾滋病检测实验室、传防实验室、菌种实验室及供应中心。</w:t>
      </w:r>
    </w:p>
    <w:p w14:paraId="27DCF199">
      <w:pPr>
        <w:spacing w:line="360" w:lineRule="auto"/>
        <w:ind w:firstLine="420" w:firstLineChars="200"/>
        <w:rPr>
          <w:rFonts w:ascii="宋体"/>
        </w:rPr>
      </w:pPr>
      <w:r>
        <w:rPr>
          <w:rFonts w:hint="eastAsia" w:ascii="宋体"/>
        </w:rPr>
        <w:t>理化实验楼建筑面积为 25000m</w:t>
      </w:r>
      <w:r>
        <w:rPr>
          <w:rFonts w:hint="eastAsia" w:ascii="宋体"/>
          <w:vertAlign w:val="superscript"/>
        </w:rPr>
        <w:t>2</w:t>
      </w:r>
      <w:r>
        <w:rPr>
          <w:rFonts w:hint="eastAsia" w:ascii="宋体"/>
        </w:rPr>
        <w:t>，包括收样中心、理化实验室、危控实验室等。垃圾房及其他零星单体建筑面积共1000m</w:t>
      </w:r>
      <w:r>
        <w:rPr>
          <w:rFonts w:hint="eastAsia" w:ascii="宋体"/>
          <w:vertAlign w:val="superscript"/>
        </w:rPr>
        <w:t>2</w:t>
      </w:r>
      <w:r>
        <w:rPr>
          <w:rFonts w:hint="eastAsia" w:ascii="宋体"/>
        </w:rPr>
        <w:t>，垃圾房建筑为两层，一层设置危废及固废存放点； 二层设置设备用房。其他零星单体包括生活垃圾存放间、门卫、液氮储罐区、燃气调压站等。</w:t>
      </w:r>
    </w:p>
    <w:p w14:paraId="57FE387E">
      <w:pPr>
        <w:spacing w:line="360" w:lineRule="auto"/>
        <w:ind w:firstLine="420" w:firstLineChars="200"/>
        <w:rPr>
          <w:rFonts w:ascii="宋体"/>
        </w:rPr>
      </w:pPr>
      <w:r>
        <w:rPr>
          <w:rFonts w:hint="eastAsia" w:ascii="宋体"/>
        </w:rPr>
        <w:t>地下室总建筑面积约 37420m</w:t>
      </w:r>
      <w:r>
        <w:rPr>
          <w:rFonts w:hint="eastAsia" w:ascii="宋体"/>
          <w:vertAlign w:val="superscript"/>
        </w:rPr>
        <w:t>2</w:t>
      </w:r>
      <w:r>
        <w:rPr>
          <w:rFonts w:hint="eastAsia" w:ascii="宋体"/>
        </w:rPr>
        <w:t>，共两层，主要为生物样本库、菌毒种库、应急储备库、设备机房及地下车库。</w:t>
      </w:r>
    </w:p>
    <w:p w14:paraId="769C3607">
      <w:pPr>
        <w:spacing w:line="360" w:lineRule="auto"/>
        <w:ind w:firstLine="420" w:firstLineChars="200"/>
        <w:rPr>
          <w:rFonts w:ascii="宋体"/>
        </w:rPr>
      </w:pPr>
      <w:r>
        <w:rPr>
          <w:rFonts w:hint="eastAsia" w:ascii="宋体"/>
        </w:rPr>
        <w:t>外部综合性用房8000平法米。</w:t>
      </w:r>
    </w:p>
    <w:p w14:paraId="548460E9">
      <w:pPr>
        <w:spacing w:line="360" w:lineRule="auto"/>
        <w:ind w:firstLine="413" w:firstLineChars="196"/>
        <w:rPr>
          <w:rFonts w:ascii="宋体"/>
          <w:b/>
          <w:szCs w:val="21"/>
        </w:rPr>
      </w:pPr>
      <w:r>
        <w:rPr>
          <w:rFonts w:hint="eastAsia" w:ascii="宋体"/>
          <w:b/>
        </w:rPr>
        <w:t>（三）业主方</w:t>
      </w:r>
      <w:r>
        <w:rPr>
          <w:rFonts w:hint="eastAsia" w:ascii="宋体"/>
          <w:b/>
          <w:szCs w:val="21"/>
        </w:rPr>
        <w:t>为物业服务企业提供的物业管理服务用房情况</w:t>
      </w:r>
    </w:p>
    <w:p w14:paraId="149B9228">
      <w:pPr>
        <w:spacing w:line="360" w:lineRule="auto"/>
        <w:ind w:firstLine="420" w:firstLineChars="200"/>
        <w:rPr>
          <w:rFonts w:ascii="宋体" w:eastAsia="宋体"/>
        </w:rPr>
      </w:pPr>
      <w:r>
        <w:rPr>
          <w:rFonts w:hint="eastAsia" w:ascii="宋体"/>
        </w:rPr>
        <w:t>业主方提供物业管理用房面积，包括实验房、工具间、耗材仓库，依照实际场地情况。</w:t>
      </w:r>
    </w:p>
    <w:p w14:paraId="6775DC42">
      <w:pPr>
        <w:spacing w:line="360" w:lineRule="auto"/>
        <w:rPr>
          <w:rFonts w:ascii="宋体"/>
        </w:rPr>
      </w:pPr>
    </w:p>
    <w:p w14:paraId="5A18F7CE">
      <w:pPr>
        <w:spacing w:line="360" w:lineRule="auto"/>
        <w:rPr>
          <w:rFonts w:ascii="宋体"/>
        </w:rPr>
      </w:pPr>
    </w:p>
    <w:p w14:paraId="6AAE29E3">
      <w:pPr>
        <w:spacing w:line="360" w:lineRule="auto"/>
        <w:rPr>
          <w:rFonts w:ascii="宋体"/>
        </w:rPr>
      </w:pPr>
    </w:p>
    <w:p w14:paraId="5D955276">
      <w:pPr>
        <w:pStyle w:val="4"/>
        <w:spacing w:line="360" w:lineRule="auto"/>
        <w:rPr>
          <w:b/>
          <w:sz w:val="28"/>
          <w:szCs w:val="28"/>
        </w:rPr>
      </w:pPr>
      <w:r>
        <w:rPr>
          <w:rFonts w:hint="eastAsia"/>
          <w:sz w:val="28"/>
          <w:szCs w:val="28"/>
        </w:rPr>
        <w:t>二、</w:t>
      </w:r>
      <w:r>
        <w:rPr>
          <w:rFonts w:hint="eastAsia"/>
          <w:b/>
          <w:sz w:val="28"/>
          <w:szCs w:val="28"/>
        </w:rPr>
        <w:t>物业管理服务要求</w:t>
      </w:r>
    </w:p>
    <w:p w14:paraId="5F0FB1A0">
      <w:pPr>
        <w:widowControl/>
        <w:spacing w:before="100" w:beforeAutospacing="1" w:after="100" w:afterAutospacing="1"/>
        <w:jc w:val="left"/>
        <w:rPr>
          <w:rFonts w:ascii="宋体" w:cs="宋体"/>
          <w:color w:val="000000"/>
          <w:kern w:val="0"/>
          <w:szCs w:val="21"/>
        </w:rPr>
      </w:pPr>
      <w:r>
        <w:rPr>
          <w:rFonts w:hint="eastAsia" w:cs="宋体"/>
          <w:b/>
          <w:bCs/>
          <w:color w:val="000000"/>
          <w:kern w:val="0"/>
          <w:szCs w:val="21"/>
        </w:rPr>
        <w:t>（一）一般要求</w:t>
      </w:r>
    </w:p>
    <w:p w14:paraId="6070900E">
      <w:pPr>
        <w:spacing w:line="360" w:lineRule="auto"/>
        <w:ind w:left="-2" w:leftChars="-1" w:firstLine="420" w:firstLineChars="200"/>
      </w:pPr>
      <w:r>
        <w:rPr>
          <w:rFonts w:hint="eastAsia"/>
        </w:rPr>
        <w:t>1、项目经理受业主方委托，代表业主方，依据服务合同和约定，对内管理整个物业，组织专业化的服务；对外先行承担与物业管理相关的责任，履行相关义务，代表业主方与物业管理所涉及的各有关方面交涉，维护业主方的合法权益，并提醒业主方遵守与物业管理有关的法规政策，履行应尽的责任和义务。</w:t>
      </w:r>
    </w:p>
    <w:p w14:paraId="0DBF7629">
      <w:pPr>
        <w:spacing w:line="360" w:lineRule="auto"/>
        <w:ind w:left="-2" w:leftChars="-1" w:firstLine="420" w:firstLineChars="200"/>
      </w:pPr>
      <w:r>
        <w:rPr>
          <w:rFonts w:hint="eastAsia"/>
        </w:rPr>
        <w:t>2、项目经理应加强与业主方沟通，如协商同意，可决定为业主方提供力所能及的附加服务，费用另结。</w:t>
      </w:r>
    </w:p>
    <w:p w14:paraId="0097941B">
      <w:pPr>
        <w:spacing w:line="360" w:lineRule="auto"/>
        <w:ind w:left="-2" w:leftChars="-1" w:firstLine="420" w:firstLineChars="200"/>
      </w:pPr>
      <w:r>
        <w:rPr>
          <w:rFonts w:hint="eastAsia"/>
        </w:rPr>
        <w:t>3、物业管理服务人员应经过培训并按国家行政主管部门规定持证上岗，遵纪守法，严禁违章作业，项目执行情况应有完整的日志和台账，季度小结和年度总结，项目参与者应遵守业主方的规章制度，不可泄露业主方的秘密，其工作同时接受业主方的监督考核。</w:t>
      </w:r>
    </w:p>
    <w:p w14:paraId="49C7025C">
      <w:pPr>
        <w:spacing w:line="360" w:lineRule="auto"/>
        <w:ind w:left="-2" w:leftChars="-1" w:firstLine="420" w:firstLineChars="200"/>
      </w:pPr>
      <w:r>
        <w:rPr>
          <w:rFonts w:hint="eastAsia"/>
        </w:rPr>
        <w:t>4、各类服务相互协调；人员调派和作业时间安排不得违反劳动法和行政部门的资质规定。在一视同仁，不予歧视和排斥的前提下，兼顾岗位对人员的特殊要求。</w:t>
      </w:r>
    </w:p>
    <w:p w14:paraId="065F4223">
      <w:pPr>
        <w:spacing w:line="360" w:lineRule="auto"/>
        <w:ind w:left="-2" w:leftChars="-1" w:firstLine="420" w:firstLineChars="200"/>
      </w:pPr>
      <w:r>
        <w:rPr>
          <w:rFonts w:hint="eastAsia"/>
        </w:rPr>
        <w:t>5、对业主方日常业务所需资源和相关设备设施、包括施工和服务安排专人巡视、检查，发现问题，及时处理，将一切可能发生的故障隐患消灭在萌芽中。</w:t>
      </w:r>
    </w:p>
    <w:p w14:paraId="207ED0DD">
      <w:pPr>
        <w:spacing w:line="360" w:lineRule="auto"/>
        <w:ind w:left="-2" w:leftChars="-1" w:firstLine="420" w:firstLineChars="200"/>
      </w:pPr>
      <w:r>
        <w:rPr>
          <w:rFonts w:hint="eastAsia"/>
        </w:rPr>
        <w:t>6、执行重大事项报告制度，遇到险情和重大事故，或对违规行为劝阻无效时，立即向上级和当地行政主管部门报告，并及时通知业主方。</w:t>
      </w:r>
    </w:p>
    <w:p w14:paraId="384229C0">
      <w:pPr>
        <w:spacing w:line="360" w:lineRule="auto"/>
        <w:ind w:left="-2" w:leftChars="-1" w:firstLine="420" w:firstLineChars="200"/>
      </w:pPr>
      <w:r>
        <w:rPr>
          <w:rFonts w:hint="eastAsia"/>
        </w:rPr>
        <w:t>7、对外包服务和外来施工的监管：</w:t>
      </w:r>
    </w:p>
    <w:p w14:paraId="51AD444A">
      <w:pPr>
        <w:spacing w:line="360" w:lineRule="auto"/>
        <w:ind w:left="-2" w:leftChars="-1" w:firstLine="420" w:firstLineChars="200"/>
      </w:pPr>
      <w:r>
        <w:rPr>
          <w:rFonts w:hint="eastAsia"/>
        </w:rPr>
        <w:t>（1）查验登记相关资质和证明或批准文件；</w:t>
      </w:r>
    </w:p>
    <w:p w14:paraId="336E2DFF">
      <w:pPr>
        <w:spacing w:line="360" w:lineRule="auto"/>
        <w:ind w:left="-2" w:leftChars="-1" w:firstLine="420" w:firstLineChars="200"/>
      </w:pPr>
      <w:r>
        <w:rPr>
          <w:rFonts w:hint="eastAsia"/>
        </w:rPr>
        <w:t>（2）有关作业计划、方案和图纸等存档备案；</w:t>
      </w:r>
    </w:p>
    <w:p w14:paraId="4C380634">
      <w:pPr>
        <w:spacing w:line="360" w:lineRule="auto"/>
        <w:ind w:left="-2" w:leftChars="-1" w:firstLine="420" w:firstLineChars="200"/>
      </w:pPr>
      <w:r>
        <w:rPr>
          <w:rFonts w:hint="eastAsia"/>
        </w:rPr>
        <w:t>（3）告知相关注意事项；</w:t>
      </w:r>
    </w:p>
    <w:p w14:paraId="11C40AA3">
      <w:pPr>
        <w:spacing w:line="360" w:lineRule="auto"/>
        <w:ind w:left="-2" w:leftChars="-1" w:firstLine="420" w:firstLineChars="200"/>
      </w:pPr>
      <w:r>
        <w:rPr>
          <w:rFonts w:hint="eastAsia"/>
        </w:rPr>
        <w:t>（4）巡视或监督及配合作业过程，维修作业留下作业前后影像资料、在隐蔽工程结束前留下影像资料存档；</w:t>
      </w:r>
    </w:p>
    <w:p w14:paraId="57A5AB4A">
      <w:pPr>
        <w:spacing w:line="360" w:lineRule="auto"/>
        <w:ind w:left="-2" w:leftChars="-1" w:firstLine="420" w:firstLineChars="200"/>
      </w:pPr>
      <w:r>
        <w:rPr>
          <w:rFonts w:hint="eastAsia"/>
        </w:rPr>
        <w:t>（5）及时向业主方和有关部门报告异常情况、劝阻违规作业并取证、发生事故时保护现场；</w:t>
      </w:r>
    </w:p>
    <w:p w14:paraId="63EF6760">
      <w:pPr>
        <w:spacing w:line="360" w:lineRule="auto"/>
        <w:ind w:left="-2" w:leftChars="-1" w:firstLine="420" w:firstLineChars="200"/>
      </w:pPr>
      <w:r>
        <w:rPr>
          <w:rFonts w:hint="eastAsia"/>
        </w:rPr>
        <w:t>（6）作业结束参与验收，并做好记录。</w:t>
      </w:r>
    </w:p>
    <w:p w14:paraId="10B54D6B">
      <w:pPr>
        <w:pStyle w:val="4"/>
        <w:spacing w:line="360" w:lineRule="auto"/>
        <w:rPr>
          <w:sz w:val="24"/>
          <w:szCs w:val="24"/>
        </w:rPr>
      </w:pPr>
    </w:p>
    <w:p w14:paraId="7BFF9CEB"/>
    <w:p w14:paraId="4DF20F6F">
      <w:pPr>
        <w:widowControl/>
        <w:spacing w:before="100" w:beforeAutospacing="1" w:after="100" w:afterAutospacing="1"/>
        <w:jc w:val="left"/>
        <w:rPr>
          <w:rFonts w:cs="宋体"/>
          <w:b/>
          <w:bCs/>
          <w:color w:val="000000"/>
          <w:kern w:val="0"/>
          <w:szCs w:val="21"/>
        </w:rPr>
      </w:pPr>
      <w:r>
        <w:rPr>
          <w:rFonts w:hint="eastAsia" w:cs="宋体"/>
          <w:b/>
          <w:bCs/>
          <w:color w:val="000000"/>
          <w:kern w:val="0"/>
          <w:szCs w:val="21"/>
        </w:rPr>
        <w:t>（二）</w:t>
      </w:r>
      <w:r>
        <w:rPr>
          <w:rFonts w:cs="宋体"/>
          <w:b/>
          <w:bCs/>
          <w:color w:val="000000"/>
          <w:kern w:val="0"/>
          <w:szCs w:val="21"/>
        </w:rPr>
        <w:t>基础保洁管理‌</w:t>
      </w:r>
    </w:p>
    <w:p w14:paraId="4D16608A">
      <w:pPr>
        <w:spacing w:line="360" w:lineRule="auto"/>
        <w:ind w:left="-2" w:leftChars="-1" w:firstLine="420" w:firstLineChars="200"/>
      </w:pPr>
      <w:r>
        <w:t>聘请具备实验室清洁经验的专业人员，组建专职保洁团队，接受生物安全、化学防护等专项培训。</w:t>
      </w:r>
    </w:p>
    <w:p w14:paraId="3BE16291">
      <w:pPr>
        <w:spacing w:line="360" w:lineRule="auto"/>
        <w:ind w:left="-2" w:leftChars="-1" w:firstLine="420" w:firstLineChars="200"/>
      </w:pPr>
      <w:r>
        <w:t>明确实验室分区（如普通实验区、精密仪器室、生物安全实验室等），按区域分配保洁责任。</w:t>
      </w:r>
    </w:p>
    <w:p w14:paraId="52196DB5">
      <w:pPr>
        <w:spacing w:line="360" w:lineRule="auto"/>
        <w:ind w:left="-2" w:leftChars="-1" w:firstLine="420" w:firstLineChars="200"/>
      </w:pPr>
      <w:r>
        <w:t>‌日常清洁规范‌</w:t>
      </w:r>
    </w:p>
    <w:p w14:paraId="3BF436B6">
      <w:pPr>
        <w:spacing w:line="360" w:lineRule="auto"/>
        <w:ind w:left="-2" w:leftChars="-1" w:firstLine="420" w:firstLineChars="200"/>
      </w:pPr>
      <w:r>
        <w:t>每日实验结束后，清理实验台面、地面及设备表面，清除残留试剂、碎玻璃等危险废弃物。</w:t>
      </w:r>
    </w:p>
    <w:p w14:paraId="70645D07">
      <w:pPr>
        <w:spacing w:line="360" w:lineRule="auto"/>
        <w:ind w:left="-2" w:leftChars="-1" w:firstLine="420" w:firstLineChars="200"/>
      </w:pPr>
      <w:r>
        <w:t>使用实验室专用消毒剂（如75%酒精、含氯消毒液）对台面、门把手、仪器操作面板定时擦拭消毒。</w:t>
      </w:r>
    </w:p>
    <w:p w14:paraId="121DD1A8">
      <w:pPr>
        <w:spacing w:line="360" w:lineRule="auto"/>
        <w:ind w:left="-2" w:leftChars="-1" w:firstLine="420" w:firstLineChars="200"/>
      </w:pPr>
      <w:r>
        <w:t>实验垃圾严格分类：</w:t>
      </w:r>
    </w:p>
    <w:p w14:paraId="77494776">
      <w:pPr>
        <w:spacing w:line="360" w:lineRule="auto"/>
        <w:ind w:left="-2" w:leftChars="-1" w:firstLine="420" w:firstLineChars="200"/>
      </w:pPr>
      <w:r>
        <w:t>‌化学废弃物‌（废液、试剂瓶）密封后移交专业机构处理；</w:t>
      </w:r>
    </w:p>
    <w:p w14:paraId="05B52AFD">
      <w:pPr>
        <w:spacing w:line="360" w:lineRule="auto"/>
        <w:ind w:left="-2" w:leftChars="-1" w:firstLine="420" w:firstLineChars="200"/>
      </w:pPr>
      <w:r>
        <w:t>‌生物废弃物‌（培养皿、生物样本）高温高压灭菌后集中存放；</w:t>
      </w:r>
    </w:p>
    <w:p w14:paraId="786A7B06">
      <w:pPr>
        <w:spacing w:line="360" w:lineRule="auto"/>
        <w:ind w:left="-2" w:leftChars="-1" w:firstLine="420" w:firstLineChars="200"/>
      </w:pPr>
      <w:r>
        <w:t>‌普通垃圾‌（手套、口罩）单独袋装，每日清运。</w:t>
      </w:r>
    </w:p>
    <w:p w14:paraId="5CED97BB">
      <w:pPr>
        <w:spacing w:line="360" w:lineRule="auto"/>
        <w:ind w:left="-2" w:leftChars="-1" w:firstLine="420" w:firstLineChars="200"/>
      </w:pPr>
      <w:r>
        <w:t>‌设备与设施清洁‌</w:t>
      </w:r>
    </w:p>
    <w:p w14:paraId="21328F84">
      <w:pPr>
        <w:spacing w:line="360" w:lineRule="auto"/>
        <w:ind w:left="-2" w:leftChars="-1" w:firstLine="420" w:firstLineChars="200"/>
      </w:pPr>
      <w:r>
        <w:t>精密仪器（如离心机、光谱仪）表面每日用无尘布蘸无水酒精轻拭，禁止使用腐蚀性清洁剂。</w:t>
      </w:r>
    </w:p>
    <w:p w14:paraId="0B32410C">
      <w:pPr>
        <w:spacing w:line="360" w:lineRule="auto"/>
        <w:ind w:left="-2" w:leftChars="-1" w:firstLine="420" w:firstLineChars="200"/>
      </w:pPr>
      <w:r>
        <w:t>通风橱、生物安全柜内部每周清理，过滤网每月更换或清洗，确保无积尘、无污染。</w:t>
      </w:r>
    </w:p>
    <w:p w14:paraId="619A247B">
      <w:pPr>
        <w:spacing w:line="360" w:lineRule="auto"/>
        <w:ind w:left="-2" w:leftChars="-1" w:firstLine="420" w:firstLineChars="200"/>
      </w:pPr>
      <w:r>
        <w:t>实验室地面采用防静电拖把清洁，避免扬尘影响精密仪器。</w:t>
      </w:r>
    </w:p>
    <w:p w14:paraId="1A34A839">
      <w:pPr>
        <w:spacing w:line="360" w:lineRule="auto"/>
        <w:ind w:left="-2" w:leftChars="-1" w:firstLine="420" w:firstLineChars="200"/>
      </w:pPr>
      <w:r>
        <w:t>‌特殊区域管理‌</w:t>
      </w:r>
    </w:p>
    <w:p w14:paraId="4CCD8915">
      <w:pPr>
        <w:spacing w:line="360" w:lineRule="auto"/>
        <w:ind w:left="-2" w:leftChars="-1" w:firstLine="420" w:firstLineChars="200"/>
      </w:pPr>
      <w:r>
        <w:t>‌生物安全实验室‌：每次使用后彻底消杀，紫外线照射30分钟以上，废弃物经高压灭菌后方可移出。</w:t>
      </w:r>
    </w:p>
    <w:p w14:paraId="14860320">
      <w:pPr>
        <w:spacing w:line="360" w:lineRule="auto"/>
        <w:ind w:left="-2" w:leftChars="-1" w:firstLine="420" w:firstLineChars="200"/>
      </w:pPr>
      <w:r>
        <w:t>‌化学试剂存放区‌：每日检查通风系统，清洁试剂瓶表面，防止泄漏污染。</w:t>
      </w:r>
    </w:p>
    <w:p w14:paraId="33408BF5">
      <w:pPr>
        <w:spacing w:line="360" w:lineRule="auto"/>
        <w:ind w:left="-2" w:leftChars="-1" w:firstLine="420" w:firstLineChars="200"/>
      </w:pPr>
      <w:r>
        <w:t>‌安全检查与记录‌</w:t>
      </w:r>
    </w:p>
    <w:p w14:paraId="4F1562B4">
      <w:pPr>
        <w:spacing w:line="360" w:lineRule="auto"/>
        <w:ind w:left="-2" w:leftChars="-1" w:firstLine="420" w:firstLineChars="200"/>
      </w:pPr>
      <w:r>
        <w:t>每日检查实验室应急喷淋装置、洗眼器是否正常，清洁维护记录存档备查。</w:t>
      </w:r>
    </w:p>
    <w:p w14:paraId="3DE5E5E5">
      <w:pPr>
        <w:spacing w:line="360" w:lineRule="auto"/>
        <w:ind w:left="-2" w:leftChars="-1" w:firstLine="420" w:firstLineChars="200"/>
      </w:pPr>
      <w:r>
        <w:t>定期检测实验室空气质量、微生物菌落数，确保符合安全标准。</w:t>
      </w:r>
    </w:p>
    <w:p w14:paraId="4BAB697F">
      <w:pPr>
        <w:spacing w:line="360" w:lineRule="auto"/>
        <w:ind w:left="-2" w:leftChars="-1" w:firstLine="420" w:firstLineChars="200"/>
      </w:pPr>
      <w:r>
        <w:t>‌应急处理预案‌</w:t>
      </w:r>
    </w:p>
    <w:p w14:paraId="7C3FEE63">
      <w:pPr>
        <w:spacing w:line="360" w:lineRule="auto"/>
        <w:ind w:left="-2" w:leftChars="-1" w:firstLine="420" w:firstLineChars="200"/>
      </w:pPr>
      <w:r>
        <w:t>设立危险化学品泄漏、生物污染等突发事件的专项清洁流程，配备吸附棉、中和剂等应急物资。</w:t>
      </w:r>
    </w:p>
    <w:p w14:paraId="145D8337">
      <w:pPr>
        <w:spacing w:line="360" w:lineRule="auto"/>
        <w:ind w:left="-2" w:leftChars="-1" w:firstLine="420" w:firstLineChars="200"/>
      </w:pPr>
    </w:p>
    <w:p w14:paraId="58D35AB8">
      <w:pPr>
        <w:spacing w:line="360" w:lineRule="auto"/>
        <w:ind w:left="-2" w:leftChars="-1" w:firstLine="420" w:firstLineChars="200"/>
      </w:pPr>
      <w:r>
        <w:t>‌服务标准‌</w:t>
      </w:r>
    </w:p>
    <w:p w14:paraId="47925C75">
      <w:pPr>
        <w:spacing w:line="360" w:lineRule="auto"/>
        <w:ind w:left="-2" w:leftChars="-1" w:firstLine="420" w:firstLineChars="200"/>
      </w:pPr>
      <w:r>
        <w:t>‌普通实验区‌</w:t>
      </w:r>
    </w:p>
    <w:p w14:paraId="06F3C3D8">
      <w:pPr>
        <w:spacing w:line="360" w:lineRule="auto"/>
        <w:ind w:left="-2" w:leftChars="-1" w:firstLine="420" w:firstLineChars="200"/>
      </w:pPr>
      <w:r>
        <w:t>台面无试剂残留、无积尘，设备表面光亮无污渍；</w:t>
      </w:r>
    </w:p>
    <w:p w14:paraId="4C3338F4">
      <w:pPr>
        <w:spacing w:line="360" w:lineRule="auto"/>
        <w:ind w:left="-2" w:leftChars="-1" w:firstLine="420" w:firstLineChars="200"/>
      </w:pPr>
      <w:r>
        <w:t>地面无杂物、水渍，垃圾桶每日清空且密封完好；</w:t>
      </w:r>
    </w:p>
    <w:p w14:paraId="7478DF2E">
      <w:pPr>
        <w:spacing w:line="360" w:lineRule="auto"/>
        <w:ind w:left="-2" w:leftChars="-1" w:firstLine="420" w:firstLineChars="200"/>
      </w:pPr>
      <w:r>
        <w:t>试剂架、玻璃器皿柜内部整洁，标签清晰无脱落。</w:t>
      </w:r>
    </w:p>
    <w:p w14:paraId="39B2FAF9">
      <w:pPr>
        <w:spacing w:line="360" w:lineRule="auto"/>
        <w:ind w:left="-2" w:leftChars="-1" w:firstLine="420" w:firstLineChars="200"/>
      </w:pPr>
      <w:r>
        <w:t>‌精密仪器室‌</w:t>
      </w:r>
    </w:p>
    <w:p w14:paraId="425F4D95">
      <w:pPr>
        <w:spacing w:line="360" w:lineRule="auto"/>
        <w:ind w:left="-2" w:leftChars="-1" w:firstLine="420" w:firstLineChars="200"/>
      </w:pPr>
      <w:r>
        <w:t>仪器表面无指纹、无尘，连接线整齐无缠绕；</w:t>
      </w:r>
    </w:p>
    <w:p w14:paraId="57E2A9EE">
      <w:pPr>
        <w:spacing w:line="360" w:lineRule="auto"/>
        <w:ind w:left="-2" w:leftChars="-1" w:firstLine="420" w:firstLineChars="200"/>
      </w:pPr>
      <w:r>
        <w:t>恒温恒湿设备运行正常，温湿度记录完整；</w:t>
      </w:r>
    </w:p>
    <w:p w14:paraId="298D572C">
      <w:pPr>
        <w:spacing w:line="360" w:lineRule="auto"/>
        <w:ind w:left="-2" w:leftChars="-1" w:firstLine="420" w:firstLineChars="200"/>
      </w:pPr>
      <w:r>
        <w:t>防静电地垫每日吸尘，每周深度清洁。</w:t>
      </w:r>
    </w:p>
    <w:p w14:paraId="1E36583F">
      <w:pPr>
        <w:spacing w:line="360" w:lineRule="auto"/>
        <w:ind w:left="-2" w:leftChars="-1" w:firstLine="420" w:firstLineChars="200"/>
      </w:pPr>
      <w:r>
        <w:t>‌生物安全实验室‌</w:t>
      </w:r>
    </w:p>
    <w:p w14:paraId="7EABFF9F">
      <w:pPr>
        <w:spacing w:line="360" w:lineRule="auto"/>
        <w:ind w:left="-2" w:leftChars="-1" w:firstLine="420" w:firstLineChars="200"/>
      </w:pPr>
      <w:r>
        <w:t>操作台、生物安全柜内无生物残留，紫外消毒记录完整；</w:t>
      </w:r>
    </w:p>
    <w:p w14:paraId="78AE4AF1">
      <w:pPr>
        <w:spacing w:line="360" w:lineRule="auto"/>
        <w:ind w:left="-2" w:leftChars="-1" w:firstLine="420" w:firstLineChars="200"/>
      </w:pPr>
      <w:r>
        <w:t>高压灭菌器定期维护，灭菌效果检测达标；</w:t>
      </w:r>
    </w:p>
    <w:p w14:paraId="68B44223">
      <w:pPr>
        <w:spacing w:line="360" w:lineRule="auto"/>
        <w:ind w:left="-2" w:leftChars="-1" w:firstLine="420" w:firstLineChars="200"/>
      </w:pPr>
      <w:r>
        <w:t>防护服、手套等耗材及时补充，废弃防护装备当日处理。</w:t>
      </w:r>
    </w:p>
    <w:p w14:paraId="274B2000">
      <w:pPr>
        <w:spacing w:line="360" w:lineRule="auto"/>
        <w:ind w:left="-2" w:leftChars="-1" w:firstLine="420" w:firstLineChars="200"/>
      </w:pPr>
      <w:r>
        <w:t>‌公共区域‌</w:t>
      </w:r>
    </w:p>
    <w:p w14:paraId="17D7744C">
      <w:pPr>
        <w:spacing w:line="360" w:lineRule="auto"/>
        <w:ind w:left="-2" w:leftChars="-1" w:firstLine="420" w:firstLineChars="200"/>
      </w:pPr>
      <w:r>
        <w:t>‌走廊及电梯厅‌：地面无积水、无实验器具堆放，消防安全通道畅通；</w:t>
      </w:r>
    </w:p>
    <w:p w14:paraId="23F7E847">
      <w:pPr>
        <w:spacing w:line="360" w:lineRule="auto"/>
        <w:ind w:left="-2" w:leftChars="-1" w:firstLine="420" w:firstLineChars="200"/>
      </w:pPr>
      <w:r>
        <w:t>‌洗手间‌：消毒液、纸巾充足，洗手台无化学试剂污染；</w:t>
      </w:r>
    </w:p>
    <w:p w14:paraId="6B85EE0A">
      <w:pPr>
        <w:spacing w:line="360" w:lineRule="auto"/>
        <w:ind w:left="-2" w:leftChars="-1" w:firstLine="420" w:firstLineChars="200"/>
      </w:pPr>
      <w:r>
        <w:t>‌废液暂存区‌：废液桶标签完整、分类明确，周边无泄漏痕迹。</w:t>
      </w:r>
    </w:p>
    <w:p w14:paraId="26EEAE86">
      <w:pPr>
        <w:spacing w:line="360" w:lineRule="auto"/>
        <w:ind w:left="-2" w:leftChars="-1" w:firstLine="420" w:firstLineChars="200"/>
      </w:pPr>
      <w:r>
        <w:t>‌监督与改进‌</w:t>
      </w:r>
    </w:p>
    <w:p w14:paraId="273A0552">
      <w:pPr>
        <w:spacing w:line="360" w:lineRule="auto"/>
        <w:ind w:left="-2" w:leftChars="-1" w:firstLine="420" w:firstLineChars="200"/>
      </w:pPr>
      <w:r>
        <w:t>‌日常检查‌</w:t>
      </w:r>
    </w:p>
    <w:p w14:paraId="6BECF5C1">
      <w:pPr>
        <w:spacing w:line="360" w:lineRule="auto"/>
        <w:ind w:left="-2" w:leftChars="-1" w:firstLine="420" w:firstLineChars="200"/>
      </w:pPr>
      <w:r>
        <w:t>保洁主管每日巡查，重点检查高风险区域清洁效果；</w:t>
      </w:r>
    </w:p>
    <w:p w14:paraId="636BEEE6">
      <w:pPr>
        <w:spacing w:line="360" w:lineRule="auto"/>
        <w:ind w:left="-2" w:leftChars="-1" w:firstLine="420" w:firstLineChars="200"/>
      </w:pPr>
      <w:r>
        <w:t>实验室管理员每周抽查，结合实验人员反馈优化流程。</w:t>
      </w:r>
    </w:p>
    <w:p w14:paraId="5B83081F">
      <w:pPr>
        <w:spacing w:line="360" w:lineRule="auto"/>
        <w:ind w:left="-2" w:leftChars="-1" w:firstLine="420" w:firstLineChars="200"/>
      </w:pPr>
      <w:r>
        <w:t>‌培训与考核‌</w:t>
      </w:r>
    </w:p>
    <w:p w14:paraId="05FE5986">
      <w:pPr>
        <w:spacing w:line="360" w:lineRule="auto"/>
        <w:ind w:left="-2" w:leftChars="-1" w:firstLine="420" w:firstLineChars="200"/>
      </w:pPr>
      <w:r>
        <w:t>保洁人员每季度参加安全培训，通过考核方可上岗；</w:t>
      </w:r>
    </w:p>
    <w:p w14:paraId="7891503B">
      <w:pPr>
        <w:spacing w:line="360" w:lineRule="auto"/>
        <w:ind w:left="-2" w:leftChars="-1" w:firstLine="420" w:firstLineChars="200"/>
      </w:pPr>
      <w:r>
        <w:t>定期演练危险废弃物泄漏应急处理流程。</w:t>
      </w:r>
    </w:p>
    <w:p w14:paraId="0212DEF0">
      <w:pPr>
        <w:spacing w:line="360" w:lineRule="auto"/>
        <w:ind w:left="-2" w:leftChars="-1" w:firstLine="420" w:firstLineChars="200"/>
      </w:pPr>
      <w:r>
        <w:t>‌环保与合规‌</w:t>
      </w:r>
    </w:p>
    <w:p w14:paraId="2A53CBF2">
      <w:pPr>
        <w:spacing w:line="360" w:lineRule="auto"/>
        <w:ind w:left="-2" w:leftChars="-1" w:firstLine="420" w:firstLineChars="200"/>
      </w:pPr>
      <w:r>
        <w:t>清洁剂、消毒剂符合环保标准，禁用含磷、强腐蚀性产品；</w:t>
      </w:r>
    </w:p>
    <w:p w14:paraId="166F78B3">
      <w:pPr>
        <w:pStyle w:val="4"/>
        <w:spacing w:line="360" w:lineRule="auto"/>
      </w:pPr>
      <w:r>
        <w:t>垃圾清运、废液处理全程记录，确保符合《实验室安全管理规范》。</w:t>
      </w:r>
    </w:p>
    <w:p w14:paraId="6122EDC9">
      <w:pPr>
        <w:pStyle w:val="4"/>
        <w:spacing w:line="360" w:lineRule="auto"/>
        <w:rPr>
          <w:b/>
          <w:bCs/>
        </w:rPr>
      </w:pPr>
      <w:r>
        <w:rPr>
          <w:rFonts w:hint="eastAsia"/>
        </w:rPr>
        <w:t>（三</w:t>
      </w:r>
      <w:r>
        <w:rPr>
          <w:rFonts w:hint="eastAsia"/>
          <w:b/>
          <w:bCs/>
        </w:rPr>
        <w:t>）公共关系管理</w:t>
      </w:r>
    </w:p>
    <w:p w14:paraId="39093A54">
      <w:pPr>
        <w:pStyle w:val="4"/>
        <w:spacing w:line="360" w:lineRule="auto"/>
      </w:pPr>
      <w:r>
        <w:t xml:space="preserve">    1</w:t>
      </w:r>
      <w:r>
        <w:rPr>
          <w:rFonts w:hint="eastAsia"/>
        </w:rPr>
        <w:t>、主动联系本实验楼（区域）水、电、气的供应、管理部门和环卫、公安等部门，建立良好关系和应急协调机制。</w:t>
      </w:r>
    </w:p>
    <w:p w14:paraId="2A50AD95">
      <w:pPr>
        <w:pStyle w:val="4"/>
        <w:spacing w:line="360" w:lineRule="auto"/>
      </w:pPr>
      <w:r>
        <w:t xml:space="preserve">    2</w:t>
      </w:r>
      <w:r>
        <w:rPr>
          <w:rFonts w:hint="eastAsia"/>
        </w:rPr>
        <w:t>、主动联系本实验楼（区域）公共设备制造供应商，了解设备大修、维护情况，建立良好关系和应急协调机制。。</w:t>
      </w:r>
    </w:p>
    <w:p w14:paraId="403EE984">
      <w:pPr>
        <w:pStyle w:val="4"/>
        <w:spacing w:line="360" w:lineRule="auto"/>
      </w:pPr>
      <w:r>
        <w:t xml:space="preserve">    3</w:t>
      </w:r>
      <w:r>
        <w:rPr>
          <w:rFonts w:hint="eastAsia"/>
        </w:rPr>
        <w:t>、制作材质好、外观美的名牌、标牌、告示牌、警示牌等指示牌，与实验区域整体设计相呼应。</w:t>
      </w:r>
    </w:p>
    <w:p w14:paraId="78630A0E">
      <w:pPr>
        <w:pStyle w:val="4"/>
        <w:spacing w:line="360" w:lineRule="auto"/>
      </w:pPr>
      <w:r>
        <w:rPr>
          <w:rFonts w:hint="eastAsia"/>
        </w:rPr>
        <w:t>服务标准：对外与各相关部门建立良好联系，在有事情况下能够获得及时支持与帮助。对内定期了解和满足业主需求，提高服务管理水准。</w:t>
      </w:r>
    </w:p>
    <w:p w14:paraId="16F3DB52">
      <w:pPr>
        <w:pStyle w:val="4"/>
        <w:spacing w:line="360" w:lineRule="auto"/>
      </w:pPr>
    </w:p>
    <w:p w14:paraId="03C8653B">
      <w:pPr>
        <w:pStyle w:val="4"/>
        <w:spacing w:line="360" w:lineRule="auto"/>
        <w:rPr>
          <w:b/>
          <w:bCs/>
        </w:rPr>
      </w:pPr>
      <w:r>
        <w:rPr>
          <w:rFonts w:hint="eastAsia"/>
        </w:rPr>
        <w:t>（四</w:t>
      </w:r>
      <w:r>
        <w:rPr>
          <w:rFonts w:hint="eastAsia"/>
          <w:b/>
          <w:bCs/>
        </w:rPr>
        <w:t>）前期介入</w:t>
      </w:r>
    </w:p>
    <w:p w14:paraId="430DA9DE">
      <w:pPr>
        <w:pStyle w:val="4"/>
        <w:spacing w:line="360" w:lineRule="auto"/>
      </w:pPr>
      <w:r>
        <w:t xml:space="preserve">    l</w:t>
      </w:r>
      <w:r>
        <w:rPr>
          <w:rFonts w:hint="eastAsia"/>
        </w:rPr>
        <w:t>、详细审阅、熟悉所有实验楼（区）的设计图纸，并从物业管理及用户角度对物业管理提出专业管理意见、改进方案。</w:t>
      </w:r>
    </w:p>
    <w:p w14:paraId="661D0849">
      <w:pPr>
        <w:pStyle w:val="4"/>
        <w:spacing w:line="360" w:lineRule="auto"/>
      </w:pPr>
      <w:r>
        <w:t xml:space="preserve">    2</w:t>
      </w:r>
      <w:r>
        <w:rPr>
          <w:rFonts w:hint="eastAsia"/>
        </w:rPr>
        <w:t>、迅速熟悉实验楼（区）机电设备系统、楼宇智能化管理系统、网络系统、</w:t>
      </w:r>
      <w:r>
        <w:t>IT</w:t>
      </w:r>
      <w:r>
        <w:rPr>
          <w:rFonts w:hint="eastAsia"/>
        </w:rPr>
        <w:t>基础设施的性能、规格、造型、布置提出专业管理意见和建议。</w:t>
      </w:r>
    </w:p>
    <w:p w14:paraId="6F39AB04">
      <w:pPr>
        <w:pStyle w:val="4"/>
        <w:spacing w:line="360" w:lineRule="auto"/>
      </w:pPr>
      <w:r>
        <w:t xml:space="preserve">    4</w:t>
      </w:r>
      <w:r>
        <w:rPr>
          <w:rFonts w:hint="eastAsia"/>
        </w:rPr>
        <w:t>、详细了解业主的目前物业状况，并从物业管理及用户角度提出专业意见和改进方案。</w:t>
      </w:r>
    </w:p>
    <w:p w14:paraId="2E68F69F">
      <w:pPr>
        <w:pStyle w:val="4"/>
        <w:spacing w:line="360" w:lineRule="auto"/>
      </w:pPr>
      <w:r>
        <w:t xml:space="preserve">    5</w:t>
      </w:r>
      <w:r>
        <w:rPr>
          <w:rFonts w:hint="eastAsia"/>
        </w:rPr>
        <w:t>、对业主提供的图纸、资料、档案等提出专业意见和建议。</w:t>
      </w:r>
    </w:p>
    <w:p w14:paraId="2A89EE12">
      <w:pPr>
        <w:pStyle w:val="4"/>
        <w:spacing w:line="360" w:lineRule="auto"/>
        <w:ind w:firstLine="420"/>
      </w:pPr>
      <w:r>
        <w:t>6</w:t>
      </w:r>
      <w:r>
        <w:rPr>
          <w:rFonts w:hint="eastAsia"/>
        </w:rPr>
        <w:t>、制订进驻验收标准及物业接收计划，草拟工作日程并调配工程人员按工程进度及质量标准逐步进行验收。</w:t>
      </w:r>
    </w:p>
    <w:p w14:paraId="01A75B5A">
      <w:pPr>
        <w:pStyle w:val="4"/>
        <w:spacing w:line="360" w:lineRule="auto"/>
        <w:ind w:firstLine="420"/>
      </w:pPr>
      <w:r>
        <w:rPr>
          <w:rFonts w:hint="eastAsia"/>
        </w:rPr>
        <w:t>服务标准：迅速熟悉管理区域情况，一旦入驻即能立刻提供业主所要求的管理与服务，处理各类日常事务和应急事务。</w:t>
      </w:r>
    </w:p>
    <w:p w14:paraId="3907D8B8">
      <w:pPr>
        <w:pStyle w:val="4"/>
        <w:spacing w:line="360" w:lineRule="auto"/>
      </w:pPr>
    </w:p>
    <w:p w14:paraId="0E406D21">
      <w:pPr>
        <w:pStyle w:val="4"/>
        <w:spacing w:line="360" w:lineRule="auto"/>
        <w:rPr>
          <w:b/>
          <w:bCs/>
        </w:rPr>
      </w:pPr>
      <w:r>
        <w:rPr>
          <w:rFonts w:hint="eastAsia"/>
        </w:rPr>
        <w:t>（五</w:t>
      </w:r>
      <w:r>
        <w:rPr>
          <w:rFonts w:hint="eastAsia"/>
          <w:b/>
          <w:bCs/>
        </w:rPr>
        <w:t>）档案管理</w:t>
      </w:r>
    </w:p>
    <w:p w14:paraId="444116E4">
      <w:pPr>
        <w:pStyle w:val="4"/>
        <w:spacing w:line="360" w:lineRule="auto"/>
      </w:pPr>
      <w:r>
        <w:t xml:space="preserve">    l</w:t>
      </w:r>
      <w:r>
        <w:rPr>
          <w:rFonts w:hint="eastAsia"/>
        </w:rPr>
        <w:t>、建立管理人员人事档案和各类行政文件、合同的存档工作。</w:t>
      </w:r>
    </w:p>
    <w:p w14:paraId="2D567C8E">
      <w:pPr>
        <w:pStyle w:val="4"/>
        <w:spacing w:line="360" w:lineRule="auto"/>
      </w:pPr>
      <w:r>
        <w:t xml:space="preserve">    2</w:t>
      </w:r>
      <w:r>
        <w:rPr>
          <w:rFonts w:hint="eastAsia"/>
        </w:rPr>
        <w:t>．健全所有建筑物、公用设施、设备的图纸资料，及时增加修改资料。</w:t>
      </w:r>
    </w:p>
    <w:p w14:paraId="0D0A27AA">
      <w:pPr>
        <w:pStyle w:val="4"/>
        <w:spacing w:line="360" w:lineRule="auto"/>
      </w:pPr>
      <w:r>
        <w:t xml:space="preserve">    3</w:t>
      </w:r>
      <w:r>
        <w:rPr>
          <w:rFonts w:hint="eastAsia"/>
        </w:rPr>
        <w:t>、建立设备、设施、保安、保洁、车辆等日常运作管理档案。</w:t>
      </w:r>
    </w:p>
    <w:p w14:paraId="6C0ECD9D">
      <w:pPr>
        <w:pStyle w:val="4"/>
        <w:spacing w:line="360" w:lineRule="auto"/>
      </w:pPr>
      <w:r>
        <w:t xml:space="preserve">    4</w:t>
      </w:r>
      <w:r>
        <w:rPr>
          <w:rFonts w:hint="eastAsia"/>
        </w:rPr>
        <w:t>、所有资料及管理资料分为图、档、卡、册四类，安放于防火、防潮、防蛀之专用档案箱内。</w:t>
      </w:r>
    </w:p>
    <w:p w14:paraId="70418A47">
      <w:pPr>
        <w:pStyle w:val="4"/>
        <w:spacing w:line="360" w:lineRule="auto"/>
        <w:ind w:firstLine="420"/>
        <w:rPr>
          <w:b/>
          <w:sz w:val="28"/>
          <w:szCs w:val="28"/>
        </w:rPr>
      </w:pPr>
      <w:r>
        <w:rPr>
          <w:rFonts w:hint="eastAsia"/>
        </w:rPr>
        <w:t>服务标准：所有有关实验区域管理档案资料，必须保证完整、完好，撤离时全部移交实验区域方。</w:t>
      </w:r>
    </w:p>
    <w:p w14:paraId="306E1F02">
      <w:pPr>
        <w:spacing w:line="360" w:lineRule="auto"/>
        <w:ind w:left="-2" w:leftChars="-1" w:firstLine="420" w:firstLineChars="200"/>
      </w:pPr>
    </w:p>
    <w:p w14:paraId="36D05E4B">
      <w:pPr>
        <w:pStyle w:val="7"/>
        <w:spacing w:line="360" w:lineRule="auto"/>
        <w:ind w:left="0" w:firstLine="562" w:firstLineChars="200"/>
        <w:rPr>
          <w:rFonts w:ascii="宋体"/>
          <w:szCs w:val="20"/>
        </w:rPr>
      </w:pPr>
      <w:r>
        <w:rPr>
          <w:rFonts w:hint="eastAsia"/>
          <w:b/>
          <w:sz w:val="28"/>
          <w:szCs w:val="28"/>
        </w:rPr>
        <w:t>物业管理服务人员设置需求</w:t>
      </w:r>
    </w:p>
    <w:tbl>
      <w:tblPr>
        <w:tblStyle w:val="9"/>
        <w:tblW w:w="5258" w:type="pct"/>
        <w:tblInd w:w="0" w:type="dxa"/>
        <w:tblLayout w:type="autofit"/>
        <w:tblCellMar>
          <w:top w:w="0" w:type="dxa"/>
          <w:left w:w="108" w:type="dxa"/>
          <w:bottom w:w="0" w:type="dxa"/>
          <w:right w:w="108" w:type="dxa"/>
        </w:tblCellMar>
      </w:tblPr>
      <w:tblGrid>
        <w:gridCol w:w="1137"/>
        <w:gridCol w:w="1154"/>
        <w:gridCol w:w="1740"/>
        <w:gridCol w:w="1773"/>
        <w:gridCol w:w="3158"/>
      </w:tblGrid>
      <w:tr w14:paraId="13C7AD7B">
        <w:tblPrEx>
          <w:tblCellMar>
            <w:top w:w="0" w:type="dxa"/>
            <w:left w:w="108" w:type="dxa"/>
            <w:bottom w:w="0" w:type="dxa"/>
            <w:right w:w="108" w:type="dxa"/>
          </w:tblCellMar>
        </w:tblPrEx>
        <w:trPr>
          <w:trHeight w:val="760" w:hRule="atLeast"/>
        </w:trPr>
        <w:tc>
          <w:tcPr>
            <w:tcW w:w="1137" w:type="dxa"/>
            <w:vMerge w:val="restart"/>
            <w:tcBorders>
              <w:top w:val="single" w:color="000000" w:sz="4" w:space="0"/>
              <w:left w:val="single" w:color="000000" w:sz="4" w:space="0"/>
              <w:bottom w:val="single" w:color="000000" w:sz="4" w:space="0"/>
              <w:right w:val="single" w:color="000000" w:sz="4" w:space="0"/>
            </w:tcBorders>
            <w:noWrap/>
            <w:vAlign w:val="center"/>
          </w:tcPr>
          <w:p w14:paraId="4EC63B38">
            <w:pPr>
              <w:widowControl/>
              <w:jc w:val="center"/>
              <w:textAlignment w:val="center"/>
              <w:rPr>
                <w:rFonts w:ascii="宋体" w:cs="宋体"/>
                <w:color w:val="000000"/>
                <w:szCs w:val="21"/>
              </w:rPr>
            </w:pPr>
            <w:r>
              <w:rPr>
                <w:rFonts w:hint="eastAsia" w:ascii="宋体" w:cs="宋体"/>
                <w:color w:val="000000"/>
                <w:kern w:val="0"/>
                <w:szCs w:val="21"/>
              </w:rPr>
              <w:t>部门</w:t>
            </w:r>
          </w:p>
        </w:tc>
        <w:tc>
          <w:tcPr>
            <w:tcW w:w="1154" w:type="dxa"/>
            <w:vMerge w:val="restart"/>
            <w:tcBorders>
              <w:top w:val="single" w:color="000000" w:sz="4" w:space="0"/>
              <w:left w:val="single" w:color="000000" w:sz="4" w:space="0"/>
              <w:bottom w:val="single" w:color="000000" w:sz="4" w:space="0"/>
              <w:right w:val="single" w:color="000000" w:sz="4" w:space="0"/>
            </w:tcBorders>
            <w:noWrap/>
            <w:vAlign w:val="center"/>
          </w:tcPr>
          <w:p w14:paraId="7771893A">
            <w:pPr>
              <w:widowControl/>
              <w:jc w:val="left"/>
              <w:textAlignment w:val="center"/>
              <w:rPr>
                <w:rFonts w:ascii="宋体" w:cs="宋体"/>
                <w:color w:val="000000"/>
                <w:szCs w:val="21"/>
              </w:rPr>
            </w:pPr>
            <w:r>
              <w:rPr>
                <w:rFonts w:hint="eastAsia" w:ascii="宋体" w:cs="宋体"/>
                <w:color w:val="000000"/>
                <w:kern w:val="0"/>
                <w:szCs w:val="21"/>
              </w:rPr>
              <w:t>岗位</w:t>
            </w:r>
          </w:p>
        </w:tc>
        <w:tc>
          <w:tcPr>
            <w:tcW w:w="1740" w:type="dxa"/>
            <w:vMerge w:val="restart"/>
            <w:tcBorders>
              <w:top w:val="single" w:color="000000" w:sz="4" w:space="0"/>
              <w:left w:val="single" w:color="000000" w:sz="4" w:space="0"/>
              <w:bottom w:val="single" w:color="000000" w:sz="4" w:space="0"/>
              <w:right w:val="single" w:color="000000" w:sz="4" w:space="0"/>
            </w:tcBorders>
            <w:noWrap/>
            <w:vAlign w:val="center"/>
          </w:tcPr>
          <w:p w14:paraId="02B8BBDD">
            <w:pPr>
              <w:widowControl/>
              <w:jc w:val="center"/>
              <w:textAlignment w:val="center"/>
              <w:rPr>
                <w:rFonts w:ascii="宋体" w:cs="宋体"/>
                <w:color w:val="000000"/>
                <w:szCs w:val="21"/>
              </w:rPr>
            </w:pPr>
            <w:r>
              <w:rPr>
                <w:rFonts w:hint="eastAsia" w:ascii="宋体" w:cs="宋体"/>
                <w:color w:val="000000"/>
                <w:kern w:val="0"/>
                <w:szCs w:val="21"/>
              </w:rPr>
              <w:t>岗位编制（该岗位同一时段内需要在岗人数）</w:t>
            </w:r>
          </w:p>
        </w:tc>
        <w:tc>
          <w:tcPr>
            <w:tcW w:w="1773" w:type="dxa"/>
            <w:vMerge w:val="restart"/>
            <w:tcBorders>
              <w:top w:val="single" w:color="000000" w:sz="4" w:space="0"/>
              <w:left w:val="single" w:color="000000" w:sz="4" w:space="0"/>
              <w:bottom w:val="single" w:color="000000" w:sz="4" w:space="0"/>
              <w:right w:val="single" w:color="000000" w:sz="4" w:space="0"/>
            </w:tcBorders>
            <w:noWrap/>
            <w:vAlign w:val="center"/>
          </w:tcPr>
          <w:p w14:paraId="01E7F523">
            <w:pPr>
              <w:widowControl/>
              <w:jc w:val="center"/>
              <w:textAlignment w:val="center"/>
              <w:rPr>
                <w:rFonts w:ascii="宋体" w:cs="宋体"/>
                <w:color w:val="000000"/>
                <w:szCs w:val="21"/>
              </w:rPr>
            </w:pPr>
            <w:r>
              <w:rPr>
                <w:rFonts w:hint="eastAsia" w:ascii="宋体" w:cs="宋体"/>
                <w:color w:val="000000"/>
                <w:kern w:val="0"/>
                <w:szCs w:val="21"/>
              </w:rPr>
              <w:t>岗位人力配置数量（根据服务时长及岗位编制要求，配置的人数）</w:t>
            </w:r>
          </w:p>
        </w:tc>
        <w:tc>
          <w:tcPr>
            <w:tcW w:w="3158" w:type="dxa"/>
            <w:vMerge w:val="restart"/>
            <w:tcBorders>
              <w:top w:val="single" w:color="000000" w:sz="4" w:space="0"/>
              <w:left w:val="single" w:color="000000" w:sz="4" w:space="0"/>
              <w:bottom w:val="single" w:color="000000" w:sz="4" w:space="0"/>
              <w:right w:val="single" w:color="000000" w:sz="4" w:space="0"/>
            </w:tcBorders>
            <w:noWrap/>
            <w:vAlign w:val="center"/>
          </w:tcPr>
          <w:p w14:paraId="3C2A3F3C">
            <w:pPr>
              <w:widowControl/>
              <w:jc w:val="center"/>
              <w:textAlignment w:val="center"/>
              <w:rPr>
                <w:rFonts w:ascii="宋体" w:cs="宋体"/>
                <w:color w:val="000000"/>
                <w:szCs w:val="21"/>
              </w:rPr>
            </w:pPr>
            <w:r>
              <w:rPr>
                <w:rFonts w:hint="eastAsia" w:ascii="宋体" w:cs="宋体"/>
                <w:color w:val="000000"/>
                <w:kern w:val="0"/>
                <w:szCs w:val="21"/>
              </w:rPr>
              <w:t>备注（岗位所需服务时长或时段、需具备的上岗资格证等）</w:t>
            </w:r>
          </w:p>
        </w:tc>
      </w:tr>
      <w:tr w14:paraId="69CBDF85">
        <w:tblPrEx>
          <w:tblCellMar>
            <w:top w:w="0" w:type="dxa"/>
            <w:left w:w="108" w:type="dxa"/>
            <w:bottom w:w="0" w:type="dxa"/>
            <w:right w:w="108" w:type="dxa"/>
          </w:tblCellMar>
        </w:tblPrEx>
        <w:trPr>
          <w:trHeight w:val="312" w:hRule="atLeast"/>
        </w:trPr>
        <w:tc>
          <w:tcPr>
            <w:tcW w:w="1137" w:type="dxa"/>
            <w:vMerge w:val="continue"/>
            <w:tcBorders>
              <w:top w:val="single" w:color="000000" w:sz="4" w:space="0"/>
              <w:left w:val="single" w:color="000000" w:sz="4" w:space="0"/>
              <w:bottom w:val="single" w:color="000000" w:sz="4" w:space="0"/>
              <w:right w:val="single" w:color="000000" w:sz="4" w:space="0"/>
            </w:tcBorders>
            <w:noWrap/>
            <w:vAlign w:val="center"/>
          </w:tcPr>
          <w:p w14:paraId="71B9029F"/>
        </w:tc>
        <w:tc>
          <w:tcPr>
            <w:tcW w:w="1154" w:type="dxa"/>
            <w:vMerge w:val="continue"/>
            <w:tcBorders>
              <w:top w:val="single" w:color="000000" w:sz="4" w:space="0"/>
              <w:left w:val="single" w:color="000000" w:sz="4" w:space="0"/>
              <w:bottom w:val="single" w:color="000000" w:sz="4" w:space="0"/>
              <w:right w:val="single" w:color="000000" w:sz="4" w:space="0"/>
            </w:tcBorders>
            <w:noWrap/>
            <w:vAlign w:val="center"/>
          </w:tcPr>
          <w:p w14:paraId="4C210598"/>
        </w:tc>
        <w:tc>
          <w:tcPr>
            <w:tcW w:w="1740" w:type="dxa"/>
            <w:vMerge w:val="continue"/>
            <w:tcBorders>
              <w:top w:val="single" w:color="000000" w:sz="4" w:space="0"/>
              <w:left w:val="single" w:color="000000" w:sz="4" w:space="0"/>
              <w:bottom w:val="single" w:color="000000" w:sz="4" w:space="0"/>
              <w:right w:val="single" w:color="000000" w:sz="4" w:space="0"/>
            </w:tcBorders>
            <w:noWrap/>
            <w:vAlign w:val="center"/>
          </w:tcPr>
          <w:p w14:paraId="01D50AFE"/>
        </w:tc>
        <w:tc>
          <w:tcPr>
            <w:tcW w:w="1773" w:type="dxa"/>
            <w:vMerge w:val="continue"/>
            <w:tcBorders>
              <w:top w:val="single" w:color="000000" w:sz="4" w:space="0"/>
              <w:left w:val="single" w:color="000000" w:sz="4" w:space="0"/>
              <w:bottom w:val="single" w:color="000000" w:sz="4" w:space="0"/>
              <w:right w:val="single" w:color="000000" w:sz="4" w:space="0"/>
            </w:tcBorders>
            <w:noWrap/>
            <w:vAlign w:val="center"/>
          </w:tcPr>
          <w:p w14:paraId="09AE6F3C"/>
        </w:tc>
        <w:tc>
          <w:tcPr>
            <w:tcW w:w="3158" w:type="dxa"/>
            <w:vMerge w:val="continue"/>
            <w:tcBorders>
              <w:top w:val="single" w:color="000000" w:sz="4" w:space="0"/>
              <w:left w:val="single" w:color="000000" w:sz="4" w:space="0"/>
              <w:bottom w:val="single" w:color="000000" w:sz="4" w:space="0"/>
              <w:right w:val="single" w:color="000000" w:sz="4" w:space="0"/>
            </w:tcBorders>
            <w:noWrap/>
            <w:vAlign w:val="center"/>
          </w:tcPr>
          <w:p w14:paraId="59435BEA"/>
        </w:tc>
      </w:tr>
      <w:tr w14:paraId="5ECE8E55">
        <w:tblPrEx>
          <w:tblCellMar>
            <w:top w:w="0" w:type="dxa"/>
            <w:left w:w="108" w:type="dxa"/>
            <w:bottom w:w="0" w:type="dxa"/>
            <w:right w:w="108" w:type="dxa"/>
          </w:tblCellMar>
        </w:tblPrEx>
        <w:trPr>
          <w:trHeight w:val="27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14:paraId="4C883946">
            <w:pPr>
              <w:widowControl/>
              <w:jc w:val="center"/>
              <w:textAlignment w:val="center"/>
              <w:rPr>
                <w:rFonts w:ascii="宋体" w:cs="宋体"/>
                <w:color w:val="000000"/>
                <w:szCs w:val="21"/>
              </w:rPr>
            </w:pPr>
            <w:r>
              <w:rPr>
                <w:rFonts w:hint="eastAsia" w:ascii="宋体" w:cs="宋体"/>
                <w:color w:val="000000"/>
                <w:kern w:val="0"/>
                <w:szCs w:val="21"/>
              </w:rPr>
              <w:t>服务中心</w:t>
            </w: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2ABC0C59">
            <w:pPr>
              <w:widowControl/>
              <w:jc w:val="left"/>
              <w:textAlignment w:val="center"/>
              <w:rPr>
                <w:rFonts w:ascii="宋体" w:cs="宋体"/>
                <w:color w:val="000000"/>
                <w:szCs w:val="21"/>
              </w:rPr>
            </w:pPr>
            <w:r>
              <w:rPr>
                <w:rFonts w:hint="eastAsia" w:ascii="宋体" w:cs="宋体"/>
                <w:color w:val="000000"/>
                <w:kern w:val="0"/>
                <w:szCs w:val="21"/>
              </w:rPr>
              <w:t>项目经理</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6037559">
            <w:pPr>
              <w:widowControl/>
              <w:jc w:val="left"/>
              <w:textAlignment w:val="center"/>
              <w:rPr>
                <w:color w:val="000000"/>
                <w:szCs w:val="21"/>
              </w:rPr>
            </w:pPr>
            <w:r>
              <w:rPr>
                <w:color w:val="000000"/>
                <w:kern w:val="0"/>
                <w:szCs w:val="21"/>
              </w:rPr>
              <w:t>1</w:t>
            </w:r>
          </w:p>
        </w:tc>
        <w:tc>
          <w:tcPr>
            <w:tcW w:w="1773" w:type="dxa"/>
            <w:tcBorders>
              <w:top w:val="single" w:color="000000" w:sz="4" w:space="0"/>
              <w:left w:val="single" w:color="000000" w:sz="4" w:space="0"/>
              <w:bottom w:val="single" w:color="000000" w:sz="4" w:space="0"/>
              <w:right w:val="single" w:color="000000" w:sz="4" w:space="0"/>
            </w:tcBorders>
            <w:noWrap/>
            <w:vAlign w:val="center"/>
          </w:tcPr>
          <w:p w14:paraId="276F8D8B">
            <w:pPr>
              <w:widowControl/>
              <w:jc w:val="left"/>
              <w:textAlignment w:val="center"/>
              <w:rPr>
                <w:color w:val="000000"/>
                <w:szCs w:val="21"/>
              </w:rPr>
            </w:pPr>
            <w:r>
              <w:rPr>
                <w:color w:val="000000"/>
                <w:kern w:val="0"/>
                <w:szCs w:val="21"/>
              </w:rPr>
              <w:t>1</w:t>
            </w:r>
          </w:p>
        </w:tc>
        <w:tc>
          <w:tcPr>
            <w:tcW w:w="3158" w:type="dxa"/>
            <w:tcBorders>
              <w:top w:val="single" w:color="000000" w:sz="4" w:space="0"/>
              <w:left w:val="single" w:color="000000" w:sz="4" w:space="0"/>
              <w:bottom w:val="single" w:color="000000" w:sz="4" w:space="0"/>
              <w:right w:val="single" w:color="000000" w:sz="4" w:space="0"/>
            </w:tcBorders>
            <w:noWrap/>
            <w:vAlign w:val="center"/>
          </w:tcPr>
          <w:p w14:paraId="7EA8CCE4">
            <w:pPr>
              <w:widowControl/>
              <w:jc w:val="left"/>
              <w:textAlignment w:val="center"/>
              <w:rPr>
                <w:rFonts w:ascii="宋体" w:cs="宋体"/>
                <w:color w:val="000000"/>
                <w:szCs w:val="21"/>
              </w:rPr>
            </w:pPr>
            <w:r>
              <w:rPr>
                <w:rFonts w:hint="eastAsia"/>
              </w:rPr>
              <w:t>本科</w:t>
            </w:r>
            <w:r>
              <w:rPr>
                <w:rFonts w:hint="eastAsia"/>
                <w:lang w:eastAsia="zh-CN"/>
              </w:rPr>
              <w:t>或以上</w:t>
            </w:r>
            <w:r>
              <w:rPr>
                <w:rFonts w:hint="eastAsia"/>
              </w:rPr>
              <w:t>学历</w:t>
            </w:r>
            <w:r>
              <w:rPr>
                <w:rFonts w:hint="eastAsia"/>
                <w:lang w:eastAsia="zh-CN"/>
              </w:rPr>
              <w:t>，非住宅类物业项目</w:t>
            </w:r>
            <w:r>
              <w:rPr>
                <w:rFonts w:hint="eastAsia"/>
              </w:rPr>
              <w:t>工作经验不少于5年</w:t>
            </w:r>
          </w:p>
        </w:tc>
      </w:tr>
      <w:tr w14:paraId="5031F141">
        <w:tblPrEx>
          <w:tblCellMar>
            <w:top w:w="0" w:type="dxa"/>
            <w:left w:w="108" w:type="dxa"/>
            <w:bottom w:w="0" w:type="dxa"/>
            <w:right w:w="108" w:type="dxa"/>
          </w:tblCellMar>
        </w:tblPrEx>
        <w:trPr>
          <w:trHeight w:val="270" w:hRule="atLeast"/>
        </w:trPr>
        <w:tc>
          <w:tcPr>
            <w:tcW w:w="1137" w:type="dxa"/>
            <w:vMerge w:val="restart"/>
            <w:tcBorders>
              <w:top w:val="single" w:color="000000" w:sz="4" w:space="0"/>
              <w:left w:val="single" w:color="000000" w:sz="4" w:space="0"/>
              <w:bottom w:val="single" w:color="000000" w:sz="4" w:space="0"/>
              <w:right w:val="single" w:color="000000" w:sz="4" w:space="0"/>
            </w:tcBorders>
            <w:noWrap/>
            <w:vAlign w:val="center"/>
          </w:tcPr>
          <w:p w14:paraId="1785F353">
            <w:pPr>
              <w:widowControl/>
              <w:jc w:val="center"/>
              <w:textAlignment w:val="center"/>
              <w:rPr>
                <w:rFonts w:ascii="宋体" w:cs="宋体"/>
                <w:color w:val="000000"/>
                <w:szCs w:val="21"/>
              </w:rPr>
            </w:pPr>
            <w:r>
              <w:rPr>
                <w:rFonts w:hint="eastAsia" w:ascii="宋体" w:cs="宋体"/>
                <w:color w:val="000000"/>
                <w:kern w:val="0"/>
                <w:szCs w:val="21"/>
              </w:rPr>
              <w:t>保洁部</w:t>
            </w: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53BE4FB3">
            <w:pPr>
              <w:widowControl/>
              <w:jc w:val="left"/>
              <w:textAlignment w:val="center"/>
              <w:rPr>
                <w:rFonts w:ascii="宋体" w:cs="宋体"/>
                <w:color w:val="000000"/>
                <w:szCs w:val="21"/>
              </w:rPr>
            </w:pPr>
            <w:r>
              <w:rPr>
                <w:rFonts w:hint="eastAsia" w:ascii="宋体" w:cs="宋体"/>
                <w:color w:val="000000"/>
                <w:kern w:val="0"/>
                <w:szCs w:val="21"/>
              </w:rPr>
              <w:t>主管</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26B925EE">
            <w:pPr>
              <w:jc w:val="left"/>
              <w:rPr>
                <w:rFonts w:ascii="Arial" w:hAnsi="Arial" w:eastAsia="宋体" w:cs="Arial"/>
                <w:color w:val="000000"/>
                <w:szCs w:val="21"/>
              </w:rPr>
            </w:pPr>
            <w:r>
              <w:rPr>
                <w:rFonts w:hint="eastAsia" w:ascii="Arial" w:hAnsi="Arial" w:eastAsia="宋体" w:cs="Arial"/>
                <w:color w:val="000000"/>
                <w:szCs w:val="21"/>
              </w:rPr>
              <w:t>1</w:t>
            </w:r>
          </w:p>
        </w:tc>
        <w:tc>
          <w:tcPr>
            <w:tcW w:w="1773" w:type="dxa"/>
            <w:tcBorders>
              <w:top w:val="single" w:color="000000" w:sz="4" w:space="0"/>
              <w:left w:val="single" w:color="000000" w:sz="4" w:space="0"/>
              <w:bottom w:val="single" w:color="000000" w:sz="4" w:space="0"/>
              <w:right w:val="single" w:color="000000" w:sz="4" w:space="0"/>
            </w:tcBorders>
            <w:noWrap/>
            <w:vAlign w:val="center"/>
          </w:tcPr>
          <w:p w14:paraId="59AE7FEE">
            <w:pPr>
              <w:jc w:val="left"/>
              <w:rPr>
                <w:rFonts w:ascii="Arial" w:hAnsi="Arial" w:eastAsia="宋体" w:cs="Arial"/>
                <w:color w:val="000000"/>
                <w:szCs w:val="21"/>
              </w:rPr>
            </w:pPr>
            <w:r>
              <w:rPr>
                <w:rFonts w:hint="eastAsia" w:ascii="Arial" w:hAnsi="Arial" w:eastAsia="宋体" w:cs="Arial"/>
                <w:color w:val="000000"/>
                <w:szCs w:val="21"/>
              </w:rPr>
              <w:t>1</w:t>
            </w:r>
          </w:p>
        </w:tc>
        <w:tc>
          <w:tcPr>
            <w:tcW w:w="3158" w:type="dxa"/>
            <w:tcBorders>
              <w:top w:val="single" w:color="000000" w:sz="4" w:space="0"/>
              <w:left w:val="single" w:color="000000" w:sz="4" w:space="0"/>
              <w:bottom w:val="single" w:color="000000" w:sz="4" w:space="0"/>
              <w:right w:val="single" w:color="000000" w:sz="4" w:space="0"/>
            </w:tcBorders>
            <w:noWrap/>
            <w:vAlign w:val="center"/>
          </w:tcPr>
          <w:p w14:paraId="2D52E9A3">
            <w:pPr>
              <w:jc w:val="left"/>
              <w:rPr>
                <w:rFonts w:ascii="Arial" w:hAnsi="Arial" w:cs="Arial"/>
                <w:color w:val="000000"/>
                <w:szCs w:val="21"/>
              </w:rPr>
            </w:pPr>
          </w:p>
        </w:tc>
      </w:tr>
      <w:tr w14:paraId="2343A401">
        <w:tblPrEx>
          <w:tblCellMar>
            <w:top w:w="0" w:type="dxa"/>
            <w:left w:w="108" w:type="dxa"/>
            <w:bottom w:w="0" w:type="dxa"/>
            <w:right w:w="108" w:type="dxa"/>
          </w:tblCellMar>
        </w:tblPrEx>
        <w:trPr>
          <w:trHeight w:val="510" w:hRule="atLeast"/>
        </w:trPr>
        <w:tc>
          <w:tcPr>
            <w:tcW w:w="1137" w:type="dxa"/>
            <w:vMerge w:val="continue"/>
            <w:tcBorders>
              <w:top w:val="single" w:color="000000" w:sz="4" w:space="0"/>
              <w:left w:val="single" w:color="000000" w:sz="4" w:space="0"/>
              <w:bottom w:val="single" w:color="000000" w:sz="4" w:space="0"/>
              <w:right w:val="single" w:color="000000" w:sz="4" w:space="0"/>
            </w:tcBorders>
            <w:noWrap/>
            <w:vAlign w:val="center"/>
          </w:tcPr>
          <w:p w14:paraId="2DF34ED4"/>
        </w:tc>
        <w:tc>
          <w:tcPr>
            <w:tcW w:w="1154" w:type="dxa"/>
            <w:tcBorders>
              <w:top w:val="single" w:color="000000" w:sz="4" w:space="0"/>
              <w:left w:val="single" w:color="000000" w:sz="4" w:space="0"/>
              <w:bottom w:val="single" w:color="000000" w:sz="4" w:space="0"/>
              <w:right w:val="single" w:color="000000" w:sz="4" w:space="0"/>
            </w:tcBorders>
            <w:noWrap/>
            <w:vAlign w:val="center"/>
          </w:tcPr>
          <w:p w14:paraId="7C34FC0E">
            <w:pPr>
              <w:widowControl/>
              <w:jc w:val="left"/>
              <w:textAlignment w:val="center"/>
              <w:rPr>
                <w:rFonts w:ascii="宋体" w:cs="宋体"/>
                <w:color w:val="000000"/>
                <w:szCs w:val="21"/>
              </w:rPr>
            </w:pPr>
            <w:r>
              <w:rPr>
                <w:rFonts w:hint="eastAsia" w:ascii="宋体" w:cs="宋体"/>
                <w:color w:val="000000"/>
                <w:kern w:val="0"/>
                <w:szCs w:val="21"/>
              </w:rPr>
              <w:t>保洁员</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785FF9CE">
            <w:pPr>
              <w:jc w:val="left"/>
              <w:rPr>
                <w:rFonts w:ascii="Arial" w:hAnsi="Arial" w:eastAsia="宋体" w:cs="Arial"/>
                <w:color w:val="000000"/>
                <w:szCs w:val="21"/>
              </w:rPr>
            </w:pPr>
            <w:r>
              <w:rPr>
                <w:rFonts w:hint="eastAsia" w:ascii="Arial" w:hAnsi="Arial" w:cs="Arial"/>
                <w:color w:val="000000"/>
                <w:szCs w:val="21"/>
              </w:rPr>
              <w:t>23</w:t>
            </w:r>
          </w:p>
        </w:tc>
        <w:tc>
          <w:tcPr>
            <w:tcW w:w="1773" w:type="dxa"/>
            <w:tcBorders>
              <w:top w:val="single" w:color="000000" w:sz="4" w:space="0"/>
              <w:left w:val="single" w:color="000000" w:sz="4" w:space="0"/>
              <w:bottom w:val="single" w:color="000000" w:sz="4" w:space="0"/>
              <w:right w:val="single" w:color="000000" w:sz="4" w:space="0"/>
            </w:tcBorders>
            <w:noWrap/>
            <w:vAlign w:val="center"/>
          </w:tcPr>
          <w:p w14:paraId="7F6AEEDE">
            <w:pPr>
              <w:jc w:val="left"/>
              <w:rPr>
                <w:rFonts w:ascii="Arial" w:hAnsi="Arial" w:eastAsia="宋体" w:cs="Arial"/>
                <w:color w:val="000000"/>
                <w:szCs w:val="21"/>
              </w:rPr>
            </w:pPr>
            <w:r>
              <w:rPr>
                <w:rFonts w:hint="eastAsia" w:ascii="Arial" w:hAnsi="Arial" w:eastAsia="宋体" w:cs="Arial"/>
                <w:color w:val="000000"/>
                <w:szCs w:val="21"/>
              </w:rPr>
              <w:t>23</w:t>
            </w:r>
          </w:p>
        </w:tc>
        <w:tc>
          <w:tcPr>
            <w:tcW w:w="3158" w:type="dxa"/>
            <w:tcBorders>
              <w:top w:val="single" w:color="000000" w:sz="4" w:space="0"/>
              <w:left w:val="single" w:color="000000" w:sz="4" w:space="0"/>
              <w:bottom w:val="single" w:color="000000" w:sz="4" w:space="0"/>
              <w:right w:val="single" w:color="000000" w:sz="4" w:space="0"/>
            </w:tcBorders>
            <w:noWrap/>
            <w:vAlign w:val="center"/>
          </w:tcPr>
          <w:p w14:paraId="5CFB015A">
            <w:pPr>
              <w:widowControl/>
              <w:jc w:val="left"/>
              <w:textAlignment w:val="center"/>
              <w:rPr>
                <w:rFonts w:ascii="宋体" w:cs="宋体"/>
                <w:color w:val="000000"/>
                <w:szCs w:val="21"/>
              </w:rPr>
            </w:pPr>
          </w:p>
        </w:tc>
      </w:tr>
      <w:tr w14:paraId="653E25F6">
        <w:tblPrEx>
          <w:tblCellMar>
            <w:top w:w="0" w:type="dxa"/>
            <w:left w:w="108" w:type="dxa"/>
            <w:bottom w:w="0" w:type="dxa"/>
            <w:right w:w="108" w:type="dxa"/>
          </w:tblCellMar>
        </w:tblPrEx>
        <w:trPr>
          <w:trHeight w:val="510" w:hRule="atLeast"/>
        </w:trPr>
        <w:tc>
          <w:tcPr>
            <w:tcW w:w="1137" w:type="dxa"/>
            <w:vMerge w:val="continue"/>
            <w:tcBorders>
              <w:top w:val="single" w:color="000000" w:sz="4" w:space="0"/>
              <w:left w:val="single" w:color="000000" w:sz="4" w:space="0"/>
              <w:bottom w:val="single" w:color="000000" w:sz="4" w:space="0"/>
              <w:right w:val="single" w:color="000000" w:sz="4" w:space="0"/>
            </w:tcBorders>
            <w:noWrap/>
            <w:vAlign w:val="center"/>
          </w:tcPr>
          <w:p w14:paraId="6BDBA09D"/>
        </w:tc>
        <w:tc>
          <w:tcPr>
            <w:tcW w:w="1154" w:type="dxa"/>
            <w:tcBorders>
              <w:top w:val="single" w:color="000000" w:sz="4" w:space="0"/>
              <w:left w:val="single" w:color="000000" w:sz="4" w:space="0"/>
              <w:bottom w:val="single" w:color="000000" w:sz="4" w:space="0"/>
              <w:right w:val="single" w:color="000000" w:sz="4" w:space="0"/>
            </w:tcBorders>
            <w:noWrap/>
            <w:vAlign w:val="center"/>
          </w:tcPr>
          <w:p w14:paraId="05D9F048">
            <w:pPr>
              <w:widowControl/>
              <w:jc w:val="left"/>
              <w:textAlignment w:val="center"/>
              <w:rPr>
                <w:rFonts w:ascii="宋体" w:cs="宋体"/>
                <w:color w:val="000000"/>
                <w:szCs w:val="21"/>
              </w:rPr>
            </w:pPr>
            <w:r>
              <w:rPr>
                <w:rFonts w:hint="eastAsia" w:ascii="宋体" w:cs="宋体"/>
                <w:color w:val="000000"/>
                <w:kern w:val="0"/>
                <w:szCs w:val="21"/>
              </w:rPr>
              <w:t>垃圾清运工</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0006469D">
            <w:pPr>
              <w:jc w:val="left"/>
              <w:rPr>
                <w:rFonts w:ascii="Arial" w:hAnsi="Arial" w:eastAsia="宋体" w:cs="Arial"/>
                <w:color w:val="000000"/>
                <w:szCs w:val="21"/>
              </w:rPr>
            </w:pPr>
            <w:r>
              <w:rPr>
                <w:rFonts w:hint="eastAsia" w:ascii="Arial" w:hAnsi="Arial" w:cs="Arial"/>
                <w:color w:val="000000"/>
                <w:szCs w:val="21"/>
              </w:rPr>
              <w:t>4</w:t>
            </w:r>
          </w:p>
        </w:tc>
        <w:tc>
          <w:tcPr>
            <w:tcW w:w="1773" w:type="dxa"/>
            <w:tcBorders>
              <w:top w:val="single" w:color="000000" w:sz="4" w:space="0"/>
              <w:left w:val="single" w:color="000000" w:sz="4" w:space="0"/>
              <w:bottom w:val="single" w:color="000000" w:sz="4" w:space="0"/>
              <w:right w:val="single" w:color="000000" w:sz="4" w:space="0"/>
            </w:tcBorders>
            <w:noWrap/>
            <w:vAlign w:val="center"/>
          </w:tcPr>
          <w:p w14:paraId="3D0DC022">
            <w:pPr>
              <w:jc w:val="left"/>
              <w:rPr>
                <w:rFonts w:ascii="Arial" w:hAnsi="Arial" w:eastAsia="宋体" w:cs="Arial"/>
                <w:color w:val="000000"/>
                <w:szCs w:val="21"/>
              </w:rPr>
            </w:pPr>
            <w:r>
              <w:rPr>
                <w:rFonts w:hint="eastAsia" w:ascii="Arial" w:hAnsi="Arial" w:cs="Arial"/>
                <w:color w:val="000000"/>
                <w:szCs w:val="21"/>
              </w:rPr>
              <w:t>4</w:t>
            </w:r>
          </w:p>
        </w:tc>
        <w:tc>
          <w:tcPr>
            <w:tcW w:w="3158" w:type="dxa"/>
            <w:tcBorders>
              <w:top w:val="single" w:color="000000" w:sz="4" w:space="0"/>
              <w:left w:val="single" w:color="000000" w:sz="4" w:space="0"/>
              <w:bottom w:val="single" w:color="000000" w:sz="4" w:space="0"/>
              <w:right w:val="single" w:color="000000" w:sz="4" w:space="0"/>
            </w:tcBorders>
            <w:noWrap/>
            <w:vAlign w:val="center"/>
          </w:tcPr>
          <w:p w14:paraId="3BBDB46C">
            <w:pPr>
              <w:jc w:val="left"/>
              <w:rPr>
                <w:rFonts w:ascii="Arial" w:hAnsi="Arial" w:cs="Arial"/>
                <w:color w:val="000000"/>
                <w:szCs w:val="21"/>
              </w:rPr>
            </w:pPr>
          </w:p>
        </w:tc>
      </w:tr>
      <w:tr w14:paraId="317D2AAB">
        <w:tblPrEx>
          <w:tblCellMar>
            <w:top w:w="0" w:type="dxa"/>
            <w:left w:w="108" w:type="dxa"/>
            <w:bottom w:w="0" w:type="dxa"/>
            <w:right w:w="108" w:type="dxa"/>
          </w:tblCellMar>
        </w:tblPrEx>
        <w:trPr>
          <w:trHeight w:val="270" w:hRule="atLeast"/>
        </w:trPr>
        <w:tc>
          <w:tcPr>
            <w:tcW w:w="1137" w:type="dxa"/>
            <w:vMerge w:val="continue"/>
            <w:tcBorders>
              <w:top w:val="single" w:color="000000" w:sz="4" w:space="0"/>
              <w:left w:val="single" w:color="000000" w:sz="4" w:space="0"/>
              <w:bottom w:val="single" w:color="000000" w:sz="4" w:space="0"/>
              <w:right w:val="single" w:color="000000" w:sz="4" w:space="0"/>
            </w:tcBorders>
            <w:noWrap/>
            <w:vAlign w:val="center"/>
          </w:tcPr>
          <w:p w14:paraId="5C8C0EFC"/>
        </w:tc>
        <w:tc>
          <w:tcPr>
            <w:tcW w:w="1154" w:type="dxa"/>
            <w:tcBorders>
              <w:top w:val="single" w:color="000000" w:sz="4" w:space="0"/>
              <w:left w:val="single" w:color="000000" w:sz="4" w:space="0"/>
              <w:bottom w:val="single" w:color="000000" w:sz="4" w:space="0"/>
              <w:right w:val="single" w:color="000000" w:sz="4" w:space="0"/>
            </w:tcBorders>
            <w:noWrap/>
            <w:vAlign w:val="center"/>
          </w:tcPr>
          <w:p w14:paraId="17E42C98">
            <w:pPr>
              <w:widowControl/>
              <w:jc w:val="left"/>
              <w:textAlignment w:val="center"/>
              <w:rPr>
                <w:rFonts w:ascii="宋体" w:eastAsia="宋体" w:cs="宋体"/>
                <w:color w:val="000000"/>
                <w:szCs w:val="21"/>
              </w:rPr>
            </w:pPr>
            <w:r>
              <w:rPr>
                <w:rFonts w:hint="eastAsia" w:ascii="宋体" w:cs="宋体"/>
                <w:color w:val="000000"/>
                <w:kern w:val="0"/>
                <w:szCs w:val="21"/>
              </w:rPr>
              <w:t>环境保洁</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6C80DDC1">
            <w:pPr>
              <w:jc w:val="left"/>
              <w:rPr>
                <w:rFonts w:ascii="Arial" w:hAnsi="Arial" w:eastAsia="宋体" w:cs="Arial"/>
                <w:color w:val="000000"/>
                <w:szCs w:val="21"/>
              </w:rPr>
            </w:pPr>
            <w:r>
              <w:rPr>
                <w:rFonts w:hint="eastAsia" w:ascii="Arial" w:hAnsi="Arial" w:cs="Arial"/>
                <w:color w:val="000000"/>
                <w:szCs w:val="21"/>
              </w:rPr>
              <w:t>3</w:t>
            </w:r>
          </w:p>
        </w:tc>
        <w:tc>
          <w:tcPr>
            <w:tcW w:w="1773" w:type="dxa"/>
            <w:tcBorders>
              <w:top w:val="single" w:color="000000" w:sz="4" w:space="0"/>
              <w:left w:val="single" w:color="000000" w:sz="4" w:space="0"/>
              <w:bottom w:val="single" w:color="000000" w:sz="4" w:space="0"/>
              <w:right w:val="single" w:color="000000" w:sz="4" w:space="0"/>
            </w:tcBorders>
            <w:noWrap/>
            <w:vAlign w:val="center"/>
          </w:tcPr>
          <w:p w14:paraId="4BF48308">
            <w:pPr>
              <w:jc w:val="left"/>
              <w:rPr>
                <w:rFonts w:ascii="Arial" w:hAnsi="Arial" w:eastAsia="宋体" w:cs="Arial"/>
                <w:color w:val="000000"/>
                <w:szCs w:val="21"/>
              </w:rPr>
            </w:pPr>
            <w:r>
              <w:rPr>
                <w:rFonts w:hint="eastAsia" w:ascii="Arial" w:hAnsi="Arial" w:cs="Arial"/>
                <w:color w:val="000000"/>
                <w:szCs w:val="21"/>
              </w:rPr>
              <w:t>3</w:t>
            </w:r>
          </w:p>
        </w:tc>
        <w:tc>
          <w:tcPr>
            <w:tcW w:w="3158" w:type="dxa"/>
            <w:tcBorders>
              <w:top w:val="single" w:color="000000" w:sz="4" w:space="0"/>
              <w:left w:val="single" w:color="000000" w:sz="4" w:space="0"/>
              <w:bottom w:val="single" w:color="000000" w:sz="4" w:space="0"/>
              <w:right w:val="single" w:color="000000" w:sz="4" w:space="0"/>
            </w:tcBorders>
            <w:noWrap/>
            <w:vAlign w:val="center"/>
          </w:tcPr>
          <w:p w14:paraId="2B9C21F5">
            <w:pPr>
              <w:jc w:val="left"/>
              <w:rPr>
                <w:rFonts w:ascii="Arial" w:hAnsi="Arial" w:cs="Arial"/>
                <w:color w:val="000000"/>
                <w:szCs w:val="21"/>
              </w:rPr>
            </w:pPr>
          </w:p>
        </w:tc>
      </w:tr>
      <w:tr w14:paraId="5058BC0F">
        <w:tblPrEx>
          <w:tblCellMar>
            <w:top w:w="0" w:type="dxa"/>
            <w:left w:w="108" w:type="dxa"/>
            <w:bottom w:w="0" w:type="dxa"/>
            <w:right w:w="108" w:type="dxa"/>
          </w:tblCellMar>
        </w:tblPrEx>
        <w:trPr>
          <w:trHeight w:val="27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14:paraId="6C1DE94B">
            <w:pPr>
              <w:jc w:val="center"/>
              <w:rPr>
                <w:rFonts w:ascii="宋体" w:eastAsia="宋体" w:cs="宋体"/>
                <w:color w:val="000000"/>
                <w:kern w:val="0"/>
                <w:szCs w:val="21"/>
              </w:rPr>
            </w:pPr>
            <w:r>
              <w:rPr>
                <w:rFonts w:hint="eastAsia" w:ascii="宋体" w:cs="宋体"/>
                <w:color w:val="000000"/>
                <w:kern w:val="0"/>
                <w:szCs w:val="21"/>
              </w:rPr>
              <w:t>前期介入</w:t>
            </w: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5A6BA95B">
            <w:pPr>
              <w:widowControl/>
              <w:jc w:val="left"/>
              <w:textAlignment w:val="center"/>
              <w:rPr>
                <w:rFonts w:ascii="宋体" w:eastAsia="宋体" w:cs="宋体"/>
                <w:color w:val="000000"/>
                <w:kern w:val="0"/>
                <w:szCs w:val="21"/>
              </w:rPr>
            </w:pPr>
            <w:r>
              <w:rPr>
                <w:rFonts w:hint="eastAsia" w:ascii="宋体" w:cs="宋体"/>
                <w:color w:val="000000"/>
                <w:kern w:val="0"/>
                <w:szCs w:val="21"/>
              </w:rPr>
              <w:t>物业管理</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392633BF">
            <w:pPr>
              <w:jc w:val="left"/>
              <w:rPr>
                <w:rFonts w:ascii="Arial" w:hAnsi="Arial" w:eastAsia="宋体" w:cs="Arial"/>
                <w:color w:val="000000"/>
                <w:szCs w:val="21"/>
              </w:rPr>
            </w:pPr>
            <w:r>
              <w:rPr>
                <w:rFonts w:hint="eastAsia" w:ascii="Arial" w:hAnsi="Arial" w:cs="Arial"/>
                <w:color w:val="000000"/>
                <w:szCs w:val="21"/>
              </w:rPr>
              <w:t>4</w:t>
            </w:r>
          </w:p>
        </w:tc>
        <w:tc>
          <w:tcPr>
            <w:tcW w:w="1773" w:type="dxa"/>
            <w:tcBorders>
              <w:top w:val="single" w:color="000000" w:sz="4" w:space="0"/>
              <w:left w:val="single" w:color="000000" w:sz="4" w:space="0"/>
              <w:bottom w:val="single" w:color="000000" w:sz="4" w:space="0"/>
              <w:right w:val="single" w:color="000000" w:sz="4" w:space="0"/>
            </w:tcBorders>
            <w:noWrap/>
            <w:vAlign w:val="center"/>
          </w:tcPr>
          <w:p w14:paraId="4A58FEDA">
            <w:pPr>
              <w:jc w:val="left"/>
              <w:rPr>
                <w:rFonts w:ascii="Arial" w:hAnsi="Arial" w:eastAsia="宋体" w:cs="Arial"/>
                <w:color w:val="000000"/>
                <w:szCs w:val="21"/>
              </w:rPr>
            </w:pPr>
            <w:r>
              <w:rPr>
                <w:rFonts w:hint="eastAsia" w:ascii="Arial" w:hAnsi="Arial" w:cs="Arial"/>
                <w:color w:val="000000"/>
                <w:szCs w:val="21"/>
              </w:rPr>
              <w:t>4</w:t>
            </w:r>
          </w:p>
        </w:tc>
        <w:tc>
          <w:tcPr>
            <w:tcW w:w="3158" w:type="dxa"/>
            <w:tcBorders>
              <w:top w:val="single" w:color="000000" w:sz="4" w:space="0"/>
              <w:left w:val="single" w:color="000000" w:sz="4" w:space="0"/>
              <w:bottom w:val="single" w:color="000000" w:sz="4" w:space="0"/>
              <w:right w:val="single" w:color="000000" w:sz="4" w:space="0"/>
            </w:tcBorders>
            <w:noWrap/>
            <w:vAlign w:val="center"/>
          </w:tcPr>
          <w:p w14:paraId="64AE4481">
            <w:pPr>
              <w:jc w:val="left"/>
              <w:rPr>
                <w:rFonts w:ascii="Arial" w:hAnsi="Arial" w:cs="Arial"/>
                <w:color w:val="000000"/>
                <w:szCs w:val="21"/>
              </w:rPr>
            </w:pPr>
          </w:p>
        </w:tc>
      </w:tr>
      <w:tr w14:paraId="338A9709">
        <w:tblPrEx>
          <w:tblCellMar>
            <w:top w:w="0" w:type="dxa"/>
            <w:left w:w="108" w:type="dxa"/>
            <w:bottom w:w="0" w:type="dxa"/>
            <w:right w:w="108" w:type="dxa"/>
          </w:tblCellMar>
        </w:tblPrEx>
        <w:trPr>
          <w:trHeight w:val="631"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14:paraId="7D259DAC">
            <w:pPr>
              <w:jc w:val="center"/>
              <w:rPr>
                <w:rFonts w:ascii="宋体" w:cs="宋体"/>
                <w:color w:val="000000"/>
                <w:kern w:val="0"/>
                <w:szCs w:val="21"/>
              </w:rPr>
            </w:pPr>
            <w:r>
              <w:rPr>
                <w:rFonts w:hint="eastAsia" w:ascii="宋体" w:cs="宋体"/>
                <w:color w:val="000000"/>
                <w:kern w:val="0"/>
                <w:szCs w:val="21"/>
              </w:rPr>
              <w:t>公共关系管理</w:t>
            </w: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7A4B103D">
            <w:pPr>
              <w:widowControl/>
              <w:jc w:val="left"/>
              <w:textAlignment w:val="center"/>
              <w:rPr>
                <w:rFonts w:ascii="宋体" w:cs="宋体"/>
                <w:color w:val="000000"/>
                <w:kern w:val="0"/>
                <w:szCs w:val="21"/>
              </w:rPr>
            </w:pPr>
            <w:r>
              <w:rPr>
                <w:rFonts w:hint="eastAsia" w:ascii="宋体" w:cs="宋体"/>
                <w:color w:val="000000"/>
                <w:kern w:val="0"/>
                <w:szCs w:val="21"/>
              </w:rPr>
              <w:t>公共关系管理</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F9ED68C">
            <w:pPr>
              <w:jc w:val="left"/>
              <w:rPr>
                <w:rFonts w:ascii="Arial" w:hAnsi="Arial" w:eastAsia="宋体" w:cs="Arial"/>
                <w:color w:val="000000"/>
                <w:szCs w:val="21"/>
              </w:rPr>
            </w:pPr>
            <w:r>
              <w:rPr>
                <w:rFonts w:hint="eastAsia" w:ascii="Arial" w:hAnsi="Arial" w:cs="Arial"/>
                <w:color w:val="000000"/>
                <w:szCs w:val="21"/>
              </w:rPr>
              <w:t>2</w:t>
            </w:r>
          </w:p>
        </w:tc>
        <w:tc>
          <w:tcPr>
            <w:tcW w:w="1773" w:type="dxa"/>
            <w:tcBorders>
              <w:top w:val="single" w:color="000000" w:sz="4" w:space="0"/>
              <w:left w:val="single" w:color="000000" w:sz="4" w:space="0"/>
              <w:bottom w:val="single" w:color="000000" w:sz="4" w:space="0"/>
              <w:right w:val="single" w:color="000000" w:sz="4" w:space="0"/>
            </w:tcBorders>
            <w:noWrap/>
            <w:vAlign w:val="center"/>
          </w:tcPr>
          <w:p w14:paraId="45BDA6EA">
            <w:pPr>
              <w:jc w:val="left"/>
              <w:rPr>
                <w:rFonts w:ascii="Arial" w:hAnsi="Arial" w:eastAsia="宋体" w:cs="Arial"/>
                <w:color w:val="000000"/>
                <w:szCs w:val="21"/>
              </w:rPr>
            </w:pPr>
            <w:r>
              <w:rPr>
                <w:rFonts w:hint="eastAsia" w:ascii="Arial" w:hAnsi="Arial" w:cs="Arial"/>
                <w:color w:val="000000"/>
                <w:szCs w:val="21"/>
              </w:rPr>
              <w:t>2</w:t>
            </w:r>
          </w:p>
        </w:tc>
        <w:tc>
          <w:tcPr>
            <w:tcW w:w="3158" w:type="dxa"/>
            <w:tcBorders>
              <w:top w:val="single" w:color="000000" w:sz="4" w:space="0"/>
              <w:left w:val="single" w:color="000000" w:sz="4" w:space="0"/>
              <w:bottom w:val="single" w:color="000000" w:sz="4" w:space="0"/>
              <w:right w:val="single" w:color="000000" w:sz="4" w:space="0"/>
            </w:tcBorders>
            <w:noWrap/>
            <w:vAlign w:val="center"/>
          </w:tcPr>
          <w:p w14:paraId="5ED90EBA">
            <w:pPr>
              <w:jc w:val="left"/>
              <w:rPr>
                <w:rFonts w:ascii="Arial" w:hAnsi="Arial" w:cs="Arial"/>
                <w:color w:val="000000"/>
                <w:szCs w:val="21"/>
              </w:rPr>
            </w:pPr>
          </w:p>
        </w:tc>
      </w:tr>
      <w:tr w14:paraId="2848F52F">
        <w:tblPrEx>
          <w:tblCellMar>
            <w:top w:w="0" w:type="dxa"/>
            <w:left w:w="108" w:type="dxa"/>
            <w:bottom w:w="0" w:type="dxa"/>
            <w:right w:w="108" w:type="dxa"/>
          </w:tblCellMar>
        </w:tblPrEx>
        <w:trPr>
          <w:trHeight w:val="270" w:hRule="atLeast"/>
        </w:trPr>
        <w:tc>
          <w:tcPr>
            <w:tcW w:w="1137" w:type="dxa"/>
            <w:tcBorders>
              <w:top w:val="single" w:color="000000" w:sz="4" w:space="0"/>
              <w:left w:val="single" w:color="000000" w:sz="4" w:space="0"/>
              <w:bottom w:val="single" w:color="000000" w:sz="4" w:space="0"/>
              <w:right w:val="single" w:color="000000" w:sz="4" w:space="0"/>
            </w:tcBorders>
            <w:noWrap/>
            <w:vAlign w:val="center"/>
          </w:tcPr>
          <w:p w14:paraId="158A0A5F">
            <w:pPr>
              <w:jc w:val="center"/>
              <w:rPr>
                <w:rFonts w:ascii="宋体" w:cs="宋体"/>
                <w:color w:val="000000"/>
                <w:kern w:val="0"/>
                <w:szCs w:val="21"/>
              </w:rPr>
            </w:pPr>
            <w:r>
              <w:rPr>
                <w:rFonts w:hint="eastAsia" w:ascii="宋体" w:cs="宋体"/>
                <w:color w:val="000000"/>
                <w:kern w:val="0"/>
                <w:szCs w:val="21"/>
              </w:rPr>
              <w:t>档案管理</w:t>
            </w:r>
          </w:p>
        </w:tc>
        <w:tc>
          <w:tcPr>
            <w:tcW w:w="1154" w:type="dxa"/>
            <w:tcBorders>
              <w:top w:val="single" w:color="000000" w:sz="4" w:space="0"/>
              <w:left w:val="single" w:color="000000" w:sz="4" w:space="0"/>
              <w:bottom w:val="single" w:color="000000" w:sz="4" w:space="0"/>
              <w:right w:val="single" w:color="000000" w:sz="4" w:space="0"/>
            </w:tcBorders>
            <w:noWrap/>
            <w:vAlign w:val="center"/>
          </w:tcPr>
          <w:p w14:paraId="0FEB484D">
            <w:pPr>
              <w:widowControl/>
              <w:jc w:val="left"/>
              <w:textAlignment w:val="center"/>
              <w:rPr>
                <w:rFonts w:ascii="宋体" w:cs="宋体"/>
                <w:color w:val="000000"/>
                <w:kern w:val="0"/>
                <w:szCs w:val="21"/>
              </w:rPr>
            </w:pPr>
            <w:r>
              <w:rPr>
                <w:rFonts w:hint="eastAsia" w:ascii="宋体" w:cs="宋体"/>
                <w:color w:val="000000"/>
                <w:kern w:val="0"/>
                <w:szCs w:val="21"/>
              </w:rPr>
              <w:t>档案管理</w:t>
            </w:r>
          </w:p>
        </w:tc>
        <w:tc>
          <w:tcPr>
            <w:tcW w:w="1740" w:type="dxa"/>
            <w:tcBorders>
              <w:top w:val="single" w:color="000000" w:sz="4" w:space="0"/>
              <w:left w:val="single" w:color="000000" w:sz="4" w:space="0"/>
              <w:bottom w:val="single" w:color="000000" w:sz="4" w:space="0"/>
              <w:right w:val="single" w:color="000000" w:sz="4" w:space="0"/>
            </w:tcBorders>
            <w:noWrap/>
            <w:vAlign w:val="center"/>
          </w:tcPr>
          <w:p w14:paraId="19943BF2">
            <w:pPr>
              <w:jc w:val="left"/>
              <w:rPr>
                <w:rFonts w:ascii="Arial" w:hAnsi="Arial" w:eastAsia="宋体" w:cs="Arial"/>
                <w:color w:val="000000"/>
                <w:szCs w:val="21"/>
              </w:rPr>
            </w:pPr>
            <w:r>
              <w:rPr>
                <w:rFonts w:hint="eastAsia" w:ascii="Arial" w:hAnsi="Arial" w:cs="Arial"/>
                <w:color w:val="000000"/>
                <w:szCs w:val="21"/>
              </w:rPr>
              <w:t>3</w:t>
            </w:r>
          </w:p>
        </w:tc>
        <w:tc>
          <w:tcPr>
            <w:tcW w:w="1773" w:type="dxa"/>
            <w:tcBorders>
              <w:top w:val="single" w:color="000000" w:sz="4" w:space="0"/>
              <w:left w:val="single" w:color="000000" w:sz="4" w:space="0"/>
              <w:bottom w:val="single" w:color="000000" w:sz="4" w:space="0"/>
              <w:right w:val="single" w:color="000000" w:sz="4" w:space="0"/>
            </w:tcBorders>
            <w:noWrap/>
            <w:vAlign w:val="center"/>
          </w:tcPr>
          <w:p w14:paraId="3D6751E5">
            <w:pPr>
              <w:jc w:val="left"/>
              <w:rPr>
                <w:rFonts w:ascii="Arial" w:hAnsi="Arial" w:eastAsia="宋体" w:cs="Arial"/>
                <w:color w:val="000000"/>
                <w:szCs w:val="21"/>
              </w:rPr>
            </w:pPr>
            <w:r>
              <w:rPr>
                <w:rFonts w:hint="eastAsia" w:ascii="Arial" w:hAnsi="Arial" w:cs="Arial"/>
                <w:color w:val="000000"/>
                <w:szCs w:val="21"/>
              </w:rPr>
              <w:t>3</w:t>
            </w:r>
          </w:p>
        </w:tc>
        <w:tc>
          <w:tcPr>
            <w:tcW w:w="3158" w:type="dxa"/>
            <w:tcBorders>
              <w:top w:val="single" w:color="000000" w:sz="4" w:space="0"/>
              <w:left w:val="single" w:color="000000" w:sz="4" w:space="0"/>
              <w:bottom w:val="single" w:color="000000" w:sz="4" w:space="0"/>
              <w:right w:val="single" w:color="000000" w:sz="4" w:space="0"/>
            </w:tcBorders>
            <w:noWrap/>
            <w:vAlign w:val="center"/>
          </w:tcPr>
          <w:p w14:paraId="19BBF7AD">
            <w:pPr>
              <w:jc w:val="left"/>
              <w:rPr>
                <w:rFonts w:ascii="Arial" w:hAnsi="Arial" w:cs="Arial"/>
                <w:color w:val="000000"/>
                <w:szCs w:val="21"/>
              </w:rPr>
            </w:pPr>
          </w:p>
        </w:tc>
      </w:tr>
    </w:tbl>
    <w:p w14:paraId="44E809F9">
      <w:pPr>
        <w:pStyle w:val="7"/>
        <w:spacing w:line="360" w:lineRule="auto"/>
        <w:ind w:left="0" w:firstLine="210" w:firstLineChars="100"/>
        <w:rPr>
          <w:rFonts w:hint="eastAsia" w:ascii="宋体" w:cs="宋体" w:hAnsiTheme="minorHAnsi"/>
          <w:b w:val="0"/>
          <w:color w:val="000000"/>
          <w:kern w:val="0"/>
          <w:sz w:val="21"/>
          <w:szCs w:val="21"/>
        </w:rPr>
      </w:pPr>
      <w:r>
        <w:rPr>
          <w:rFonts w:hint="eastAsia" w:ascii="宋体" w:cs="宋体" w:hAnsiTheme="minorHAnsi"/>
          <w:b w:val="0"/>
          <w:color w:val="000000"/>
          <w:kern w:val="0"/>
          <w:sz w:val="21"/>
          <w:szCs w:val="21"/>
        </w:rPr>
        <w:t>★本项目服务人员总数不得少于41人。</w:t>
      </w:r>
    </w:p>
    <w:p w14:paraId="55ABA2CE">
      <w:pPr>
        <w:pStyle w:val="7"/>
        <w:spacing w:line="360" w:lineRule="auto"/>
        <w:ind w:left="0" w:firstLine="210" w:firstLineChars="100"/>
        <w:rPr>
          <w:rFonts w:hint="eastAsia" w:ascii="宋体" w:cs="宋体" w:hAnsiTheme="minorHAnsi"/>
          <w:b w:val="0"/>
          <w:color w:val="000000"/>
          <w:kern w:val="0"/>
          <w:sz w:val="21"/>
          <w:szCs w:val="21"/>
        </w:rPr>
      </w:pPr>
      <w:r>
        <w:rPr>
          <w:rFonts w:hint="eastAsia" w:ascii="宋体" w:cs="宋体" w:hAnsiTheme="minorHAnsi"/>
          <w:b w:val="0"/>
          <w:color w:val="000000"/>
          <w:kern w:val="0"/>
          <w:sz w:val="21"/>
          <w:szCs w:val="21"/>
        </w:rPr>
        <w:t>若本项目包括须具有国家或行业主管部门颁发的准入性职业资格证书方可提供服务的岗位，则必须承诺中标后投入的服务人员均已取得相应的准入性职业资格证书，且证书类别及等级须完全满足本项目岗位需求。</w:t>
      </w:r>
    </w:p>
    <w:p w14:paraId="1BDB81F7">
      <w:pPr>
        <w:widowControl/>
        <w:spacing w:beforeLines="50" w:line="360" w:lineRule="auto"/>
        <w:jc w:val="left"/>
        <w:outlineLvl w:val="1"/>
        <w:rPr>
          <w:rFonts w:eastAsia="宋体"/>
          <w:b/>
          <w:color w:val="FF0000"/>
          <w:sz w:val="28"/>
          <w:szCs w:val="28"/>
        </w:rPr>
      </w:pPr>
      <w:r>
        <w:rPr>
          <w:rFonts w:hint="eastAsia"/>
          <w:b/>
          <w:sz w:val="28"/>
          <w:szCs w:val="28"/>
        </w:rPr>
        <w:t xml:space="preserve">    五、</w:t>
      </w:r>
      <w:r>
        <w:rPr>
          <w:rFonts w:hint="eastAsia" w:ascii="Times New Roman" w:hAnsi="Times New Roman"/>
          <w:b/>
          <w:sz w:val="28"/>
          <w:szCs w:val="28"/>
        </w:rPr>
        <w:t>物业管理</w:t>
      </w:r>
      <w:r>
        <w:rPr>
          <w:rFonts w:hint="eastAsia"/>
          <w:b/>
          <w:sz w:val="28"/>
          <w:szCs w:val="28"/>
        </w:rPr>
        <w:t>服务</w:t>
      </w:r>
      <w:r>
        <w:rPr>
          <w:rFonts w:hint="eastAsia" w:ascii="Times New Roman" w:hAnsi="Times New Roman"/>
          <w:b/>
          <w:sz w:val="28"/>
          <w:szCs w:val="28"/>
        </w:rPr>
        <w:t>费用明细</w:t>
      </w:r>
    </w:p>
    <w:p w14:paraId="7DEDA215">
      <w:pPr>
        <w:spacing w:line="360" w:lineRule="auto"/>
        <w:ind w:firstLine="420" w:firstLineChars="200"/>
        <w:rPr>
          <w:rFonts w:ascii="宋体"/>
          <w:szCs w:val="21"/>
        </w:rPr>
      </w:pPr>
      <w:r>
        <w:rPr>
          <w:rFonts w:hint="eastAsia" w:ascii="宋体"/>
          <w:szCs w:val="21"/>
        </w:rPr>
        <w:t>（一）</w:t>
      </w:r>
      <w:r>
        <w:rPr>
          <w:rFonts w:ascii="宋体"/>
          <w:szCs w:val="21"/>
        </w:rPr>
        <w:t>物业</w:t>
      </w:r>
      <w:r>
        <w:rPr>
          <w:rFonts w:hint="eastAsia" w:ascii="宋体"/>
          <w:szCs w:val="21"/>
        </w:rPr>
        <w:t>管理服务</w:t>
      </w:r>
      <w:r>
        <w:rPr>
          <w:rFonts w:ascii="宋体"/>
          <w:szCs w:val="21"/>
        </w:rPr>
        <w:t>费内容包括：</w:t>
      </w:r>
    </w:p>
    <w:p w14:paraId="40282F51">
      <w:pPr>
        <w:spacing w:line="360" w:lineRule="auto"/>
        <w:ind w:firstLine="420" w:firstLineChars="200"/>
        <w:rPr>
          <w:rFonts w:ascii="宋体"/>
          <w:szCs w:val="21"/>
        </w:rPr>
      </w:pPr>
      <w:r>
        <w:rPr>
          <w:rFonts w:hint="eastAsia" w:ascii="宋体"/>
          <w:szCs w:val="21"/>
        </w:rPr>
        <w:t>1、</w:t>
      </w:r>
      <w:r>
        <w:rPr>
          <w:rFonts w:ascii="宋体"/>
          <w:szCs w:val="21"/>
        </w:rPr>
        <w:t>员工人工工资</w:t>
      </w:r>
    </w:p>
    <w:p w14:paraId="2DB4C1BF">
      <w:pPr>
        <w:spacing w:line="360" w:lineRule="auto"/>
        <w:ind w:firstLine="420" w:firstLineChars="200"/>
        <w:rPr>
          <w:rFonts w:ascii="宋体"/>
          <w:szCs w:val="21"/>
        </w:rPr>
      </w:pPr>
      <w:r>
        <w:rPr>
          <w:rFonts w:hint="eastAsia" w:ascii="宋体"/>
          <w:szCs w:val="21"/>
        </w:rPr>
        <w:t>2、</w:t>
      </w:r>
      <w:r>
        <w:rPr>
          <w:rFonts w:ascii="宋体"/>
          <w:szCs w:val="21"/>
        </w:rPr>
        <w:t>员工社保基金、福利费用</w:t>
      </w:r>
    </w:p>
    <w:p w14:paraId="4A81634D">
      <w:pPr>
        <w:spacing w:line="360" w:lineRule="auto"/>
        <w:ind w:firstLine="420" w:firstLineChars="200"/>
        <w:rPr>
          <w:rFonts w:ascii="宋体"/>
          <w:szCs w:val="21"/>
        </w:rPr>
      </w:pPr>
      <w:r>
        <w:rPr>
          <w:rFonts w:hint="eastAsia" w:ascii="宋体"/>
          <w:szCs w:val="21"/>
        </w:rPr>
        <w:t>3、</w:t>
      </w:r>
      <w:r>
        <w:rPr>
          <w:rFonts w:ascii="宋体"/>
          <w:szCs w:val="21"/>
        </w:rPr>
        <w:t>年终奖金</w:t>
      </w:r>
    </w:p>
    <w:p w14:paraId="47A6E5D1">
      <w:pPr>
        <w:spacing w:line="360" w:lineRule="auto"/>
        <w:ind w:firstLine="420" w:firstLineChars="200"/>
        <w:rPr>
          <w:rFonts w:ascii="宋体"/>
          <w:szCs w:val="21"/>
        </w:rPr>
      </w:pPr>
      <w:r>
        <w:rPr>
          <w:rFonts w:hint="eastAsia" w:ascii="宋体"/>
          <w:szCs w:val="21"/>
        </w:rPr>
        <w:t>4、</w:t>
      </w:r>
      <w:r>
        <w:rPr>
          <w:rFonts w:ascii="宋体"/>
          <w:szCs w:val="21"/>
        </w:rPr>
        <w:t>固定加班费</w:t>
      </w:r>
    </w:p>
    <w:p w14:paraId="57381412">
      <w:pPr>
        <w:spacing w:line="360" w:lineRule="auto"/>
        <w:ind w:firstLine="420" w:firstLineChars="200"/>
        <w:rPr>
          <w:rFonts w:ascii="宋体"/>
          <w:szCs w:val="21"/>
        </w:rPr>
      </w:pPr>
      <w:r>
        <w:rPr>
          <w:rFonts w:hint="eastAsia" w:ascii="宋体"/>
          <w:szCs w:val="21"/>
        </w:rPr>
        <w:t>5、</w:t>
      </w:r>
      <w:r>
        <w:rPr>
          <w:rFonts w:ascii="宋体"/>
          <w:szCs w:val="21"/>
        </w:rPr>
        <w:t>离职补偿金</w:t>
      </w:r>
    </w:p>
    <w:p w14:paraId="4B009D3B">
      <w:pPr>
        <w:spacing w:line="360" w:lineRule="auto"/>
        <w:ind w:firstLine="420" w:firstLineChars="200"/>
        <w:rPr>
          <w:rFonts w:ascii="宋体"/>
          <w:szCs w:val="21"/>
        </w:rPr>
      </w:pPr>
      <w:r>
        <w:rPr>
          <w:rFonts w:hint="eastAsia" w:ascii="宋体"/>
          <w:szCs w:val="21"/>
        </w:rPr>
        <w:t>6、</w:t>
      </w:r>
      <w:r>
        <w:rPr>
          <w:rFonts w:ascii="宋体"/>
          <w:szCs w:val="21"/>
        </w:rPr>
        <w:t>服装费</w:t>
      </w:r>
    </w:p>
    <w:p w14:paraId="4F02FAEB">
      <w:pPr>
        <w:spacing w:line="360" w:lineRule="auto"/>
        <w:ind w:firstLine="420" w:firstLineChars="200"/>
        <w:rPr>
          <w:rFonts w:ascii="宋体"/>
          <w:szCs w:val="21"/>
        </w:rPr>
      </w:pPr>
      <w:r>
        <w:rPr>
          <w:rFonts w:hint="eastAsia" w:ascii="宋体"/>
          <w:szCs w:val="21"/>
        </w:rPr>
        <w:t>7、</w:t>
      </w:r>
      <w:r>
        <w:rPr>
          <w:rFonts w:ascii="宋体"/>
          <w:szCs w:val="21"/>
        </w:rPr>
        <w:t>教育培训费</w:t>
      </w:r>
    </w:p>
    <w:p w14:paraId="6B6852C7">
      <w:pPr>
        <w:spacing w:line="360" w:lineRule="auto"/>
        <w:ind w:firstLine="420" w:firstLineChars="200"/>
        <w:rPr>
          <w:rFonts w:ascii="宋体"/>
          <w:szCs w:val="21"/>
        </w:rPr>
      </w:pPr>
      <w:r>
        <w:rPr>
          <w:rFonts w:hint="eastAsia" w:ascii="宋体"/>
          <w:szCs w:val="21"/>
        </w:rPr>
        <w:t>8、</w:t>
      </w:r>
      <w:r>
        <w:rPr>
          <w:rFonts w:ascii="宋体"/>
          <w:szCs w:val="21"/>
        </w:rPr>
        <w:t>办公费用</w:t>
      </w:r>
    </w:p>
    <w:p w14:paraId="073C1DA9">
      <w:pPr>
        <w:spacing w:line="360" w:lineRule="auto"/>
        <w:ind w:firstLine="420" w:firstLineChars="200"/>
        <w:rPr>
          <w:rFonts w:ascii="宋体"/>
          <w:szCs w:val="21"/>
        </w:rPr>
      </w:pPr>
      <w:r>
        <w:rPr>
          <w:rFonts w:hint="eastAsia" w:ascii="宋体"/>
          <w:szCs w:val="21"/>
        </w:rPr>
        <w:t>9、</w:t>
      </w:r>
      <w:r>
        <w:rPr>
          <w:rFonts w:ascii="宋体"/>
          <w:szCs w:val="21"/>
        </w:rPr>
        <w:t>保险费</w:t>
      </w:r>
    </w:p>
    <w:p w14:paraId="50AEE81C">
      <w:pPr>
        <w:spacing w:line="360" w:lineRule="auto"/>
        <w:ind w:firstLine="420" w:firstLineChars="200"/>
        <w:rPr>
          <w:rFonts w:ascii="宋体"/>
          <w:szCs w:val="21"/>
        </w:rPr>
      </w:pPr>
      <w:r>
        <w:rPr>
          <w:rFonts w:hint="eastAsia" w:ascii="宋体"/>
          <w:szCs w:val="21"/>
        </w:rPr>
        <w:t>10、</w:t>
      </w:r>
      <w:r>
        <w:rPr>
          <w:rFonts w:ascii="宋体"/>
          <w:szCs w:val="21"/>
        </w:rPr>
        <w:t>公司管理费及酬金</w:t>
      </w:r>
    </w:p>
    <w:p w14:paraId="0048577D">
      <w:pPr>
        <w:spacing w:line="360" w:lineRule="auto"/>
        <w:ind w:firstLine="420" w:firstLineChars="200"/>
        <w:rPr>
          <w:rFonts w:ascii="宋体"/>
          <w:szCs w:val="21"/>
        </w:rPr>
      </w:pPr>
      <w:r>
        <w:rPr>
          <w:rFonts w:hint="eastAsia" w:ascii="宋体"/>
          <w:szCs w:val="21"/>
        </w:rPr>
        <w:t>11、</w:t>
      </w:r>
      <w:r>
        <w:rPr>
          <w:rFonts w:ascii="宋体"/>
          <w:szCs w:val="21"/>
        </w:rPr>
        <w:t>税金</w:t>
      </w:r>
    </w:p>
    <w:p w14:paraId="0F91EC0C">
      <w:pPr>
        <w:spacing w:line="360" w:lineRule="auto"/>
        <w:ind w:firstLine="420" w:firstLineChars="200"/>
        <w:rPr>
          <w:rFonts w:ascii="宋体"/>
          <w:szCs w:val="21"/>
        </w:rPr>
      </w:pPr>
      <w:r>
        <w:rPr>
          <w:rFonts w:hint="eastAsia" w:ascii="宋体"/>
          <w:szCs w:val="21"/>
        </w:rPr>
        <w:t>（二）</w:t>
      </w:r>
      <w:r>
        <w:rPr>
          <w:rFonts w:ascii="宋体"/>
          <w:szCs w:val="21"/>
        </w:rPr>
        <w:t>采购</w:t>
      </w:r>
      <w:r>
        <w:rPr>
          <w:rFonts w:hint="eastAsia" w:ascii="宋体"/>
          <w:szCs w:val="21"/>
        </w:rPr>
        <w:t>单位</w:t>
      </w:r>
      <w:r>
        <w:rPr>
          <w:rFonts w:ascii="宋体"/>
          <w:szCs w:val="21"/>
        </w:rPr>
        <w:t>自理费用项目：</w:t>
      </w:r>
    </w:p>
    <w:p w14:paraId="4AB8A71E">
      <w:pPr>
        <w:spacing w:line="360" w:lineRule="auto"/>
        <w:ind w:firstLine="420" w:firstLineChars="200"/>
        <w:rPr>
          <w:rFonts w:ascii="宋体"/>
          <w:szCs w:val="21"/>
        </w:rPr>
      </w:pPr>
      <w:r>
        <w:rPr>
          <w:rFonts w:ascii="宋体"/>
          <w:szCs w:val="21"/>
        </w:rPr>
        <w:t>1</w:t>
      </w:r>
      <w:r>
        <w:rPr>
          <w:rFonts w:hint="eastAsia" w:ascii="宋体"/>
          <w:szCs w:val="21"/>
        </w:rPr>
        <w:t>、</w:t>
      </w:r>
      <w:r>
        <w:rPr>
          <w:rFonts w:ascii="宋体"/>
          <w:szCs w:val="21"/>
        </w:rPr>
        <w:t>水、电、煤等能源消耗费。</w:t>
      </w:r>
    </w:p>
    <w:p w14:paraId="44B2A120">
      <w:pPr>
        <w:spacing w:line="360" w:lineRule="auto"/>
        <w:ind w:firstLine="420" w:firstLineChars="200"/>
        <w:rPr>
          <w:rFonts w:ascii="宋体"/>
          <w:szCs w:val="21"/>
        </w:rPr>
      </w:pPr>
      <w:r>
        <w:rPr>
          <w:rFonts w:hint="eastAsia" w:ascii="宋体"/>
          <w:szCs w:val="21"/>
        </w:rPr>
        <w:t>2、</w:t>
      </w:r>
      <w:r>
        <w:rPr>
          <w:rFonts w:ascii="宋体"/>
          <w:szCs w:val="21"/>
        </w:rPr>
        <w:t>日常保洁耗材、洗手间耗材及工具更新费用。</w:t>
      </w:r>
    </w:p>
    <w:p w14:paraId="639FA462">
      <w:pPr>
        <w:spacing w:line="360" w:lineRule="auto"/>
        <w:ind w:firstLine="420" w:firstLineChars="200"/>
        <w:rPr>
          <w:rFonts w:ascii="宋体"/>
          <w:szCs w:val="21"/>
        </w:rPr>
      </w:pPr>
      <w:r>
        <w:rPr>
          <w:rFonts w:hint="eastAsia" w:ascii="宋体"/>
          <w:szCs w:val="21"/>
        </w:rPr>
        <w:t>3、</w:t>
      </w:r>
      <w:r>
        <w:rPr>
          <w:rFonts w:ascii="宋体"/>
          <w:szCs w:val="21"/>
        </w:rPr>
        <w:t>会务保障材料费，如所需的徽标制作，鲜花、席卡、茶水、饮品、水果、茶具、器具及相关设备等。</w:t>
      </w:r>
    </w:p>
    <w:p w14:paraId="2A3510CF">
      <w:pPr>
        <w:spacing w:line="360" w:lineRule="auto"/>
        <w:ind w:firstLine="420" w:firstLineChars="200"/>
        <w:rPr>
          <w:rFonts w:ascii="宋体"/>
          <w:szCs w:val="21"/>
        </w:rPr>
      </w:pPr>
      <w:r>
        <w:rPr>
          <w:rFonts w:hint="eastAsia" w:ascii="宋体"/>
          <w:szCs w:val="21"/>
        </w:rPr>
        <w:t>4、</w:t>
      </w:r>
      <w:r>
        <w:rPr>
          <w:rFonts w:ascii="宋体"/>
          <w:szCs w:val="21"/>
        </w:rPr>
        <w:t>垃圾清运费。</w:t>
      </w:r>
    </w:p>
    <w:p w14:paraId="434E3CE2">
      <w:pPr>
        <w:widowControl/>
        <w:spacing w:line="360" w:lineRule="auto"/>
        <w:ind w:firstLine="420" w:firstLineChars="200"/>
        <w:jc w:val="left"/>
        <w:rPr>
          <w:rFonts w:ascii="宋体"/>
          <w:szCs w:val="20"/>
        </w:rPr>
      </w:pPr>
      <w:r>
        <w:rPr>
          <w:rFonts w:ascii="宋体"/>
          <w:szCs w:val="21"/>
        </w:rPr>
        <w:t>11</w:t>
      </w:r>
      <w:r>
        <w:rPr>
          <w:rFonts w:hint="eastAsia" w:ascii="宋体"/>
          <w:szCs w:val="21"/>
        </w:rPr>
        <w:t>、</w:t>
      </w:r>
      <w:r>
        <w:rPr>
          <w:rFonts w:ascii="宋体"/>
          <w:szCs w:val="21"/>
        </w:rPr>
        <w:t>除物业服务管理费约定以外的费用。</w:t>
      </w:r>
    </w:p>
    <w:p w14:paraId="2CED62D6">
      <w:pPr>
        <w:widowControl/>
        <w:spacing w:beforeLines="50" w:line="360" w:lineRule="auto"/>
        <w:ind w:firstLine="562" w:firstLineChars="200"/>
        <w:jc w:val="left"/>
        <w:outlineLvl w:val="1"/>
        <w:rPr>
          <w:b/>
          <w:sz w:val="28"/>
          <w:szCs w:val="28"/>
        </w:rPr>
      </w:pPr>
      <w:r>
        <w:rPr>
          <w:rFonts w:hint="eastAsia"/>
          <w:b/>
          <w:sz w:val="28"/>
          <w:szCs w:val="28"/>
        </w:rPr>
        <w:t>六、其他要求</w:t>
      </w:r>
    </w:p>
    <w:p w14:paraId="3A0A10A5">
      <w:pPr>
        <w:spacing w:line="360" w:lineRule="auto"/>
        <w:ind w:firstLine="420" w:firstLineChars="200"/>
        <w:rPr>
          <w:rFonts w:cs="宋体"/>
          <w:color w:val="000000"/>
          <w:kern w:val="0"/>
          <w:szCs w:val="21"/>
        </w:rPr>
      </w:pPr>
      <w:r>
        <w:rPr>
          <w:rFonts w:hint="eastAsia" w:ascii="宋体"/>
          <w:szCs w:val="21"/>
        </w:rPr>
        <w:t>（1）</w:t>
      </w:r>
      <w:r>
        <w:rPr>
          <w:rFonts w:hint="eastAsia" w:cs="宋体"/>
          <w:color w:val="000000"/>
          <w:kern w:val="0"/>
          <w:szCs w:val="21"/>
        </w:rPr>
        <w:t>供应商具有质量管理体系认证（GB/T 19001认证）、职业健康安全管理体系认证（GB/T 45001认证），环境管理体系认证（GB/T 24001认证），并在认证有效期内的优先考虑。</w:t>
      </w:r>
    </w:p>
    <w:p w14:paraId="62C7AE23">
      <w:pPr>
        <w:spacing w:line="360" w:lineRule="auto"/>
        <w:ind w:firstLine="420" w:firstLineChars="200"/>
        <w:rPr>
          <w:rFonts w:ascii="宋体"/>
          <w:szCs w:val="21"/>
        </w:rPr>
      </w:pPr>
      <w:r>
        <w:rPr>
          <w:rFonts w:hint="eastAsia" w:ascii="宋体"/>
          <w:szCs w:val="21"/>
        </w:rPr>
        <w:t>（2）</w:t>
      </w:r>
      <w:r>
        <w:rPr>
          <w:rFonts w:hint="eastAsia" w:cs="宋体"/>
          <w:color w:val="000000"/>
          <w:kern w:val="0"/>
          <w:szCs w:val="21"/>
        </w:rPr>
        <w:t>供应商</w:t>
      </w:r>
      <w:r>
        <w:rPr>
          <w:rFonts w:hint="eastAsia" w:ascii="宋体"/>
          <w:szCs w:val="21"/>
        </w:rPr>
        <w:t>具备近三年类似项目业绩的优先考虑。</w:t>
      </w:r>
    </w:p>
    <w:p w14:paraId="76F00FA1">
      <w:pPr>
        <w:spacing w:line="360" w:lineRule="auto"/>
        <w:ind w:firstLine="420" w:firstLineChars="200"/>
        <w:rPr>
          <w:rFonts w:ascii="宋体"/>
          <w:szCs w:val="21"/>
        </w:rPr>
      </w:pPr>
      <w:r>
        <w:rPr>
          <w:rFonts w:hint="eastAsia" w:ascii="宋体"/>
          <w:szCs w:val="21"/>
        </w:rPr>
        <w:t xml:space="preserve">    （3）工作地点：招标单位</w:t>
      </w:r>
    </w:p>
    <w:p w14:paraId="1F09EE13">
      <w:pPr>
        <w:spacing w:line="360" w:lineRule="auto"/>
        <w:ind w:firstLine="840" w:firstLineChars="400"/>
        <w:rPr>
          <w:rFonts w:ascii="宋体"/>
          <w:szCs w:val="21"/>
        </w:rPr>
      </w:pPr>
      <w:r>
        <w:rPr>
          <w:rFonts w:hint="eastAsia" w:ascii="宋体"/>
          <w:szCs w:val="21"/>
        </w:rPr>
        <w:t>（4）工作时间：</w:t>
      </w:r>
    </w:p>
    <w:p w14:paraId="10002294">
      <w:pPr>
        <w:spacing w:line="360" w:lineRule="auto"/>
        <w:ind w:firstLine="1050" w:firstLineChars="500"/>
        <w:rPr>
          <w:rFonts w:ascii="宋体"/>
          <w:szCs w:val="21"/>
        </w:rPr>
      </w:pPr>
      <w:r>
        <w:rPr>
          <w:rFonts w:hint="eastAsia" w:ascii="宋体"/>
          <w:szCs w:val="21"/>
        </w:rPr>
        <w:t>上午7时至下午16时，中午一小时午休。</w:t>
      </w:r>
    </w:p>
    <w:p w14:paraId="422308FA">
      <w:pPr>
        <w:spacing w:line="360" w:lineRule="auto"/>
        <w:ind w:firstLine="1050" w:firstLineChars="500"/>
        <w:rPr>
          <w:rFonts w:ascii="宋体"/>
          <w:szCs w:val="21"/>
        </w:rPr>
      </w:pPr>
      <w:r>
        <w:rPr>
          <w:rFonts w:hint="eastAsia" w:ascii="宋体"/>
          <w:szCs w:val="21"/>
        </w:rPr>
        <w:t>能够配合中心工作时间，必要时加班。</w:t>
      </w:r>
    </w:p>
    <w:p w14:paraId="6E705916">
      <w:pPr>
        <w:spacing w:line="360" w:lineRule="auto"/>
        <w:rPr>
          <w:rFonts w:ascii="宋体"/>
          <w:sz w:val="24"/>
        </w:rPr>
      </w:pPr>
    </w:p>
    <w:p w14:paraId="4A43677B">
      <w:pPr>
        <w:spacing w:line="360" w:lineRule="auto"/>
        <w:rPr>
          <w:rFonts w:ascii="宋体"/>
          <w:b/>
          <w:bCs/>
          <w:sz w:val="24"/>
        </w:rPr>
      </w:pPr>
      <w:r>
        <w:rPr>
          <w:rFonts w:hint="eastAsia" w:ascii="宋体"/>
          <w:b/>
          <w:bCs/>
          <w:sz w:val="24"/>
        </w:rPr>
        <w:t>附件（供参考）</w:t>
      </w:r>
    </w:p>
    <w:p w14:paraId="7E297B40">
      <w:pPr>
        <w:spacing w:line="360" w:lineRule="auto"/>
        <w:rPr>
          <w:rFonts w:ascii="宋体"/>
          <w:b/>
          <w:bCs/>
          <w:sz w:val="24"/>
        </w:rPr>
      </w:pPr>
      <w:r>
        <w:rPr>
          <w:rFonts w:hint="eastAsia" w:ascii="宋体"/>
          <w:b/>
          <w:bCs/>
          <w:sz w:val="24"/>
        </w:rPr>
        <w:t>1、物业管理服务人员行为参考规范</w:t>
      </w:r>
    </w:p>
    <w:tbl>
      <w:tblPr>
        <w:tblStyle w:val="9"/>
        <w:tblW w:w="5810" w:type="pct"/>
        <w:tblInd w:w="0" w:type="dxa"/>
        <w:tblLayout w:type="autofit"/>
        <w:tblCellMar>
          <w:top w:w="0" w:type="dxa"/>
          <w:left w:w="108" w:type="dxa"/>
          <w:bottom w:w="0" w:type="dxa"/>
          <w:right w:w="108" w:type="dxa"/>
        </w:tblCellMar>
      </w:tblPr>
      <w:tblGrid>
        <w:gridCol w:w="1022"/>
        <w:gridCol w:w="1081"/>
        <w:gridCol w:w="7800"/>
      </w:tblGrid>
      <w:tr w14:paraId="28388A06">
        <w:tblPrEx>
          <w:tblCellMar>
            <w:top w:w="0" w:type="dxa"/>
            <w:left w:w="108" w:type="dxa"/>
            <w:bottom w:w="0" w:type="dxa"/>
            <w:right w:w="108" w:type="dxa"/>
          </w:tblCellMar>
        </w:tblPrEx>
        <w:trPr>
          <w:trHeight w:val="660" w:hRule="atLeast"/>
        </w:trPr>
        <w:tc>
          <w:tcPr>
            <w:tcW w:w="2103" w:type="dxa"/>
            <w:gridSpan w:val="2"/>
            <w:tcBorders>
              <w:top w:val="single" w:color="000000" w:sz="4" w:space="0"/>
              <w:left w:val="single" w:color="000000" w:sz="4" w:space="0"/>
              <w:bottom w:val="single" w:color="000000" w:sz="4" w:space="0"/>
              <w:right w:val="single" w:color="000000" w:sz="4" w:space="0"/>
            </w:tcBorders>
            <w:noWrap/>
            <w:vAlign w:val="center"/>
          </w:tcPr>
          <w:p w14:paraId="796E8464">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项   目</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62E18590">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行为参考规范</w:t>
            </w:r>
          </w:p>
        </w:tc>
      </w:tr>
      <w:tr w14:paraId="20D6D893">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ign w:val="center"/>
          </w:tcPr>
          <w:p w14:paraId="28B5B7FA">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仪  容  仪  表</w:t>
            </w:r>
          </w:p>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14:paraId="0E9A85E6">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服饰着装</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7096239F">
            <w:pPr>
              <w:widowControl/>
              <w:jc w:val="left"/>
              <w:textAlignment w:val="center"/>
              <w:rPr>
                <w:rFonts w:ascii="宋体" w:cs="宋体"/>
                <w:color w:val="000000"/>
                <w:szCs w:val="21"/>
              </w:rPr>
            </w:pPr>
            <w:r>
              <w:rPr>
                <w:rFonts w:hint="eastAsia" w:ascii="宋体" w:cs="宋体"/>
                <w:color w:val="000000"/>
                <w:kern w:val="0"/>
                <w:szCs w:val="21"/>
              </w:rPr>
              <w:t>1.上班时间必须穿工作服，工作服穿戴整齐整洁；</w:t>
            </w:r>
          </w:p>
        </w:tc>
      </w:tr>
      <w:tr w14:paraId="7FE31D85">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55A6206D"/>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51B01D15"/>
        </w:tc>
        <w:tc>
          <w:tcPr>
            <w:tcW w:w="7800" w:type="dxa"/>
            <w:tcBorders>
              <w:top w:val="single" w:color="000000" w:sz="4" w:space="0"/>
              <w:left w:val="single" w:color="000000" w:sz="4" w:space="0"/>
              <w:bottom w:val="single" w:color="000000" w:sz="4" w:space="0"/>
              <w:right w:val="single" w:color="000000" w:sz="4" w:space="0"/>
            </w:tcBorders>
            <w:noWrap/>
            <w:vAlign w:val="center"/>
          </w:tcPr>
          <w:p w14:paraId="387510F3">
            <w:pPr>
              <w:widowControl/>
              <w:jc w:val="left"/>
              <w:textAlignment w:val="center"/>
              <w:rPr>
                <w:rFonts w:ascii="宋体" w:cs="宋体"/>
                <w:color w:val="000000"/>
                <w:szCs w:val="21"/>
              </w:rPr>
            </w:pPr>
            <w:r>
              <w:rPr>
                <w:rFonts w:hint="eastAsia" w:ascii="宋体" w:cs="宋体"/>
                <w:color w:val="000000"/>
                <w:kern w:val="0"/>
                <w:szCs w:val="21"/>
              </w:rPr>
              <w:t>2.上班统一佩戴工作牌，工作牌应端正地戴在左胸襟处；</w:t>
            </w:r>
          </w:p>
        </w:tc>
      </w:tr>
      <w:tr w14:paraId="1C78F5C4">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757394A9"/>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5B073F4F"/>
        </w:tc>
        <w:tc>
          <w:tcPr>
            <w:tcW w:w="7800" w:type="dxa"/>
            <w:tcBorders>
              <w:top w:val="single" w:color="000000" w:sz="4" w:space="0"/>
              <w:left w:val="single" w:color="000000" w:sz="4" w:space="0"/>
              <w:bottom w:val="single" w:color="000000" w:sz="4" w:space="0"/>
              <w:right w:val="single" w:color="000000" w:sz="4" w:space="0"/>
            </w:tcBorders>
            <w:noWrap/>
            <w:vAlign w:val="center"/>
          </w:tcPr>
          <w:p w14:paraId="269B58B9">
            <w:pPr>
              <w:widowControl/>
              <w:jc w:val="left"/>
              <w:textAlignment w:val="center"/>
              <w:rPr>
                <w:rFonts w:ascii="宋体" w:cs="宋体"/>
                <w:color w:val="000000"/>
                <w:szCs w:val="21"/>
              </w:rPr>
            </w:pPr>
            <w:r>
              <w:rPr>
                <w:rFonts w:hint="eastAsia" w:ascii="宋体" w:cs="宋体"/>
                <w:color w:val="000000"/>
                <w:kern w:val="0"/>
                <w:szCs w:val="21"/>
              </w:rPr>
              <w:t xml:space="preserve">3.鞋袜穿戴整齐清洁， 非工作需要不允许打赤脚或穿雨鞋到处走。特殊工作完毕应在工作场所将鞋擦干净再走； </w:t>
            </w:r>
          </w:p>
        </w:tc>
      </w:tr>
      <w:tr w14:paraId="528628C0">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46B5EFF4"/>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7810EB7E"/>
        </w:tc>
        <w:tc>
          <w:tcPr>
            <w:tcW w:w="7800" w:type="dxa"/>
            <w:tcBorders>
              <w:top w:val="single" w:color="000000" w:sz="4" w:space="0"/>
              <w:left w:val="single" w:color="000000" w:sz="4" w:space="0"/>
              <w:bottom w:val="single" w:color="000000" w:sz="4" w:space="0"/>
              <w:right w:val="single" w:color="000000" w:sz="4" w:space="0"/>
            </w:tcBorders>
            <w:noWrap/>
            <w:vAlign w:val="center"/>
          </w:tcPr>
          <w:p w14:paraId="6292AAEE">
            <w:pPr>
              <w:widowControl/>
              <w:jc w:val="left"/>
              <w:textAlignment w:val="center"/>
              <w:rPr>
                <w:rFonts w:ascii="宋体" w:cs="宋体"/>
                <w:color w:val="000000"/>
                <w:szCs w:val="21"/>
              </w:rPr>
            </w:pPr>
            <w:r>
              <w:rPr>
                <w:rFonts w:hint="eastAsia" w:ascii="宋体" w:cs="宋体"/>
                <w:color w:val="000000"/>
                <w:kern w:val="0"/>
                <w:szCs w:val="21"/>
              </w:rPr>
              <w:t>4.非特殊情况不允许穿背心、短裤、拖鞋。</w:t>
            </w:r>
          </w:p>
        </w:tc>
      </w:tr>
      <w:tr w14:paraId="1003B424">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1FFAF81F"/>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14:paraId="53094739">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须发</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0E3A0A73">
            <w:pPr>
              <w:widowControl/>
              <w:jc w:val="left"/>
              <w:textAlignment w:val="center"/>
              <w:rPr>
                <w:rFonts w:ascii="宋体" w:cs="宋体"/>
                <w:color w:val="000000"/>
                <w:szCs w:val="21"/>
              </w:rPr>
            </w:pPr>
            <w:r>
              <w:rPr>
                <w:rFonts w:hint="eastAsia" w:ascii="宋体" w:cs="宋体"/>
                <w:color w:val="000000"/>
                <w:kern w:val="0"/>
                <w:szCs w:val="21"/>
              </w:rPr>
              <w:t>1.女员工前发不遮眼， 不梳怪异发型；</w:t>
            </w:r>
          </w:p>
        </w:tc>
      </w:tr>
      <w:tr w14:paraId="35B3EA29">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545670EA"/>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24617420"/>
        </w:tc>
        <w:tc>
          <w:tcPr>
            <w:tcW w:w="7800" w:type="dxa"/>
            <w:tcBorders>
              <w:top w:val="single" w:color="000000" w:sz="4" w:space="0"/>
              <w:left w:val="single" w:color="000000" w:sz="4" w:space="0"/>
              <w:bottom w:val="single" w:color="000000" w:sz="4" w:space="0"/>
              <w:right w:val="single" w:color="000000" w:sz="4" w:space="0"/>
            </w:tcBorders>
            <w:noWrap/>
            <w:vAlign w:val="center"/>
          </w:tcPr>
          <w:p w14:paraId="235A3449">
            <w:pPr>
              <w:widowControl/>
              <w:jc w:val="left"/>
              <w:textAlignment w:val="center"/>
              <w:rPr>
                <w:rFonts w:ascii="宋体" w:cs="宋体"/>
                <w:color w:val="000000"/>
                <w:szCs w:val="21"/>
              </w:rPr>
            </w:pPr>
            <w:r>
              <w:rPr>
                <w:rFonts w:hint="eastAsia" w:ascii="宋体" w:cs="宋体"/>
                <w:color w:val="000000"/>
                <w:kern w:val="0"/>
                <w:szCs w:val="21"/>
              </w:rPr>
              <w:t>2.男员工不留长发，不留胡须；</w:t>
            </w:r>
          </w:p>
        </w:tc>
      </w:tr>
      <w:tr w14:paraId="6601D8DA">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5CF21ABC"/>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5706E340"/>
        </w:tc>
        <w:tc>
          <w:tcPr>
            <w:tcW w:w="7800" w:type="dxa"/>
            <w:tcBorders>
              <w:top w:val="single" w:color="000000" w:sz="4" w:space="0"/>
              <w:left w:val="single" w:color="000000" w:sz="4" w:space="0"/>
              <w:bottom w:val="single" w:color="000000" w:sz="4" w:space="0"/>
              <w:right w:val="single" w:color="000000" w:sz="4" w:space="0"/>
            </w:tcBorders>
            <w:noWrap/>
            <w:vAlign w:val="center"/>
          </w:tcPr>
          <w:p w14:paraId="48543066">
            <w:pPr>
              <w:widowControl/>
              <w:jc w:val="left"/>
              <w:textAlignment w:val="center"/>
              <w:rPr>
                <w:rFonts w:ascii="宋体" w:cs="宋体"/>
                <w:color w:val="000000"/>
                <w:szCs w:val="21"/>
              </w:rPr>
            </w:pPr>
            <w:r>
              <w:rPr>
                <w:rFonts w:hint="eastAsia" w:ascii="宋体" w:cs="宋体"/>
                <w:color w:val="000000"/>
                <w:kern w:val="0"/>
                <w:szCs w:val="21"/>
              </w:rPr>
              <w:t>3.所有员工头发应保持整洁。</w:t>
            </w:r>
          </w:p>
        </w:tc>
      </w:tr>
      <w:tr w14:paraId="42036AD6">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03B26740"/>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14:paraId="2C137D29">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个人卫生</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7F40DF99">
            <w:pPr>
              <w:widowControl/>
              <w:jc w:val="left"/>
              <w:textAlignment w:val="center"/>
              <w:rPr>
                <w:rFonts w:ascii="宋体" w:cs="宋体"/>
                <w:color w:val="000000"/>
                <w:szCs w:val="21"/>
              </w:rPr>
            </w:pPr>
            <w:r>
              <w:rPr>
                <w:rFonts w:hint="eastAsia" w:ascii="宋体" w:cs="宋体"/>
                <w:color w:val="000000"/>
                <w:kern w:val="0"/>
                <w:szCs w:val="21"/>
              </w:rPr>
              <w:t>1.保持手部干净，经常修剪指甲；</w:t>
            </w:r>
          </w:p>
        </w:tc>
      </w:tr>
      <w:tr w14:paraId="3E113F03">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57E296CA"/>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06486CC7"/>
        </w:tc>
        <w:tc>
          <w:tcPr>
            <w:tcW w:w="7800" w:type="dxa"/>
            <w:tcBorders>
              <w:top w:val="single" w:color="000000" w:sz="4" w:space="0"/>
              <w:left w:val="single" w:color="000000" w:sz="4" w:space="0"/>
              <w:bottom w:val="single" w:color="000000" w:sz="4" w:space="0"/>
              <w:right w:val="single" w:color="000000" w:sz="4" w:space="0"/>
            </w:tcBorders>
            <w:noWrap/>
            <w:vAlign w:val="center"/>
          </w:tcPr>
          <w:p w14:paraId="4A4B0041">
            <w:pPr>
              <w:widowControl/>
              <w:jc w:val="left"/>
              <w:textAlignment w:val="center"/>
              <w:rPr>
                <w:rFonts w:ascii="宋体" w:cs="宋体"/>
                <w:color w:val="000000"/>
                <w:szCs w:val="21"/>
              </w:rPr>
            </w:pPr>
            <w:r>
              <w:rPr>
                <w:rFonts w:hint="eastAsia" w:ascii="宋体" w:cs="宋体"/>
                <w:color w:val="000000"/>
                <w:kern w:val="0"/>
                <w:szCs w:val="21"/>
              </w:rPr>
              <w:t>2.员工应经常洗澡防汗臭，勤换衣服。衣服因工作而弄湿、弄脏后应换洗；</w:t>
            </w:r>
          </w:p>
        </w:tc>
      </w:tr>
      <w:tr w14:paraId="592E7456">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3F98C5AC"/>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5DADFE47"/>
        </w:tc>
        <w:tc>
          <w:tcPr>
            <w:tcW w:w="7800" w:type="dxa"/>
            <w:tcBorders>
              <w:top w:val="single" w:color="000000" w:sz="4" w:space="0"/>
              <w:left w:val="single" w:color="000000" w:sz="4" w:space="0"/>
              <w:bottom w:val="single" w:color="000000" w:sz="4" w:space="0"/>
              <w:right w:val="single" w:color="000000" w:sz="4" w:space="0"/>
            </w:tcBorders>
            <w:noWrap/>
            <w:vAlign w:val="center"/>
          </w:tcPr>
          <w:p w14:paraId="3AF36E3F">
            <w:pPr>
              <w:widowControl/>
              <w:jc w:val="left"/>
              <w:textAlignment w:val="center"/>
              <w:rPr>
                <w:rFonts w:ascii="宋体" w:cs="宋体"/>
                <w:color w:val="000000"/>
                <w:szCs w:val="21"/>
              </w:rPr>
            </w:pPr>
            <w:r>
              <w:rPr>
                <w:rFonts w:hint="eastAsia" w:ascii="宋体" w:cs="宋体"/>
                <w:color w:val="000000"/>
                <w:kern w:val="0"/>
                <w:szCs w:val="21"/>
              </w:rPr>
              <w:t>3.上班前和上班期间应注意饮食， 保持口腔清洁、口气清新；</w:t>
            </w:r>
          </w:p>
        </w:tc>
      </w:tr>
      <w:tr w14:paraId="3C7E2720">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30F80CD0"/>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091491B1"/>
        </w:tc>
        <w:tc>
          <w:tcPr>
            <w:tcW w:w="7800" w:type="dxa"/>
            <w:tcBorders>
              <w:top w:val="single" w:color="000000" w:sz="4" w:space="0"/>
              <w:left w:val="single" w:color="000000" w:sz="4" w:space="0"/>
              <w:bottom w:val="single" w:color="000000" w:sz="4" w:space="0"/>
              <w:right w:val="single" w:color="000000" w:sz="4" w:space="0"/>
            </w:tcBorders>
            <w:noWrap/>
            <w:vAlign w:val="center"/>
          </w:tcPr>
          <w:p w14:paraId="015CC11B">
            <w:pPr>
              <w:widowControl/>
              <w:jc w:val="left"/>
              <w:textAlignment w:val="center"/>
              <w:rPr>
                <w:rFonts w:ascii="宋体" w:cs="宋体"/>
                <w:color w:val="000000"/>
                <w:szCs w:val="21"/>
              </w:rPr>
            </w:pPr>
            <w:r>
              <w:rPr>
                <w:rFonts w:hint="eastAsia" w:ascii="宋体" w:cs="宋体"/>
                <w:color w:val="000000"/>
                <w:kern w:val="0"/>
                <w:szCs w:val="21"/>
              </w:rPr>
              <w:t>4.保持眼部、耳部清洁；</w:t>
            </w:r>
          </w:p>
        </w:tc>
      </w:tr>
      <w:tr w14:paraId="11B601DC">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15519F99"/>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5BF286CD"/>
        </w:tc>
        <w:tc>
          <w:tcPr>
            <w:tcW w:w="7800" w:type="dxa"/>
            <w:tcBorders>
              <w:top w:val="single" w:color="000000" w:sz="4" w:space="0"/>
              <w:left w:val="single" w:color="000000" w:sz="4" w:space="0"/>
              <w:bottom w:val="single" w:color="000000" w:sz="4" w:space="0"/>
              <w:right w:val="single" w:color="000000" w:sz="4" w:space="0"/>
            </w:tcBorders>
            <w:noWrap/>
            <w:vAlign w:val="center"/>
          </w:tcPr>
          <w:p w14:paraId="4F2FBA3D">
            <w:pPr>
              <w:widowControl/>
              <w:jc w:val="left"/>
              <w:textAlignment w:val="center"/>
              <w:rPr>
                <w:rFonts w:ascii="宋体" w:cs="宋体"/>
                <w:color w:val="000000"/>
                <w:szCs w:val="21"/>
              </w:rPr>
            </w:pPr>
            <w:r>
              <w:rPr>
                <w:rFonts w:hint="eastAsia" w:ascii="宋体" w:cs="宋体"/>
                <w:color w:val="000000"/>
                <w:kern w:val="0"/>
                <w:szCs w:val="21"/>
              </w:rPr>
              <w:t>5.女员工应淡妆打扮， 不允许浓妆艳抹，不宜使用味浓的化妆品；</w:t>
            </w:r>
          </w:p>
        </w:tc>
      </w:tr>
      <w:tr w14:paraId="431DFA9E">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7FC016DA"/>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0FD17156"/>
        </w:tc>
        <w:tc>
          <w:tcPr>
            <w:tcW w:w="7800" w:type="dxa"/>
            <w:tcBorders>
              <w:top w:val="single" w:color="000000" w:sz="4" w:space="0"/>
              <w:left w:val="single" w:color="000000" w:sz="4" w:space="0"/>
              <w:bottom w:val="single" w:color="000000" w:sz="4" w:space="0"/>
              <w:right w:val="single" w:color="000000" w:sz="4" w:space="0"/>
            </w:tcBorders>
            <w:noWrap/>
            <w:vAlign w:val="center"/>
          </w:tcPr>
          <w:p w14:paraId="11EE780D">
            <w:pPr>
              <w:widowControl/>
              <w:jc w:val="left"/>
              <w:textAlignment w:val="center"/>
              <w:rPr>
                <w:rFonts w:ascii="宋体" w:cs="宋体"/>
                <w:color w:val="000000"/>
                <w:szCs w:val="21"/>
              </w:rPr>
            </w:pPr>
            <w:r>
              <w:rPr>
                <w:rFonts w:hint="eastAsia" w:ascii="宋体" w:cs="宋体"/>
                <w:color w:val="000000"/>
                <w:kern w:val="0"/>
                <w:szCs w:val="21"/>
              </w:rPr>
              <w:t>6.每天上班前应注意检查自己的仪表， 必要时应到卫生间或工作间整理。</w:t>
            </w:r>
          </w:p>
        </w:tc>
      </w:tr>
      <w:tr w14:paraId="4DF0CD38">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ign w:val="center"/>
          </w:tcPr>
          <w:p w14:paraId="2597A07E">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行  为  举  止</w:t>
            </w:r>
          </w:p>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14:paraId="4DCD7025">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服务态度</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7469D155">
            <w:pPr>
              <w:widowControl/>
              <w:jc w:val="left"/>
              <w:textAlignment w:val="center"/>
              <w:rPr>
                <w:rFonts w:ascii="宋体" w:cs="宋体"/>
                <w:color w:val="000000"/>
                <w:szCs w:val="21"/>
              </w:rPr>
            </w:pPr>
            <w:r>
              <w:rPr>
                <w:rFonts w:hint="eastAsia" w:ascii="宋体" w:cs="宋体"/>
                <w:color w:val="000000"/>
                <w:kern w:val="0"/>
                <w:szCs w:val="21"/>
              </w:rPr>
              <w:t>1.对客人服务应面带笑容，和颜悦色， 热情主动，做到微笑服务；</w:t>
            </w:r>
          </w:p>
        </w:tc>
      </w:tr>
      <w:tr w14:paraId="15344DE6">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19553CA5"/>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07F0DE6F"/>
        </w:tc>
        <w:tc>
          <w:tcPr>
            <w:tcW w:w="7800" w:type="dxa"/>
            <w:tcBorders>
              <w:top w:val="single" w:color="000000" w:sz="4" w:space="0"/>
              <w:left w:val="single" w:color="000000" w:sz="4" w:space="0"/>
              <w:bottom w:val="single" w:color="000000" w:sz="4" w:space="0"/>
              <w:right w:val="single" w:color="000000" w:sz="4" w:space="0"/>
            </w:tcBorders>
            <w:noWrap/>
            <w:vAlign w:val="center"/>
          </w:tcPr>
          <w:p w14:paraId="47EAB578">
            <w:pPr>
              <w:widowControl/>
              <w:jc w:val="left"/>
              <w:textAlignment w:val="center"/>
              <w:rPr>
                <w:rFonts w:ascii="宋体" w:cs="宋体"/>
                <w:color w:val="000000"/>
                <w:szCs w:val="21"/>
              </w:rPr>
            </w:pPr>
            <w:r>
              <w:rPr>
                <w:rFonts w:hint="eastAsia" w:ascii="宋体" w:cs="宋体"/>
                <w:color w:val="000000"/>
                <w:kern w:val="0"/>
                <w:szCs w:val="21"/>
              </w:rPr>
              <w:t>2.谦虚和悦接受客人的评价， 耐心倾听客人的投诉， 事后汇报。</w:t>
            </w:r>
          </w:p>
        </w:tc>
      </w:tr>
      <w:tr w14:paraId="2D279E12">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2C99E421"/>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14:paraId="03A3ECF2">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行走姿态</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4BC9A602">
            <w:pPr>
              <w:widowControl/>
              <w:jc w:val="left"/>
              <w:textAlignment w:val="center"/>
              <w:rPr>
                <w:rFonts w:ascii="宋体" w:cs="宋体"/>
                <w:color w:val="000000"/>
                <w:szCs w:val="21"/>
              </w:rPr>
            </w:pPr>
            <w:r>
              <w:rPr>
                <w:rFonts w:hint="eastAsia" w:ascii="宋体" w:cs="宋体"/>
                <w:color w:val="000000"/>
                <w:kern w:val="0"/>
                <w:szCs w:val="21"/>
              </w:rPr>
              <w:t>1.行走时不宜双手抱胸或背手走路；</w:t>
            </w:r>
          </w:p>
        </w:tc>
      </w:tr>
      <w:tr w14:paraId="3C336C67">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3BE1A762"/>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68C8D476"/>
        </w:tc>
        <w:tc>
          <w:tcPr>
            <w:tcW w:w="7800" w:type="dxa"/>
            <w:tcBorders>
              <w:top w:val="single" w:color="000000" w:sz="4" w:space="0"/>
              <w:left w:val="single" w:color="000000" w:sz="4" w:space="0"/>
              <w:bottom w:val="single" w:color="000000" w:sz="4" w:space="0"/>
              <w:right w:val="single" w:color="000000" w:sz="4" w:space="0"/>
            </w:tcBorders>
            <w:noWrap/>
            <w:vAlign w:val="center"/>
          </w:tcPr>
          <w:p w14:paraId="55D11F8B">
            <w:pPr>
              <w:widowControl/>
              <w:jc w:val="left"/>
              <w:textAlignment w:val="center"/>
              <w:rPr>
                <w:rFonts w:ascii="宋体" w:cs="宋体"/>
                <w:color w:val="000000"/>
                <w:szCs w:val="21"/>
              </w:rPr>
            </w:pPr>
            <w:r>
              <w:rPr>
                <w:rFonts w:hint="eastAsia" w:ascii="宋体" w:cs="宋体"/>
                <w:color w:val="000000"/>
                <w:kern w:val="0"/>
                <w:szCs w:val="21"/>
              </w:rPr>
              <w:t>2.在工作场合与他人同行时， 不允许勾肩搭背， 不允许同行时嘻戏打闹；</w:t>
            </w:r>
          </w:p>
        </w:tc>
      </w:tr>
      <w:tr w14:paraId="074C45D6">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437502EA"/>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4373B50D"/>
        </w:tc>
        <w:tc>
          <w:tcPr>
            <w:tcW w:w="7800" w:type="dxa"/>
            <w:tcBorders>
              <w:top w:val="single" w:color="000000" w:sz="4" w:space="0"/>
              <w:left w:val="single" w:color="000000" w:sz="4" w:space="0"/>
              <w:bottom w:val="single" w:color="000000" w:sz="4" w:space="0"/>
              <w:right w:val="single" w:color="000000" w:sz="4" w:space="0"/>
            </w:tcBorders>
            <w:noWrap/>
            <w:vAlign w:val="center"/>
          </w:tcPr>
          <w:p w14:paraId="338C9977">
            <w:pPr>
              <w:widowControl/>
              <w:jc w:val="left"/>
              <w:textAlignment w:val="center"/>
              <w:rPr>
                <w:rFonts w:ascii="宋体" w:cs="宋体"/>
                <w:color w:val="000000"/>
                <w:szCs w:val="21"/>
              </w:rPr>
            </w:pPr>
            <w:r>
              <w:rPr>
                <w:rFonts w:hint="eastAsia" w:ascii="宋体" w:cs="宋体"/>
                <w:color w:val="000000"/>
                <w:kern w:val="0"/>
                <w:szCs w:val="21"/>
              </w:rPr>
              <w:t>3.手拉货物行走时应注意前方行人或障碍物，尽量靠路右侧行走；</w:t>
            </w:r>
          </w:p>
        </w:tc>
      </w:tr>
      <w:tr w14:paraId="40EFAA31">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3F989567"/>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5E2056B0"/>
        </w:tc>
        <w:tc>
          <w:tcPr>
            <w:tcW w:w="7800" w:type="dxa"/>
            <w:tcBorders>
              <w:top w:val="single" w:color="000000" w:sz="4" w:space="0"/>
              <w:left w:val="single" w:color="000000" w:sz="4" w:space="0"/>
              <w:bottom w:val="single" w:color="000000" w:sz="4" w:space="0"/>
              <w:right w:val="single" w:color="000000" w:sz="4" w:space="0"/>
            </w:tcBorders>
            <w:noWrap/>
            <w:vAlign w:val="center"/>
          </w:tcPr>
          <w:p w14:paraId="7ACD7EC0">
            <w:pPr>
              <w:widowControl/>
              <w:jc w:val="left"/>
              <w:textAlignment w:val="center"/>
              <w:rPr>
                <w:rFonts w:ascii="宋体" w:cs="宋体"/>
                <w:color w:val="000000"/>
                <w:szCs w:val="21"/>
              </w:rPr>
            </w:pPr>
            <w:r>
              <w:rPr>
                <w:rFonts w:hint="eastAsia" w:ascii="宋体" w:cs="宋体"/>
                <w:color w:val="000000"/>
                <w:kern w:val="0"/>
                <w:szCs w:val="21"/>
              </w:rPr>
              <w:t>4.与客户相遇时， 应主动点头示意。</w:t>
            </w:r>
          </w:p>
        </w:tc>
      </w:tr>
      <w:tr w14:paraId="1CBC83F5">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1180723C"/>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14:paraId="4A33382F">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坐立姿态</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4D785054">
            <w:pPr>
              <w:widowControl/>
              <w:jc w:val="left"/>
              <w:textAlignment w:val="center"/>
              <w:rPr>
                <w:rFonts w:ascii="宋体" w:cs="宋体"/>
                <w:color w:val="000000"/>
                <w:szCs w:val="21"/>
              </w:rPr>
            </w:pPr>
            <w:r>
              <w:rPr>
                <w:rFonts w:hint="eastAsia" w:ascii="宋体" w:cs="宋体"/>
                <w:color w:val="000000"/>
                <w:kern w:val="0"/>
                <w:szCs w:val="21"/>
              </w:rPr>
              <w:t>1.入坐要轻缓，就坐时姿态要端正，上身要直， 腰部挺起， 双膝并拢，手自然放在双膝上，面带笑容；</w:t>
            </w:r>
          </w:p>
        </w:tc>
      </w:tr>
      <w:tr w14:paraId="333E7CA2">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119F18B4"/>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3FB628E2"/>
        </w:tc>
        <w:tc>
          <w:tcPr>
            <w:tcW w:w="7800" w:type="dxa"/>
            <w:tcBorders>
              <w:top w:val="single" w:color="000000" w:sz="4" w:space="0"/>
              <w:left w:val="single" w:color="000000" w:sz="4" w:space="0"/>
              <w:bottom w:val="single" w:color="000000" w:sz="4" w:space="0"/>
              <w:right w:val="single" w:color="000000" w:sz="4" w:space="0"/>
            </w:tcBorders>
            <w:noWrap/>
            <w:vAlign w:val="center"/>
          </w:tcPr>
          <w:p w14:paraId="49AB174B">
            <w:pPr>
              <w:widowControl/>
              <w:jc w:val="left"/>
              <w:textAlignment w:val="center"/>
              <w:rPr>
                <w:rFonts w:ascii="宋体" w:cs="宋体"/>
                <w:color w:val="000000"/>
                <w:szCs w:val="21"/>
              </w:rPr>
            </w:pPr>
            <w:r>
              <w:rPr>
                <w:rFonts w:hint="eastAsia" w:ascii="宋体" w:cs="宋体"/>
                <w:color w:val="000000"/>
                <w:kern w:val="0"/>
                <w:szCs w:val="21"/>
              </w:rPr>
              <w:t>2.坐在椅子上不允许前俯后仰、摇腿跷脚或趴在工作台上或把脚放于工作台上；</w:t>
            </w:r>
          </w:p>
        </w:tc>
      </w:tr>
      <w:tr w14:paraId="0EE56649">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30E2B459"/>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157028D6"/>
        </w:tc>
        <w:tc>
          <w:tcPr>
            <w:tcW w:w="7800" w:type="dxa"/>
            <w:tcBorders>
              <w:top w:val="single" w:color="000000" w:sz="4" w:space="0"/>
              <w:left w:val="single" w:color="000000" w:sz="4" w:space="0"/>
              <w:bottom w:val="single" w:color="000000" w:sz="4" w:space="0"/>
              <w:right w:val="single" w:color="000000" w:sz="4" w:space="0"/>
            </w:tcBorders>
            <w:noWrap/>
            <w:vAlign w:val="center"/>
          </w:tcPr>
          <w:p w14:paraId="696F61FC">
            <w:pPr>
              <w:widowControl/>
              <w:jc w:val="left"/>
              <w:textAlignment w:val="center"/>
              <w:rPr>
                <w:rFonts w:ascii="宋体" w:cs="宋体"/>
                <w:color w:val="000000"/>
                <w:szCs w:val="21"/>
              </w:rPr>
            </w:pPr>
            <w:r>
              <w:rPr>
                <w:rFonts w:hint="eastAsia" w:ascii="宋体" w:cs="宋体"/>
                <w:color w:val="000000"/>
                <w:kern w:val="0"/>
                <w:szCs w:val="21"/>
              </w:rPr>
              <w:t>3.站立时姿态要端正，上身要直，人体重心要稳，腰部挺起，双手自然下坠，双脚并拢， 目光平视，面带笑容。</w:t>
            </w:r>
          </w:p>
        </w:tc>
      </w:tr>
      <w:tr w14:paraId="7BD957BC">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02867FEE"/>
        </w:tc>
        <w:tc>
          <w:tcPr>
            <w:tcW w:w="1081" w:type="dxa"/>
            <w:vMerge w:val="restart"/>
            <w:tcBorders>
              <w:top w:val="single" w:color="000000" w:sz="4" w:space="0"/>
              <w:left w:val="single" w:color="000000" w:sz="4" w:space="0"/>
              <w:bottom w:val="single" w:color="000000" w:sz="4" w:space="0"/>
              <w:right w:val="single" w:color="000000" w:sz="4" w:space="0"/>
            </w:tcBorders>
            <w:noWrap/>
            <w:vAlign w:val="center"/>
          </w:tcPr>
          <w:p w14:paraId="46273261">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其他行为</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171B92E3">
            <w:pPr>
              <w:widowControl/>
              <w:jc w:val="left"/>
              <w:textAlignment w:val="center"/>
              <w:rPr>
                <w:rFonts w:ascii="宋体" w:cs="宋体"/>
                <w:color w:val="000000"/>
                <w:szCs w:val="21"/>
              </w:rPr>
            </w:pPr>
            <w:r>
              <w:rPr>
                <w:rFonts w:hint="eastAsia" w:ascii="宋体" w:cs="宋体"/>
                <w:color w:val="000000"/>
                <w:kern w:val="0"/>
                <w:szCs w:val="21"/>
              </w:rPr>
              <w:t xml:space="preserve">1、 要注意个人形象，不允许随地吐痰， 乱扔果皮、纸屑；上班时间不允许吃零食，玩弄个人小物品或做与工作无关的事情； </w:t>
            </w:r>
          </w:p>
        </w:tc>
      </w:tr>
      <w:tr w14:paraId="54325BFB">
        <w:tblPrEx>
          <w:tblCellMar>
            <w:top w:w="0" w:type="dxa"/>
            <w:left w:w="108" w:type="dxa"/>
            <w:bottom w:w="0" w:type="dxa"/>
            <w:right w:w="108" w:type="dxa"/>
          </w:tblCellMar>
        </w:tblPrEx>
        <w:trPr>
          <w:trHeight w:val="51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4BCFAF70"/>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5ADA439D"/>
        </w:tc>
        <w:tc>
          <w:tcPr>
            <w:tcW w:w="7800" w:type="dxa"/>
            <w:tcBorders>
              <w:top w:val="single" w:color="000000" w:sz="4" w:space="0"/>
              <w:left w:val="single" w:color="000000" w:sz="4" w:space="0"/>
              <w:bottom w:val="single" w:color="000000" w:sz="4" w:space="0"/>
              <w:right w:val="single" w:color="000000" w:sz="4" w:space="0"/>
            </w:tcBorders>
            <w:noWrap/>
            <w:vAlign w:val="center"/>
          </w:tcPr>
          <w:p w14:paraId="0297764C">
            <w:pPr>
              <w:widowControl/>
              <w:jc w:val="left"/>
              <w:textAlignment w:val="center"/>
              <w:rPr>
                <w:rFonts w:ascii="宋体" w:cs="宋体"/>
                <w:color w:val="000000"/>
                <w:szCs w:val="21"/>
              </w:rPr>
            </w:pPr>
            <w:r>
              <w:rPr>
                <w:rFonts w:hint="eastAsia" w:ascii="宋体" w:cs="宋体"/>
                <w:color w:val="000000"/>
                <w:kern w:val="0"/>
                <w:szCs w:val="21"/>
              </w:rPr>
              <w:t>2、 到公共、工作场所（或客户处） 进行工作时， 不允许乱翻乱摸，更不允许随意拿走公用的（或客户的）东西；</w:t>
            </w:r>
          </w:p>
        </w:tc>
      </w:tr>
      <w:tr w14:paraId="7561AAD7">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14D0728A"/>
        </w:tc>
        <w:tc>
          <w:tcPr>
            <w:tcW w:w="1081" w:type="dxa"/>
            <w:vMerge w:val="continue"/>
            <w:tcBorders>
              <w:top w:val="single" w:color="000000" w:sz="4" w:space="0"/>
              <w:left w:val="single" w:color="000000" w:sz="4" w:space="0"/>
              <w:bottom w:val="single" w:color="000000" w:sz="4" w:space="0"/>
              <w:right w:val="single" w:color="000000" w:sz="4" w:space="0"/>
            </w:tcBorders>
            <w:noWrap/>
            <w:vAlign w:val="center"/>
          </w:tcPr>
          <w:p w14:paraId="31ED793E"/>
        </w:tc>
        <w:tc>
          <w:tcPr>
            <w:tcW w:w="7800" w:type="dxa"/>
            <w:tcBorders>
              <w:top w:val="single" w:color="000000" w:sz="4" w:space="0"/>
              <w:left w:val="single" w:color="000000" w:sz="4" w:space="0"/>
              <w:bottom w:val="single" w:color="000000" w:sz="4" w:space="0"/>
              <w:right w:val="single" w:color="000000" w:sz="4" w:space="0"/>
            </w:tcBorders>
            <w:noWrap/>
            <w:vAlign w:val="center"/>
          </w:tcPr>
          <w:p w14:paraId="23EA6A14">
            <w:pPr>
              <w:widowControl/>
              <w:jc w:val="left"/>
              <w:textAlignment w:val="center"/>
              <w:rPr>
                <w:rFonts w:ascii="宋体" w:cs="宋体"/>
                <w:color w:val="000000"/>
                <w:szCs w:val="21"/>
              </w:rPr>
            </w:pPr>
            <w:r>
              <w:rPr>
                <w:rFonts w:hint="eastAsia" w:ascii="宋体" w:cs="宋体"/>
                <w:color w:val="000000"/>
                <w:kern w:val="0"/>
                <w:szCs w:val="21"/>
              </w:rPr>
              <w:t>3、 谈话时，手势不宜过多，幅度不宜太大。</w:t>
            </w:r>
          </w:p>
        </w:tc>
      </w:tr>
      <w:tr w14:paraId="081AD5DD">
        <w:tblPrEx>
          <w:tblCellMar>
            <w:top w:w="0" w:type="dxa"/>
            <w:left w:w="108" w:type="dxa"/>
            <w:bottom w:w="0" w:type="dxa"/>
            <w:right w:w="108" w:type="dxa"/>
          </w:tblCellMar>
        </w:tblPrEx>
        <w:trPr>
          <w:trHeight w:val="315"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ign w:val="center"/>
          </w:tcPr>
          <w:p w14:paraId="4E0B8FB7">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礼  貌  用  语</w:t>
            </w:r>
          </w:p>
        </w:tc>
        <w:tc>
          <w:tcPr>
            <w:tcW w:w="1081" w:type="dxa"/>
            <w:tcBorders>
              <w:top w:val="single" w:color="000000" w:sz="4" w:space="0"/>
              <w:left w:val="single" w:color="000000" w:sz="4" w:space="0"/>
              <w:bottom w:val="single" w:color="000000" w:sz="4" w:space="0"/>
              <w:right w:val="single" w:color="000000" w:sz="4" w:space="0"/>
            </w:tcBorders>
            <w:noWrap/>
            <w:vAlign w:val="center"/>
          </w:tcPr>
          <w:p w14:paraId="7E9413ED">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问候语</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45A1DA6C">
            <w:pPr>
              <w:widowControl/>
              <w:jc w:val="left"/>
              <w:textAlignment w:val="center"/>
              <w:rPr>
                <w:rFonts w:ascii="宋体" w:cs="宋体"/>
                <w:color w:val="000000"/>
                <w:szCs w:val="21"/>
              </w:rPr>
            </w:pPr>
            <w:r>
              <w:rPr>
                <w:rFonts w:hint="eastAsia" w:ascii="宋体" w:cs="宋体"/>
                <w:color w:val="000000"/>
                <w:kern w:val="0"/>
                <w:szCs w:val="21"/>
              </w:rPr>
              <w:t>您好、早安、午安、早、早上好、下午好、晚上好、路上辛苦了。</w:t>
            </w:r>
          </w:p>
        </w:tc>
      </w:tr>
      <w:tr w14:paraId="459E6983">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1F9F4C40"/>
        </w:tc>
        <w:tc>
          <w:tcPr>
            <w:tcW w:w="1081" w:type="dxa"/>
            <w:tcBorders>
              <w:top w:val="single" w:color="000000" w:sz="4" w:space="0"/>
              <w:left w:val="single" w:color="000000" w:sz="4" w:space="0"/>
              <w:bottom w:val="single" w:color="000000" w:sz="4" w:space="0"/>
              <w:right w:val="single" w:color="000000" w:sz="4" w:space="0"/>
            </w:tcBorders>
            <w:noWrap/>
            <w:vAlign w:val="center"/>
          </w:tcPr>
          <w:p w14:paraId="7C1A571D">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欢迎语</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4BDC482A">
            <w:pPr>
              <w:widowControl/>
              <w:jc w:val="left"/>
              <w:textAlignment w:val="center"/>
              <w:rPr>
                <w:rFonts w:ascii="宋体" w:cs="宋体"/>
                <w:color w:val="000000"/>
                <w:szCs w:val="21"/>
              </w:rPr>
            </w:pPr>
            <w:r>
              <w:rPr>
                <w:rFonts w:hint="eastAsia" w:ascii="宋体" w:cs="宋体"/>
                <w:color w:val="000000"/>
                <w:kern w:val="0"/>
                <w:szCs w:val="21"/>
              </w:rPr>
              <w:t>欢迎光临、欢迎您来 XX 单位。</w:t>
            </w:r>
          </w:p>
        </w:tc>
      </w:tr>
      <w:tr w14:paraId="4E097292">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0ABDEA9C"/>
        </w:tc>
        <w:tc>
          <w:tcPr>
            <w:tcW w:w="1081" w:type="dxa"/>
            <w:tcBorders>
              <w:top w:val="single" w:color="000000" w:sz="4" w:space="0"/>
              <w:left w:val="single" w:color="000000" w:sz="4" w:space="0"/>
              <w:bottom w:val="single" w:color="000000" w:sz="4" w:space="0"/>
              <w:right w:val="single" w:color="000000" w:sz="4" w:space="0"/>
            </w:tcBorders>
            <w:noWrap/>
            <w:vAlign w:val="center"/>
          </w:tcPr>
          <w:p w14:paraId="29E8EA87">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祝贺语</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587E5426">
            <w:pPr>
              <w:widowControl/>
              <w:jc w:val="left"/>
              <w:textAlignment w:val="center"/>
              <w:rPr>
                <w:rFonts w:ascii="宋体" w:cs="宋体"/>
                <w:color w:val="000000"/>
                <w:szCs w:val="21"/>
              </w:rPr>
            </w:pPr>
            <w:r>
              <w:rPr>
                <w:rFonts w:hint="eastAsia" w:ascii="宋体" w:cs="宋体"/>
                <w:color w:val="000000"/>
                <w:kern w:val="0"/>
                <w:szCs w:val="21"/>
              </w:rPr>
              <w:t>祝您节日愉快、祝您新年快乐、祝您新春快乐。</w:t>
            </w:r>
          </w:p>
        </w:tc>
      </w:tr>
      <w:tr w14:paraId="02C01792">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4FF6406E"/>
        </w:tc>
        <w:tc>
          <w:tcPr>
            <w:tcW w:w="1081" w:type="dxa"/>
            <w:tcBorders>
              <w:top w:val="single" w:color="000000" w:sz="4" w:space="0"/>
              <w:left w:val="single" w:color="000000" w:sz="4" w:space="0"/>
              <w:bottom w:val="single" w:color="000000" w:sz="4" w:space="0"/>
              <w:right w:val="single" w:color="000000" w:sz="4" w:space="0"/>
            </w:tcBorders>
            <w:noWrap/>
            <w:vAlign w:val="center"/>
          </w:tcPr>
          <w:p w14:paraId="46ABC590">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告别语</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6C64DB33">
            <w:pPr>
              <w:widowControl/>
              <w:jc w:val="left"/>
              <w:textAlignment w:val="center"/>
              <w:rPr>
                <w:rFonts w:ascii="宋体" w:cs="宋体"/>
                <w:color w:val="000000"/>
                <w:szCs w:val="21"/>
              </w:rPr>
            </w:pPr>
            <w:r>
              <w:rPr>
                <w:rFonts w:hint="eastAsia" w:ascii="宋体" w:cs="宋体"/>
                <w:color w:val="000000"/>
                <w:kern w:val="0"/>
                <w:szCs w:val="21"/>
              </w:rPr>
              <w:t>再见、晚安、明天见、祝您一路平安。</w:t>
            </w:r>
          </w:p>
        </w:tc>
      </w:tr>
      <w:tr w14:paraId="42E330B0">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406B4DCD"/>
        </w:tc>
        <w:tc>
          <w:tcPr>
            <w:tcW w:w="1081" w:type="dxa"/>
            <w:tcBorders>
              <w:top w:val="single" w:color="000000" w:sz="4" w:space="0"/>
              <w:left w:val="single" w:color="000000" w:sz="4" w:space="0"/>
              <w:bottom w:val="single" w:color="000000" w:sz="4" w:space="0"/>
              <w:right w:val="single" w:color="000000" w:sz="4" w:space="0"/>
            </w:tcBorders>
            <w:noWrap/>
            <w:vAlign w:val="center"/>
          </w:tcPr>
          <w:p w14:paraId="5BAA05E9">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道歉语</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43B5BB95">
            <w:pPr>
              <w:widowControl/>
              <w:jc w:val="left"/>
              <w:textAlignment w:val="center"/>
              <w:rPr>
                <w:rFonts w:ascii="宋体" w:cs="宋体"/>
                <w:color w:val="000000"/>
                <w:szCs w:val="21"/>
              </w:rPr>
            </w:pPr>
            <w:r>
              <w:rPr>
                <w:rFonts w:hint="eastAsia" w:ascii="宋体" w:cs="宋体"/>
                <w:color w:val="000000"/>
                <w:kern w:val="0"/>
                <w:szCs w:val="21"/>
              </w:rPr>
              <w:t>对不起、请原谅、打扰您了、失礼了。</w:t>
            </w:r>
          </w:p>
        </w:tc>
      </w:tr>
      <w:tr w14:paraId="37625ABA">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3CF9B0AE"/>
        </w:tc>
        <w:tc>
          <w:tcPr>
            <w:tcW w:w="1081" w:type="dxa"/>
            <w:tcBorders>
              <w:top w:val="single" w:color="000000" w:sz="4" w:space="0"/>
              <w:left w:val="single" w:color="000000" w:sz="4" w:space="0"/>
              <w:bottom w:val="single" w:color="000000" w:sz="4" w:space="0"/>
              <w:right w:val="single" w:color="000000" w:sz="4" w:space="0"/>
            </w:tcBorders>
            <w:noWrap/>
            <w:vAlign w:val="center"/>
          </w:tcPr>
          <w:p w14:paraId="7029556B">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道谢语</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233D66AF">
            <w:pPr>
              <w:widowControl/>
              <w:jc w:val="left"/>
              <w:textAlignment w:val="center"/>
              <w:rPr>
                <w:rFonts w:ascii="宋体" w:cs="宋体"/>
                <w:color w:val="000000"/>
                <w:szCs w:val="21"/>
              </w:rPr>
            </w:pPr>
            <w:r>
              <w:rPr>
                <w:rFonts w:hint="eastAsia" w:ascii="宋体" w:cs="宋体"/>
                <w:color w:val="000000"/>
                <w:kern w:val="0"/>
                <w:szCs w:val="21"/>
              </w:rPr>
              <w:t>谢谢、非常感谢。</w:t>
            </w:r>
          </w:p>
        </w:tc>
      </w:tr>
      <w:tr w14:paraId="44820B83">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065CBB79"/>
        </w:tc>
        <w:tc>
          <w:tcPr>
            <w:tcW w:w="1081" w:type="dxa"/>
            <w:tcBorders>
              <w:top w:val="single" w:color="000000" w:sz="4" w:space="0"/>
              <w:left w:val="single" w:color="000000" w:sz="4" w:space="0"/>
              <w:bottom w:val="single" w:color="000000" w:sz="4" w:space="0"/>
              <w:right w:val="single" w:color="000000" w:sz="4" w:space="0"/>
            </w:tcBorders>
            <w:noWrap/>
            <w:vAlign w:val="center"/>
          </w:tcPr>
          <w:p w14:paraId="1FC7CEBB">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应答语</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0EF74DA4">
            <w:pPr>
              <w:widowControl/>
              <w:jc w:val="left"/>
              <w:textAlignment w:val="center"/>
              <w:rPr>
                <w:rFonts w:ascii="宋体" w:cs="宋体"/>
                <w:color w:val="000000"/>
                <w:szCs w:val="21"/>
              </w:rPr>
            </w:pPr>
            <w:r>
              <w:rPr>
                <w:rFonts w:hint="eastAsia" w:ascii="宋体" w:cs="宋体"/>
                <w:color w:val="000000"/>
                <w:kern w:val="0"/>
                <w:szCs w:val="21"/>
              </w:rPr>
              <w:t>是的、好的、我明白了、谢谢您的好意、不要客气、没关系、这是我应该做的。</w:t>
            </w:r>
          </w:p>
        </w:tc>
      </w:tr>
      <w:tr w14:paraId="3199C83F">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43981A87"/>
        </w:tc>
        <w:tc>
          <w:tcPr>
            <w:tcW w:w="1081" w:type="dxa"/>
            <w:tcBorders>
              <w:top w:val="single" w:color="000000" w:sz="4" w:space="0"/>
              <w:left w:val="single" w:color="000000" w:sz="4" w:space="0"/>
              <w:bottom w:val="single" w:color="000000" w:sz="4" w:space="0"/>
              <w:right w:val="single" w:color="000000" w:sz="4" w:space="0"/>
            </w:tcBorders>
            <w:noWrap/>
            <w:vAlign w:val="center"/>
          </w:tcPr>
          <w:p w14:paraId="435FDFFF">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征询语</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1633BC2D">
            <w:pPr>
              <w:widowControl/>
              <w:jc w:val="left"/>
              <w:textAlignment w:val="center"/>
              <w:rPr>
                <w:rFonts w:ascii="宋体" w:cs="宋体"/>
                <w:color w:val="000000"/>
                <w:szCs w:val="21"/>
              </w:rPr>
            </w:pPr>
            <w:r>
              <w:rPr>
                <w:rFonts w:hint="eastAsia" w:ascii="宋体" w:cs="宋体"/>
                <w:color w:val="000000"/>
                <w:kern w:val="0"/>
                <w:szCs w:val="21"/>
              </w:rPr>
              <w:t>请问您有什么事？我能为您做什么吗？需要我帮您做什么吗？ 您有别的事吗？</w:t>
            </w:r>
          </w:p>
        </w:tc>
      </w:tr>
      <w:tr w14:paraId="579EBA20">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4F3E80CD"/>
        </w:tc>
        <w:tc>
          <w:tcPr>
            <w:tcW w:w="1081" w:type="dxa"/>
            <w:tcBorders>
              <w:top w:val="single" w:color="000000" w:sz="4" w:space="0"/>
              <w:left w:val="single" w:color="000000" w:sz="4" w:space="0"/>
              <w:bottom w:val="single" w:color="000000" w:sz="4" w:space="0"/>
              <w:right w:val="single" w:color="000000" w:sz="4" w:space="0"/>
            </w:tcBorders>
            <w:noWrap/>
            <w:vAlign w:val="center"/>
          </w:tcPr>
          <w:p w14:paraId="228D6DE3">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请求语</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21B10C39">
            <w:pPr>
              <w:widowControl/>
              <w:jc w:val="left"/>
              <w:textAlignment w:val="center"/>
              <w:rPr>
                <w:rFonts w:ascii="宋体" w:cs="宋体"/>
                <w:color w:val="000000"/>
                <w:szCs w:val="21"/>
              </w:rPr>
            </w:pPr>
            <w:r>
              <w:rPr>
                <w:rFonts w:hint="eastAsia" w:ascii="宋体" w:cs="宋体"/>
                <w:color w:val="000000"/>
                <w:kern w:val="0"/>
                <w:szCs w:val="21"/>
              </w:rPr>
              <w:t>请您协助我们……、请您……好吗？</w:t>
            </w:r>
          </w:p>
        </w:tc>
      </w:tr>
      <w:tr w14:paraId="1EA75255">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25E3C408"/>
        </w:tc>
        <w:tc>
          <w:tcPr>
            <w:tcW w:w="1081" w:type="dxa"/>
            <w:tcBorders>
              <w:top w:val="single" w:color="000000" w:sz="4" w:space="0"/>
              <w:left w:val="single" w:color="000000" w:sz="4" w:space="0"/>
              <w:bottom w:val="single" w:color="000000" w:sz="4" w:space="0"/>
              <w:right w:val="single" w:color="000000" w:sz="4" w:space="0"/>
            </w:tcBorders>
            <w:noWrap/>
            <w:vAlign w:val="center"/>
          </w:tcPr>
          <w:p w14:paraId="0A55C75C">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商量语</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3F5FCFD6">
            <w:pPr>
              <w:widowControl/>
              <w:jc w:val="left"/>
              <w:textAlignment w:val="center"/>
              <w:rPr>
                <w:rFonts w:ascii="宋体" w:cs="宋体"/>
                <w:color w:val="000000"/>
                <w:szCs w:val="21"/>
              </w:rPr>
            </w:pPr>
            <w:r>
              <w:rPr>
                <w:rFonts w:hint="eastAsia" w:ascii="宋体" w:cs="宋体"/>
                <w:color w:val="000000"/>
                <w:kern w:val="0"/>
                <w:szCs w:val="21"/>
              </w:rPr>
              <w:t>……您看这样好不好？……您看这样可以吗？</w:t>
            </w:r>
          </w:p>
        </w:tc>
      </w:tr>
      <w:tr w14:paraId="66234D88">
        <w:tblPrEx>
          <w:tblCellMar>
            <w:top w:w="0" w:type="dxa"/>
            <w:left w:w="108" w:type="dxa"/>
            <w:bottom w:w="0" w:type="dxa"/>
            <w:right w:w="108" w:type="dxa"/>
          </w:tblCellMar>
        </w:tblPrEx>
        <w:trPr>
          <w:trHeight w:val="315"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2955E51F"/>
        </w:tc>
        <w:tc>
          <w:tcPr>
            <w:tcW w:w="1081" w:type="dxa"/>
            <w:tcBorders>
              <w:top w:val="single" w:color="000000" w:sz="4" w:space="0"/>
              <w:left w:val="single" w:color="000000" w:sz="4" w:space="0"/>
              <w:bottom w:val="single" w:color="000000" w:sz="4" w:space="0"/>
              <w:right w:val="single" w:color="000000" w:sz="4" w:space="0"/>
            </w:tcBorders>
            <w:noWrap/>
            <w:vAlign w:val="center"/>
          </w:tcPr>
          <w:p w14:paraId="63EAF936">
            <w:pPr>
              <w:widowControl/>
              <w:jc w:val="left"/>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解释语</w:t>
            </w:r>
          </w:p>
        </w:tc>
        <w:tc>
          <w:tcPr>
            <w:tcW w:w="7800" w:type="dxa"/>
            <w:tcBorders>
              <w:top w:val="single" w:color="000000" w:sz="4" w:space="0"/>
              <w:left w:val="single" w:color="000000" w:sz="4" w:space="0"/>
              <w:bottom w:val="single" w:color="000000" w:sz="4" w:space="0"/>
              <w:right w:val="single" w:color="000000" w:sz="4" w:space="0"/>
            </w:tcBorders>
            <w:noWrap/>
            <w:vAlign w:val="center"/>
          </w:tcPr>
          <w:p w14:paraId="0D1E46D2">
            <w:pPr>
              <w:widowControl/>
              <w:jc w:val="left"/>
              <w:textAlignment w:val="center"/>
              <w:rPr>
                <w:rFonts w:ascii="宋体" w:cs="宋体"/>
                <w:color w:val="000000"/>
                <w:szCs w:val="21"/>
              </w:rPr>
            </w:pPr>
            <w:r>
              <w:rPr>
                <w:rFonts w:hint="eastAsia" w:ascii="宋体" w:cs="宋体"/>
                <w:color w:val="000000"/>
                <w:kern w:val="0"/>
                <w:szCs w:val="21"/>
              </w:rPr>
              <w:t>很抱歉，这种情况， 单位的规定是这样的。</w:t>
            </w:r>
          </w:p>
        </w:tc>
      </w:tr>
      <w:tr w14:paraId="06EE2FC9">
        <w:tblPrEx>
          <w:tblCellMar>
            <w:top w:w="0" w:type="dxa"/>
            <w:left w:w="108" w:type="dxa"/>
            <w:bottom w:w="0" w:type="dxa"/>
            <w:right w:w="108" w:type="dxa"/>
          </w:tblCellMar>
        </w:tblPrEx>
        <w:trPr>
          <w:trHeight w:val="270"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ign w:val="center"/>
          </w:tcPr>
          <w:p w14:paraId="50A44CD2">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对  来  访  人员</w:t>
            </w:r>
          </w:p>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42AEA55F">
            <w:pPr>
              <w:widowControl/>
              <w:jc w:val="left"/>
              <w:textAlignment w:val="center"/>
              <w:rPr>
                <w:rFonts w:ascii="宋体" w:cs="宋体"/>
                <w:color w:val="000000"/>
                <w:szCs w:val="21"/>
              </w:rPr>
            </w:pPr>
            <w:r>
              <w:rPr>
                <w:rFonts w:hint="eastAsia" w:ascii="宋体" w:cs="宋体"/>
                <w:color w:val="000000"/>
                <w:kern w:val="0"/>
                <w:szCs w:val="21"/>
              </w:rPr>
              <w:t>1. 主动说：“您好，请问您找哪一位”或“我可以帮助您吗？ ”“请您出示证件。 ”（保安专用）</w:t>
            </w:r>
          </w:p>
        </w:tc>
      </w:tr>
      <w:tr w14:paraId="7A570875">
        <w:tblPrEx>
          <w:tblCellMar>
            <w:top w:w="0" w:type="dxa"/>
            <w:left w:w="108" w:type="dxa"/>
            <w:bottom w:w="0" w:type="dxa"/>
            <w:right w:w="108" w:type="dxa"/>
          </w:tblCellMar>
        </w:tblPrEx>
        <w:trPr>
          <w:trHeight w:val="66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32DD0FF6"/>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626A1977">
            <w:pPr>
              <w:widowControl/>
              <w:jc w:val="left"/>
              <w:textAlignment w:val="center"/>
              <w:rPr>
                <w:rFonts w:ascii="宋体" w:cs="宋体"/>
                <w:color w:val="000000"/>
                <w:szCs w:val="21"/>
              </w:rPr>
            </w:pPr>
            <w:r>
              <w:rPr>
                <w:rFonts w:hint="eastAsia" w:ascii="宋体" w:cs="宋体"/>
                <w:color w:val="000000"/>
                <w:kern w:val="0"/>
                <w:szCs w:val="21"/>
              </w:rPr>
              <w:t>2. 确认来访人要求后， 说“请稍等， 我帮您联系”与被访人联系后告诉来访人“他马上来， 请您先等一下， 好吗？”</w:t>
            </w:r>
          </w:p>
        </w:tc>
      </w:tr>
      <w:tr w14:paraId="3DAC5FB2">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3EEE4374"/>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6F67AD02">
            <w:pPr>
              <w:widowControl/>
              <w:jc w:val="left"/>
              <w:textAlignment w:val="center"/>
              <w:rPr>
                <w:rFonts w:ascii="宋体" w:cs="宋体"/>
                <w:color w:val="000000"/>
                <w:szCs w:val="21"/>
              </w:rPr>
            </w:pPr>
            <w:r>
              <w:rPr>
                <w:rFonts w:hint="eastAsia" w:ascii="宋体" w:cs="宋体"/>
                <w:color w:val="000000"/>
                <w:kern w:val="0"/>
                <w:szCs w:val="21"/>
              </w:rPr>
              <w:t>3. 当来访人员不理解或不愿意出示证件时，应说： “对不起， 先生/小姐， 这是单位规定，请理解！”（保安专用）。</w:t>
            </w:r>
          </w:p>
        </w:tc>
      </w:tr>
      <w:tr w14:paraId="0378FFA4">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7DC20C9D"/>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4C6FF838">
            <w:pPr>
              <w:widowControl/>
              <w:jc w:val="left"/>
              <w:textAlignment w:val="center"/>
              <w:rPr>
                <w:rFonts w:ascii="宋体" w:cs="宋体"/>
                <w:color w:val="000000"/>
                <w:szCs w:val="21"/>
              </w:rPr>
            </w:pPr>
            <w:r>
              <w:rPr>
                <w:rFonts w:hint="eastAsia" w:ascii="宋体" w:cs="宋体"/>
                <w:color w:val="000000"/>
                <w:kern w:val="0"/>
                <w:szCs w:val="21"/>
              </w:rPr>
              <w:t>4. 当来访人员忘记带证件必须进入区域时，应说： “先生/小姐， 请稍候， 让我请示一下好吗？”</w:t>
            </w:r>
          </w:p>
        </w:tc>
      </w:tr>
      <w:tr w14:paraId="6D261231">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29BFBC74"/>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6E61928A">
            <w:pPr>
              <w:widowControl/>
              <w:jc w:val="left"/>
              <w:textAlignment w:val="center"/>
              <w:rPr>
                <w:rFonts w:ascii="宋体" w:cs="宋体"/>
                <w:color w:val="000000"/>
                <w:szCs w:val="21"/>
              </w:rPr>
            </w:pPr>
            <w:r>
              <w:rPr>
                <w:rFonts w:hint="eastAsia" w:ascii="宋体" w:cs="宋体"/>
                <w:color w:val="000000"/>
                <w:kern w:val="0"/>
                <w:szCs w:val="21"/>
              </w:rPr>
              <w:t>5. 当确认来访人故意捣乱，耍横硬闯时， 应先说： “对不起， 按单位的规定，没有证件不允许进入办公区，请配合我的工作。 ”</w:t>
            </w:r>
          </w:p>
        </w:tc>
      </w:tr>
      <w:tr w14:paraId="7484A652">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371867A5"/>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2FB006A9">
            <w:pPr>
              <w:widowControl/>
              <w:jc w:val="left"/>
              <w:textAlignment w:val="center"/>
              <w:rPr>
                <w:rFonts w:ascii="宋体" w:cs="宋体"/>
                <w:color w:val="000000"/>
                <w:szCs w:val="21"/>
              </w:rPr>
            </w:pPr>
            <w:r>
              <w:rPr>
                <w:rFonts w:hint="eastAsia" w:ascii="宋体" w:cs="宋体"/>
                <w:color w:val="000000"/>
                <w:kern w:val="0"/>
                <w:szCs w:val="21"/>
              </w:rPr>
              <w:t>6. 当来访人员出示证件时，应说：“谢谢您的配合。 ”</w:t>
            </w:r>
          </w:p>
        </w:tc>
      </w:tr>
      <w:tr w14:paraId="5DD9C46A">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6F146FA0"/>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4B56605E">
            <w:pPr>
              <w:widowControl/>
              <w:jc w:val="left"/>
              <w:textAlignment w:val="center"/>
              <w:rPr>
                <w:rFonts w:ascii="宋体" w:cs="宋体"/>
                <w:color w:val="000000"/>
                <w:szCs w:val="21"/>
              </w:rPr>
            </w:pPr>
            <w:r>
              <w:rPr>
                <w:rFonts w:hint="eastAsia" w:ascii="宋体" w:cs="宋体"/>
                <w:color w:val="000000"/>
                <w:kern w:val="0"/>
                <w:szCs w:val="21"/>
              </w:rPr>
              <w:t>7. 如果要找的人不在或不想见时，应礼貌地对对方说“对不起，他现在不在，您能留下卡片或口信吗？”</w:t>
            </w:r>
          </w:p>
        </w:tc>
      </w:tr>
      <w:tr w14:paraId="6EBAB3E1">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0FF1B3A3"/>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328567A6">
            <w:pPr>
              <w:widowControl/>
              <w:jc w:val="left"/>
              <w:textAlignment w:val="center"/>
              <w:rPr>
                <w:rFonts w:ascii="宋体" w:cs="宋体"/>
                <w:color w:val="000000"/>
                <w:szCs w:val="21"/>
              </w:rPr>
            </w:pPr>
            <w:r>
              <w:rPr>
                <w:rFonts w:hint="eastAsia" w:ascii="宋体" w:cs="宋体"/>
                <w:color w:val="000000"/>
                <w:kern w:val="0"/>
                <w:szCs w:val="21"/>
              </w:rPr>
              <w:t>8. 当来访人员离开时， 应礼貌地说“再见！”</w:t>
            </w:r>
          </w:p>
        </w:tc>
      </w:tr>
      <w:tr w14:paraId="5C08459E">
        <w:tblPrEx>
          <w:tblCellMar>
            <w:top w:w="0" w:type="dxa"/>
            <w:left w:w="108" w:type="dxa"/>
            <w:bottom w:w="0" w:type="dxa"/>
            <w:right w:w="108" w:type="dxa"/>
          </w:tblCellMar>
        </w:tblPrEx>
        <w:trPr>
          <w:trHeight w:val="527"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ign w:val="center"/>
          </w:tcPr>
          <w:p w14:paraId="29CFC4B6">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接  听  拨  打  电  话</w:t>
            </w:r>
          </w:p>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011D801A">
            <w:pPr>
              <w:widowControl/>
              <w:jc w:val="left"/>
              <w:textAlignment w:val="center"/>
              <w:rPr>
                <w:rFonts w:ascii="宋体" w:cs="宋体"/>
                <w:color w:val="000000"/>
                <w:szCs w:val="21"/>
              </w:rPr>
            </w:pPr>
            <w:r>
              <w:rPr>
                <w:rFonts w:hint="eastAsia" w:ascii="宋体" w:cs="宋体"/>
                <w:color w:val="000000"/>
                <w:kern w:val="0"/>
                <w:szCs w:val="21"/>
              </w:rPr>
              <w:t>1. 接听电话时应清晰应答：“您好， ××单位。 ”</w:t>
            </w:r>
          </w:p>
        </w:tc>
      </w:tr>
      <w:tr w14:paraId="3834B672">
        <w:tblPrEx>
          <w:tblCellMar>
            <w:top w:w="0" w:type="dxa"/>
            <w:left w:w="108" w:type="dxa"/>
            <w:bottom w:w="0" w:type="dxa"/>
            <w:right w:w="108" w:type="dxa"/>
          </w:tblCellMar>
        </w:tblPrEx>
        <w:trPr>
          <w:trHeight w:val="63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01E4C71C"/>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2CE55067">
            <w:pPr>
              <w:widowControl/>
              <w:jc w:val="left"/>
              <w:textAlignment w:val="center"/>
              <w:rPr>
                <w:rFonts w:ascii="宋体" w:cs="宋体"/>
                <w:color w:val="000000"/>
                <w:szCs w:val="21"/>
              </w:rPr>
            </w:pPr>
            <w:r>
              <w:rPr>
                <w:rFonts w:hint="eastAsia" w:ascii="宋体" w:cs="宋体"/>
                <w:color w:val="000000"/>
                <w:kern w:val="0"/>
                <w:szCs w:val="21"/>
              </w:rPr>
              <w:t>2. 认真倾听对方的电话事由， 若需传呼他人，应请对方稍候，然后轻轻搁下电话，去传呼他人：如对方有公事相告时，应将对方要求逐条记录在《工作日记》内，并尽量详细回答。</w:t>
            </w:r>
          </w:p>
        </w:tc>
      </w:tr>
      <w:tr w14:paraId="38484DDE">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63D44B1D"/>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52A1E66F">
            <w:pPr>
              <w:widowControl/>
              <w:jc w:val="left"/>
              <w:textAlignment w:val="center"/>
              <w:rPr>
                <w:rFonts w:ascii="宋体" w:cs="宋体"/>
                <w:color w:val="000000"/>
                <w:szCs w:val="21"/>
              </w:rPr>
            </w:pPr>
            <w:r>
              <w:rPr>
                <w:rFonts w:hint="eastAsia" w:ascii="宋体" w:cs="宋体"/>
                <w:color w:val="000000"/>
                <w:kern w:val="0"/>
                <w:szCs w:val="21"/>
              </w:rPr>
              <w:t>3. 通话完毕， 应说：“谢谢，再见！ ”语气平和， 并在对方放下电话后再轻轻放下电话。</w:t>
            </w:r>
          </w:p>
        </w:tc>
      </w:tr>
      <w:tr w14:paraId="3F269578">
        <w:tblPrEx>
          <w:tblCellMar>
            <w:top w:w="0" w:type="dxa"/>
            <w:left w:w="108" w:type="dxa"/>
            <w:bottom w:w="0" w:type="dxa"/>
            <w:right w:w="108" w:type="dxa"/>
          </w:tblCellMar>
        </w:tblPrEx>
        <w:trPr>
          <w:trHeight w:val="60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27D61EFB"/>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07C6FB86">
            <w:pPr>
              <w:widowControl/>
              <w:jc w:val="left"/>
              <w:textAlignment w:val="center"/>
              <w:rPr>
                <w:rFonts w:ascii="宋体" w:cs="宋体"/>
                <w:color w:val="000000"/>
                <w:szCs w:val="21"/>
              </w:rPr>
            </w:pPr>
            <w:r>
              <w:rPr>
                <w:rFonts w:hint="eastAsia" w:ascii="宋体" w:cs="宋体"/>
                <w:color w:val="000000"/>
                <w:kern w:val="0"/>
                <w:szCs w:val="21"/>
              </w:rPr>
              <w:t xml:space="preserve">4. 如接电话听不懂对方语言时， 应说：“对不起， 请您用普通话， 好吗？”或“不好意思， 请稍候， 我不会说当地话。 ” </w:t>
            </w:r>
          </w:p>
        </w:tc>
      </w:tr>
      <w:tr w14:paraId="3B68053E">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62704290"/>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2023E4F8">
            <w:pPr>
              <w:widowControl/>
              <w:jc w:val="left"/>
              <w:textAlignment w:val="center"/>
              <w:rPr>
                <w:rFonts w:ascii="宋体" w:cs="宋体"/>
                <w:color w:val="000000"/>
                <w:szCs w:val="21"/>
              </w:rPr>
            </w:pPr>
            <w:r>
              <w:rPr>
                <w:rFonts w:hint="eastAsia" w:ascii="宋体" w:cs="宋体"/>
                <w:color w:val="000000"/>
                <w:kern w:val="0"/>
                <w:szCs w:val="21"/>
              </w:rPr>
              <w:t xml:space="preserve">5. 中途若遇急事需暂时中断与对方通话时，应先征得对方的同意， 并表示感谢，恢复与对方通话时， 切勿忘记向对方致歉。 </w:t>
            </w:r>
          </w:p>
        </w:tc>
      </w:tr>
      <w:tr w14:paraId="532665F4">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4F16DE00"/>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0C8D9A48">
            <w:pPr>
              <w:widowControl/>
              <w:jc w:val="left"/>
              <w:textAlignment w:val="center"/>
              <w:rPr>
                <w:rFonts w:ascii="宋体" w:cs="宋体"/>
                <w:color w:val="000000"/>
                <w:szCs w:val="21"/>
              </w:rPr>
            </w:pPr>
            <w:r>
              <w:rPr>
                <w:rFonts w:hint="eastAsia" w:ascii="宋体" w:cs="宋体"/>
                <w:color w:val="000000"/>
                <w:kern w:val="0"/>
                <w:szCs w:val="21"/>
              </w:rPr>
              <w:t>6. 接听电话时，声调要自然清晰、柔和、亲切，音量要适宜，以免对方听不清楚。</w:t>
            </w:r>
          </w:p>
        </w:tc>
      </w:tr>
      <w:tr w14:paraId="1E5B1B9B">
        <w:tblPrEx>
          <w:tblCellMar>
            <w:top w:w="0" w:type="dxa"/>
            <w:left w:w="108" w:type="dxa"/>
            <w:bottom w:w="0" w:type="dxa"/>
            <w:right w:w="108" w:type="dxa"/>
          </w:tblCellMar>
        </w:tblPrEx>
        <w:trPr>
          <w:trHeight w:val="64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70A52D7A"/>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2BBA5C15">
            <w:pPr>
              <w:widowControl/>
              <w:jc w:val="left"/>
              <w:textAlignment w:val="center"/>
              <w:rPr>
                <w:rFonts w:ascii="宋体" w:cs="宋体"/>
                <w:color w:val="000000"/>
                <w:szCs w:val="21"/>
              </w:rPr>
            </w:pPr>
            <w:r>
              <w:rPr>
                <w:rFonts w:hint="eastAsia" w:ascii="宋体" w:cs="宋体"/>
                <w:color w:val="000000"/>
                <w:kern w:val="0"/>
                <w:szCs w:val="21"/>
              </w:rPr>
              <w:t>7. 拨打电话接通后，应首先向对方致以问候， 如： “您好”， 并作自我介绍。 使用敬语， 将要找的通话人姓名及要做的事交待清楚。</w:t>
            </w:r>
          </w:p>
        </w:tc>
      </w:tr>
      <w:tr w14:paraId="2F855407">
        <w:tblPrEx>
          <w:tblCellMar>
            <w:top w:w="0" w:type="dxa"/>
            <w:left w:w="108" w:type="dxa"/>
            <w:bottom w:w="0" w:type="dxa"/>
            <w:right w:w="108" w:type="dxa"/>
          </w:tblCellMar>
        </w:tblPrEx>
        <w:trPr>
          <w:trHeight w:val="27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073BCA3F"/>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4794670F">
            <w:pPr>
              <w:widowControl/>
              <w:jc w:val="left"/>
              <w:textAlignment w:val="center"/>
              <w:rPr>
                <w:rFonts w:ascii="宋体" w:cs="宋体"/>
                <w:color w:val="000000"/>
                <w:szCs w:val="21"/>
              </w:rPr>
            </w:pPr>
            <w:r>
              <w:rPr>
                <w:rFonts w:hint="eastAsia" w:ascii="宋体" w:cs="宋体"/>
                <w:color w:val="000000"/>
                <w:kern w:val="0"/>
                <w:szCs w:val="21"/>
              </w:rPr>
              <w:t>8. 通话完毕时，应说： “谢谢， 再见。 ”</w:t>
            </w:r>
          </w:p>
        </w:tc>
      </w:tr>
      <w:tr w14:paraId="3F047315">
        <w:tblPrEx>
          <w:tblCellMar>
            <w:top w:w="0" w:type="dxa"/>
            <w:left w:w="108" w:type="dxa"/>
            <w:bottom w:w="0" w:type="dxa"/>
            <w:right w:w="108" w:type="dxa"/>
          </w:tblCellMar>
        </w:tblPrEx>
        <w:trPr>
          <w:trHeight w:val="620" w:hRule="atLeast"/>
        </w:trPr>
        <w:tc>
          <w:tcPr>
            <w:tcW w:w="1022" w:type="dxa"/>
            <w:vMerge w:val="restart"/>
            <w:tcBorders>
              <w:top w:val="single" w:color="000000" w:sz="4" w:space="0"/>
              <w:left w:val="single" w:color="000000" w:sz="4" w:space="0"/>
              <w:bottom w:val="single" w:color="000000" w:sz="4" w:space="0"/>
              <w:right w:val="single" w:color="000000" w:sz="4" w:space="0"/>
            </w:tcBorders>
            <w:noWrap/>
            <w:vAlign w:val="center"/>
          </w:tcPr>
          <w:p w14:paraId="0288675F">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同乘电梯</w:t>
            </w:r>
          </w:p>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4268BFDA">
            <w:pPr>
              <w:widowControl/>
              <w:jc w:val="left"/>
              <w:textAlignment w:val="center"/>
              <w:rPr>
                <w:rFonts w:ascii="宋体" w:cs="宋体"/>
                <w:color w:val="000000"/>
                <w:szCs w:val="21"/>
              </w:rPr>
            </w:pPr>
            <w:r>
              <w:rPr>
                <w:rFonts w:hint="eastAsia" w:ascii="宋体" w:cs="宋体"/>
                <w:color w:val="000000"/>
                <w:kern w:val="0"/>
                <w:szCs w:val="21"/>
              </w:rPr>
              <w:t>1. 主动按“开门”钮，  电梯到层时，应站在梯门边， 一只手斜放在梯门上，以免梯门突然关闭，同时面带微笑地说“电梯来了，请进。 ” 顾客进 入电梯后再进电梯， 面向电梯门，按“关门”钮。</w:t>
            </w:r>
          </w:p>
        </w:tc>
      </w:tr>
      <w:tr w14:paraId="7D7702F8">
        <w:tblPrEx>
          <w:tblCellMar>
            <w:top w:w="0" w:type="dxa"/>
            <w:left w:w="108" w:type="dxa"/>
            <w:bottom w:w="0" w:type="dxa"/>
            <w:right w:w="108" w:type="dxa"/>
          </w:tblCellMar>
        </w:tblPrEx>
        <w:trPr>
          <w:trHeight w:val="620" w:hRule="atLeast"/>
        </w:trPr>
        <w:tc>
          <w:tcPr>
            <w:tcW w:w="1022" w:type="dxa"/>
            <w:vMerge w:val="continue"/>
            <w:tcBorders>
              <w:top w:val="single" w:color="000000" w:sz="4" w:space="0"/>
              <w:left w:val="single" w:color="000000" w:sz="4" w:space="0"/>
              <w:bottom w:val="single" w:color="000000" w:sz="4" w:space="0"/>
              <w:right w:val="single" w:color="000000" w:sz="4" w:space="0"/>
            </w:tcBorders>
            <w:noWrap/>
            <w:vAlign w:val="center"/>
          </w:tcPr>
          <w:p w14:paraId="5D4726D2"/>
        </w:tc>
        <w:tc>
          <w:tcPr>
            <w:tcW w:w="8881" w:type="dxa"/>
            <w:gridSpan w:val="2"/>
            <w:tcBorders>
              <w:top w:val="single" w:color="000000" w:sz="4" w:space="0"/>
              <w:left w:val="single" w:color="000000" w:sz="4" w:space="0"/>
              <w:bottom w:val="single" w:color="000000" w:sz="4" w:space="0"/>
              <w:right w:val="single" w:color="000000" w:sz="4" w:space="0"/>
            </w:tcBorders>
            <w:noWrap/>
            <w:vAlign w:val="center"/>
          </w:tcPr>
          <w:p w14:paraId="56F37949">
            <w:pPr>
              <w:widowControl/>
              <w:jc w:val="left"/>
              <w:textAlignment w:val="center"/>
              <w:rPr>
                <w:rFonts w:ascii="宋体" w:cs="宋体"/>
                <w:color w:val="000000"/>
                <w:szCs w:val="21"/>
              </w:rPr>
            </w:pPr>
            <w:r>
              <w:rPr>
                <w:rFonts w:hint="eastAsia" w:ascii="宋体" w:cs="宋体"/>
                <w:color w:val="000000"/>
                <w:kern w:val="0"/>
                <w:szCs w:val="21"/>
              </w:rPr>
              <w:t>2. 电梯停止梯门打开后，首先出去站立在梯门旁， 一只手斜放在梯门上，同时另一只手指向通道，面带微笑地说：“到了，请走好。 ”</w:t>
            </w:r>
          </w:p>
        </w:tc>
      </w:tr>
    </w:tbl>
    <w:p w14:paraId="0B1705CA">
      <w:pPr>
        <w:pStyle w:val="4"/>
        <w:spacing w:line="360" w:lineRule="auto"/>
        <w:rPr>
          <w:b/>
          <w:bCs/>
          <w:sz w:val="24"/>
          <w:szCs w:val="24"/>
        </w:rPr>
      </w:pPr>
    </w:p>
    <w:p w14:paraId="6CA39D34">
      <w:pPr>
        <w:pStyle w:val="4"/>
        <w:spacing w:line="360" w:lineRule="auto"/>
        <w:rPr>
          <w:b/>
          <w:bCs/>
          <w:sz w:val="24"/>
          <w:szCs w:val="24"/>
        </w:rPr>
      </w:pPr>
      <w:r>
        <w:rPr>
          <w:rFonts w:hint="eastAsia"/>
          <w:b/>
          <w:bCs/>
          <w:sz w:val="24"/>
          <w:szCs w:val="24"/>
        </w:rPr>
        <w:t>2、履约考核参考标准</w:t>
      </w:r>
    </w:p>
    <w:tbl>
      <w:tblPr>
        <w:tblStyle w:val="9"/>
        <w:tblW w:w="5856" w:type="pct"/>
        <w:tblInd w:w="0" w:type="dxa"/>
        <w:tblLayout w:type="autofit"/>
        <w:tblCellMar>
          <w:top w:w="0" w:type="dxa"/>
          <w:left w:w="108" w:type="dxa"/>
          <w:bottom w:w="0" w:type="dxa"/>
          <w:right w:w="108" w:type="dxa"/>
        </w:tblCellMar>
      </w:tblPr>
      <w:tblGrid>
        <w:gridCol w:w="694"/>
        <w:gridCol w:w="1080"/>
        <w:gridCol w:w="767"/>
        <w:gridCol w:w="4681"/>
        <w:gridCol w:w="739"/>
        <w:gridCol w:w="790"/>
        <w:gridCol w:w="1230"/>
      </w:tblGrid>
      <w:tr w14:paraId="2D85B7AD">
        <w:tblPrEx>
          <w:tblCellMar>
            <w:top w:w="0" w:type="dxa"/>
            <w:left w:w="108" w:type="dxa"/>
            <w:bottom w:w="0" w:type="dxa"/>
            <w:right w:w="108" w:type="dxa"/>
          </w:tblCellMar>
        </w:tblPrEx>
        <w:trPr>
          <w:trHeight w:val="315" w:hRule="atLeast"/>
        </w:trPr>
        <w:tc>
          <w:tcPr>
            <w:tcW w:w="694" w:type="dxa"/>
            <w:tcBorders>
              <w:top w:val="single" w:color="000000" w:sz="4" w:space="0"/>
              <w:left w:val="single" w:color="000000" w:sz="4" w:space="0"/>
              <w:bottom w:val="single" w:color="000000" w:sz="4" w:space="0"/>
              <w:right w:val="single" w:color="000000" w:sz="4" w:space="0"/>
            </w:tcBorders>
            <w:noWrap/>
            <w:vAlign w:val="center"/>
          </w:tcPr>
          <w:p w14:paraId="12102EBA">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序号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60C556B">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项目</w:t>
            </w:r>
          </w:p>
        </w:tc>
        <w:tc>
          <w:tcPr>
            <w:tcW w:w="767" w:type="dxa"/>
            <w:tcBorders>
              <w:top w:val="single" w:color="000000" w:sz="4" w:space="0"/>
              <w:left w:val="single" w:color="000000" w:sz="4" w:space="0"/>
              <w:bottom w:val="single" w:color="000000" w:sz="4" w:space="0"/>
              <w:right w:val="single" w:color="000000" w:sz="4" w:space="0"/>
            </w:tcBorders>
            <w:noWrap/>
            <w:vAlign w:val="center"/>
          </w:tcPr>
          <w:p w14:paraId="12DF8030">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总分</w:t>
            </w:r>
          </w:p>
        </w:tc>
        <w:tc>
          <w:tcPr>
            <w:tcW w:w="4681" w:type="dxa"/>
            <w:tcBorders>
              <w:top w:val="single" w:color="000000" w:sz="4" w:space="0"/>
              <w:left w:val="single" w:color="000000" w:sz="4" w:space="0"/>
              <w:bottom w:val="single" w:color="000000" w:sz="4" w:space="0"/>
              <w:right w:val="single" w:color="000000" w:sz="4" w:space="0"/>
            </w:tcBorders>
            <w:noWrap/>
            <w:vAlign w:val="center"/>
          </w:tcPr>
          <w:p w14:paraId="6584997E">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参考标准内容</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D3B69D0">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分值</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170C390">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评分</w:t>
            </w: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1796FDAC">
            <w:pPr>
              <w:widowControl/>
              <w:jc w:val="center"/>
              <w:textAlignment w:val="center"/>
              <w:rPr>
                <w:rFonts w:ascii="微软雅黑" w:eastAsia="微软雅黑" w:cs="微软雅黑"/>
                <w:b/>
                <w:bCs/>
                <w:color w:val="000000"/>
                <w:szCs w:val="21"/>
              </w:rPr>
            </w:pPr>
            <w:r>
              <w:rPr>
                <w:rFonts w:hint="eastAsia" w:ascii="微软雅黑" w:eastAsia="微软雅黑" w:cs="微软雅黑"/>
                <w:b/>
                <w:bCs/>
                <w:color w:val="000000"/>
                <w:kern w:val="0"/>
                <w:szCs w:val="21"/>
              </w:rPr>
              <w:t>评分细则</w:t>
            </w:r>
          </w:p>
        </w:tc>
      </w:tr>
      <w:tr w14:paraId="040A96EF">
        <w:tblPrEx>
          <w:tblCellMar>
            <w:top w:w="0" w:type="dxa"/>
            <w:left w:w="108" w:type="dxa"/>
            <w:bottom w:w="0" w:type="dxa"/>
            <w:right w:w="108" w:type="dxa"/>
          </w:tblCellMar>
        </w:tblPrEx>
        <w:trPr>
          <w:trHeight w:val="285" w:hRule="atLeast"/>
        </w:trPr>
        <w:tc>
          <w:tcPr>
            <w:tcW w:w="694" w:type="dxa"/>
            <w:vMerge w:val="restart"/>
            <w:tcBorders>
              <w:top w:val="single" w:color="000000" w:sz="4" w:space="0"/>
              <w:left w:val="single" w:color="000000" w:sz="4" w:space="0"/>
              <w:bottom w:val="single" w:color="000000" w:sz="4" w:space="0"/>
              <w:right w:val="single" w:color="000000" w:sz="4" w:space="0"/>
            </w:tcBorders>
            <w:noWrap/>
            <w:vAlign w:val="center"/>
          </w:tcPr>
          <w:p w14:paraId="2950433E">
            <w:pPr>
              <w:widowControl/>
              <w:jc w:val="center"/>
              <w:textAlignment w:val="center"/>
              <w:rPr>
                <w:rFonts w:ascii="Calibri" w:hAnsi="Calibri" w:cs="Calibri"/>
                <w:color w:val="000000"/>
                <w:szCs w:val="21"/>
              </w:rPr>
            </w:pPr>
            <w:r>
              <w:rPr>
                <w:rFonts w:ascii="Calibri" w:hAnsi="Calibri" w:cs="Calibri"/>
                <w:color w:val="000000"/>
                <w:kern w:val="0"/>
                <w:szCs w:val="21"/>
              </w:rPr>
              <w:t>1</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14:paraId="26B324F1">
            <w:pPr>
              <w:widowControl/>
              <w:jc w:val="center"/>
              <w:textAlignment w:val="center"/>
              <w:rPr>
                <w:rFonts w:ascii="宋体" w:cs="宋体"/>
                <w:color w:val="000000"/>
                <w:szCs w:val="21"/>
              </w:rPr>
            </w:pPr>
            <w:r>
              <w:rPr>
                <w:rFonts w:hint="eastAsia" w:ascii="宋体" w:cs="宋体"/>
                <w:color w:val="000000"/>
                <w:kern w:val="0"/>
                <w:szCs w:val="21"/>
              </w:rPr>
              <w:t>人员制度、内部管理</w:t>
            </w:r>
          </w:p>
        </w:tc>
        <w:tc>
          <w:tcPr>
            <w:tcW w:w="767" w:type="dxa"/>
            <w:vMerge w:val="restart"/>
            <w:tcBorders>
              <w:top w:val="single" w:color="000000" w:sz="4" w:space="0"/>
              <w:left w:val="single" w:color="000000" w:sz="4" w:space="0"/>
              <w:bottom w:val="single" w:color="000000" w:sz="4" w:space="0"/>
              <w:right w:val="single" w:color="000000" w:sz="4" w:space="0"/>
            </w:tcBorders>
            <w:noWrap/>
            <w:vAlign w:val="center"/>
          </w:tcPr>
          <w:p w14:paraId="4C110CA6">
            <w:pPr>
              <w:widowControl/>
              <w:jc w:val="center"/>
              <w:textAlignment w:val="center"/>
              <w:rPr>
                <w:rFonts w:ascii="Calibri" w:hAnsi="Calibri" w:cs="Calibri"/>
                <w:color w:val="000000"/>
                <w:szCs w:val="21"/>
              </w:rPr>
            </w:pPr>
            <w:r>
              <w:rPr>
                <w:rFonts w:ascii="Calibri" w:hAnsi="Calibri" w:cs="Calibri"/>
                <w:color w:val="000000"/>
                <w:kern w:val="0"/>
                <w:szCs w:val="21"/>
              </w:rPr>
              <w:t>12</w:t>
            </w:r>
            <w:r>
              <w:rPr>
                <w:rStyle w:val="12"/>
              </w:rPr>
              <w:t>分</w:t>
            </w:r>
          </w:p>
        </w:tc>
        <w:tc>
          <w:tcPr>
            <w:tcW w:w="4681" w:type="dxa"/>
            <w:tcBorders>
              <w:top w:val="single" w:color="000000" w:sz="4" w:space="0"/>
              <w:left w:val="single" w:color="000000" w:sz="4" w:space="0"/>
              <w:bottom w:val="single" w:color="000000" w:sz="4" w:space="0"/>
              <w:right w:val="single" w:color="000000" w:sz="4" w:space="0"/>
            </w:tcBorders>
            <w:noWrap/>
            <w:vAlign w:val="center"/>
          </w:tcPr>
          <w:p w14:paraId="4DE61702">
            <w:pPr>
              <w:widowControl/>
              <w:jc w:val="left"/>
              <w:textAlignment w:val="center"/>
              <w:rPr>
                <w:rFonts w:ascii="Calibri" w:hAnsi="Calibri" w:cs="Calibri"/>
                <w:color w:val="000000"/>
                <w:szCs w:val="21"/>
              </w:rPr>
            </w:pPr>
            <w:r>
              <w:rPr>
                <w:rFonts w:ascii="Calibri" w:hAnsi="Calibri" w:cs="Calibri"/>
                <w:color w:val="000000"/>
                <w:kern w:val="0"/>
                <w:szCs w:val="21"/>
              </w:rPr>
              <w:t>1</w:t>
            </w:r>
            <w:r>
              <w:rPr>
                <w:rStyle w:val="12"/>
              </w:rPr>
              <w:t>、实行持证上岗制度。</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7672FE2B">
            <w:pPr>
              <w:widowControl/>
              <w:jc w:val="center"/>
              <w:textAlignment w:val="center"/>
              <w:rPr>
                <w:rFonts w:ascii="Calibri" w:hAnsi="Calibri" w:cs="Calibri"/>
                <w:color w:val="000000"/>
                <w:szCs w:val="21"/>
              </w:rPr>
            </w:pPr>
            <w:r>
              <w:rPr>
                <w:rFonts w:ascii="Calibri" w:hAnsi="Calibri" w:cs="Calibri"/>
                <w:color w:val="000000"/>
                <w:kern w:val="0"/>
                <w:szCs w:val="21"/>
              </w:rPr>
              <w:t>4</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D8E0886">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14:paraId="1EDE8A6D">
            <w:pPr>
              <w:widowControl/>
              <w:jc w:val="center"/>
              <w:textAlignment w:val="center"/>
              <w:rPr>
                <w:rFonts w:ascii="宋体" w:cs="宋体"/>
                <w:color w:val="000000"/>
                <w:szCs w:val="21"/>
              </w:rPr>
            </w:pPr>
            <w:r>
              <w:rPr>
                <w:rFonts w:hint="eastAsia" w:ascii="宋体" w:cs="宋体"/>
                <w:color w:val="000000"/>
                <w:kern w:val="0"/>
                <w:szCs w:val="21"/>
              </w:rPr>
              <w:t>凡有1人不符合，扣除1分</w:t>
            </w:r>
          </w:p>
        </w:tc>
      </w:tr>
      <w:tr w14:paraId="37F115A2">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2267C558"/>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449FACAA"/>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0E08A265"/>
        </w:tc>
        <w:tc>
          <w:tcPr>
            <w:tcW w:w="4681" w:type="dxa"/>
            <w:tcBorders>
              <w:top w:val="single" w:color="000000" w:sz="4" w:space="0"/>
              <w:left w:val="single" w:color="000000" w:sz="4" w:space="0"/>
              <w:bottom w:val="single" w:color="000000" w:sz="4" w:space="0"/>
              <w:right w:val="single" w:color="000000" w:sz="4" w:space="0"/>
            </w:tcBorders>
            <w:noWrap/>
            <w:vAlign w:val="center"/>
          </w:tcPr>
          <w:p w14:paraId="00EA177A">
            <w:pPr>
              <w:widowControl/>
              <w:jc w:val="left"/>
              <w:textAlignment w:val="center"/>
              <w:rPr>
                <w:rFonts w:ascii="Calibri" w:hAnsi="Calibri" w:cs="Calibri"/>
                <w:color w:val="000000"/>
                <w:szCs w:val="21"/>
              </w:rPr>
            </w:pPr>
            <w:r>
              <w:rPr>
                <w:rFonts w:ascii="Calibri" w:hAnsi="Calibri" w:cs="Calibri"/>
                <w:color w:val="000000"/>
                <w:kern w:val="0"/>
                <w:szCs w:val="21"/>
              </w:rPr>
              <w:t>2、项目投标时所承诺的项目工作人员，必须和承接此项目后开展工作的团队人员相符，未征得甲方同意不得更换团队成员。</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0CBCBAA7">
            <w:pPr>
              <w:widowControl/>
              <w:jc w:val="center"/>
              <w:textAlignment w:val="center"/>
              <w:rPr>
                <w:rFonts w:ascii="Calibri" w:hAnsi="Calibri" w:cs="Calibri"/>
                <w:color w:val="000000"/>
                <w:szCs w:val="21"/>
              </w:rPr>
            </w:pPr>
            <w:r>
              <w:rPr>
                <w:rFonts w:ascii="Calibri" w:hAnsi="Calibri" w:cs="Calibri"/>
                <w:color w:val="000000"/>
                <w:kern w:val="0"/>
                <w:szCs w:val="21"/>
              </w:rPr>
              <w:t>4</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540F2BB">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6EFB1306"/>
        </w:tc>
      </w:tr>
      <w:tr w14:paraId="5A5AD10E">
        <w:tblPrEx>
          <w:tblCellMar>
            <w:top w:w="0" w:type="dxa"/>
            <w:left w:w="108" w:type="dxa"/>
            <w:bottom w:w="0" w:type="dxa"/>
            <w:right w:w="108" w:type="dxa"/>
          </w:tblCellMar>
        </w:tblPrEx>
        <w:trPr>
          <w:trHeight w:val="60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7D5CB6F4"/>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026EC313"/>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38F12048"/>
        </w:tc>
        <w:tc>
          <w:tcPr>
            <w:tcW w:w="4681" w:type="dxa"/>
            <w:tcBorders>
              <w:top w:val="single" w:color="000000" w:sz="4" w:space="0"/>
              <w:left w:val="single" w:color="000000" w:sz="4" w:space="0"/>
              <w:bottom w:val="single" w:color="000000" w:sz="4" w:space="0"/>
              <w:right w:val="single" w:color="000000" w:sz="4" w:space="0"/>
            </w:tcBorders>
            <w:noWrap/>
            <w:vAlign w:val="center"/>
          </w:tcPr>
          <w:p w14:paraId="64898A8E">
            <w:pPr>
              <w:widowControl/>
              <w:jc w:val="left"/>
              <w:textAlignment w:val="center"/>
              <w:rPr>
                <w:rFonts w:ascii="Calibri" w:hAnsi="Calibri" w:cs="Calibri"/>
                <w:color w:val="000000"/>
                <w:szCs w:val="21"/>
              </w:rPr>
            </w:pPr>
            <w:r>
              <w:rPr>
                <w:rFonts w:ascii="Calibri" w:hAnsi="Calibri" w:cs="Calibri"/>
                <w:color w:val="000000"/>
                <w:kern w:val="0"/>
                <w:szCs w:val="21"/>
              </w:rPr>
              <w:t>3</w:t>
            </w:r>
            <w:r>
              <w:rPr>
                <w:rStyle w:val="12"/>
              </w:rPr>
              <w:t>、有健全的财务会计制度，运作规范</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9680D3C">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1BBBC05">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14:paraId="039E0533">
            <w:pPr>
              <w:widowControl/>
              <w:jc w:val="center"/>
              <w:textAlignment w:val="center"/>
              <w:rPr>
                <w:rFonts w:ascii="宋体" w:cs="宋体"/>
                <w:color w:val="000000"/>
                <w:szCs w:val="21"/>
              </w:rPr>
            </w:pPr>
            <w:r>
              <w:rPr>
                <w:rFonts w:hint="eastAsia" w:ascii="宋体" w:cs="宋体"/>
                <w:color w:val="000000"/>
                <w:kern w:val="0"/>
                <w:szCs w:val="21"/>
              </w:rPr>
              <w:t>完全符合得满分，部分符合相应递减，不符合得0分</w:t>
            </w:r>
          </w:p>
        </w:tc>
      </w:tr>
      <w:tr w14:paraId="3BB7C247">
        <w:tblPrEx>
          <w:tblCellMar>
            <w:top w:w="0" w:type="dxa"/>
            <w:left w:w="108" w:type="dxa"/>
            <w:bottom w:w="0" w:type="dxa"/>
            <w:right w:w="108" w:type="dxa"/>
          </w:tblCellMar>
        </w:tblPrEx>
        <w:trPr>
          <w:trHeight w:val="60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2E0BD0D2"/>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5705E5E5"/>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035FE492"/>
        </w:tc>
        <w:tc>
          <w:tcPr>
            <w:tcW w:w="4681" w:type="dxa"/>
            <w:tcBorders>
              <w:top w:val="single" w:color="000000" w:sz="4" w:space="0"/>
              <w:left w:val="single" w:color="000000" w:sz="4" w:space="0"/>
              <w:bottom w:val="single" w:color="000000" w:sz="4" w:space="0"/>
              <w:right w:val="single" w:color="000000" w:sz="4" w:space="0"/>
            </w:tcBorders>
            <w:noWrap/>
            <w:vAlign w:val="center"/>
          </w:tcPr>
          <w:p w14:paraId="56903119">
            <w:pPr>
              <w:widowControl/>
              <w:jc w:val="left"/>
              <w:textAlignment w:val="center"/>
              <w:rPr>
                <w:rFonts w:ascii="Calibri" w:hAnsi="Calibri" w:cs="Calibri"/>
                <w:color w:val="000000"/>
                <w:szCs w:val="21"/>
              </w:rPr>
            </w:pPr>
            <w:r>
              <w:rPr>
                <w:rFonts w:ascii="Calibri" w:hAnsi="Calibri" w:cs="Calibri"/>
                <w:color w:val="000000"/>
                <w:kern w:val="0"/>
                <w:szCs w:val="21"/>
              </w:rPr>
              <w:t>4</w:t>
            </w:r>
            <w:r>
              <w:rPr>
                <w:rStyle w:val="12"/>
              </w:rPr>
              <w:t>、健全考核制度，岗位职责，工作流程。建立各类应急预案。</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763F2917">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820E482">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2D66F145"/>
        </w:tc>
      </w:tr>
      <w:tr w14:paraId="14C3EA8C">
        <w:tblPrEx>
          <w:tblCellMar>
            <w:top w:w="0" w:type="dxa"/>
            <w:left w:w="108" w:type="dxa"/>
            <w:bottom w:w="0" w:type="dxa"/>
            <w:right w:w="108" w:type="dxa"/>
          </w:tblCellMar>
        </w:tblPrEx>
        <w:trPr>
          <w:trHeight w:val="285" w:hRule="atLeast"/>
        </w:trPr>
        <w:tc>
          <w:tcPr>
            <w:tcW w:w="694" w:type="dxa"/>
            <w:vMerge w:val="restart"/>
            <w:tcBorders>
              <w:top w:val="single" w:color="000000" w:sz="4" w:space="0"/>
              <w:left w:val="single" w:color="000000" w:sz="4" w:space="0"/>
              <w:bottom w:val="single" w:color="000000" w:sz="4" w:space="0"/>
              <w:right w:val="single" w:color="000000" w:sz="4" w:space="0"/>
            </w:tcBorders>
            <w:noWrap/>
            <w:vAlign w:val="center"/>
          </w:tcPr>
          <w:p w14:paraId="5DEE6AD4">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14:paraId="63774C10">
            <w:pPr>
              <w:widowControl/>
              <w:jc w:val="center"/>
              <w:textAlignment w:val="center"/>
              <w:rPr>
                <w:rFonts w:ascii="宋体" w:cs="宋体"/>
                <w:color w:val="000000"/>
                <w:szCs w:val="21"/>
              </w:rPr>
            </w:pPr>
            <w:r>
              <w:rPr>
                <w:rFonts w:hint="eastAsia" w:ascii="宋体" w:cs="宋体"/>
                <w:color w:val="000000"/>
                <w:kern w:val="0"/>
                <w:szCs w:val="21"/>
              </w:rPr>
              <w:t>秩序维护服务</w:t>
            </w:r>
          </w:p>
        </w:tc>
        <w:tc>
          <w:tcPr>
            <w:tcW w:w="767" w:type="dxa"/>
            <w:vMerge w:val="restart"/>
            <w:tcBorders>
              <w:top w:val="single" w:color="000000" w:sz="4" w:space="0"/>
              <w:left w:val="single" w:color="000000" w:sz="4" w:space="0"/>
              <w:bottom w:val="single" w:color="000000" w:sz="4" w:space="0"/>
              <w:right w:val="single" w:color="000000" w:sz="4" w:space="0"/>
            </w:tcBorders>
            <w:noWrap/>
            <w:vAlign w:val="center"/>
          </w:tcPr>
          <w:p w14:paraId="4B0090B4">
            <w:pPr>
              <w:widowControl/>
              <w:jc w:val="center"/>
              <w:textAlignment w:val="center"/>
              <w:rPr>
                <w:rFonts w:ascii="Calibri" w:hAnsi="Calibri" w:cs="Calibri"/>
                <w:color w:val="000000"/>
                <w:szCs w:val="21"/>
              </w:rPr>
            </w:pPr>
            <w:r>
              <w:rPr>
                <w:rFonts w:ascii="Calibri" w:hAnsi="Calibri" w:cs="Calibri"/>
                <w:color w:val="000000"/>
                <w:kern w:val="0"/>
                <w:szCs w:val="21"/>
              </w:rPr>
              <w:t>26分</w:t>
            </w:r>
          </w:p>
        </w:tc>
        <w:tc>
          <w:tcPr>
            <w:tcW w:w="4681" w:type="dxa"/>
            <w:tcBorders>
              <w:top w:val="single" w:color="000000" w:sz="4" w:space="0"/>
              <w:left w:val="single" w:color="000000" w:sz="4" w:space="0"/>
              <w:bottom w:val="single" w:color="000000" w:sz="4" w:space="0"/>
              <w:right w:val="single" w:color="000000" w:sz="4" w:space="0"/>
            </w:tcBorders>
            <w:noWrap/>
            <w:vAlign w:val="center"/>
          </w:tcPr>
          <w:p w14:paraId="00DDB997">
            <w:pPr>
              <w:widowControl/>
              <w:jc w:val="left"/>
              <w:textAlignment w:val="center"/>
              <w:rPr>
                <w:rFonts w:ascii="Calibri" w:hAnsi="Calibri" w:cs="Calibri"/>
                <w:color w:val="000000"/>
                <w:szCs w:val="21"/>
              </w:rPr>
            </w:pPr>
            <w:r>
              <w:rPr>
                <w:rFonts w:ascii="Calibri" w:hAnsi="Calibri" w:cs="Calibri"/>
                <w:color w:val="000000"/>
                <w:kern w:val="0"/>
                <w:szCs w:val="21"/>
              </w:rPr>
              <w:t>1、项目24小时有</w:t>
            </w:r>
            <w:r>
              <w:rPr>
                <w:rFonts w:hint="eastAsia" w:ascii="Calibri" w:hAnsi="Calibri" w:cs="Calibri"/>
                <w:color w:val="000000"/>
                <w:kern w:val="0"/>
                <w:szCs w:val="21"/>
              </w:rPr>
              <w:t>安保</w:t>
            </w:r>
            <w:r>
              <w:rPr>
                <w:rFonts w:ascii="Calibri" w:hAnsi="Calibri" w:cs="Calibri"/>
                <w:color w:val="000000"/>
                <w:kern w:val="0"/>
                <w:szCs w:val="21"/>
              </w:rPr>
              <w:t>人员和值班电话。</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294B09B5">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D274412">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14:paraId="5AF2F625">
            <w:pPr>
              <w:widowControl/>
              <w:jc w:val="center"/>
              <w:textAlignment w:val="center"/>
              <w:rPr>
                <w:rFonts w:ascii="宋体" w:cs="宋体"/>
                <w:color w:val="000000"/>
                <w:szCs w:val="21"/>
              </w:rPr>
            </w:pPr>
            <w:r>
              <w:rPr>
                <w:rFonts w:hint="eastAsia" w:ascii="宋体" w:cs="宋体"/>
                <w:color w:val="000000"/>
                <w:kern w:val="0"/>
                <w:szCs w:val="21"/>
              </w:rPr>
              <w:t>完全符合得满分，部分符合相应递减，不符合得0分</w:t>
            </w:r>
          </w:p>
        </w:tc>
      </w:tr>
      <w:tr w14:paraId="75E6C220">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5543C69F"/>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79F79800"/>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4E1F1891"/>
        </w:tc>
        <w:tc>
          <w:tcPr>
            <w:tcW w:w="4681" w:type="dxa"/>
            <w:tcBorders>
              <w:top w:val="single" w:color="000000" w:sz="4" w:space="0"/>
              <w:left w:val="single" w:color="000000" w:sz="4" w:space="0"/>
              <w:bottom w:val="single" w:color="000000" w:sz="4" w:space="0"/>
              <w:right w:val="single" w:color="000000" w:sz="4" w:space="0"/>
            </w:tcBorders>
            <w:noWrap/>
            <w:vAlign w:val="center"/>
          </w:tcPr>
          <w:p w14:paraId="6170493E">
            <w:pPr>
              <w:widowControl/>
              <w:jc w:val="left"/>
              <w:textAlignment w:val="center"/>
              <w:rPr>
                <w:rFonts w:ascii="Calibri" w:hAnsi="Calibri" w:cs="Calibri"/>
                <w:color w:val="000000"/>
                <w:szCs w:val="21"/>
              </w:rPr>
            </w:pPr>
            <w:r>
              <w:rPr>
                <w:rFonts w:ascii="Calibri" w:hAnsi="Calibri" w:cs="Calibri"/>
                <w:color w:val="000000"/>
                <w:kern w:val="0"/>
                <w:szCs w:val="21"/>
              </w:rPr>
              <w:t>2、项目内公共秩序良好。发生刑事案件、火警事故、交通事故等紧急情况时，</w:t>
            </w:r>
            <w:r>
              <w:rPr>
                <w:rFonts w:hint="eastAsia" w:ascii="Calibri" w:hAnsi="Calibri" w:cs="Calibri"/>
                <w:color w:val="000000"/>
                <w:kern w:val="0"/>
                <w:szCs w:val="21"/>
              </w:rPr>
              <w:t>安保</w:t>
            </w:r>
            <w:r>
              <w:rPr>
                <w:rFonts w:ascii="Calibri" w:hAnsi="Calibri" w:cs="Calibri"/>
                <w:color w:val="000000"/>
                <w:kern w:val="0"/>
                <w:szCs w:val="21"/>
              </w:rPr>
              <w:t>人员应保护现场，并上报有关主管部门，无借故推诿和拖沓现象。</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2C3F6E84">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DFE52B7">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7EEFDF20"/>
        </w:tc>
      </w:tr>
      <w:tr w14:paraId="7F71157F">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5CE4CF91"/>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658DEB2F"/>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12C92728"/>
        </w:tc>
        <w:tc>
          <w:tcPr>
            <w:tcW w:w="4681" w:type="dxa"/>
            <w:tcBorders>
              <w:top w:val="single" w:color="000000" w:sz="4" w:space="0"/>
              <w:left w:val="single" w:color="000000" w:sz="4" w:space="0"/>
              <w:bottom w:val="single" w:color="000000" w:sz="4" w:space="0"/>
              <w:right w:val="single" w:color="000000" w:sz="4" w:space="0"/>
            </w:tcBorders>
            <w:noWrap/>
            <w:vAlign w:val="center"/>
          </w:tcPr>
          <w:p w14:paraId="50C63235">
            <w:pPr>
              <w:widowControl/>
              <w:jc w:val="left"/>
              <w:textAlignment w:val="center"/>
              <w:rPr>
                <w:rFonts w:ascii="Calibri" w:hAnsi="Calibri" w:cs="Calibri"/>
                <w:color w:val="000000"/>
                <w:szCs w:val="21"/>
              </w:rPr>
            </w:pPr>
            <w:r>
              <w:rPr>
                <w:rFonts w:ascii="Calibri" w:hAnsi="Calibri" w:cs="Calibri"/>
                <w:color w:val="000000"/>
                <w:kern w:val="0"/>
                <w:szCs w:val="21"/>
              </w:rPr>
              <w:t>3</w:t>
            </w:r>
            <w:r>
              <w:rPr>
                <w:rStyle w:val="12"/>
              </w:rPr>
              <w:t>、安保人员着装整齐，熟悉项目情况，文明值勤、不徇私舞弊。</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AF84379">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9125957">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1439A208"/>
        </w:tc>
      </w:tr>
      <w:tr w14:paraId="6EEC0F93">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0FBF97C4"/>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6422BD92"/>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3827A2DE"/>
        </w:tc>
        <w:tc>
          <w:tcPr>
            <w:tcW w:w="4681" w:type="dxa"/>
            <w:tcBorders>
              <w:top w:val="single" w:color="000000" w:sz="4" w:space="0"/>
              <w:left w:val="single" w:color="000000" w:sz="4" w:space="0"/>
              <w:bottom w:val="single" w:color="000000" w:sz="4" w:space="0"/>
              <w:right w:val="single" w:color="000000" w:sz="4" w:space="0"/>
            </w:tcBorders>
            <w:noWrap/>
            <w:vAlign w:val="center"/>
          </w:tcPr>
          <w:p w14:paraId="48477E76">
            <w:pPr>
              <w:widowControl/>
              <w:jc w:val="left"/>
              <w:textAlignment w:val="center"/>
              <w:rPr>
                <w:rFonts w:ascii="Calibri" w:hAnsi="Calibri" w:cs="Calibri"/>
                <w:color w:val="000000"/>
                <w:szCs w:val="21"/>
              </w:rPr>
            </w:pPr>
            <w:r>
              <w:rPr>
                <w:rFonts w:ascii="Calibri" w:hAnsi="Calibri" w:cs="Calibri"/>
                <w:color w:val="000000"/>
                <w:kern w:val="0"/>
                <w:szCs w:val="21"/>
              </w:rPr>
              <w:t>4、安保人员执行严格的交接班制度，有书面的交接班记录，交班</w:t>
            </w:r>
            <w:r>
              <w:rPr>
                <w:rFonts w:hint="eastAsia" w:ascii="Calibri" w:hAnsi="Calibri" w:cs="Calibri"/>
                <w:color w:val="000000"/>
                <w:kern w:val="0"/>
                <w:szCs w:val="21"/>
              </w:rPr>
              <w:t>安保</w:t>
            </w:r>
            <w:r>
              <w:rPr>
                <w:rFonts w:ascii="Calibri" w:hAnsi="Calibri" w:cs="Calibri"/>
                <w:color w:val="000000"/>
                <w:kern w:val="0"/>
                <w:szCs w:val="21"/>
              </w:rPr>
              <w:t>人员把需要在值班中继续注意或处理的问题向接班人员交代清楚。</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5D4422C0">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922FBBD">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6E09436C"/>
        </w:tc>
      </w:tr>
      <w:tr w14:paraId="3F603950">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42B86B13"/>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01CA6339"/>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54A7A33F"/>
        </w:tc>
        <w:tc>
          <w:tcPr>
            <w:tcW w:w="4681" w:type="dxa"/>
            <w:tcBorders>
              <w:top w:val="single" w:color="000000" w:sz="4" w:space="0"/>
              <w:left w:val="single" w:color="000000" w:sz="4" w:space="0"/>
              <w:bottom w:val="single" w:color="000000" w:sz="4" w:space="0"/>
              <w:right w:val="single" w:color="000000" w:sz="4" w:space="0"/>
            </w:tcBorders>
            <w:noWrap/>
            <w:vAlign w:val="center"/>
          </w:tcPr>
          <w:p w14:paraId="3385B3F1">
            <w:pPr>
              <w:widowControl/>
              <w:jc w:val="left"/>
              <w:textAlignment w:val="center"/>
              <w:rPr>
                <w:rFonts w:ascii="Calibri" w:hAnsi="Calibri" w:cs="Calibri"/>
                <w:color w:val="000000"/>
                <w:szCs w:val="21"/>
              </w:rPr>
            </w:pPr>
            <w:r>
              <w:rPr>
                <w:rFonts w:ascii="Calibri" w:hAnsi="Calibri" w:cs="Calibri"/>
                <w:color w:val="000000"/>
                <w:kern w:val="0"/>
                <w:szCs w:val="21"/>
              </w:rPr>
              <w:t>5、对进出项目的外来车辆进行登记，对携带大宗物品外出的实行登记制度。</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A9FC3E4">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5C2E20E">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485C2F2D"/>
        </w:tc>
      </w:tr>
      <w:tr w14:paraId="634EBDDC">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669FFF82"/>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1E4F2443"/>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50840B17"/>
        </w:tc>
        <w:tc>
          <w:tcPr>
            <w:tcW w:w="4681" w:type="dxa"/>
            <w:tcBorders>
              <w:top w:val="single" w:color="000000" w:sz="4" w:space="0"/>
              <w:left w:val="single" w:color="000000" w:sz="4" w:space="0"/>
              <w:bottom w:val="single" w:color="000000" w:sz="4" w:space="0"/>
              <w:right w:val="single" w:color="000000" w:sz="4" w:space="0"/>
            </w:tcBorders>
            <w:noWrap/>
            <w:vAlign w:val="center"/>
          </w:tcPr>
          <w:p w14:paraId="3FD355FD">
            <w:pPr>
              <w:widowControl/>
              <w:jc w:val="left"/>
              <w:textAlignment w:val="center"/>
              <w:rPr>
                <w:rFonts w:ascii="Calibri" w:hAnsi="Calibri" w:cs="Calibri"/>
                <w:color w:val="000000"/>
                <w:szCs w:val="21"/>
              </w:rPr>
            </w:pPr>
            <w:r>
              <w:rPr>
                <w:rFonts w:ascii="Calibri" w:hAnsi="Calibri" w:cs="Calibri"/>
                <w:color w:val="000000"/>
                <w:kern w:val="0"/>
                <w:szCs w:val="21"/>
              </w:rPr>
              <w:t>6</w:t>
            </w:r>
            <w:r>
              <w:rPr>
                <w:rStyle w:val="12"/>
              </w:rPr>
              <w:t>、车辆停放规范有序，机动车和非机动车实行分区域停放。</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7AA464C">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7F30227">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0C58903C"/>
        </w:tc>
      </w:tr>
      <w:tr w14:paraId="41627AF1">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3400B860"/>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577D63F9"/>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5A8C8AFC"/>
        </w:tc>
        <w:tc>
          <w:tcPr>
            <w:tcW w:w="4681" w:type="dxa"/>
            <w:tcBorders>
              <w:top w:val="single" w:color="000000" w:sz="4" w:space="0"/>
              <w:left w:val="single" w:color="000000" w:sz="4" w:space="0"/>
              <w:bottom w:val="single" w:color="000000" w:sz="4" w:space="0"/>
              <w:right w:val="single" w:color="000000" w:sz="4" w:space="0"/>
            </w:tcBorders>
            <w:noWrap/>
            <w:vAlign w:val="center"/>
          </w:tcPr>
          <w:p w14:paraId="3CEC50B8">
            <w:pPr>
              <w:widowControl/>
              <w:jc w:val="left"/>
              <w:textAlignment w:val="center"/>
              <w:rPr>
                <w:rFonts w:ascii="Calibri" w:hAnsi="Calibri" w:cs="Calibri"/>
                <w:color w:val="000000"/>
                <w:szCs w:val="21"/>
              </w:rPr>
            </w:pPr>
            <w:r>
              <w:rPr>
                <w:rFonts w:ascii="Calibri" w:hAnsi="Calibri" w:cs="Calibri"/>
                <w:color w:val="000000"/>
                <w:kern w:val="0"/>
                <w:szCs w:val="21"/>
              </w:rPr>
              <w:t>7、项目内建立消防责任制，</w:t>
            </w:r>
            <w:r>
              <w:rPr>
                <w:rFonts w:hint="eastAsia" w:ascii="Calibri" w:hAnsi="Calibri" w:cs="Calibri"/>
                <w:color w:val="000000"/>
                <w:kern w:val="0"/>
                <w:szCs w:val="21"/>
              </w:rPr>
              <w:t>安保</w:t>
            </w:r>
            <w:r>
              <w:rPr>
                <w:rFonts w:ascii="Calibri" w:hAnsi="Calibri" w:cs="Calibri"/>
                <w:color w:val="000000"/>
                <w:kern w:val="0"/>
                <w:szCs w:val="21"/>
              </w:rPr>
              <w:t>人员掌握基本消防技能。消防设施设备完好、放置合理、定期检修，随时可以启用。消防台帐账务相符。</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23F7B99">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F4C06D5">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63586C64"/>
        </w:tc>
      </w:tr>
      <w:tr w14:paraId="6766C3CF">
        <w:tblPrEx>
          <w:tblCellMar>
            <w:top w:w="0" w:type="dxa"/>
            <w:left w:w="108" w:type="dxa"/>
            <w:bottom w:w="0" w:type="dxa"/>
            <w:right w:w="108" w:type="dxa"/>
          </w:tblCellMar>
        </w:tblPrEx>
        <w:trPr>
          <w:trHeight w:val="285"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679D8CE2"/>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4816450C"/>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791A12B5"/>
        </w:tc>
        <w:tc>
          <w:tcPr>
            <w:tcW w:w="4681" w:type="dxa"/>
            <w:tcBorders>
              <w:top w:val="single" w:color="000000" w:sz="4" w:space="0"/>
              <w:left w:val="single" w:color="000000" w:sz="4" w:space="0"/>
              <w:bottom w:val="single" w:color="000000" w:sz="4" w:space="0"/>
              <w:right w:val="single" w:color="000000" w:sz="4" w:space="0"/>
            </w:tcBorders>
            <w:noWrap/>
            <w:vAlign w:val="center"/>
          </w:tcPr>
          <w:p w14:paraId="4C1D3C1E">
            <w:pPr>
              <w:widowControl/>
              <w:jc w:val="left"/>
              <w:textAlignment w:val="center"/>
              <w:rPr>
                <w:rFonts w:ascii="Calibri" w:hAnsi="Calibri" w:cs="Calibri"/>
                <w:color w:val="000000"/>
                <w:szCs w:val="21"/>
              </w:rPr>
            </w:pPr>
            <w:r>
              <w:rPr>
                <w:rFonts w:ascii="Calibri" w:hAnsi="Calibri" w:cs="Calibri"/>
                <w:color w:val="000000"/>
                <w:kern w:val="0"/>
                <w:szCs w:val="21"/>
              </w:rPr>
              <w:t>8</w:t>
            </w:r>
            <w:r>
              <w:rPr>
                <w:rStyle w:val="12"/>
              </w:rPr>
              <w:t>、定期开展消防演习，消防培训。</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2D8E0F52">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713CC81">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736DF650"/>
        </w:tc>
      </w:tr>
      <w:tr w14:paraId="0DABA1AD">
        <w:tblPrEx>
          <w:tblCellMar>
            <w:top w:w="0" w:type="dxa"/>
            <w:left w:w="108" w:type="dxa"/>
            <w:bottom w:w="0" w:type="dxa"/>
            <w:right w:w="108" w:type="dxa"/>
          </w:tblCellMar>
        </w:tblPrEx>
        <w:trPr>
          <w:trHeight w:val="90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3752B919"/>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2668EEF6"/>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0AE1509A"/>
        </w:tc>
        <w:tc>
          <w:tcPr>
            <w:tcW w:w="4681" w:type="dxa"/>
            <w:tcBorders>
              <w:top w:val="single" w:color="000000" w:sz="4" w:space="0"/>
              <w:left w:val="single" w:color="000000" w:sz="4" w:space="0"/>
              <w:bottom w:val="single" w:color="000000" w:sz="4" w:space="0"/>
              <w:right w:val="single" w:color="000000" w:sz="4" w:space="0"/>
            </w:tcBorders>
            <w:noWrap/>
            <w:vAlign w:val="center"/>
          </w:tcPr>
          <w:p w14:paraId="27587790">
            <w:pPr>
              <w:widowControl/>
              <w:jc w:val="left"/>
              <w:textAlignment w:val="center"/>
              <w:rPr>
                <w:rFonts w:ascii="Calibri" w:hAnsi="Calibri" w:cs="Calibri"/>
                <w:color w:val="000000"/>
                <w:szCs w:val="21"/>
              </w:rPr>
            </w:pPr>
            <w:r>
              <w:rPr>
                <w:rFonts w:ascii="Calibri" w:hAnsi="Calibri" w:cs="Calibri"/>
                <w:color w:val="000000"/>
                <w:kern w:val="0"/>
                <w:szCs w:val="21"/>
              </w:rPr>
              <w:t>9、</w:t>
            </w:r>
            <w:r>
              <w:rPr>
                <w:rFonts w:hint="eastAsia" w:ascii="Calibri" w:hAnsi="Calibri" w:cs="Calibri"/>
                <w:color w:val="000000"/>
                <w:kern w:val="0"/>
                <w:szCs w:val="21"/>
              </w:rPr>
              <w:t>安保</w:t>
            </w:r>
            <w:r>
              <w:rPr>
                <w:rFonts w:ascii="Calibri" w:hAnsi="Calibri" w:cs="Calibri"/>
                <w:color w:val="000000"/>
                <w:kern w:val="0"/>
                <w:szCs w:val="21"/>
              </w:rPr>
              <w:t>人员熟悉岗位职责和工作流程，掌握火灾、大风、暴雨等方面突发事件的应急措施及就生知识。节假日前有安全检查。</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3A28D8B">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9E25BE3">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3C327DF3"/>
        </w:tc>
      </w:tr>
      <w:tr w14:paraId="6DA9F140">
        <w:tblPrEx>
          <w:tblCellMar>
            <w:top w:w="0" w:type="dxa"/>
            <w:left w:w="108" w:type="dxa"/>
            <w:bottom w:w="0" w:type="dxa"/>
            <w:right w:w="108" w:type="dxa"/>
          </w:tblCellMar>
        </w:tblPrEx>
        <w:trPr>
          <w:trHeight w:val="1050" w:hRule="atLeast"/>
        </w:trPr>
        <w:tc>
          <w:tcPr>
            <w:tcW w:w="694" w:type="dxa"/>
            <w:vMerge w:val="restart"/>
            <w:tcBorders>
              <w:top w:val="single" w:color="000000" w:sz="4" w:space="0"/>
              <w:left w:val="single" w:color="000000" w:sz="4" w:space="0"/>
              <w:bottom w:val="single" w:color="000000" w:sz="4" w:space="0"/>
              <w:right w:val="single" w:color="000000" w:sz="4" w:space="0"/>
            </w:tcBorders>
            <w:noWrap/>
            <w:vAlign w:val="center"/>
          </w:tcPr>
          <w:p w14:paraId="46C5FE13">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14:paraId="063CDD65">
            <w:pPr>
              <w:widowControl/>
              <w:jc w:val="center"/>
              <w:textAlignment w:val="center"/>
              <w:rPr>
                <w:rFonts w:ascii="宋体" w:cs="宋体"/>
                <w:color w:val="000000"/>
                <w:szCs w:val="21"/>
              </w:rPr>
            </w:pPr>
            <w:r>
              <w:rPr>
                <w:rFonts w:hint="eastAsia" w:ascii="宋体" w:cs="宋体"/>
                <w:color w:val="000000"/>
                <w:kern w:val="0"/>
                <w:szCs w:val="21"/>
              </w:rPr>
              <w:t>保洁服务</w:t>
            </w:r>
          </w:p>
        </w:tc>
        <w:tc>
          <w:tcPr>
            <w:tcW w:w="767" w:type="dxa"/>
            <w:vMerge w:val="restart"/>
            <w:tcBorders>
              <w:top w:val="single" w:color="000000" w:sz="4" w:space="0"/>
              <w:left w:val="single" w:color="000000" w:sz="4" w:space="0"/>
              <w:bottom w:val="single" w:color="000000" w:sz="4" w:space="0"/>
              <w:right w:val="single" w:color="000000" w:sz="4" w:space="0"/>
            </w:tcBorders>
            <w:noWrap/>
            <w:vAlign w:val="center"/>
          </w:tcPr>
          <w:p w14:paraId="634838E7">
            <w:pPr>
              <w:widowControl/>
              <w:jc w:val="center"/>
              <w:textAlignment w:val="center"/>
              <w:rPr>
                <w:rFonts w:ascii="Calibri" w:hAnsi="Calibri" w:cs="Calibri"/>
                <w:color w:val="000000"/>
                <w:szCs w:val="21"/>
              </w:rPr>
            </w:pPr>
            <w:r>
              <w:rPr>
                <w:rFonts w:ascii="Calibri" w:hAnsi="Calibri" w:cs="Calibri"/>
                <w:color w:val="000000"/>
                <w:kern w:val="0"/>
                <w:szCs w:val="21"/>
              </w:rPr>
              <w:t>21分</w:t>
            </w:r>
          </w:p>
        </w:tc>
        <w:tc>
          <w:tcPr>
            <w:tcW w:w="4681" w:type="dxa"/>
            <w:tcBorders>
              <w:top w:val="single" w:color="000000" w:sz="4" w:space="0"/>
              <w:left w:val="single" w:color="000000" w:sz="4" w:space="0"/>
              <w:bottom w:val="single" w:color="000000" w:sz="4" w:space="0"/>
              <w:right w:val="single" w:color="000000" w:sz="4" w:space="0"/>
            </w:tcBorders>
            <w:noWrap/>
            <w:vAlign w:val="center"/>
          </w:tcPr>
          <w:p w14:paraId="08AC211E">
            <w:pPr>
              <w:widowControl/>
              <w:jc w:val="left"/>
              <w:textAlignment w:val="center"/>
              <w:rPr>
                <w:rFonts w:ascii="Calibri" w:hAnsi="Calibri" w:cs="Calibri"/>
                <w:color w:val="000000"/>
                <w:szCs w:val="21"/>
              </w:rPr>
            </w:pPr>
            <w:r>
              <w:rPr>
                <w:rFonts w:ascii="Calibri" w:hAnsi="Calibri" w:cs="Calibri"/>
                <w:color w:val="000000"/>
                <w:kern w:val="0"/>
                <w:szCs w:val="21"/>
              </w:rPr>
              <w:t>1、保洁服务管理制度完善并落实。实行标准化清扫保洁，保证重要办公室、会议室等内外和公共场地整洁、舒适。实行微笑服务，态度和蔼，不得与工作人员发生争执。</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99F295E">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C0D9343">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14:paraId="011F102F">
            <w:pPr>
              <w:widowControl/>
              <w:jc w:val="center"/>
              <w:textAlignment w:val="center"/>
              <w:rPr>
                <w:rFonts w:ascii="宋体" w:cs="宋体"/>
                <w:color w:val="000000"/>
                <w:szCs w:val="21"/>
              </w:rPr>
            </w:pPr>
            <w:r>
              <w:rPr>
                <w:rFonts w:hint="eastAsia" w:ascii="宋体" w:cs="宋体"/>
                <w:color w:val="000000"/>
                <w:kern w:val="0"/>
                <w:szCs w:val="21"/>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1333500</wp:posOffset>
                  </wp:positionV>
                  <wp:extent cx="10160" cy="2305050"/>
                  <wp:effectExtent l="0" t="0" r="8890" b="0"/>
                  <wp:wrapNone/>
                  <wp:docPr id="3" name="图片_1" descr="0.png"/>
                  <wp:cNvGraphicFramePr/>
                  <a:graphic xmlns:a="http://schemas.openxmlformats.org/drawingml/2006/main">
                    <a:graphicData uri="http://schemas.openxmlformats.org/drawingml/2006/picture">
                      <pic:pic xmlns:pic="http://schemas.openxmlformats.org/drawingml/2006/picture">
                        <pic:nvPicPr>
                          <pic:cNvPr id="3" name="图片_1" descr="0.png"/>
                          <pic:cNvPicPr/>
                        </pic:nvPicPr>
                        <pic:blipFill>
                          <a:blip r:embed="rId4"/>
                          <a:stretch>
                            <a:fillRect/>
                          </a:stretch>
                        </pic:blipFill>
                        <pic:spPr>
                          <a:xfrm>
                            <a:off x="0" y="0"/>
                            <a:ext cx="10160" cy="2305050"/>
                          </a:xfrm>
                          <a:prstGeom prst="rect">
                            <a:avLst/>
                          </a:prstGeom>
                          <a:noFill/>
                          <a:ln>
                            <a:noFill/>
                          </a:ln>
                        </pic:spPr>
                      </pic:pic>
                    </a:graphicData>
                  </a:graphic>
                </wp:anchor>
              </w:drawing>
            </w:r>
            <w:r>
              <w:rPr>
                <w:rFonts w:hint="eastAsia" w:ascii="宋体" w:cs="宋体"/>
                <w:color w:val="000000"/>
                <w:kern w:val="0"/>
                <w:szCs w:val="21"/>
              </w:rPr>
              <w:t>完全符合得满分，部分符合相应递减，不符合得0分</w:t>
            </w:r>
          </w:p>
        </w:tc>
      </w:tr>
      <w:tr w14:paraId="2D79E7FE">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3B268960"/>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2E206A3A"/>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0BD0BC66"/>
        </w:tc>
        <w:tc>
          <w:tcPr>
            <w:tcW w:w="4681" w:type="dxa"/>
            <w:tcBorders>
              <w:top w:val="single" w:color="000000" w:sz="4" w:space="0"/>
              <w:left w:val="single" w:color="000000" w:sz="4" w:space="0"/>
              <w:bottom w:val="single" w:color="000000" w:sz="4" w:space="0"/>
              <w:right w:val="single" w:color="000000" w:sz="4" w:space="0"/>
            </w:tcBorders>
            <w:noWrap/>
            <w:vAlign w:val="center"/>
          </w:tcPr>
          <w:p w14:paraId="18EAFE40">
            <w:pPr>
              <w:widowControl/>
              <w:jc w:val="left"/>
              <w:textAlignment w:val="center"/>
              <w:rPr>
                <w:rFonts w:ascii="Calibri" w:hAnsi="Calibri" w:cs="Calibri"/>
                <w:color w:val="000000"/>
                <w:szCs w:val="21"/>
              </w:rPr>
            </w:pPr>
            <w:r>
              <w:rPr>
                <w:rFonts w:ascii="Calibri" w:hAnsi="Calibri" w:cs="Calibri"/>
                <w:color w:val="000000"/>
                <w:kern w:val="0"/>
                <w:szCs w:val="21"/>
              </w:rPr>
              <w:t>2、公共区域的地面、墙面、楼梯、扶手、踢脚线、台阶、梯道大门、走廊、大厅、消火栓箱表面、灭火器、开关面板、消防报警按钮等整洁干净，无垃圾、无积灰、无污渍、无手印。</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1217E20">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7BDC30BB">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0EEA09F6"/>
        </w:tc>
      </w:tr>
      <w:tr w14:paraId="7C43F4E7">
        <w:tblPrEx>
          <w:tblCellMar>
            <w:top w:w="0" w:type="dxa"/>
            <w:left w:w="108" w:type="dxa"/>
            <w:bottom w:w="0" w:type="dxa"/>
            <w:right w:w="108" w:type="dxa"/>
          </w:tblCellMar>
        </w:tblPrEx>
        <w:trPr>
          <w:trHeight w:val="108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2D175AD8"/>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59936F38"/>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6A653226"/>
        </w:tc>
        <w:tc>
          <w:tcPr>
            <w:tcW w:w="4681" w:type="dxa"/>
            <w:tcBorders>
              <w:top w:val="single" w:color="000000" w:sz="4" w:space="0"/>
              <w:left w:val="single" w:color="000000" w:sz="4" w:space="0"/>
              <w:bottom w:val="single" w:color="000000" w:sz="4" w:space="0"/>
              <w:right w:val="single" w:color="000000" w:sz="4" w:space="0"/>
            </w:tcBorders>
            <w:noWrap/>
            <w:vAlign w:val="center"/>
          </w:tcPr>
          <w:p w14:paraId="07E48041">
            <w:pPr>
              <w:widowControl/>
              <w:jc w:val="left"/>
              <w:textAlignment w:val="center"/>
              <w:rPr>
                <w:rFonts w:ascii="Calibri" w:hAnsi="Calibri" w:cs="Calibri"/>
                <w:color w:val="000000"/>
                <w:szCs w:val="21"/>
              </w:rPr>
            </w:pPr>
            <w:r>
              <w:rPr>
                <w:rFonts w:ascii="Calibri" w:hAnsi="Calibri" w:cs="Calibri"/>
                <w:color w:val="000000"/>
                <w:kern w:val="0"/>
                <w:szCs w:val="21"/>
              </w:rPr>
              <w:t>3、电梯轿厢内外、灯具、沟槽、墙面、吊顶、灯罩、门、窗（含2米以下内外玻璃）整洁程度。公共区域的地面光洁及垃圾的收集处理及屋顶平台等保洁消毒情况。</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73FCEC3">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32A372F">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3FC1EE8A"/>
        </w:tc>
      </w:tr>
      <w:tr w14:paraId="5188D812">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746E2D42"/>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500D0B37"/>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23DF2B98"/>
        </w:tc>
        <w:tc>
          <w:tcPr>
            <w:tcW w:w="4681" w:type="dxa"/>
            <w:tcBorders>
              <w:top w:val="single" w:color="000000" w:sz="4" w:space="0"/>
              <w:left w:val="single" w:color="000000" w:sz="4" w:space="0"/>
              <w:bottom w:val="single" w:color="000000" w:sz="4" w:space="0"/>
              <w:right w:val="single" w:color="000000" w:sz="4" w:space="0"/>
            </w:tcBorders>
            <w:noWrap/>
            <w:vAlign w:val="center"/>
          </w:tcPr>
          <w:p w14:paraId="79D3A26A">
            <w:pPr>
              <w:widowControl/>
              <w:jc w:val="left"/>
              <w:textAlignment w:val="center"/>
              <w:rPr>
                <w:rFonts w:ascii="Calibri" w:hAnsi="Calibri" w:cs="Calibri"/>
                <w:color w:val="000000"/>
                <w:szCs w:val="21"/>
              </w:rPr>
            </w:pPr>
            <w:r>
              <w:rPr>
                <w:rFonts w:ascii="Calibri" w:hAnsi="Calibri" w:cs="Calibri"/>
                <w:color w:val="000000"/>
                <w:kern w:val="0"/>
                <w:szCs w:val="21"/>
              </w:rPr>
              <w:t>4、卫生间、茶水间地面清洁无异味，物品摆放有序，无垃圾、无污迹、无积水、无堆积杂物，洁具、台面、镜面等光洁无水迹，电器设施外观清洁。</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099FDB96">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E7A99FA">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29088A54"/>
        </w:tc>
      </w:tr>
      <w:tr w14:paraId="2714CD70">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6B21A958"/>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51FFDD1A"/>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6D6FC5A9"/>
        </w:tc>
        <w:tc>
          <w:tcPr>
            <w:tcW w:w="4681" w:type="dxa"/>
            <w:tcBorders>
              <w:top w:val="single" w:color="000000" w:sz="4" w:space="0"/>
              <w:left w:val="single" w:color="000000" w:sz="4" w:space="0"/>
              <w:bottom w:val="single" w:color="000000" w:sz="4" w:space="0"/>
              <w:right w:val="single" w:color="000000" w:sz="4" w:space="0"/>
            </w:tcBorders>
            <w:noWrap/>
            <w:vAlign w:val="center"/>
          </w:tcPr>
          <w:p w14:paraId="25D12A2D">
            <w:pPr>
              <w:widowControl/>
              <w:jc w:val="left"/>
              <w:textAlignment w:val="center"/>
              <w:rPr>
                <w:rFonts w:ascii="Calibri" w:hAnsi="Calibri" w:cs="Calibri"/>
                <w:color w:val="000000"/>
                <w:szCs w:val="21"/>
              </w:rPr>
            </w:pPr>
            <w:r>
              <w:rPr>
                <w:rFonts w:ascii="Calibri" w:hAnsi="Calibri" w:cs="Calibri"/>
                <w:color w:val="000000"/>
                <w:kern w:val="0"/>
                <w:szCs w:val="21"/>
              </w:rPr>
              <w:t>5</w:t>
            </w:r>
            <w:r>
              <w:rPr>
                <w:rStyle w:val="12"/>
              </w:rPr>
              <w:t>、会议室内桌椅、设备保洁情况，室内绿化物、地下车库等整洁程度。</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6D1AAE7">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2E79F5B">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53EB55E4"/>
        </w:tc>
      </w:tr>
      <w:tr w14:paraId="063924BD">
        <w:tblPrEx>
          <w:tblCellMar>
            <w:top w:w="0" w:type="dxa"/>
            <w:left w:w="108" w:type="dxa"/>
            <w:bottom w:w="0" w:type="dxa"/>
            <w:right w:w="108" w:type="dxa"/>
          </w:tblCellMar>
        </w:tblPrEx>
        <w:trPr>
          <w:trHeight w:val="825"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08335557"/>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5204C8A1"/>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5A78909F"/>
        </w:tc>
        <w:tc>
          <w:tcPr>
            <w:tcW w:w="4681" w:type="dxa"/>
            <w:tcBorders>
              <w:top w:val="single" w:color="000000" w:sz="4" w:space="0"/>
              <w:left w:val="single" w:color="000000" w:sz="4" w:space="0"/>
              <w:bottom w:val="single" w:color="000000" w:sz="4" w:space="0"/>
              <w:right w:val="single" w:color="000000" w:sz="4" w:space="0"/>
            </w:tcBorders>
            <w:noWrap/>
            <w:vAlign w:val="center"/>
          </w:tcPr>
          <w:p w14:paraId="58C5F73D">
            <w:pPr>
              <w:widowControl/>
              <w:jc w:val="left"/>
              <w:textAlignment w:val="center"/>
              <w:rPr>
                <w:rFonts w:ascii="Calibri" w:hAnsi="Calibri" w:cs="Calibri"/>
                <w:color w:val="000000"/>
                <w:szCs w:val="21"/>
              </w:rPr>
            </w:pPr>
            <w:r>
              <w:rPr>
                <w:rFonts w:ascii="Calibri" w:hAnsi="Calibri" w:cs="Calibri"/>
                <w:color w:val="000000"/>
                <w:kern w:val="0"/>
                <w:szCs w:val="21"/>
              </w:rPr>
              <w:t>6、室外广场、道路、停车场（库）、雨水沟管道、“门前三包”等公共区域的地面干净无杂物、无积水和淤泥、污垢。</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D37AC74">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3992977">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51EC1692"/>
        </w:tc>
      </w:tr>
      <w:tr w14:paraId="11DADC88">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12EF0167"/>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79E6EB58"/>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1DE832E9"/>
        </w:tc>
        <w:tc>
          <w:tcPr>
            <w:tcW w:w="4681" w:type="dxa"/>
            <w:tcBorders>
              <w:top w:val="single" w:color="000000" w:sz="4" w:space="0"/>
              <w:left w:val="single" w:color="000000" w:sz="4" w:space="0"/>
              <w:bottom w:val="single" w:color="000000" w:sz="4" w:space="0"/>
              <w:right w:val="single" w:color="000000" w:sz="4" w:space="0"/>
            </w:tcBorders>
            <w:noWrap/>
            <w:vAlign w:val="center"/>
          </w:tcPr>
          <w:p w14:paraId="4C46EF33">
            <w:pPr>
              <w:widowControl/>
              <w:jc w:val="left"/>
              <w:textAlignment w:val="center"/>
              <w:rPr>
                <w:rFonts w:ascii="Calibri" w:hAnsi="Calibri" w:cs="Calibri"/>
                <w:color w:val="000000"/>
                <w:szCs w:val="21"/>
              </w:rPr>
            </w:pPr>
            <w:r>
              <w:rPr>
                <w:rFonts w:ascii="Calibri" w:hAnsi="Calibri" w:cs="Calibri"/>
                <w:color w:val="000000"/>
                <w:kern w:val="0"/>
                <w:szCs w:val="21"/>
              </w:rPr>
              <w:t>7、垃圾、废弃物按分类要求收集，日产日清；化粪池进行清淘，保持常年</w:t>
            </w:r>
            <w:r>
              <w:rPr>
                <w:rFonts w:hint="eastAsia" w:ascii="Calibri" w:hAnsi="Calibri" w:cs="Calibri"/>
                <w:color w:val="000000"/>
                <w:kern w:val="0"/>
                <w:szCs w:val="21"/>
              </w:rPr>
              <w:t>正常使用</w:t>
            </w:r>
            <w:r>
              <w:rPr>
                <w:rFonts w:ascii="Calibri" w:hAnsi="Calibri" w:cs="Calibri"/>
                <w:color w:val="000000"/>
                <w:kern w:val="0"/>
                <w:szCs w:val="21"/>
              </w:rPr>
              <w:t>；垃圾桶（房）外侧表面清洁、内侧无残留物，无异味；定期开展消毒灭害活动，对窨井、明沟、垃圾桶（房）等喷洒药水。</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09834D20">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CFF2032">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45DD1554"/>
        </w:tc>
      </w:tr>
      <w:tr w14:paraId="5EF84DA6">
        <w:tblPrEx>
          <w:tblCellMar>
            <w:top w:w="0" w:type="dxa"/>
            <w:left w:w="108" w:type="dxa"/>
            <w:bottom w:w="0" w:type="dxa"/>
            <w:right w:w="108" w:type="dxa"/>
          </w:tblCellMar>
        </w:tblPrEx>
        <w:trPr>
          <w:trHeight w:val="540" w:hRule="atLeast"/>
        </w:trPr>
        <w:tc>
          <w:tcPr>
            <w:tcW w:w="694" w:type="dxa"/>
            <w:vMerge w:val="restart"/>
            <w:tcBorders>
              <w:top w:val="single" w:color="000000" w:sz="4" w:space="0"/>
              <w:left w:val="single" w:color="000000" w:sz="4" w:space="0"/>
              <w:bottom w:val="single" w:color="000000" w:sz="4" w:space="0"/>
              <w:right w:val="single" w:color="000000" w:sz="4" w:space="0"/>
            </w:tcBorders>
            <w:noWrap/>
            <w:vAlign w:val="center"/>
          </w:tcPr>
          <w:p w14:paraId="5E49BA48">
            <w:pPr>
              <w:widowControl/>
              <w:jc w:val="center"/>
              <w:textAlignment w:val="center"/>
              <w:rPr>
                <w:rFonts w:ascii="Calibri" w:hAnsi="Calibri" w:cs="Calibri"/>
                <w:color w:val="000000"/>
                <w:szCs w:val="21"/>
              </w:rPr>
            </w:pPr>
            <w:r>
              <w:rPr>
                <w:rFonts w:ascii="Calibri" w:hAnsi="Calibri" w:cs="Calibri"/>
                <w:color w:val="000000"/>
                <w:kern w:val="0"/>
                <w:szCs w:val="21"/>
              </w:rPr>
              <w:t>4</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14:paraId="7979E752">
            <w:pPr>
              <w:widowControl/>
              <w:jc w:val="center"/>
              <w:textAlignment w:val="center"/>
              <w:rPr>
                <w:rFonts w:ascii="宋体" w:cs="宋体"/>
                <w:color w:val="000000"/>
                <w:szCs w:val="21"/>
              </w:rPr>
            </w:pPr>
            <w:r>
              <w:rPr>
                <w:rFonts w:hint="eastAsia" w:ascii="宋体" w:cs="宋体"/>
                <w:color w:val="000000"/>
                <w:kern w:val="0"/>
                <w:szCs w:val="21"/>
              </w:rPr>
              <w:t>工程服务</w:t>
            </w:r>
          </w:p>
        </w:tc>
        <w:tc>
          <w:tcPr>
            <w:tcW w:w="767" w:type="dxa"/>
            <w:vMerge w:val="restart"/>
            <w:tcBorders>
              <w:top w:val="single" w:color="000000" w:sz="4" w:space="0"/>
              <w:left w:val="single" w:color="000000" w:sz="4" w:space="0"/>
              <w:bottom w:val="single" w:color="000000" w:sz="4" w:space="0"/>
              <w:right w:val="single" w:color="000000" w:sz="4" w:space="0"/>
            </w:tcBorders>
            <w:noWrap/>
            <w:vAlign w:val="center"/>
          </w:tcPr>
          <w:p w14:paraId="71D8667E">
            <w:pPr>
              <w:widowControl/>
              <w:jc w:val="center"/>
              <w:textAlignment w:val="center"/>
              <w:rPr>
                <w:rFonts w:ascii="Calibri" w:hAnsi="Calibri" w:cs="Calibri"/>
                <w:color w:val="000000"/>
                <w:szCs w:val="21"/>
              </w:rPr>
            </w:pPr>
            <w:r>
              <w:rPr>
                <w:rFonts w:ascii="Calibri" w:hAnsi="Calibri" w:cs="Calibri"/>
                <w:color w:val="000000"/>
                <w:kern w:val="0"/>
                <w:szCs w:val="21"/>
              </w:rPr>
              <w:t>22分</w:t>
            </w:r>
          </w:p>
        </w:tc>
        <w:tc>
          <w:tcPr>
            <w:tcW w:w="4681" w:type="dxa"/>
            <w:tcBorders>
              <w:top w:val="single" w:color="000000" w:sz="4" w:space="0"/>
              <w:left w:val="single" w:color="000000" w:sz="4" w:space="0"/>
              <w:bottom w:val="single" w:color="000000" w:sz="4" w:space="0"/>
              <w:right w:val="single" w:color="000000" w:sz="4" w:space="0"/>
            </w:tcBorders>
            <w:noWrap/>
            <w:vAlign w:val="center"/>
          </w:tcPr>
          <w:p w14:paraId="60596362">
            <w:pPr>
              <w:widowControl/>
              <w:jc w:val="left"/>
              <w:textAlignment w:val="center"/>
              <w:rPr>
                <w:rFonts w:ascii="Calibri" w:hAnsi="Calibri" w:cs="Calibri"/>
                <w:color w:val="000000"/>
                <w:szCs w:val="21"/>
              </w:rPr>
            </w:pPr>
            <w:r>
              <w:rPr>
                <w:rFonts w:ascii="Calibri" w:hAnsi="Calibri" w:cs="Calibri"/>
                <w:color w:val="000000"/>
                <w:kern w:val="0"/>
                <w:szCs w:val="21"/>
              </w:rPr>
              <w:t>1、工程维修保养制度及操作规程完善并落实。落实保证大楼各项设备设施安全有效运行。</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29A3DFE">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7F929AF">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14:paraId="3B762A70">
            <w:pPr>
              <w:widowControl/>
              <w:jc w:val="center"/>
              <w:textAlignment w:val="center"/>
              <w:rPr>
                <w:rFonts w:ascii="宋体" w:cs="宋体"/>
                <w:color w:val="000000"/>
                <w:szCs w:val="21"/>
              </w:rPr>
            </w:pPr>
            <w:r>
              <w:rPr>
                <w:rFonts w:hint="eastAsia" w:ascii="宋体" w:cs="宋体"/>
                <w:color w:val="000000"/>
                <w:kern w:val="0"/>
                <w:szCs w:val="21"/>
              </w:rPr>
              <w:t>完全符合得满分，部分符合相应递减，不符合得0分</w:t>
            </w:r>
          </w:p>
        </w:tc>
      </w:tr>
      <w:tr w14:paraId="5851FB72">
        <w:tblPrEx>
          <w:tblCellMar>
            <w:top w:w="0" w:type="dxa"/>
            <w:left w:w="108" w:type="dxa"/>
            <w:bottom w:w="0" w:type="dxa"/>
            <w:right w:w="108" w:type="dxa"/>
          </w:tblCellMar>
        </w:tblPrEx>
        <w:trPr>
          <w:trHeight w:val="795"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598A8F48"/>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41EB0BAC"/>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20244A8B"/>
        </w:tc>
        <w:tc>
          <w:tcPr>
            <w:tcW w:w="4681" w:type="dxa"/>
            <w:tcBorders>
              <w:top w:val="single" w:color="000000" w:sz="4" w:space="0"/>
              <w:left w:val="single" w:color="000000" w:sz="4" w:space="0"/>
              <w:bottom w:val="single" w:color="000000" w:sz="4" w:space="0"/>
              <w:right w:val="single" w:color="000000" w:sz="4" w:space="0"/>
            </w:tcBorders>
            <w:noWrap/>
            <w:vAlign w:val="center"/>
          </w:tcPr>
          <w:p w14:paraId="0156D0CC">
            <w:pPr>
              <w:widowControl/>
              <w:jc w:val="left"/>
              <w:textAlignment w:val="center"/>
              <w:rPr>
                <w:rFonts w:ascii="Calibri" w:hAnsi="Calibri" w:cs="Calibri"/>
                <w:color w:val="000000"/>
                <w:szCs w:val="21"/>
              </w:rPr>
            </w:pPr>
            <w:r>
              <w:rPr>
                <w:rFonts w:ascii="Calibri" w:hAnsi="Calibri" w:cs="Calibri"/>
                <w:color w:val="000000"/>
                <w:kern w:val="0"/>
                <w:szCs w:val="21"/>
              </w:rPr>
              <w:t>2、电气设备、照明完好率达到100%，供电线路及后备电源、照明灯具、中央空调室内机组的检查和维护，发现损坏做好维修。</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12262820">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3824874">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245AD904"/>
        </w:tc>
      </w:tr>
      <w:tr w14:paraId="4332EA10">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11962955"/>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6DF8F471"/>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7CDD0800"/>
        </w:tc>
        <w:tc>
          <w:tcPr>
            <w:tcW w:w="4681" w:type="dxa"/>
            <w:tcBorders>
              <w:top w:val="single" w:color="000000" w:sz="4" w:space="0"/>
              <w:left w:val="single" w:color="000000" w:sz="4" w:space="0"/>
              <w:bottom w:val="single" w:color="000000" w:sz="4" w:space="0"/>
              <w:right w:val="single" w:color="000000" w:sz="4" w:space="0"/>
            </w:tcBorders>
            <w:noWrap/>
            <w:vAlign w:val="center"/>
          </w:tcPr>
          <w:p w14:paraId="5A0A21BE">
            <w:pPr>
              <w:widowControl/>
              <w:jc w:val="left"/>
              <w:textAlignment w:val="center"/>
              <w:rPr>
                <w:rFonts w:ascii="Calibri" w:hAnsi="Calibri" w:cs="Calibri"/>
                <w:color w:val="000000"/>
                <w:szCs w:val="21"/>
              </w:rPr>
            </w:pPr>
            <w:r>
              <w:rPr>
                <w:rFonts w:ascii="Calibri" w:hAnsi="Calibri" w:cs="Calibri"/>
                <w:color w:val="000000"/>
                <w:kern w:val="0"/>
                <w:szCs w:val="21"/>
              </w:rPr>
              <w:t>3、配备专职人员上岗，正确操作各项电器设备，做好原始记录；定时检查巡视高低压配电系统，并抄录各种表计，发现设备出现异常和故障，应通知有关部门进行检修，并做好记录。</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50DC0061">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DC33B2E">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1E813794"/>
        </w:tc>
      </w:tr>
      <w:tr w14:paraId="72CE9A1C">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5DD352AB"/>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7C5F5EAF"/>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298C7B3E"/>
        </w:tc>
        <w:tc>
          <w:tcPr>
            <w:tcW w:w="4681" w:type="dxa"/>
            <w:tcBorders>
              <w:top w:val="single" w:color="000000" w:sz="4" w:space="0"/>
              <w:left w:val="single" w:color="000000" w:sz="4" w:space="0"/>
              <w:bottom w:val="single" w:color="000000" w:sz="4" w:space="0"/>
              <w:right w:val="single" w:color="000000" w:sz="4" w:space="0"/>
            </w:tcBorders>
            <w:noWrap/>
            <w:vAlign w:val="center"/>
          </w:tcPr>
          <w:p w14:paraId="57486136">
            <w:pPr>
              <w:widowControl/>
              <w:jc w:val="left"/>
              <w:textAlignment w:val="center"/>
              <w:rPr>
                <w:rFonts w:ascii="Calibri" w:hAnsi="Calibri" w:cs="Calibri"/>
                <w:color w:val="000000"/>
                <w:szCs w:val="21"/>
              </w:rPr>
            </w:pPr>
            <w:r>
              <w:rPr>
                <w:rFonts w:ascii="Calibri" w:hAnsi="Calibri" w:cs="Calibri"/>
                <w:color w:val="000000"/>
                <w:kern w:val="0"/>
                <w:szCs w:val="21"/>
              </w:rPr>
              <w:t>4、给排水设备运行正常，设施完好，无跑冒滴漏；机房整洁无积尘、积水，无杂物。</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41FE8DF">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FC411ED">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0B27817D"/>
        </w:tc>
      </w:tr>
      <w:tr w14:paraId="71826E65">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0218F8A9"/>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45DDA88F"/>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50834E16"/>
        </w:tc>
        <w:tc>
          <w:tcPr>
            <w:tcW w:w="4681" w:type="dxa"/>
            <w:tcBorders>
              <w:top w:val="single" w:color="000000" w:sz="4" w:space="0"/>
              <w:left w:val="single" w:color="000000" w:sz="4" w:space="0"/>
              <w:bottom w:val="single" w:color="000000" w:sz="4" w:space="0"/>
              <w:right w:val="single" w:color="000000" w:sz="4" w:space="0"/>
            </w:tcBorders>
            <w:noWrap/>
            <w:vAlign w:val="center"/>
          </w:tcPr>
          <w:p w14:paraId="473203F7">
            <w:pPr>
              <w:widowControl/>
              <w:jc w:val="left"/>
              <w:textAlignment w:val="center"/>
              <w:rPr>
                <w:rFonts w:ascii="Calibri" w:hAnsi="Calibri" w:cs="Calibri"/>
                <w:color w:val="000000"/>
                <w:szCs w:val="21"/>
              </w:rPr>
            </w:pPr>
            <w:r>
              <w:rPr>
                <w:rFonts w:ascii="Calibri" w:hAnsi="Calibri" w:cs="Calibri"/>
                <w:color w:val="000000"/>
                <w:kern w:val="0"/>
                <w:szCs w:val="21"/>
              </w:rPr>
              <w:t>5、锅炉设备、中央空调完好，运行正常。管道、阀门无跑冒滴漏现象及事故隐患。</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26FB207">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3B65B02">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6ACD3916"/>
        </w:tc>
      </w:tr>
      <w:tr w14:paraId="57D05194">
        <w:tblPrEx>
          <w:tblCellMar>
            <w:top w:w="0" w:type="dxa"/>
            <w:left w:w="108" w:type="dxa"/>
            <w:bottom w:w="0" w:type="dxa"/>
            <w:right w:w="108" w:type="dxa"/>
          </w:tblCellMar>
        </w:tblPrEx>
        <w:trPr>
          <w:trHeight w:val="108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43FC5227"/>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22A112F1"/>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2EA4B3DC"/>
        </w:tc>
        <w:tc>
          <w:tcPr>
            <w:tcW w:w="4681" w:type="dxa"/>
            <w:tcBorders>
              <w:top w:val="single" w:color="000000" w:sz="4" w:space="0"/>
              <w:left w:val="single" w:color="000000" w:sz="4" w:space="0"/>
              <w:bottom w:val="single" w:color="000000" w:sz="4" w:space="0"/>
              <w:right w:val="single" w:color="000000" w:sz="4" w:space="0"/>
            </w:tcBorders>
            <w:noWrap/>
            <w:vAlign w:val="center"/>
          </w:tcPr>
          <w:p w14:paraId="006AE57B">
            <w:pPr>
              <w:widowControl/>
              <w:jc w:val="left"/>
              <w:textAlignment w:val="center"/>
              <w:rPr>
                <w:rFonts w:ascii="Calibri" w:hAnsi="Calibri" w:cs="Calibri"/>
                <w:color w:val="000000"/>
                <w:szCs w:val="21"/>
              </w:rPr>
            </w:pPr>
            <w:r>
              <w:rPr>
                <w:rFonts w:ascii="Calibri" w:hAnsi="Calibri" w:cs="Calibri"/>
                <w:color w:val="000000"/>
                <w:kern w:val="0"/>
                <w:szCs w:val="21"/>
              </w:rPr>
              <w:t>6、实行24小时工程运行维修值班制度。接到报修后30分钟内到现场并排除故障，维修合格率为100％，零返修。微笑服务、文明施工、安全操作，维修工作完成后做好现场清理工作。</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35A67B3">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6661CB3D">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62EE812C"/>
        </w:tc>
      </w:tr>
      <w:tr w14:paraId="34351997">
        <w:tblPrEx>
          <w:tblCellMar>
            <w:top w:w="0" w:type="dxa"/>
            <w:left w:w="108" w:type="dxa"/>
            <w:bottom w:w="0" w:type="dxa"/>
            <w:right w:w="108" w:type="dxa"/>
          </w:tblCellMar>
        </w:tblPrEx>
        <w:trPr>
          <w:trHeight w:val="54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33535DE8"/>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4BDAB9AD"/>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0DE18FE1"/>
        </w:tc>
        <w:tc>
          <w:tcPr>
            <w:tcW w:w="4681" w:type="dxa"/>
            <w:tcBorders>
              <w:top w:val="single" w:color="000000" w:sz="4" w:space="0"/>
              <w:left w:val="single" w:color="000000" w:sz="4" w:space="0"/>
              <w:bottom w:val="single" w:color="000000" w:sz="4" w:space="0"/>
              <w:right w:val="single" w:color="000000" w:sz="4" w:space="0"/>
            </w:tcBorders>
            <w:noWrap/>
            <w:vAlign w:val="center"/>
          </w:tcPr>
          <w:p w14:paraId="7105629F">
            <w:pPr>
              <w:widowControl/>
              <w:jc w:val="left"/>
              <w:textAlignment w:val="center"/>
              <w:rPr>
                <w:rFonts w:ascii="Calibri" w:hAnsi="Calibri" w:cs="Calibri"/>
                <w:color w:val="000000"/>
                <w:szCs w:val="21"/>
              </w:rPr>
            </w:pPr>
            <w:r>
              <w:rPr>
                <w:rFonts w:ascii="Calibri" w:hAnsi="Calibri" w:cs="Calibri"/>
                <w:color w:val="000000"/>
                <w:kern w:val="0"/>
                <w:szCs w:val="21"/>
              </w:rPr>
              <w:t>7、积极配合维保单位做好对</w:t>
            </w:r>
            <w:r>
              <w:rPr>
                <w:rFonts w:hint="eastAsia" w:ascii="Calibri" w:hAnsi="Calibri" w:cs="Calibri"/>
                <w:color w:val="000000"/>
                <w:kern w:val="0"/>
                <w:szCs w:val="21"/>
              </w:rPr>
              <w:t>项目</w:t>
            </w:r>
            <w:r>
              <w:rPr>
                <w:rFonts w:ascii="Calibri" w:hAnsi="Calibri" w:cs="Calibri"/>
                <w:color w:val="000000"/>
                <w:kern w:val="0"/>
                <w:szCs w:val="21"/>
              </w:rPr>
              <w:t>的各项设备的维护保养工作。发现问题及时处置，并做好记录。</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5A9FB8C0">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F8CE9CF">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5EA5FDC1"/>
        </w:tc>
      </w:tr>
      <w:tr w14:paraId="07C871A7">
        <w:tblPrEx>
          <w:tblCellMar>
            <w:top w:w="0" w:type="dxa"/>
            <w:left w:w="108" w:type="dxa"/>
            <w:bottom w:w="0" w:type="dxa"/>
            <w:right w:w="108" w:type="dxa"/>
          </w:tblCellMar>
        </w:tblPrEx>
        <w:trPr>
          <w:trHeight w:val="105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6A72BF08"/>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5F1E562D"/>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10A3B7A9"/>
        </w:tc>
        <w:tc>
          <w:tcPr>
            <w:tcW w:w="4681" w:type="dxa"/>
            <w:tcBorders>
              <w:top w:val="single" w:color="000000" w:sz="4" w:space="0"/>
              <w:left w:val="single" w:color="000000" w:sz="4" w:space="0"/>
              <w:bottom w:val="single" w:color="000000" w:sz="4" w:space="0"/>
              <w:right w:val="single" w:color="000000" w:sz="4" w:space="0"/>
            </w:tcBorders>
            <w:noWrap/>
            <w:vAlign w:val="center"/>
          </w:tcPr>
          <w:p w14:paraId="3303299D">
            <w:pPr>
              <w:widowControl/>
              <w:jc w:val="left"/>
              <w:textAlignment w:val="center"/>
              <w:rPr>
                <w:rFonts w:ascii="Calibri" w:hAnsi="Calibri" w:cs="Calibri"/>
                <w:color w:val="000000"/>
                <w:szCs w:val="21"/>
              </w:rPr>
            </w:pPr>
            <w:r>
              <w:rPr>
                <w:rFonts w:ascii="Calibri" w:hAnsi="Calibri" w:cs="Calibri"/>
                <w:color w:val="000000"/>
                <w:kern w:val="0"/>
                <w:szCs w:val="21"/>
              </w:rPr>
              <w:t>8、负责制定所管辖系统设备月度和年度的维修保养计划和备品、备件计划，定期报送监管部门审定，并负责组织安排维修保养计划的实施，制定工作标准，督导下属保证工作质量。</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A30226A">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24596938">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1D5B1327"/>
        </w:tc>
      </w:tr>
      <w:tr w14:paraId="69256E62">
        <w:tblPrEx>
          <w:tblCellMar>
            <w:top w:w="0" w:type="dxa"/>
            <w:left w:w="108" w:type="dxa"/>
            <w:bottom w:w="0" w:type="dxa"/>
            <w:right w:w="108" w:type="dxa"/>
          </w:tblCellMar>
        </w:tblPrEx>
        <w:trPr>
          <w:trHeight w:val="285" w:hRule="atLeast"/>
        </w:trPr>
        <w:tc>
          <w:tcPr>
            <w:tcW w:w="694" w:type="dxa"/>
            <w:vMerge w:val="restart"/>
            <w:tcBorders>
              <w:top w:val="single" w:color="000000" w:sz="4" w:space="0"/>
              <w:left w:val="single" w:color="000000" w:sz="4" w:space="0"/>
              <w:bottom w:val="single" w:color="000000" w:sz="4" w:space="0"/>
              <w:right w:val="single" w:color="000000" w:sz="4" w:space="0"/>
            </w:tcBorders>
            <w:noWrap/>
            <w:vAlign w:val="center"/>
          </w:tcPr>
          <w:p w14:paraId="52A5D1D4">
            <w:pPr>
              <w:widowControl/>
              <w:jc w:val="center"/>
              <w:textAlignment w:val="center"/>
              <w:rPr>
                <w:rFonts w:ascii="Calibri" w:hAnsi="Calibri" w:cs="Calibri"/>
                <w:color w:val="000000"/>
                <w:szCs w:val="21"/>
              </w:rPr>
            </w:pPr>
            <w:r>
              <w:rPr>
                <w:rFonts w:ascii="Calibri" w:hAnsi="Calibri" w:cs="Calibri"/>
                <w:color w:val="000000"/>
                <w:kern w:val="0"/>
                <w:szCs w:val="21"/>
              </w:rPr>
              <w:t>5</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14:paraId="1EBEF7F4">
            <w:pPr>
              <w:widowControl/>
              <w:jc w:val="center"/>
              <w:textAlignment w:val="center"/>
              <w:rPr>
                <w:rFonts w:ascii="宋体" w:cs="宋体"/>
                <w:color w:val="000000"/>
                <w:szCs w:val="21"/>
              </w:rPr>
            </w:pPr>
            <w:r>
              <w:rPr>
                <w:rStyle w:val="12"/>
              </w:rPr>
              <w:t>绿化</w:t>
            </w:r>
          </w:p>
        </w:tc>
        <w:tc>
          <w:tcPr>
            <w:tcW w:w="767" w:type="dxa"/>
            <w:vMerge w:val="restart"/>
            <w:tcBorders>
              <w:top w:val="single" w:color="000000" w:sz="4" w:space="0"/>
              <w:left w:val="single" w:color="000000" w:sz="4" w:space="0"/>
              <w:bottom w:val="single" w:color="000000" w:sz="4" w:space="0"/>
              <w:right w:val="single" w:color="000000" w:sz="4" w:space="0"/>
            </w:tcBorders>
            <w:noWrap/>
            <w:vAlign w:val="center"/>
          </w:tcPr>
          <w:p w14:paraId="578BE52B">
            <w:pPr>
              <w:widowControl/>
              <w:jc w:val="center"/>
              <w:textAlignment w:val="center"/>
              <w:rPr>
                <w:rFonts w:ascii="Calibri" w:hAnsi="Calibri" w:cs="Calibri"/>
                <w:color w:val="000000"/>
                <w:szCs w:val="21"/>
              </w:rPr>
            </w:pPr>
            <w:r>
              <w:rPr>
                <w:rFonts w:ascii="Calibri" w:hAnsi="Calibri" w:cs="Calibri"/>
                <w:color w:val="000000"/>
                <w:kern w:val="0"/>
                <w:szCs w:val="21"/>
              </w:rPr>
              <w:t>10分</w:t>
            </w:r>
          </w:p>
        </w:tc>
        <w:tc>
          <w:tcPr>
            <w:tcW w:w="4681" w:type="dxa"/>
            <w:tcBorders>
              <w:top w:val="single" w:color="000000" w:sz="4" w:space="0"/>
              <w:left w:val="single" w:color="000000" w:sz="4" w:space="0"/>
              <w:bottom w:val="single" w:color="000000" w:sz="4" w:space="0"/>
              <w:right w:val="single" w:color="000000" w:sz="4" w:space="0"/>
            </w:tcBorders>
            <w:noWrap/>
            <w:vAlign w:val="center"/>
          </w:tcPr>
          <w:p w14:paraId="0F9B0441">
            <w:pPr>
              <w:widowControl/>
              <w:jc w:val="left"/>
              <w:textAlignment w:val="center"/>
              <w:rPr>
                <w:rFonts w:ascii="Calibri" w:hAnsi="Calibri" w:cs="Calibri"/>
                <w:color w:val="000000"/>
                <w:szCs w:val="21"/>
              </w:rPr>
            </w:pPr>
            <w:r>
              <w:rPr>
                <w:rFonts w:ascii="Calibri" w:hAnsi="Calibri" w:cs="Calibri"/>
                <w:color w:val="000000"/>
                <w:kern w:val="0"/>
                <w:szCs w:val="21"/>
              </w:rPr>
              <w:t>1</w:t>
            </w:r>
            <w:r>
              <w:rPr>
                <w:rStyle w:val="12"/>
              </w:rPr>
              <w:t>、花木植物摆放品种、数量、规格符合招标文件要求。</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3313A537">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07D3378E">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14:paraId="0931E0EA">
            <w:pPr>
              <w:widowControl/>
              <w:jc w:val="center"/>
              <w:textAlignment w:val="center"/>
              <w:rPr>
                <w:rFonts w:ascii="宋体" w:cs="宋体"/>
                <w:color w:val="000000"/>
                <w:szCs w:val="21"/>
              </w:rPr>
            </w:pPr>
            <w:r>
              <w:rPr>
                <w:rFonts w:hint="eastAsia" w:ascii="宋体" w:cs="宋体"/>
                <w:color w:val="000000"/>
                <w:kern w:val="0"/>
                <w:szCs w:val="21"/>
              </w:rPr>
              <w:t>完全符合得满分，部分符合相应递减，不符合得0分</w:t>
            </w:r>
          </w:p>
        </w:tc>
      </w:tr>
      <w:tr w14:paraId="22F45748">
        <w:tblPrEx>
          <w:tblCellMar>
            <w:top w:w="0" w:type="dxa"/>
            <w:left w:w="108" w:type="dxa"/>
            <w:bottom w:w="0" w:type="dxa"/>
            <w:right w:w="108" w:type="dxa"/>
          </w:tblCellMar>
        </w:tblPrEx>
        <w:trPr>
          <w:trHeight w:val="57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69D25FED"/>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78E28EC0"/>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02C68316"/>
        </w:tc>
        <w:tc>
          <w:tcPr>
            <w:tcW w:w="4681" w:type="dxa"/>
            <w:tcBorders>
              <w:top w:val="single" w:color="000000" w:sz="4" w:space="0"/>
              <w:left w:val="single" w:color="000000" w:sz="4" w:space="0"/>
              <w:bottom w:val="single" w:color="000000" w:sz="4" w:space="0"/>
              <w:right w:val="single" w:color="000000" w:sz="4" w:space="0"/>
            </w:tcBorders>
            <w:noWrap/>
            <w:vAlign w:val="center"/>
          </w:tcPr>
          <w:p w14:paraId="15D4F893">
            <w:pPr>
              <w:widowControl/>
              <w:jc w:val="left"/>
              <w:textAlignment w:val="center"/>
              <w:rPr>
                <w:rFonts w:ascii="Calibri" w:hAnsi="Calibri" w:cs="Calibri"/>
                <w:color w:val="000000"/>
                <w:szCs w:val="21"/>
              </w:rPr>
            </w:pPr>
            <w:r>
              <w:rPr>
                <w:rFonts w:ascii="Calibri" w:hAnsi="Calibri" w:cs="Calibri"/>
                <w:color w:val="000000"/>
                <w:kern w:val="0"/>
                <w:szCs w:val="21"/>
              </w:rPr>
              <w:t>2、项目内植物种植的成活率达到100%。病虫害防治率100%，危害率低于5%。</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277B134E">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59819C37">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0B64B65F"/>
        </w:tc>
      </w:tr>
      <w:tr w14:paraId="745298DF">
        <w:tblPrEx>
          <w:tblCellMar>
            <w:top w:w="0" w:type="dxa"/>
            <w:left w:w="108" w:type="dxa"/>
            <w:bottom w:w="0" w:type="dxa"/>
            <w:right w:w="108" w:type="dxa"/>
          </w:tblCellMar>
        </w:tblPrEx>
        <w:trPr>
          <w:trHeight w:val="102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2482FF9D"/>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4505604F"/>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28586CFC"/>
        </w:tc>
        <w:tc>
          <w:tcPr>
            <w:tcW w:w="4681" w:type="dxa"/>
            <w:tcBorders>
              <w:top w:val="single" w:color="000000" w:sz="4" w:space="0"/>
              <w:left w:val="single" w:color="000000" w:sz="4" w:space="0"/>
              <w:bottom w:val="single" w:color="000000" w:sz="4" w:space="0"/>
              <w:right w:val="single" w:color="000000" w:sz="4" w:space="0"/>
            </w:tcBorders>
            <w:noWrap/>
            <w:vAlign w:val="center"/>
          </w:tcPr>
          <w:p w14:paraId="4E34F06D">
            <w:pPr>
              <w:widowControl/>
              <w:jc w:val="left"/>
              <w:textAlignment w:val="center"/>
              <w:rPr>
                <w:rFonts w:ascii="Calibri" w:hAnsi="Calibri" w:cs="Calibri"/>
                <w:color w:val="000000"/>
                <w:szCs w:val="21"/>
              </w:rPr>
            </w:pPr>
            <w:r>
              <w:rPr>
                <w:rFonts w:ascii="Calibri" w:hAnsi="Calibri" w:cs="Calibri"/>
                <w:color w:val="000000"/>
                <w:kern w:val="0"/>
                <w:szCs w:val="21"/>
              </w:rPr>
              <w:t>3、植株修剪及时，做到枝叶紧密、圆整，无脱节、无倾斜，无枯枝死杈。</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4D46C760">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745395E">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7B3F66AB"/>
        </w:tc>
      </w:tr>
      <w:tr w14:paraId="1D040960">
        <w:tblPrEx>
          <w:tblCellMar>
            <w:top w:w="0" w:type="dxa"/>
            <w:left w:w="108" w:type="dxa"/>
            <w:bottom w:w="0" w:type="dxa"/>
            <w:right w:w="108" w:type="dxa"/>
          </w:tblCellMar>
        </w:tblPrEx>
        <w:trPr>
          <w:trHeight w:val="285"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1EE0BC70"/>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56EECF57"/>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7A5544E5"/>
        </w:tc>
        <w:tc>
          <w:tcPr>
            <w:tcW w:w="4681" w:type="dxa"/>
            <w:tcBorders>
              <w:top w:val="single" w:color="000000" w:sz="4" w:space="0"/>
              <w:left w:val="single" w:color="000000" w:sz="4" w:space="0"/>
              <w:bottom w:val="single" w:color="000000" w:sz="4" w:space="0"/>
              <w:right w:val="single" w:color="000000" w:sz="4" w:space="0"/>
            </w:tcBorders>
            <w:noWrap/>
            <w:vAlign w:val="center"/>
          </w:tcPr>
          <w:p w14:paraId="3E812CC7">
            <w:pPr>
              <w:widowControl/>
              <w:jc w:val="left"/>
              <w:textAlignment w:val="center"/>
              <w:rPr>
                <w:rFonts w:ascii="Calibri" w:hAnsi="Calibri" w:cs="Calibri"/>
                <w:color w:val="000000"/>
                <w:szCs w:val="21"/>
              </w:rPr>
            </w:pPr>
            <w:r>
              <w:rPr>
                <w:rFonts w:ascii="Calibri" w:hAnsi="Calibri" w:cs="Calibri"/>
                <w:color w:val="000000"/>
                <w:kern w:val="0"/>
                <w:szCs w:val="21"/>
              </w:rPr>
              <w:t>4、绿植长势良好，无残叶、杂草。</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731ABB40">
            <w:pPr>
              <w:widowControl/>
              <w:jc w:val="center"/>
              <w:textAlignment w:val="center"/>
              <w:rPr>
                <w:rFonts w:ascii="Calibri" w:hAnsi="Calibri" w:cs="Calibri"/>
                <w:color w:val="000000"/>
                <w:szCs w:val="21"/>
              </w:rPr>
            </w:pPr>
            <w:r>
              <w:rPr>
                <w:rFonts w:ascii="Calibri" w:hAnsi="Calibri" w:cs="Calibri"/>
                <w:color w:val="000000"/>
                <w:kern w:val="0"/>
                <w:szCs w:val="21"/>
              </w:rPr>
              <w:t>2</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35204679">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062DB0D2"/>
        </w:tc>
      </w:tr>
      <w:tr w14:paraId="53E566AE">
        <w:tblPrEx>
          <w:tblCellMar>
            <w:top w:w="0" w:type="dxa"/>
            <w:left w:w="108" w:type="dxa"/>
            <w:bottom w:w="0" w:type="dxa"/>
            <w:right w:w="108" w:type="dxa"/>
          </w:tblCellMar>
        </w:tblPrEx>
        <w:trPr>
          <w:trHeight w:val="680" w:hRule="atLeast"/>
        </w:trPr>
        <w:tc>
          <w:tcPr>
            <w:tcW w:w="694" w:type="dxa"/>
            <w:vMerge w:val="restart"/>
            <w:tcBorders>
              <w:top w:val="single" w:color="000000" w:sz="4" w:space="0"/>
              <w:left w:val="single" w:color="000000" w:sz="4" w:space="0"/>
              <w:bottom w:val="single" w:color="000000" w:sz="4" w:space="0"/>
              <w:right w:val="single" w:color="000000" w:sz="4" w:space="0"/>
            </w:tcBorders>
            <w:noWrap/>
            <w:vAlign w:val="center"/>
          </w:tcPr>
          <w:p w14:paraId="77CEDFB4">
            <w:pPr>
              <w:widowControl/>
              <w:jc w:val="center"/>
              <w:textAlignment w:val="center"/>
              <w:rPr>
                <w:rFonts w:ascii="Calibri" w:hAnsi="Calibri" w:cs="Calibri"/>
                <w:color w:val="000000"/>
                <w:szCs w:val="21"/>
              </w:rPr>
            </w:pPr>
            <w:r>
              <w:rPr>
                <w:rFonts w:ascii="Calibri" w:hAnsi="Calibri" w:cs="Calibri"/>
                <w:color w:val="000000"/>
                <w:kern w:val="0"/>
                <w:szCs w:val="21"/>
              </w:rPr>
              <w:t>6</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14:paraId="59953D14">
            <w:pPr>
              <w:widowControl/>
              <w:jc w:val="center"/>
              <w:textAlignment w:val="center"/>
              <w:rPr>
                <w:rFonts w:ascii="宋体" w:cs="宋体"/>
                <w:color w:val="000000"/>
                <w:szCs w:val="21"/>
              </w:rPr>
            </w:pPr>
            <w:r>
              <w:rPr>
                <w:rFonts w:hint="eastAsia" w:ascii="宋体" w:cs="宋体"/>
                <w:color w:val="000000"/>
                <w:kern w:val="0"/>
                <w:szCs w:val="21"/>
              </w:rPr>
              <w:t>投诉检查整改项</w:t>
            </w:r>
          </w:p>
        </w:tc>
        <w:tc>
          <w:tcPr>
            <w:tcW w:w="767" w:type="dxa"/>
            <w:vMerge w:val="restart"/>
            <w:tcBorders>
              <w:top w:val="single" w:color="000000" w:sz="4" w:space="0"/>
              <w:left w:val="single" w:color="000000" w:sz="4" w:space="0"/>
              <w:bottom w:val="single" w:color="000000" w:sz="4" w:space="0"/>
              <w:right w:val="single" w:color="000000" w:sz="4" w:space="0"/>
            </w:tcBorders>
            <w:noWrap/>
            <w:vAlign w:val="center"/>
          </w:tcPr>
          <w:p w14:paraId="5091AF81">
            <w:pPr>
              <w:widowControl/>
              <w:jc w:val="center"/>
              <w:textAlignment w:val="center"/>
              <w:rPr>
                <w:rFonts w:ascii="Calibri" w:hAnsi="Calibri" w:cs="Calibri"/>
                <w:color w:val="000000"/>
                <w:szCs w:val="21"/>
              </w:rPr>
            </w:pPr>
            <w:r>
              <w:rPr>
                <w:rFonts w:ascii="Calibri" w:hAnsi="Calibri" w:cs="Calibri"/>
                <w:color w:val="000000"/>
                <w:kern w:val="0"/>
                <w:szCs w:val="21"/>
              </w:rPr>
              <w:t>9分</w:t>
            </w:r>
          </w:p>
        </w:tc>
        <w:tc>
          <w:tcPr>
            <w:tcW w:w="4681" w:type="dxa"/>
            <w:tcBorders>
              <w:top w:val="single" w:color="000000" w:sz="4" w:space="0"/>
              <w:left w:val="single" w:color="000000" w:sz="4" w:space="0"/>
              <w:bottom w:val="single" w:color="000000" w:sz="4" w:space="0"/>
              <w:right w:val="single" w:color="000000" w:sz="4" w:space="0"/>
            </w:tcBorders>
            <w:noWrap/>
            <w:vAlign w:val="center"/>
          </w:tcPr>
          <w:p w14:paraId="53156C05">
            <w:pPr>
              <w:widowControl/>
              <w:jc w:val="left"/>
              <w:textAlignment w:val="center"/>
              <w:rPr>
                <w:rFonts w:ascii="Calibri" w:hAnsi="Calibri" w:cs="Calibri"/>
                <w:color w:val="000000"/>
                <w:szCs w:val="21"/>
              </w:rPr>
            </w:pPr>
            <w:r>
              <w:rPr>
                <w:rFonts w:ascii="Calibri" w:hAnsi="Calibri" w:cs="Calibri"/>
                <w:color w:val="000000"/>
                <w:kern w:val="0"/>
                <w:szCs w:val="21"/>
              </w:rPr>
              <w:t>1、建立完善的投诉响应机制，并能妥善处理各类投诉及建议，给予投诉客户答复。</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5D5761E5">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1531497">
            <w:pPr>
              <w:jc w:val="left"/>
              <w:rPr>
                <w:rFonts w:ascii="Arial" w:hAnsi="Arial" w:cs="Arial"/>
                <w:color w:val="000000"/>
                <w:szCs w:val="21"/>
              </w:rPr>
            </w:pPr>
          </w:p>
        </w:tc>
        <w:tc>
          <w:tcPr>
            <w:tcW w:w="1230" w:type="dxa"/>
            <w:vMerge w:val="restart"/>
            <w:tcBorders>
              <w:top w:val="single" w:color="000000" w:sz="4" w:space="0"/>
              <w:left w:val="single" w:color="000000" w:sz="4" w:space="0"/>
              <w:bottom w:val="single" w:color="000000" w:sz="4" w:space="0"/>
              <w:right w:val="single" w:color="000000" w:sz="4" w:space="0"/>
            </w:tcBorders>
            <w:noWrap/>
            <w:vAlign w:val="center"/>
          </w:tcPr>
          <w:p w14:paraId="1F6732DE">
            <w:pPr>
              <w:widowControl/>
              <w:jc w:val="center"/>
              <w:textAlignment w:val="center"/>
              <w:rPr>
                <w:rFonts w:ascii="Calibri" w:hAnsi="Calibri" w:cs="Calibri"/>
                <w:color w:val="000000"/>
                <w:szCs w:val="21"/>
              </w:rPr>
            </w:pPr>
            <w:r>
              <w:rPr>
                <w:rFonts w:ascii="Calibri" w:hAnsi="Calibri" w:cs="Calibri"/>
                <w:color w:val="000000"/>
                <w:kern w:val="0"/>
                <w:szCs w:val="21"/>
                <w:bdr w:val="single" w:color="000000" w:sz="4" w:space="0"/>
              </w:rPr>
              <w:drawing>
                <wp:anchor distT="0" distB="0" distL="114300" distR="114300" simplePos="0" relativeHeight="251660288" behindDoc="0" locked="0" layoutInCell="1" allowOverlap="1">
                  <wp:simplePos x="0" y="0"/>
                  <wp:positionH relativeFrom="column">
                    <wp:posOffset>0</wp:posOffset>
                  </wp:positionH>
                  <wp:positionV relativeFrom="paragraph">
                    <wp:posOffset>431800</wp:posOffset>
                  </wp:positionV>
                  <wp:extent cx="10160" cy="10160"/>
                  <wp:effectExtent l="0" t="0" r="8890" b="3810"/>
                  <wp:wrapNone/>
                  <wp:docPr id="1" name="图片_2" descr="1.png"/>
                  <wp:cNvGraphicFramePr/>
                  <a:graphic xmlns:a="http://schemas.openxmlformats.org/drawingml/2006/main">
                    <a:graphicData uri="http://schemas.openxmlformats.org/drawingml/2006/picture">
                      <pic:pic xmlns:pic="http://schemas.openxmlformats.org/drawingml/2006/picture">
                        <pic:nvPicPr>
                          <pic:cNvPr id="1" name="图片_2" descr="1.png"/>
                          <pic:cNvPicPr/>
                        </pic:nvPicPr>
                        <pic:blipFill>
                          <a:blip r:embed="rId5"/>
                          <a:stretch>
                            <a:fillRect/>
                          </a:stretch>
                        </pic:blipFill>
                        <pic:spPr>
                          <a:xfrm>
                            <a:off x="0" y="0"/>
                            <a:ext cx="10160" cy="10160"/>
                          </a:xfrm>
                          <a:prstGeom prst="rect">
                            <a:avLst/>
                          </a:prstGeom>
                          <a:noFill/>
                          <a:ln>
                            <a:noFill/>
                          </a:ln>
                        </pic:spPr>
                      </pic:pic>
                    </a:graphicData>
                  </a:graphic>
                </wp:anchor>
              </w:drawing>
            </w:r>
            <w:r>
              <w:rPr>
                <w:rFonts w:ascii="Calibri" w:hAnsi="Calibri" w:cs="Calibri"/>
                <w:color w:val="000000"/>
                <w:kern w:val="0"/>
                <w:szCs w:val="21"/>
                <w:bdr w:val="single" w:color="000000" w:sz="4" w:space="0"/>
              </w:rPr>
              <w:drawing>
                <wp:anchor distT="0" distB="0" distL="114300" distR="114300" simplePos="0" relativeHeight="251661312" behindDoc="0" locked="0" layoutInCell="1" allowOverlap="1">
                  <wp:simplePos x="0" y="0"/>
                  <wp:positionH relativeFrom="column">
                    <wp:posOffset>0</wp:posOffset>
                  </wp:positionH>
                  <wp:positionV relativeFrom="paragraph">
                    <wp:posOffset>431800</wp:posOffset>
                  </wp:positionV>
                  <wp:extent cx="10160" cy="10160"/>
                  <wp:effectExtent l="0" t="0" r="0" b="0"/>
                  <wp:wrapNone/>
                  <wp:docPr id="2" name="图片_3" descr="2.png"/>
                  <wp:cNvGraphicFramePr/>
                  <a:graphic xmlns:a="http://schemas.openxmlformats.org/drawingml/2006/main">
                    <a:graphicData uri="http://schemas.openxmlformats.org/drawingml/2006/picture">
                      <pic:pic xmlns:pic="http://schemas.openxmlformats.org/drawingml/2006/picture">
                        <pic:nvPicPr>
                          <pic:cNvPr id="2" name="图片_3" descr="2.png"/>
                          <pic:cNvPicPr/>
                        </pic:nvPicPr>
                        <pic:blipFill>
                          <a:blip r:embed="rId6"/>
                          <a:stretch>
                            <a:fillRect/>
                          </a:stretch>
                        </pic:blipFill>
                        <pic:spPr>
                          <a:xfrm>
                            <a:off x="0" y="0"/>
                            <a:ext cx="10160" cy="10160"/>
                          </a:xfrm>
                          <a:prstGeom prst="rect">
                            <a:avLst/>
                          </a:prstGeom>
                          <a:noFill/>
                          <a:ln>
                            <a:noFill/>
                          </a:ln>
                        </pic:spPr>
                      </pic:pic>
                    </a:graphicData>
                  </a:graphic>
                </wp:anchor>
              </w:drawing>
            </w:r>
            <w:r>
              <w:rPr>
                <w:rFonts w:ascii="Calibri" w:hAnsi="Calibri" w:cs="Calibri"/>
                <w:color w:val="000000"/>
                <w:kern w:val="0"/>
                <w:szCs w:val="21"/>
              </w:rPr>
              <w:t>①</w:t>
            </w:r>
            <w:r>
              <w:rPr>
                <w:rStyle w:val="12"/>
              </w:rPr>
              <w:t>投诉事件经认定属实，未妥善处理或未答复，扣</w:t>
            </w:r>
            <w:r>
              <w:rPr>
                <w:rFonts w:ascii="Calibri" w:hAnsi="Calibri" w:cs="Calibri"/>
                <w:color w:val="000000"/>
                <w:kern w:val="0"/>
                <w:szCs w:val="21"/>
              </w:rPr>
              <w:t>1</w:t>
            </w:r>
            <w:r>
              <w:rPr>
                <w:rStyle w:val="12"/>
              </w:rPr>
              <w:t>分。</w:t>
            </w:r>
            <w:r>
              <w:rPr>
                <w:rFonts w:ascii="Calibri" w:hAnsi="Calibri" w:cs="Calibri"/>
                <w:color w:val="000000"/>
                <w:kern w:val="0"/>
                <w:szCs w:val="21"/>
              </w:rPr>
              <w:t>②</w:t>
            </w:r>
            <w:r>
              <w:rPr>
                <w:rStyle w:val="12"/>
              </w:rPr>
              <w:t>符合得</w:t>
            </w:r>
            <w:r>
              <w:rPr>
                <w:rFonts w:ascii="Calibri" w:hAnsi="Calibri" w:cs="Calibri"/>
                <w:color w:val="000000"/>
                <w:kern w:val="0"/>
                <w:szCs w:val="21"/>
              </w:rPr>
              <w:t>3</w:t>
            </w:r>
            <w:r>
              <w:rPr>
                <w:rStyle w:val="12"/>
              </w:rPr>
              <w:t>分，基本符合得</w:t>
            </w:r>
            <w:r>
              <w:rPr>
                <w:rFonts w:ascii="Calibri" w:hAnsi="Calibri" w:cs="Calibri"/>
                <w:color w:val="000000"/>
                <w:kern w:val="0"/>
                <w:szCs w:val="21"/>
              </w:rPr>
              <w:t>1</w:t>
            </w:r>
            <w:r>
              <w:rPr>
                <w:rStyle w:val="12"/>
              </w:rPr>
              <w:t>分，不符合得0分。</w:t>
            </w:r>
          </w:p>
        </w:tc>
      </w:tr>
      <w:tr w14:paraId="2F14A2ED">
        <w:tblPrEx>
          <w:tblCellMar>
            <w:top w:w="0" w:type="dxa"/>
            <w:left w:w="108" w:type="dxa"/>
            <w:bottom w:w="0" w:type="dxa"/>
            <w:right w:w="108" w:type="dxa"/>
          </w:tblCellMar>
        </w:tblPrEx>
        <w:trPr>
          <w:trHeight w:val="68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0C8924D8"/>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59CCA48C"/>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62E4C100"/>
        </w:tc>
        <w:tc>
          <w:tcPr>
            <w:tcW w:w="4681" w:type="dxa"/>
            <w:tcBorders>
              <w:top w:val="single" w:color="000000" w:sz="4" w:space="0"/>
              <w:left w:val="single" w:color="000000" w:sz="4" w:space="0"/>
              <w:bottom w:val="single" w:color="000000" w:sz="4" w:space="0"/>
              <w:right w:val="single" w:color="000000" w:sz="4" w:space="0"/>
            </w:tcBorders>
            <w:noWrap/>
            <w:vAlign w:val="center"/>
          </w:tcPr>
          <w:p w14:paraId="22EFF10A">
            <w:pPr>
              <w:widowControl/>
              <w:jc w:val="left"/>
              <w:textAlignment w:val="center"/>
              <w:rPr>
                <w:rFonts w:ascii="Calibri" w:hAnsi="Calibri" w:cs="Calibri"/>
                <w:color w:val="000000"/>
                <w:szCs w:val="21"/>
              </w:rPr>
            </w:pPr>
            <w:r>
              <w:rPr>
                <w:rFonts w:ascii="Calibri" w:hAnsi="Calibri" w:cs="Calibri"/>
                <w:color w:val="000000"/>
                <w:kern w:val="0"/>
                <w:szCs w:val="21"/>
              </w:rPr>
              <w:t>2</w:t>
            </w:r>
            <w:r>
              <w:rPr>
                <w:rStyle w:val="12"/>
              </w:rPr>
              <w:t>、检查整改有效落实。</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2ED360C9">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CBA8545">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7703486A"/>
        </w:tc>
      </w:tr>
      <w:tr w14:paraId="480359E6">
        <w:tblPrEx>
          <w:tblCellMar>
            <w:top w:w="0" w:type="dxa"/>
            <w:left w:w="108" w:type="dxa"/>
            <w:bottom w:w="0" w:type="dxa"/>
            <w:right w:w="108" w:type="dxa"/>
          </w:tblCellMar>
        </w:tblPrEx>
        <w:trPr>
          <w:trHeight w:val="680" w:hRule="atLeast"/>
        </w:trPr>
        <w:tc>
          <w:tcPr>
            <w:tcW w:w="694" w:type="dxa"/>
            <w:vMerge w:val="continue"/>
            <w:tcBorders>
              <w:top w:val="single" w:color="000000" w:sz="4" w:space="0"/>
              <w:left w:val="single" w:color="000000" w:sz="4" w:space="0"/>
              <w:bottom w:val="single" w:color="000000" w:sz="4" w:space="0"/>
              <w:right w:val="single" w:color="000000" w:sz="4" w:space="0"/>
            </w:tcBorders>
            <w:noWrap/>
            <w:vAlign w:val="center"/>
          </w:tcPr>
          <w:p w14:paraId="74C4E14B"/>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17BD4107"/>
        </w:tc>
        <w:tc>
          <w:tcPr>
            <w:tcW w:w="767" w:type="dxa"/>
            <w:vMerge w:val="continue"/>
            <w:tcBorders>
              <w:top w:val="single" w:color="000000" w:sz="4" w:space="0"/>
              <w:left w:val="single" w:color="000000" w:sz="4" w:space="0"/>
              <w:bottom w:val="single" w:color="000000" w:sz="4" w:space="0"/>
              <w:right w:val="single" w:color="000000" w:sz="4" w:space="0"/>
            </w:tcBorders>
            <w:noWrap/>
            <w:vAlign w:val="center"/>
          </w:tcPr>
          <w:p w14:paraId="3AA3AC10"/>
        </w:tc>
        <w:tc>
          <w:tcPr>
            <w:tcW w:w="4681" w:type="dxa"/>
            <w:tcBorders>
              <w:top w:val="single" w:color="000000" w:sz="4" w:space="0"/>
              <w:left w:val="single" w:color="000000" w:sz="4" w:space="0"/>
              <w:bottom w:val="single" w:color="000000" w:sz="4" w:space="0"/>
              <w:right w:val="single" w:color="000000" w:sz="4" w:space="0"/>
            </w:tcBorders>
            <w:noWrap/>
            <w:vAlign w:val="center"/>
          </w:tcPr>
          <w:p w14:paraId="2CA825B7">
            <w:pPr>
              <w:widowControl/>
              <w:jc w:val="left"/>
              <w:textAlignment w:val="center"/>
              <w:rPr>
                <w:rFonts w:ascii="Calibri" w:hAnsi="Calibri" w:cs="Calibri"/>
                <w:color w:val="000000"/>
                <w:szCs w:val="21"/>
              </w:rPr>
            </w:pPr>
            <w:r>
              <w:rPr>
                <w:rFonts w:ascii="Calibri" w:hAnsi="Calibri" w:cs="Calibri"/>
                <w:color w:val="000000"/>
                <w:kern w:val="0"/>
                <w:szCs w:val="21"/>
              </w:rPr>
              <w:t>3</w:t>
            </w:r>
            <w:r>
              <w:rPr>
                <w:rStyle w:val="12"/>
              </w:rPr>
              <w:t>、无其它违反甲方相关规定之事项。</w:t>
            </w:r>
          </w:p>
        </w:tc>
        <w:tc>
          <w:tcPr>
            <w:tcW w:w="739" w:type="dxa"/>
            <w:tcBorders>
              <w:top w:val="single" w:color="000000" w:sz="4" w:space="0"/>
              <w:left w:val="single" w:color="000000" w:sz="4" w:space="0"/>
              <w:bottom w:val="single" w:color="000000" w:sz="4" w:space="0"/>
              <w:right w:val="single" w:color="000000" w:sz="4" w:space="0"/>
            </w:tcBorders>
            <w:noWrap/>
            <w:vAlign w:val="center"/>
          </w:tcPr>
          <w:p w14:paraId="698944DD">
            <w:pPr>
              <w:widowControl/>
              <w:jc w:val="center"/>
              <w:textAlignment w:val="center"/>
              <w:rPr>
                <w:rFonts w:ascii="Calibri" w:hAnsi="Calibri" w:cs="Calibri"/>
                <w:color w:val="000000"/>
                <w:szCs w:val="21"/>
              </w:rPr>
            </w:pPr>
            <w:r>
              <w:rPr>
                <w:rFonts w:ascii="Calibri" w:hAnsi="Calibri" w:cs="Calibri"/>
                <w:color w:val="000000"/>
                <w:kern w:val="0"/>
                <w:szCs w:val="21"/>
              </w:rPr>
              <w:t>3</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43358AB">
            <w:pPr>
              <w:jc w:val="left"/>
              <w:rPr>
                <w:rFonts w:ascii="Arial" w:hAnsi="Arial" w:cs="Arial"/>
                <w:color w:val="000000"/>
                <w:szCs w:val="21"/>
              </w:rPr>
            </w:pPr>
          </w:p>
        </w:tc>
        <w:tc>
          <w:tcPr>
            <w:tcW w:w="1230" w:type="dxa"/>
            <w:vMerge w:val="continue"/>
            <w:tcBorders>
              <w:top w:val="single" w:color="000000" w:sz="4" w:space="0"/>
              <w:left w:val="single" w:color="000000" w:sz="4" w:space="0"/>
              <w:bottom w:val="single" w:color="000000" w:sz="4" w:space="0"/>
              <w:right w:val="single" w:color="000000" w:sz="4" w:space="0"/>
            </w:tcBorders>
            <w:noWrap/>
            <w:vAlign w:val="center"/>
          </w:tcPr>
          <w:p w14:paraId="23EF831F"/>
        </w:tc>
      </w:tr>
      <w:tr w14:paraId="4713EC19">
        <w:tblPrEx>
          <w:tblCellMar>
            <w:top w:w="0" w:type="dxa"/>
            <w:left w:w="108" w:type="dxa"/>
            <w:bottom w:w="0" w:type="dxa"/>
            <w:right w:w="108" w:type="dxa"/>
          </w:tblCellMar>
        </w:tblPrEx>
        <w:trPr>
          <w:trHeight w:val="300" w:hRule="atLeast"/>
        </w:trPr>
        <w:tc>
          <w:tcPr>
            <w:tcW w:w="694" w:type="dxa"/>
            <w:tcBorders>
              <w:top w:val="single" w:color="000000" w:sz="4" w:space="0"/>
              <w:left w:val="single" w:color="000000" w:sz="4" w:space="0"/>
              <w:bottom w:val="single" w:color="000000" w:sz="4" w:space="0"/>
              <w:right w:val="single" w:color="000000" w:sz="4" w:space="0"/>
            </w:tcBorders>
            <w:noWrap/>
            <w:vAlign w:val="center"/>
          </w:tcPr>
          <w:p w14:paraId="6BAEAFD1">
            <w:pPr>
              <w:widowControl/>
              <w:jc w:val="left"/>
              <w:textAlignment w:val="center"/>
              <w:rPr>
                <w:rFonts w:ascii="Calibri" w:hAnsi="Calibri" w:cs="Calibri"/>
                <w:color w:val="000000"/>
                <w:szCs w:val="21"/>
              </w:rPr>
            </w:pPr>
            <w:r>
              <w:rPr>
                <w:rFonts w:ascii="Calibri" w:hAnsi="Calibri" w:cs="Calibri"/>
                <w:color w:val="000000"/>
                <w:kern w:val="0"/>
                <w:szCs w:val="21"/>
              </w:rPr>
              <w:t>7</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877D3F0">
            <w:pPr>
              <w:widowControl/>
              <w:jc w:val="center"/>
              <w:textAlignment w:val="center"/>
              <w:rPr>
                <w:rFonts w:ascii="宋体" w:cs="宋体"/>
                <w:color w:val="000000"/>
                <w:szCs w:val="21"/>
              </w:rPr>
            </w:pPr>
            <w:r>
              <w:rPr>
                <w:rFonts w:hint="eastAsia" w:ascii="宋体" w:cs="宋体"/>
                <w:color w:val="000000"/>
                <w:kern w:val="0"/>
                <w:szCs w:val="21"/>
              </w:rPr>
              <w:t>标准分</w:t>
            </w:r>
          </w:p>
        </w:tc>
        <w:tc>
          <w:tcPr>
            <w:tcW w:w="6187" w:type="dxa"/>
            <w:gridSpan w:val="3"/>
            <w:tcBorders>
              <w:top w:val="single" w:color="000000" w:sz="4" w:space="0"/>
              <w:left w:val="single" w:color="000000" w:sz="4" w:space="0"/>
              <w:bottom w:val="single" w:color="000000" w:sz="4" w:space="0"/>
              <w:right w:val="single" w:color="000000" w:sz="4" w:space="0"/>
            </w:tcBorders>
            <w:noWrap/>
            <w:vAlign w:val="center"/>
          </w:tcPr>
          <w:p w14:paraId="5062527A">
            <w:pPr>
              <w:widowControl/>
              <w:jc w:val="center"/>
              <w:textAlignment w:val="center"/>
              <w:rPr>
                <w:rFonts w:ascii="Calibri" w:hAnsi="Calibri" w:cs="Calibri"/>
                <w:color w:val="000000"/>
                <w:szCs w:val="21"/>
              </w:rPr>
            </w:pPr>
            <w:r>
              <w:rPr>
                <w:rFonts w:ascii="Calibri" w:hAnsi="Calibri" w:cs="Calibri"/>
                <w:color w:val="000000"/>
                <w:kern w:val="0"/>
                <w:szCs w:val="21"/>
              </w:rPr>
              <w:t>100分</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4706BCC8">
            <w:pPr>
              <w:jc w:val="left"/>
              <w:rPr>
                <w:rFonts w:ascii="Calibri" w:hAnsi="Calibri" w:cs="Calibri"/>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32FABA5">
            <w:pPr>
              <w:rPr>
                <w:rFonts w:ascii="Arial" w:hAnsi="Arial" w:cs="Arial"/>
                <w:color w:val="000000"/>
                <w:szCs w:val="21"/>
              </w:rPr>
            </w:pPr>
          </w:p>
        </w:tc>
      </w:tr>
      <w:tr w14:paraId="68AAC1AC">
        <w:tblPrEx>
          <w:tblCellMar>
            <w:top w:w="0" w:type="dxa"/>
            <w:left w:w="108" w:type="dxa"/>
            <w:bottom w:w="0" w:type="dxa"/>
            <w:right w:w="108" w:type="dxa"/>
          </w:tblCellMar>
        </w:tblPrEx>
        <w:trPr>
          <w:trHeight w:val="300" w:hRule="atLeast"/>
        </w:trPr>
        <w:tc>
          <w:tcPr>
            <w:tcW w:w="694" w:type="dxa"/>
            <w:tcBorders>
              <w:top w:val="single" w:color="000000" w:sz="4" w:space="0"/>
              <w:left w:val="single" w:color="000000" w:sz="4" w:space="0"/>
              <w:bottom w:val="single" w:color="000000" w:sz="4" w:space="0"/>
              <w:right w:val="single" w:color="000000" w:sz="4" w:space="0"/>
            </w:tcBorders>
            <w:noWrap/>
            <w:vAlign w:val="center"/>
          </w:tcPr>
          <w:p w14:paraId="1D22B4FC">
            <w:pPr>
              <w:widowControl/>
              <w:jc w:val="left"/>
              <w:textAlignment w:val="center"/>
              <w:rPr>
                <w:rFonts w:ascii="Calibri" w:hAnsi="Calibri" w:cs="Calibri"/>
                <w:color w:val="000000"/>
                <w:szCs w:val="21"/>
              </w:rPr>
            </w:pPr>
            <w:r>
              <w:rPr>
                <w:rFonts w:ascii="Calibri" w:hAnsi="Calibri" w:cs="Calibri"/>
                <w:color w:val="000000"/>
                <w:kern w:val="0"/>
                <w:szCs w:val="21"/>
              </w:rPr>
              <w:t>8</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D9B9199">
            <w:pPr>
              <w:widowControl/>
              <w:jc w:val="center"/>
              <w:textAlignment w:val="center"/>
              <w:rPr>
                <w:rFonts w:ascii="宋体" w:cs="宋体"/>
                <w:color w:val="000000"/>
                <w:szCs w:val="21"/>
              </w:rPr>
            </w:pPr>
            <w:r>
              <w:rPr>
                <w:rFonts w:hint="eastAsia" w:ascii="宋体" w:cs="宋体"/>
                <w:color w:val="000000"/>
                <w:kern w:val="0"/>
                <w:szCs w:val="21"/>
              </w:rPr>
              <w:t>总得分</w:t>
            </w:r>
          </w:p>
        </w:tc>
        <w:tc>
          <w:tcPr>
            <w:tcW w:w="6187" w:type="dxa"/>
            <w:gridSpan w:val="3"/>
            <w:tcBorders>
              <w:top w:val="single" w:color="000000" w:sz="4" w:space="0"/>
              <w:left w:val="single" w:color="000000" w:sz="4" w:space="0"/>
              <w:bottom w:val="single" w:color="000000" w:sz="4" w:space="0"/>
              <w:right w:val="single" w:color="000000" w:sz="4" w:space="0"/>
            </w:tcBorders>
            <w:noWrap/>
            <w:vAlign w:val="center"/>
          </w:tcPr>
          <w:p w14:paraId="464BD609">
            <w:pPr>
              <w:widowControl/>
              <w:jc w:val="center"/>
              <w:textAlignment w:val="center"/>
              <w:rPr>
                <w:rFonts w:ascii="宋体" w:cs="宋体"/>
                <w:color w:val="000000"/>
                <w:szCs w:val="21"/>
              </w:rPr>
            </w:pPr>
            <w:r>
              <w:rPr>
                <w:rStyle w:val="12"/>
              </w:rPr>
              <w:t>考核实际得分</w:t>
            </w:r>
          </w:p>
        </w:tc>
        <w:tc>
          <w:tcPr>
            <w:tcW w:w="790" w:type="dxa"/>
            <w:tcBorders>
              <w:top w:val="single" w:color="000000" w:sz="4" w:space="0"/>
              <w:left w:val="single" w:color="000000" w:sz="4" w:space="0"/>
              <w:bottom w:val="single" w:color="000000" w:sz="4" w:space="0"/>
              <w:right w:val="single" w:color="000000" w:sz="4" w:space="0"/>
            </w:tcBorders>
            <w:noWrap/>
            <w:vAlign w:val="center"/>
          </w:tcPr>
          <w:p w14:paraId="136D1DE0">
            <w:pPr>
              <w:jc w:val="left"/>
              <w:rPr>
                <w:rFonts w:ascii="Arial" w:hAnsi="Arial" w:cs="Arial"/>
                <w:color w:val="000000"/>
                <w:szCs w:val="21"/>
              </w:rPr>
            </w:pPr>
          </w:p>
        </w:tc>
        <w:tc>
          <w:tcPr>
            <w:tcW w:w="1230" w:type="dxa"/>
            <w:tcBorders>
              <w:top w:val="single" w:color="000000" w:sz="4" w:space="0"/>
              <w:left w:val="single" w:color="000000" w:sz="4" w:space="0"/>
              <w:bottom w:val="single" w:color="000000" w:sz="4" w:space="0"/>
              <w:right w:val="single" w:color="000000" w:sz="4" w:space="0"/>
            </w:tcBorders>
            <w:noWrap/>
            <w:vAlign w:val="center"/>
          </w:tcPr>
          <w:p w14:paraId="748CBA77">
            <w:pPr>
              <w:rPr>
                <w:rFonts w:ascii="宋体" w:cs="宋体"/>
                <w:color w:val="000000"/>
                <w:sz w:val="22"/>
              </w:rPr>
            </w:pPr>
          </w:p>
        </w:tc>
      </w:tr>
    </w:tbl>
    <w:p w14:paraId="6E6705C5">
      <w:pPr>
        <w:spacing w:line="360" w:lineRule="auto"/>
        <w:ind w:left="-2" w:leftChars="-1" w:firstLine="420" w:firstLineChars="200"/>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汉仪中宋简">
    <w:panose1 w:val="02010600000101010101"/>
    <w:charset w:val="86"/>
    <w:family w:val="auto"/>
    <w:pitch w:val="default"/>
    <w:sig w:usb0="00000001" w:usb1="080E0800" w:usb2="00000002" w:usb3="00000000" w:csb0="00040000" w:csb1="00000000"/>
  </w:font>
  <w:font w:name="微软雅黑">
    <w:altName w:val="方正黑体_GBK"/>
    <w:panose1 w:val="020B0503020204020204"/>
    <w:charset w:val="86"/>
    <w:family w:val="swiss"/>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5A4A6E53"/>
    <w:rsid w:val="005B5782"/>
    <w:rsid w:val="007712D4"/>
    <w:rsid w:val="007952C5"/>
    <w:rsid w:val="00844D96"/>
    <w:rsid w:val="00A32F80"/>
    <w:rsid w:val="00D124AA"/>
    <w:rsid w:val="5A4A6E53"/>
    <w:rsid w:val="5F7A388D"/>
    <w:rsid w:val="ADFF2CED"/>
    <w:rsid w:val="BF7E306D"/>
    <w:rsid w:val="D57DB6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Autospacing="1" w:afterAutospacing="1"/>
      <w:jc w:val="left"/>
      <w:outlineLvl w:val="3"/>
    </w:pPr>
    <w:rPr>
      <w:rFonts w:hint="eastAsia" w:ascii="宋体" w:hAnsi="宋体" w:eastAsia="宋体" w:cs="Times New Roman"/>
      <w:b/>
      <w:bCs/>
      <w:kern w:val="0"/>
      <w:sz w:val="2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Plain Text"/>
    <w:basedOn w:val="1"/>
    <w:qFormat/>
    <w:uiPriority w:val="0"/>
    <w:rPr>
      <w:rFonts w:ascii="宋体"/>
      <w:szCs w:val="20"/>
    </w:rPr>
  </w:style>
  <w:style w:type="paragraph" w:styleId="5">
    <w:name w:val="footer"/>
    <w:basedOn w:val="1"/>
    <w:link w:val="14"/>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List"/>
    <w:basedOn w:val="1"/>
    <w:qFormat/>
    <w:uiPriority w:val="0"/>
    <w:pPr>
      <w:ind w:left="200" w:hanging="200" w:hangingChars="200"/>
    </w:pPr>
    <w:rPr>
      <w:rFonts w:ascii="Times New Roman" w:hAnsi="Times New Roman"/>
    </w:rPr>
  </w:style>
  <w:style w:type="paragraph" w:styleId="8">
    <w:name w:val="Normal (Web)"/>
    <w:basedOn w:val="1"/>
    <w:qFormat/>
    <w:uiPriority w:val="0"/>
    <w:rPr>
      <w:sz w:val="24"/>
    </w:rPr>
  </w:style>
  <w:style w:type="character" w:styleId="11">
    <w:name w:val="Strong"/>
    <w:basedOn w:val="10"/>
    <w:qFormat/>
    <w:uiPriority w:val="0"/>
    <w:rPr>
      <w:b/>
    </w:rPr>
  </w:style>
  <w:style w:type="character" w:customStyle="1" w:styleId="12">
    <w:name w:val="font31"/>
    <w:qFormat/>
    <w:uiPriority w:val="0"/>
    <w:rPr>
      <w:rFonts w:ascii="宋体" w:eastAsia="宋体" w:cs="宋体"/>
      <w:color w:val="000000"/>
      <w:sz w:val="21"/>
      <w:szCs w:val="21"/>
      <w:u w:val="none"/>
      <w:lang w:bidi="ar-SA"/>
    </w:rPr>
  </w:style>
  <w:style w:type="character" w:customStyle="1" w:styleId="13">
    <w:name w:val="页眉 Char"/>
    <w:basedOn w:val="10"/>
    <w:link w:val="6"/>
    <w:qFormat/>
    <w:uiPriority w:val="0"/>
    <w:rPr>
      <w:rFonts w:asciiTheme="minorHAnsi" w:hAnsiTheme="minorHAnsi" w:eastAsiaTheme="minorEastAsia" w:cstheme="minorBidi"/>
      <w:kern w:val="2"/>
      <w:sz w:val="18"/>
      <w:szCs w:val="18"/>
    </w:rPr>
  </w:style>
  <w:style w:type="character" w:customStyle="1" w:styleId="14">
    <w:name w:val="页脚 Char"/>
    <w:basedOn w:val="10"/>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7492</Words>
  <Characters>1093</Characters>
  <Lines>9</Lines>
  <Paragraphs>17</Paragraphs>
  <TotalTime>199</TotalTime>
  <ScaleCrop>false</ScaleCrop>
  <LinksUpToDate>false</LinksUpToDate>
  <CharactersWithSpaces>8568</CharactersWithSpaces>
  <Application>WPS Office_12.8.2.1118_F1E327BC-269C-435d-A152-05C5408002CA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2025-05-09T13:04:00Z</dcterms:created>
  <dc:creator>小二哥</dc:creator>
  <cp:lastModifiedBy>user</cp:lastModifiedBy>
  <dcterms:modified xsi:type="dcterms:W3CDTF">2026-03-26T14:28:17Z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2052-12.8.2.1118</vt:lpwstr>
  </property>
  <property fmtid="{D5CDD505-2E9C-101B-9397-08002B2CF9AE}" pid="3" name="ICV">
    <vt:lpwstr>FF8A710D3F164ED5991FE17A5FE29785_11</vt:lpwstr>
  </property>
  <property fmtid="{D5CDD505-2E9C-101B-9397-08002B2CF9AE}" pid="4" name="KSOTemplateDocerSaveRecord">
    <vt:lpwstr>eyJoZGlkIjoiMzk2MmZkMmMyNmFhNTZmMTI4NmZhOTVlODkwNGE1MWIiLCJ1c2VySWQiOiIyNDI1MDA3ODgifQ==</vt:lpwstr>
  </property>
</Properties>
</file>