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323F7">
      <w:pPr>
        <w:ind w:firstLine="0" w:firstLineChars="0"/>
        <w:jc w:val="center"/>
        <w:rPr>
          <w:rFonts w:ascii="黑体" w:hAnsi="黑体" w:eastAsia="黑体"/>
          <w:color w:val="auto"/>
          <w:sz w:val="48"/>
          <w:szCs w:val="48"/>
        </w:rPr>
      </w:pPr>
    </w:p>
    <w:p w14:paraId="38E322C9">
      <w:pPr>
        <w:ind w:firstLine="0" w:firstLineChars="0"/>
        <w:jc w:val="center"/>
        <w:rPr>
          <w:rFonts w:ascii="黑体" w:hAnsi="黑体" w:eastAsia="黑体"/>
          <w:color w:val="auto"/>
          <w:sz w:val="48"/>
          <w:szCs w:val="48"/>
        </w:rPr>
      </w:pPr>
    </w:p>
    <w:p w14:paraId="29996DA6">
      <w:pPr>
        <w:ind w:firstLine="0" w:firstLineChars="0"/>
        <w:jc w:val="center"/>
        <w:rPr>
          <w:rFonts w:ascii="黑体" w:hAnsi="黑体" w:eastAsia="黑体"/>
          <w:color w:val="auto"/>
          <w:sz w:val="52"/>
          <w:szCs w:val="52"/>
        </w:rPr>
      </w:pPr>
      <w:r>
        <w:rPr>
          <w:rFonts w:hint="eastAsia" w:ascii="黑体" w:hAnsi="黑体" w:eastAsia="黑体"/>
          <w:color w:val="auto"/>
          <w:sz w:val="52"/>
          <w:szCs w:val="52"/>
        </w:rPr>
        <w:t xml:space="preserve">上海市文化和旅游局文旅通平台项目建设项目(2026年升级改造) </w:t>
      </w:r>
    </w:p>
    <w:p w14:paraId="561E94F2">
      <w:pPr>
        <w:ind w:firstLine="0" w:firstLineChars="0"/>
        <w:jc w:val="center"/>
        <w:rPr>
          <w:rFonts w:ascii="黑体" w:hAnsi="黑体" w:eastAsia="黑体"/>
          <w:color w:val="auto"/>
          <w:sz w:val="52"/>
          <w:szCs w:val="52"/>
        </w:rPr>
      </w:pPr>
      <w:r>
        <w:rPr>
          <w:rFonts w:hint="eastAsia" w:ascii="黑体" w:hAnsi="黑体" w:eastAsia="黑体"/>
          <w:color w:val="auto"/>
          <w:sz w:val="52"/>
          <w:szCs w:val="52"/>
        </w:rPr>
        <w:t>采购需求</w:t>
      </w:r>
    </w:p>
    <w:p w14:paraId="7A6AFC4F">
      <w:pPr>
        <w:ind w:firstLine="0" w:firstLineChars="0"/>
        <w:jc w:val="center"/>
        <w:rPr>
          <w:rFonts w:ascii="黑体" w:hAnsi="黑体" w:eastAsia="黑体"/>
          <w:color w:val="auto"/>
          <w:sz w:val="72"/>
          <w:szCs w:val="72"/>
        </w:rPr>
      </w:pPr>
    </w:p>
    <w:p w14:paraId="5FA92707">
      <w:pPr>
        <w:ind w:firstLine="0" w:firstLineChars="0"/>
        <w:jc w:val="center"/>
        <w:rPr>
          <w:rFonts w:ascii="黑体" w:hAnsi="黑体" w:eastAsia="黑体"/>
          <w:color w:val="auto"/>
          <w:sz w:val="48"/>
          <w:szCs w:val="48"/>
        </w:rPr>
      </w:pPr>
    </w:p>
    <w:p w14:paraId="3282B85A">
      <w:pPr>
        <w:ind w:firstLine="0" w:firstLineChars="0"/>
        <w:jc w:val="center"/>
        <w:rPr>
          <w:rFonts w:ascii="黑体" w:hAnsi="黑体" w:eastAsia="黑体"/>
          <w:color w:val="auto"/>
          <w:sz w:val="52"/>
          <w:szCs w:val="52"/>
        </w:rPr>
      </w:pPr>
    </w:p>
    <w:p w14:paraId="145ADF04">
      <w:pPr>
        <w:ind w:firstLine="1040"/>
        <w:rPr>
          <w:rFonts w:ascii="黑体" w:hAnsi="黑体" w:eastAsia="黑体"/>
          <w:color w:val="auto"/>
          <w:sz w:val="52"/>
          <w:szCs w:val="52"/>
        </w:rPr>
      </w:pPr>
    </w:p>
    <w:p w14:paraId="0A4C5805">
      <w:pPr>
        <w:rPr>
          <w:color w:val="auto"/>
        </w:rPr>
      </w:pPr>
    </w:p>
    <w:p w14:paraId="073B3844">
      <w:pPr>
        <w:rPr>
          <w:color w:val="auto"/>
        </w:rPr>
      </w:pPr>
    </w:p>
    <w:p w14:paraId="2C194B37">
      <w:pPr>
        <w:rPr>
          <w:color w:val="auto"/>
        </w:rPr>
      </w:pPr>
    </w:p>
    <w:p w14:paraId="7ACB1E2C">
      <w:pPr>
        <w:rPr>
          <w:color w:val="auto"/>
        </w:rPr>
      </w:pPr>
    </w:p>
    <w:p w14:paraId="3257F9EF">
      <w:pPr>
        <w:rPr>
          <w:color w:val="auto"/>
        </w:rPr>
      </w:pPr>
    </w:p>
    <w:p w14:paraId="7732B974">
      <w:pPr>
        <w:ind w:firstLine="1040"/>
        <w:rPr>
          <w:rFonts w:ascii="黑体" w:hAnsi="黑体" w:eastAsia="黑体"/>
          <w:color w:val="auto"/>
          <w:sz w:val="52"/>
          <w:szCs w:val="52"/>
        </w:rPr>
      </w:pPr>
    </w:p>
    <w:p w14:paraId="4E27A3B0">
      <w:pPr>
        <w:jc w:val="center"/>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7598DEE">
      <w:pPr>
        <w:pStyle w:val="2"/>
        <w:rPr>
          <w:color w:val="auto"/>
        </w:rPr>
      </w:pPr>
      <w:bookmarkStart w:id="0" w:name="_Toc63785461"/>
      <w:r>
        <w:rPr>
          <w:rFonts w:hint="eastAsia"/>
          <w:color w:val="auto"/>
        </w:rPr>
        <w:t>项目概况</w:t>
      </w:r>
      <w:bookmarkEnd w:id="0"/>
    </w:p>
    <w:p w14:paraId="6D6D4737">
      <w:pPr>
        <w:rPr>
          <w:color w:val="auto"/>
        </w:rPr>
      </w:pPr>
      <w:r>
        <w:rPr>
          <w:rFonts w:hint="eastAsia"/>
          <w:color w:val="auto"/>
        </w:rPr>
        <w:t>项目背景&amp;现状：“上海市文化和旅游局文旅通平台”是支撑上海文旅数字化转型、赋能文旅治理服务“上海模式”的中枢平台（以下称“文旅通平台”），汇集上海吃、住、行、游、购、娱等各类文化旅游社会市场资源，链接“一网通办”和“一网统管”，目前已建成“一个数字底座、三条发布渠道、三大智慧体系”整体架构。本次升级改造依托三大体系中的“智慧决策”、“智慧管理”体系进行新增业务功能建设，全面推动全市文旅产业发展，同时依托上海市大数据中心“MAP”平台进行AI智能工具和应用建设。</w:t>
      </w:r>
    </w:p>
    <w:p w14:paraId="3A1FDD54">
      <w:pPr>
        <w:pStyle w:val="2"/>
        <w:rPr>
          <w:color w:val="auto"/>
        </w:rPr>
      </w:pPr>
      <w:bookmarkStart w:id="1" w:name="_Toc47539070"/>
      <w:bookmarkEnd w:id="1"/>
      <w:bookmarkStart w:id="2" w:name="_Toc47532891"/>
      <w:bookmarkEnd w:id="2"/>
      <w:bookmarkStart w:id="3" w:name="_Toc47531634"/>
      <w:bookmarkEnd w:id="3"/>
      <w:bookmarkStart w:id="4" w:name="_Toc47536644"/>
      <w:bookmarkEnd w:id="4"/>
      <w:bookmarkStart w:id="5" w:name="_Toc47532255"/>
      <w:bookmarkEnd w:id="5"/>
      <w:bookmarkStart w:id="6" w:name="_Toc47537134"/>
      <w:bookmarkEnd w:id="6"/>
      <w:bookmarkStart w:id="7" w:name="_Toc47533256"/>
      <w:bookmarkEnd w:id="7"/>
      <w:bookmarkStart w:id="8" w:name="_Toc47536272"/>
      <w:bookmarkEnd w:id="8"/>
      <w:bookmarkStart w:id="9" w:name="_Toc63785463"/>
      <w:bookmarkStart w:id="10" w:name="_Toc48223882"/>
      <w:r>
        <w:rPr>
          <w:rFonts w:hint="eastAsia"/>
          <w:color w:val="auto"/>
        </w:rPr>
        <w:t>建设目标</w:t>
      </w:r>
      <w:bookmarkEnd w:id="9"/>
      <w:bookmarkEnd w:id="10"/>
    </w:p>
    <w:p w14:paraId="42EAFB65">
      <w:pPr>
        <w:rPr>
          <w:color w:val="auto"/>
        </w:rPr>
      </w:pPr>
      <w:r>
        <w:rPr>
          <w:rFonts w:hint="eastAsia"/>
          <w:color w:val="auto"/>
        </w:rPr>
        <w:t>本次升级改造依托三大体系中的“智慧决策”、“智慧管理”体系进行新增业务功能建设，全面推动全市文旅产业发展，同时依托上海市大数据中心“MAP”平台进行AI智能工具和应用建设，推进文旅行业的数字政府管理和服务功能与智能技术深度融合发展。</w:t>
      </w:r>
    </w:p>
    <w:p w14:paraId="627F0072">
      <w:pPr>
        <w:ind w:firstLine="482"/>
        <w:outlineLvl w:val="1"/>
        <w:rPr>
          <w:b/>
          <w:color w:val="auto"/>
        </w:rPr>
      </w:pPr>
      <w:r>
        <w:rPr>
          <w:rFonts w:hint="eastAsia"/>
          <w:b/>
          <w:color w:val="auto"/>
        </w:rPr>
        <w:t>1、应用指标</w:t>
      </w:r>
    </w:p>
    <w:p w14:paraId="28D47560">
      <w:pPr>
        <w:rPr>
          <w:color w:val="auto"/>
        </w:rPr>
      </w:pPr>
      <w:r>
        <w:rPr>
          <w:rFonts w:hint="eastAsia"/>
          <w:color w:val="auto"/>
        </w:rPr>
        <w:t>（1）“智慧决策”体系建设旅游监测、广电管理、文物管理、假日管理、文旅产业5大决策支持场景及相应智能体前台入口建设；</w:t>
      </w:r>
    </w:p>
    <w:p w14:paraId="0BA4C08B">
      <w:pPr>
        <w:rPr>
          <w:color w:val="auto"/>
        </w:rPr>
      </w:pPr>
      <w:r>
        <w:rPr>
          <w:rFonts w:hint="eastAsia"/>
          <w:color w:val="auto"/>
        </w:rPr>
        <w:t>（2）“智慧管理”体系完成 ①文旅产业管理（文旅营商通</w:t>
      </w:r>
      <w:r>
        <w:rPr>
          <w:rFonts w:hint="eastAsia"/>
          <w:color w:val="auto"/>
          <w:lang w:eastAsia="zh-CN"/>
        </w:rPr>
        <w:t>（企业侧、政务侧）</w:t>
      </w:r>
      <w:r>
        <w:rPr>
          <w:rFonts w:hint="eastAsia"/>
          <w:color w:val="auto"/>
        </w:rPr>
        <w:t>、文旅活动报送、旅游资源和产品管理、文旅一张图、文物管理系统、市民文化中心管理）及相应智能体前台入口建设，②文旅AI应用建设（行业洞察、智能助手）；</w:t>
      </w:r>
    </w:p>
    <w:p w14:paraId="6F8325C0">
      <w:pPr>
        <w:rPr>
          <w:color w:val="auto"/>
        </w:rPr>
      </w:pPr>
      <w:r>
        <w:rPr>
          <w:rFonts w:hint="eastAsia"/>
          <w:color w:val="auto"/>
        </w:rPr>
        <w:t>（3）夯实“文旅通平台”的基础能力建设，① 依托上海市大数据中心MAP平台构建文旅AI基础能力（模型预处理、智能问数、智能问答）；② 完成5个系统的数据汇接，推进文旅行业管理内外部数据的互联互通和深度协同。</w:t>
      </w:r>
    </w:p>
    <w:p w14:paraId="58805596">
      <w:pPr>
        <w:ind w:firstLine="482"/>
        <w:outlineLvl w:val="1"/>
        <w:rPr>
          <w:b/>
          <w:color w:val="auto"/>
        </w:rPr>
      </w:pPr>
      <w:r>
        <w:rPr>
          <w:rFonts w:hint="eastAsia"/>
          <w:b/>
          <w:color w:val="auto"/>
        </w:rPr>
        <w:t>2、技术指标</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797"/>
        <w:gridCol w:w="811"/>
        <w:gridCol w:w="4575"/>
        <w:gridCol w:w="1542"/>
      </w:tblGrid>
      <w:tr w14:paraId="6EE3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797" w:type="dxa"/>
            <w:noWrap w:val="0"/>
            <w:vAlign w:val="center"/>
          </w:tcPr>
          <w:p w14:paraId="2749949A">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一级指标</w:t>
            </w:r>
          </w:p>
        </w:tc>
        <w:tc>
          <w:tcPr>
            <w:tcW w:w="797" w:type="dxa"/>
            <w:noWrap w:val="0"/>
            <w:vAlign w:val="center"/>
          </w:tcPr>
          <w:p w14:paraId="5EC14262">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二级指标</w:t>
            </w:r>
          </w:p>
        </w:tc>
        <w:tc>
          <w:tcPr>
            <w:tcW w:w="811" w:type="dxa"/>
            <w:noWrap w:val="0"/>
            <w:vAlign w:val="center"/>
          </w:tcPr>
          <w:p w14:paraId="4A9A18D7">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三级指标</w:t>
            </w:r>
          </w:p>
        </w:tc>
        <w:tc>
          <w:tcPr>
            <w:tcW w:w="4575" w:type="dxa"/>
            <w:noWrap w:val="0"/>
            <w:vAlign w:val="center"/>
          </w:tcPr>
          <w:p w14:paraId="518E96F3">
            <w:pPr>
              <w:widowControl/>
              <w:ind w:firstLine="0" w:firstLineChars="0"/>
              <w:jc w:val="center"/>
              <w:textAlignment w:val="top"/>
              <w:rPr>
                <w:rFonts w:ascii="仿宋" w:hAnsi="仿宋" w:eastAsia="仿宋" w:cs="仿宋"/>
                <w:b/>
                <w:bCs/>
                <w:color w:val="auto"/>
              </w:rPr>
            </w:pPr>
            <w:r>
              <w:rPr>
                <w:rFonts w:hint="eastAsia" w:ascii="仿宋" w:hAnsi="仿宋" w:eastAsia="仿宋" w:cs="仿宋"/>
                <w:b/>
                <w:bCs/>
                <w:color w:val="auto"/>
                <w:kern w:val="0"/>
                <w:lang w:bidi="ar"/>
              </w:rPr>
              <w:t>四级指标</w:t>
            </w:r>
          </w:p>
        </w:tc>
        <w:tc>
          <w:tcPr>
            <w:tcW w:w="1542" w:type="dxa"/>
            <w:noWrap w:val="0"/>
            <w:vAlign w:val="center"/>
          </w:tcPr>
          <w:p w14:paraId="2B7E2799">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指标值</w:t>
            </w:r>
          </w:p>
        </w:tc>
      </w:tr>
      <w:tr w14:paraId="7149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7" w:type="dxa"/>
            <w:vMerge w:val="restart"/>
            <w:noWrap w:val="0"/>
            <w:vAlign w:val="center"/>
          </w:tcPr>
          <w:p w14:paraId="29CDB57B">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业务指标</w:t>
            </w:r>
          </w:p>
        </w:tc>
        <w:tc>
          <w:tcPr>
            <w:tcW w:w="797" w:type="dxa"/>
            <w:vMerge w:val="restart"/>
            <w:noWrap w:val="0"/>
            <w:vAlign w:val="center"/>
          </w:tcPr>
          <w:p w14:paraId="247EFD87">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产出指标</w:t>
            </w:r>
          </w:p>
        </w:tc>
        <w:tc>
          <w:tcPr>
            <w:tcW w:w="811" w:type="dxa"/>
            <w:vMerge w:val="restart"/>
            <w:noWrap w:val="0"/>
            <w:vAlign w:val="center"/>
          </w:tcPr>
          <w:p w14:paraId="34B85B39">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产出质量</w:t>
            </w:r>
          </w:p>
        </w:tc>
        <w:tc>
          <w:tcPr>
            <w:tcW w:w="4575" w:type="dxa"/>
            <w:noWrap w:val="0"/>
            <w:vAlign w:val="center"/>
          </w:tcPr>
          <w:p w14:paraId="23B8E14B">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单次操作、业务数据资源搜索平均响应时间</w:t>
            </w:r>
          </w:p>
        </w:tc>
        <w:tc>
          <w:tcPr>
            <w:tcW w:w="1542" w:type="dxa"/>
            <w:noWrap/>
            <w:vAlign w:val="center"/>
          </w:tcPr>
          <w:p w14:paraId="3C73C57E">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≤3秒</w:t>
            </w:r>
          </w:p>
        </w:tc>
      </w:tr>
      <w:tr w14:paraId="40B3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7" w:type="dxa"/>
            <w:vMerge w:val="continue"/>
            <w:noWrap w:val="0"/>
            <w:vAlign w:val="center"/>
          </w:tcPr>
          <w:p w14:paraId="54DD9997">
            <w:pPr>
              <w:ind w:firstLine="0" w:firstLineChars="0"/>
              <w:jc w:val="center"/>
              <w:rPr>
                <w:rFonts w:ascii="仿宋" w:hAnsi="仿宋" w:eastAsia="仿宋" w:cs="仿宋"/>
                <w:color w:val="auto"/>
              </w:rPr>
            </w:pPr>
          </w:p>
        </w:tc>
        <w:tc>
          <w:tcPr>
            <w:tcW w:w="797" w:type="dxa"/>
            <w:vMerge w:val="continue"/>
            <w:noWrap w:val="0"/>
            <w:vAlign w:val="center"/>
          </w:tcPr>
          <w:p w14:paraId="34FAEA99">
            <w:pPr>
              <w:ind w:firstLine="0" w:firstLineChars="0"/>
              <w:jc w:val="center"/>
              <w:rPr>
                <w:rFonts w:ascii="仿宋" w:hAnsi="仿宋" w:eastAsia="仿宋" w:cs="仿宋"/>
                <w:color w:val="auto"/>
              </w:rPr>
            </w:pPr>
          </w:p>
        </w:tc>
        <w:tc>
          <w:tcPr>
            <w:tcW w:w="811" w:type="dxa"/>
            <w:vMerge w:val="continue"/>
            <w:noWrap w:val="0"/>
            <w:vAlign w:val="center"/>
          </w:tcPr>
          <w:p w14:paraId="448A654E">
            <w:pPr>
              <w:ind w:firstLine="0" w:firstLineChars="0"/>
              <w:jc w:val="center"/>
              <w:rPr>
                <w:rFonts w:ascii="仿宋" w:hAnsi="仿宋" w:eastAsia="仿宋" w:cs="仿宋"/>
                <w:color w:val="auto"/>
              </w:rPr>
            </w:pPr>
          </w:p>
        </w:tc>
        <w:tc>
          <w:tcPr>
            <w:tcW w:w="4575" w:type="dxa"/>
            <w:noWrap w:val="0"/>
            <w:vAlign w:val="center"/>
          </w:tcPr>
          <w:p w14:paraId="5E7CFB5A">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在线服务系统检索平均响应时间</w:t>
            </w:r>
          </w:p>
        </w:tc>
        <w:tc>
          <w:tcPr>
            <w:tcW w:w="1542" w:type="dxa"/>
            <w:noWrap/>
            <w:vAlign w:val="center"/>
          </w:tcPr>
          <w:p w14:paraId="7EC5E4D7">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≤3秒</w:t>
            </w:r>
          </w:p>
        </w:tc>
      </w:tr>
      <w:tr w14:paraId="0F91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7" w:type="dxa"/>
            <w:vMerge w:val="continue"/>
            <w:noWrap w:val="0"/>
            <w:vAlign w:val="center"/>
          </w:tcPr>
          <w:p w14:paraId="15CBB97B">
            <w:pPr>
              <w:ind w:firstLine="0" w:firstLineChars="0"/>
              <w:jc w:val="center"/>
              <w:rPr>
                <w:rFonts w:ascii="仿宋" w:hAnsi="仿宋" w:eastAsia="仿宋" w:cs="仿宋"/>
                <w:color w:val="auto"/>
              </w:rPr>
            </w:pPr>
          </w:p>
        </w:tc>
        <w:tc>
          <w:tcPr>
            <w:tcW w:w="797" w:type="dxa"/>
            <w:vMerge w:val="continue"/>
            <w:noWrap w:val="0"/>
            <w:vAlign w:val="center"/>
          </w:tcPr>
          <w:p w14:paraId="20445C1B">
            <w:pPr>
              <w:ind w:firstLine="0" w:firstLineChars="0"/>
              <w:jc w:val="center"/>
              <w:rPr>
                <w:rFonts w:ascii="仿宋" w:hAnsi="仿宋" w:eastAsia="仿宋" w:cs="仿宋"/>
                <w:color w:val="auto"/>
              </w:rPr>
            </w:pPr>
          </w:p>
        </w:tc>
        <w:tc>
          <w:tcPr>
            <w:tcW w:w="811" w:type="dxa"/>
            <w:vMerge w:val="continue"/>
            <w:noWrap w:val="0"/>
            <w:vAlign w:val="center"/>
          </w:tcPr>
          <w:p w14:paraId="4F7D185D">
            <w:pPr>
              <w:ind w:firstLine="0" w:firstLineChars="0"/>
              <w:jc w:val="center"/>
              <w:rPr>
                <w:rFonts w:ascii="仿宋" w:hAnsi="仿宋" w:eastAsia="仿宋" w:cs="仿宋"/>
                <w:color w:val="auto"/>
              </w:rPr>
            </w:pPr>
          </w:p>
        </w:tc>
        <w:tc>
          <w:tcPr>
            <w:tcW w:w="4575" w:type="dxa"/>
            <w:noWrap w:val="0"/>
            <w:vAlign w:val="center"/>
          </w:tcPr>
          <w:p w14:paraId="11CC335F">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文旅企业法人库接入数量</w:t>
            </w:r>
          </w:p>
        </w:tc>
        <w:tc>
          <w:tcPr>
            <w:tcW w:w="1542" w:type="dxa"/>
            <w:noWrap/>
            <w:vAlign w:val="center"/>
          </w:tcPr>
          <w:p w14:paraId="198FB0DA">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100000个</w:t>
            </w:r>
          </w:p>
        </w:tc>
      </w:tr>
      <w:tr w14:paraId="1C85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7" w:type="dxa"/>
            <w:vMerge w:val="continue"/>
            <w:noWrap w:val="0"/>
            <w:vAlign w:val="center"/>
          </w:tcPr>
          <w:p w14:paraId="310F37D5">
            <w:pPr>
              <w:ind w:firstLine="0" w:firstLineChars="0"/>
              <w:jc w:val="center"/>
              <w:rPr>
                <w:rFonts w:ascii="仿宋" w:hAnsi="仿宋" w:eastAsia="仿宋" w:cs="仿宋"/>
                <w:color w:val="auto"/>
              </w:rPr>
            </w:pPr>
          </w:p>
        </w:tc>
        <w:tc>
          <w:tcPr>
            <w:tcW w:w="797" w:type="dxa"/>
            <w:vMerge w:val="continue"/>
            <w:noWrap w:val="0"/>
            <w:vAlign w:val="center"/>
          </w:tcPr>
          <w:p w14:paraId="445E8EB9">
            <w:pPr>
              <w:ind w:firstLine="0" w:firstLineChars="0"/>
              <w:jc w:val="center"/>
              <w:rPr>
                <w:rFonts w:ascii="仿宋" w:hAnsi="仿宋" w:eastAsia="仿宋" w:cs="仿宋"/>
                <w:color w:val="auto"/>
              </w:rPr>
            </w:pPr>
          </w:p>
        </w:tc>
        <w:tc>
          <w:tcPr>
            <w:tcW w:w="811" w:type="dxa"/>
            <w:vMerge w:val="continue"/>
            <w:noWrap w:val="0"/>
            <w:vAlign w:val="center"/>
          </w:tcPr>
          <w:p w14:paraId="6E0EC905">
            <w:pPr>
              <w:ind w:firstLine="0" w:firstLineChars="0"/>
              <w:jc w:val="center"/>
              <w:rPr>
                <w:rFonts w:ascii="仿宋" w:hAnsi="仿宋" w:eastAsia="仿宋" w:cs="仿宋"/>
                <w:color w:val="auto"/>
              </w:rPr>
            </w:pPr>
          </w:p>
        </w:tc>
        <w:tc>
          <w:tcPr>
            <w:tcW w:w="4575" w:type="dxa"/>
            <w:noWrap w:val="0"/>
            <w:vAlign w:val="center"/>
          </w:tcPr>
          <w:p w14:paraId="7575E920">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招商走访与服务次数</w:t>
            </w:r>
          </w:p>
        </w:tc>
        <w:tc>
          <w:tcPr>
            <w:tcW w:w="1542" w:type="dxa"/>
            <w:noWrap/>
            <w:vAlign w:val="center"/>
          </w:tcPr>
          <w:p w14:paraId="101DB243">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500次</w:t>
            </w:r>
          </w:p>
        </w:tc>
      </w:tr>
      <w:tr w14:paraId="6914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7" w:type="dxa"/>
            <w:vMerge w:val="continue"/>
            <w:noWrap w:val="0"/>
            <w:vAlign w:val="center"/>
          </w:tcPr>
          <w:p w14:paraId="62E9E861">
            <w:pPr>
              <w:ind w:firstLine="0" w:firstLineChars="0"/>
              <w:jc w:val="center"/>
              <w:rPr>
                <w:rFonts w:ascii="仿宋" w:hAnsi="仿宋" w:eastAsia="仿宋" w:cs="仿宋"/>
                <w:color w:val="auto"/>
              </w:rPr>
            </w:pPr>
          </w:p>
        </w:tc>
        <w:tc>
          <w:tcPr>
            <w:tcW w:w="797" w:type="dxa"/>
            <w:vMerge w:val="continue"/>
            <w:noWrap w:val="0"/>
            <w:vAlign w:val="center"/>
          </w:tcPr>
          <w:p w14:paraId="18008AE3">
            <w:pPr>
              <w:ind w:firstLine="0" w:firstLineChars="0"/>
              <w:jc w:val="center"/>
              <w:rPr>
                <w:rFonts w:ascii="仿宋" w:hAnsi="仿宋" w:eastAsia="仿宋" w:cs="仿宋"/>
                <w:color w:val="auto"/>
              </w:rPr>
            </w:pPr>
          </w:p>
        </w:tc>
        <w:tc>
          <w:tcPr>
            <w:tcW w:w="811" w:type="dxa"/>
            <w:vMerge w:val="continue"/>
            <w:noWrap w:val="0"/>
            <w:vAlign w:val="center"/>
          </w:tcPr>
          <w:p w14:paraId="24DCD02C">
            <w:pPr>
              <w:ind w:firstLine="0" w:firstLineChars="0"/>
              <w:jc w:val="center"/>
              <w:rPr>
                <w:rFonts w:ascii="仿宋" w:hAnsi="仿宋" w:eastAsia="仿宋" w:cs="仿宋"/>
                <w:color w:val="auto"/>
              </w:rPr>
            </w:pPr>
          </w:p>
        </w:tc>
        <w:tc>
          <w:tcPr>
            <w:tcW w:w="4575" w:type="dxa"/>
            <w:noWrap w:val="0"/>
            <w:vAlign w:val="center"/>
          </w:tcPr>
          <w:p w14:paraId="1A6379B8">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旅游资源、旅游产品、旅游线路总数大于</w:t>
            </w:r>
          </w:p>
        </w:tc>
        <w:tc>
          <w:tcPr>
            <w:tcW w:w="1542" w:type="dxa"/>
            <w:noWrap/>
            <w:vAlign w:val="center"/>
          </w:tcPr>
          <w:p w14:paraId="3AE3610C">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1000个</w:t>
            </w:r>
          </w:p>
        </w:tc>
      </w:tr>
      <w:tr w14:paraId="302D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7" w:type="dxa"/>
            <w:vMerge w:val="continue"/>
            <w:noWrap w:val="0"/>
            <w:vAlign w:val="center"/>
          </w:tcPr>
          <w:p w14:paraId="2AF938E1">
            <w:pPr>
              <w:ind w:firstLine="0" w:firstLineChars="0"/>
              <w:jc w:val="center"/>
              <w:rPr>
                <w:rFonts w:ascii="仿宋" w:hAnsi="仿宋" w:eastAsia="仿宋" w:cs="仿宋"/>
                <w:color w:val="auto"/>
              </w:rPr>
            </w:pPr>
          </w:p>
        </w:tc>
        <w:tc>
          <w:tcPr>
            <w:tcW w:w="797" w:type="dxa"/>
            <w:vMerge w:val="continue"/>
            <w:noWrap w:val="0"/>
            <w:vAlign w:val="center"/>
          </w:tcPr>
          <w:p w14:paraId="74C1E352">
            <w:pPr>
              <w:ind w:firstLine="0" w:firstLineChars="0"/>
              <w:jc w:val="center"/>
              <w:rPr>
                <w:rFonts w:ascii="仿宋" w:hAnsi="仿宋" w:eastAsia="仿宋" w:cs="仿宋"/>
                <w:color w:val="auto"/>
              </w:rPr>
            </w:pPr>
          </w:p>
        </w:tc>
        <w:tc>
          <w:tcPr>
            <w:tcW w:w="811" w:type="dxa"/>
            <w:vMerge w:val="continue"/>
            <w:noWrap w:val="0"/>
            <w:vAlign w:val="center"/>
          </w:tcPr>
          <w:p w14:paraId="12CAC412">
            <w:pPr>
              <w:ind w:firstLine="0" w:firstLineChars="0"/>
              <w:jc w:val="center"/>
              <w:rPr>
                <w:rFonts w:ascii="仿宋" w:hAnsi="仿宋" w:eastAsia="仿宋" w:cs="仿宋"/>
                <w:color w:val="auto"/>
              </w:rPr>
            </w:pPr>
          </w:p>
        </w:tc>
        <w:tc>
          <w:tcPr>
            <w:tcW w:w="4575" w:type="dxa"/>
            <w:noWrap w:val="0"/>
            <w:vAlign w:val="center"/>
          </w:tcPr>
          <w:p w14:paraId="1CA95B3D">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一张图撒点数量</w:t>
            </w:r>
          </w:p>
        </w:tc>
        <w:tc>
          <w:tcPr>
            <w:tcW w:w="1542" w:type="dxa"/>
            <w:noWrap/>
            <w:vAlign w:val="center"/>
          </w:tcPr>
          <w:p w14:paraId="20CE39EC">
            <w:pPr>
              <w:widowControl/>
              <w:ind w:firstLine="0" w:firstLineChars="0"/>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8000个</w:t>
            </w:r>
          </w:p>
        </w:tc>
      </w:tr>
    </w:tbl>
    <w:p w14:paraId="1992F335">
      <w:pPr>
        <w:ind w:firstLine="482"/>
        <w:outlineLvl w:val="1"/>
        <w:rPr>
          <w:b/>
          <w:color w:val="auto"/>
        </w:rPr>
      </w:pPr>
      <w:r>
        <w:rPr>
          <w:rFonts w:hint="eastAsia"/>
          <w:b/>
          <w:color w:val="auto"/>
        </w:rPr>
        <w:t>3、绩效目标</w:t>
      </w:r>
    </w:p>
    <w:tbl>
      <w:tblPr>
        <w:tblStyle w:val="36"/>
        <w:tblW w:w="8522" w:type="dxa"/>
        <w:jc w:val="center"/>
        <w:tblLayout w:type="fixed"/>
        <w:tblCellMar>
          <w:top w:w="0" w:type="dxa"/>
          <w:left w:w="108" w:type="dxa"/>
          <w:bottom w:w="0" w:type="dxa"/>
          <w:right w:w="108" w:type="dxa"/>
        </w:tblCellMar>
      </w:tblPr>
      <w:tblGrid>
        <w:gridCol w:w="797"/>
        <w:gridCol w:w="797"/>
        <w:gridCol w:w="811"/>
        <w:gridCol w:w="4575"/>
        <w:gridCol w:w="1542"/>
      </w:tblGrid>
      <w:tr w14:paraId="075F6CCA">
        <w:tblPrEx>
          <w:tblCellMar>
            <w:top w:w="0" w:type="dxa"/>
            <w:left w:w="108" w:type="dxa"/>
            <w:bottom w:w="0" w:type="dxa"/>
            <w:right w:w="108" w:type="dxa"/>
          </w:tblCellMar>
        </w:tblPrEx>
        <w:trPr>
          <w:trHeight w:val="520"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2E1458A4">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一级指标</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14:paraId="389CACBE">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二级指标</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81E6424">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三级指标</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5864B8FE">
            <w:pPr>
              <w:widowControl/>
              <w:ind w:firstLine="0" w:firstLineChars="0"/>
              <w:jc w:val="center"/>
              <w:textAlignment w:val="top"/>
              <w:rPr>
                <w:rFonts w:ascii="仿宋" w:hAnsi="仿宋" w:eastAsia="仿宋" w:cs="仿宋"/>
                <w:b/>
                <w:bCs/>
                <w:color w:val="auto"/>
              </w:rPr>
            </w:pPr>
            <w:r>
              <w:rPr>
                <w:rFonts w:hint="eastAsia" w:ascii="仿宋" w:hAnsi="仿宋" w:eastAsia="仿宋" w:cs="仿宋"/>
                <w:b/>
                <w:bCs/>
                <w:color w:val="auto"/>
                <w:kern w:val="0"/>
                <w:lang w:bidi="ar"/>
              </w:rPr>
              <w:t>四级指标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58E32D91">
            <w:pPr>
              <w:widowControl/>
              <w:ind w:firstLine="0" w:firstLineChars="0"/>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指标值</w:t>
            </w:r>
          </w:p>
        </w:tc>
      </w:tr>
      <w:tr w14:paraId="488938B6">
        <w:tblPrEx>
          <w:tblCellMar>
            <w:top w:w="0" w:type="dxa"/>
            <w:left w:w="108" w:type="dxa"/>
            <w:bottom w:w="0" w:type="dxa"/>
            <w:right w:w="108" w:type="dxa"/>
          </w:tblCellMar>
        </w:tblPrEx>
        <w:trPr>
          <w:trHeight w:val="320"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1AB270">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通用指标</w:t>
            </w:r>
          </w:p>
        </w:tc>
        <w:tc>
          <w:tcPr>
            <w:tcW w:w="7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F4FA7">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产出指标</w:t>
            </w:r>
          </w:p>
        </w:tc>
        <w:tc>
          <w:tcPr>
            <w:tcW w:w="811" w:type="dxa"/>
            <w:tcBorders>
              <w:top w:val="single" w:color="000000" w:sz="4" w:space="0"/>
              <w:left w:val="single" w:color="000000" w:sz="4" w:space="0"/>
              <w:right w:val="single" w:color="000000" w:sz="4" w:space="0"/>
            </w:tcBorders>
            <w:noWrap w:val="0"/>
            <w:vAlign w:val="center"/>
          </w:tcPr>
          <w:p w14:paraId="653D28FB">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产出数量</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72D83688">
            <w:pPr>
              <w:widowControl/>
              <w:ind w:firstLine="0" w:firstLineChars="0"/>
              <w:jc w:val="center"/>
              <w:textAlignment w:val="top"/>
              <w:rPr>
                <w:rFonts w:ascii="仿宋" w:hAnsi="仿宋" w:eastAsia="仿宋" w:cs="仿宋"/>
                <w:color w:val="auto"/>
              </w:rPr>
            </w:pPr>
            <w:r>
              <w:rPr>
                <w:rFonts w:hint="eastAsia" w:ascii="仿宋" w:hAnsi="仿宋" w:eastAsia="仿宋" w:cs="仿宋"/>
                <w:color w:val="auto"/>
                <w:kern w:val="0"/>
                <w:lang w:bidi="ar"/>
              </w:rPr>
              <w:t>软件开发完成率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14E7042A">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100%</w:t>
            </w:r>
          </w:p>
        </w:tc>
      </w:tr>
      <w:tr w14:paraId="25220884">
        <w:tblPrEx>
          <w:tblCellMar>
            <w:top w:w="0" w:type="dxa"/>
            <w:left w:w="108" w:type="dxa"/>
            <w:bottom w:w="0" w:type="dxa"/>
            <w:right w:w="108" w:type="dxa"/>
          </w:tblCellMar>
        </w:tblPrEx>
        <w:trPr>
          <w:trHeight w:val="260"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70257">
            <w:pPr>
              <w:ind w:firstLine="0" w:firstLineChars="0"/>
              <w:jc w:val="center"/>
              <w:rPr>
                <w:rFonts w:ascii="仿宋" w:hAnsi="仿宋" w:eastAsia="仿宋" w:cs="仿宋"/>
                <w:color w:val="auto"/>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9A56F">
            <w:pPr>
              <w:ind w:firstLine="0" w:firstLineChars="0"/>
              <w:jc w:val="center"/>
              <w:rPr>
                <w:rFonts w:ascii="仿宋" w:hAnsi="仿宋" w:eastAsia="仿宋" w:cs="仿宋"/>
                <w:color w:val="auto"/>
              </w:rPr>
            </w:pPr>
          </w:p>
        </w:tc>
        <w:tc>
          <w:tcPr>
            <w:tcW w:w="81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87654">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产出质量</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7678E5F2">
            <w:pPr>
              <w:widowControl/>
              <w:ind w:firstLine="0" w:firstLineChars="0"/>
              <w:jc w:val="center"/>
              <w:textAlignment w:val="top"/>
              <w:rPr>
                <w:rFonts w:ascii="仿宋" w:hAnsi="仿宋" w:eastAsia="仿宋" w:cs="仿宋"/>
                <w:color w:val="auto"/>
              </w:rPr>
            </w:pPr>
            <w:r>
              <w:rPr>
                <w:rFonts w:hint="eastAsia" w:ascii="仿宋" w:hAnsi="仿宋" w:eastAsia="仿宋" w:cs="仿宋"/>
                <w:color w:val="auto"/>
                <w:kern w:val="0"/>
                <w:lang w:bidi="ar"/>
              </w:rPr>
              <w:t>一次性验收合格率</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75FFE713">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100%</w:t>
            </w:r>
          </w:p>
        </w:tc>
      </w:tr>
      <w:tr w14:paraId="25E46557">
        <w:tblPrEx>
          <w:tblCellMar>
            <w:top w:w="0" w:type="dxa"/>
            <w:left w:w="108" w:type="dxa"/>
            <w:bottom w:w="0" w:type="dxa"/>
            <w:right w:w="108" w:type="dxa"/>
          </w:tblCellMar>
        </w:tblPrEx>
        <w:trPr>
          <w:trHeight w:val="260"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2E6A4">
            <w:pPr>
              <w:ind w:firstLine="0" w:firstLineChars="0"/>
              <w:jc w:val="center"/>
              <w:rPr>
                <w:rFonts w:ascii="仿宋" w:hAnsi="仿宋" w:eastAsia="仿宋" w:cs="仿宋"/>
                <w:color w:val="auto"/>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3A467">
            <w:pPr>
              <w:ind w:firstLine="0" w:firstLineChars="0"/>
              <w:jc w:val="center"/>
              <w:rPr>
                <w:rFonts w:ascii="仿宋" w:hAnsi="仿宋" w:eastAsia="仿宋" w:cs="仿宋"/>
                <w:color w:val="auto"/>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5E0F1">
            <w:pPr>
              <w:ind w:firstLine="0" w:firstLineChars="0"/>
              <w:jc w:val="center"/>
              <w:rPr>
                <w:rFonts w:ascii="仿宋" w:hAnsi="仿宋" w:eastAsia="仿宋" w:cs="仿宋"/>
                <w:color w:val="auto"/>
              </w:rPr>
            </w:pP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2410E5ED">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系统可靠性</w:t>
            </w:r>
          </w:p>
        </w:tc>
        <w:tc>
          <w:tcPr>
            <w:tcW w:w="1542" w:type="dxa"/>
            <w:tcBorders>
              <w:top w:val="single" w:color="000000" w:sz="4" w:space="0"/>
              <w:left w:val="single" w:color="000000" w:sz="4" w:space="0"/>
              <w:bottom w:val="single" w:color="000000" w:sz="4" w:space="0"/>
              <w:right w:val="single" w:color="000000" w:sz="4" w:space="0"/>
            </w:tcBorders>
            <w:noWrap w:val="0"/>
            <w:vAlign w:val="center"/>
          </w:tcPr>
          <w:p w14:paraId="28077CCA">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≥99%</w:t>
            </w:r>
          </w:p>
        </w:tc>
      </w:tr>
      <w:tr w14:paraId="1314AE49">
        <w:tblPrEx>
          <w:tblCellMar>
            <w:top w:w="0" w:type="dxa"/>
            <w:left w:w="108" w:type="dxa"/>
            <w:bottom w:w="0" w:type="dxa"/>
            <w:right w:w="108" w:type="dxa"/>
          </w:tblCellMar>
        </w:tblPrEx>
        <w:trPr>
          <w:trHeight w:val="260"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78C7C">
            <w:pPr>
              <w:ind w:firstLine="0" w:firstLineChars="0"/>
              <w:jc w:val="center"/>
              <w:rPr>
                <w:rFonts w:ascii="仿宋" w:hAnsi="仿宋" w:eastAsia="仿宋" w:cs="仿宋"/>
                <w:color w:val="auto"/>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8FE83">
            <w:pPr>
              <w:ind w:firstLine="0" w:firstLineChars="0"/>
              <w:jc w:val="center"/>
              <w:rPr>
                <w:rFonts w:ascii="仿宋" w:hAnsi="仿宋" w:eastAsia="仿宋" w:cs="仿宋"/>
                <w:color w:val="auto"/>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D7DFE5">
            <w:pPr>
              <w:ind w:firstLine="0" w:firstLineChars="0"/>
              <w:jc w:val="center"/>
              <w:rPr>
                <w:rFonts w:ascii="仿宋" w:hAnsi="仿宋" w:eastAsia="仿宋" w:cs="仿宋"/>
                <w:color w:val="auto"/>
              </w:rPr>
            </w:pP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254D4581">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软件测试达标</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1D1D3389">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通过</w:t>
            </w:r>
          </w:p>
        </w:tc>
      </w:tr>
      <w:tr w14:paraId="7BF939A4">
        <w:tblPrEx>
          <w:tblCellMar>
            <w:top w:w="0" w:type="dxa"/>
            <w:left w:w="108" w:type="dxa"/>
            <w:bottom w:w="0" w:type="dxa"/>
            <w:right w:w="108" w:type="dxa"/>
          </w:tblCellMar>
        </w:tblPrEx>
        <w:trPr>
          <w:trHeight w:val="260"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0471A">
            <w:pPr>
              <w:ind w:firstLine="0" w:firstLineChars="0"/>
              <w:jc w:val="center"/>
              <w:rPr>
                <w:rFonts w:ascii="仿宋" w:hAnsi="仿宋" w:eastAsia="仿宋" w:cs="仿宋"/>
                <w:color w:val="auto"/>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93CAC">
            <w:pPr>
              <w:ind w:firstLine="0" w:firstLineChars="0"/>
              <w:jc w:val="center"/>
              <w:rPr>
                <w:rFonts w:ascii="仿宋" w:hAnsi="仿宋" w:eastAsia="仿宋" w:cs="仿宋"/>
                <w:color w:val="auto"/>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216C7">
            <w:pPr>
              <w:ind w:firstLine="0" w:firstLineChars="0"/>
              <w:jc w:val="center"/>
              <w:rPr>
                <w:rFonts w:ascii="仿宋" w:hAnsi="仿宋" w:eastAsia="仿宋" w:cs="仿宋"/>
                <w:color w:val="auto"/>
              </w:rPr>
            </w:pP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0BAB6ADD">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密码测试达标</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4D9F8B45">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通过</w:t>
            </w:r>
          </w:p>
        </w:tc>
      </w:tr>
      <w:tr w14:paraId="7A0F8DB1">
        <w:tblPrEx>
          <w:tblCellMar>
            <w:top w:w="0" w:type="dxa"/>
            <w:left w:w="108" w:type="dxa"/>
            <w:bottom w:w="0" w:type="dxa"/>
            <w:right w:w="108" w:type="dxa"/>
          </w:tblCellMar>
        </w:tblPrEx>
        <w:trPr>
          <w:trHeight w:val="260"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5430E">
            <w:pPr>
              <w:ind w:firstLine="0" w:firstLineChars="0"/>
              <w:jc w:val="center"/>
              <w:rPr>
                <w:rFonts w:ascii="仿宋" w:hAnsi="仿宋" w:eastAsia="仿宋" w:cs="仿宋"/>
                <w:color w:val="auto"/>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06894">
            <w:pPr>
              <w:ind w:firstLine="0" w:firstLineChars="0"/>
              <w:jc w:val="center"/>
              <w:rPr>
                <w:rFonts w:ascii="仿宋" w:hAnsi="仿宋" w:eastAsia="仿宋" w:cs="仿宋"/>
                <w:color w:val="auto"/>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99370">
            <w:pPr>
              <w:ind w:firstLine="0" w:firstLineChars="0"/>
              <w:jc w:val="center"/>
              <w:rPr>
                <w:rFonts w:ascii="仿宋" w:hAnsi="仿宋" w:eastAsia="仿宋" w:cs="仿宋"/>
                <w:color w:val="auto"/>
              </w:rPr>
            </w:pP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55A0B5CF">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网络安全等级保护</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71058C58">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等保三级</w:t>
            </w:r>
          </w:p>
        </w:tc>
      </w:tr>
      <w:tr w14:paraId="1EC6F39A">
        <w:tblPrEx>
          <w:tblCellMar>
            <w:top w:w="0" w:type="dxa"/>
            <w:left w:w="108" w:type="dxa"/>
            <w:bottom w:w="0" w:type="dxa"/>
            <w:right w:w="108" w:type="dxa"/>
          </w:tblCellMar>
        </w:tblPrEx>
        <w:trPr>
          <w:trHeight w:val="260"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E9C76">
            <w:pPr>
              <w:ind w:firstLine="0" w:firstLineChars="0"/>
              <w:jc w:val="center"/>
              <w:rPr>
                <w:rFonts w:ascii="仿宋" w:hAnsi="仿宋" w:eastAsia="仿宋" w:cs="仿宋"/>
                <w:color w:val="auto"/>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83464">
            <w:pPr>
              <w:ind w:firstLine="0" w:firstLineChars="0"/>
              <w:jc w:val="center"/>
              <w:rPr>
                <w:rFonts w:ascii="仿宋" w:hAnsi="仿宋" w:eastAsia="仿宋" w:cs="仿宋"/>
                <w:color w:val="auto"/>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A09C3">
            <w:pPr>
              <w:ind w:firstLine="0" w:firstLineChars="0"/>
              <w:jc w:val="center"/>
              <w:rPr>
                <w:rFonts w:ascii="仿宋" w:hAnsi="仿宋" w:eastAsia="仿宋" w:cs="仿宋"/>
                <w:color w:val="auto"/>
              </w:rPr>
            </w:pPr>
          </w:p>
        </w:tc>
        <w:tc>
          <w:tcPr>
            <w:tcW w:w="4575" w:type="dxa"/>
            <w:tcBorders>
              <w:top w:val="single" w:color="000000" w:sz="4" w:space="0"/>
              <w:left w:val="single" w:color="000000" w:sz="4" w:space="0"/>
              <w:bottom w:val="single" w:color="000000" w:sz="4" w:space="0"/>
              <w:right w:val="single" w:color="000000" w:sz="4" w:space="0"/>
            </w:tcBorders>
            <w:noWrap w:val="0"/>
            <w:vAlign w:val="center"/>
          </w:tcPr>
          <w:p w14:paraId="45AA430E">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安全测试达标</w:t>
            </w:r>
          </w:p>
        </w:tc>
        <w:tc>
          <w:tcPr>
            <w:tcW w:w="1542" w:type="dxa"/>
            <w:tcBorders>
              <w:top w:val="single" w:color="000000" w:sz="4" w:space="0"/>
              <w:left w:val="single" w:color="000000" w:sz="4" w:space="0"/>
              <w:bottom w:val="single" w:color="000000" w:sz="4" w:space="0"/>
              <w:right w:val="single" w:color="000000" w:sz="4" w:space="0"/>
            </w:tcBorders>
            <w:noWrap/>
            <w:vAlign w:val="center"/>
          </w:tcPr>
          <w:p w14:paraId="66DAD788">
            <w:pPr>
              <w:widowControl/>
              <w:ind w:firstLine="0" w:firstLineChars="0"/>
              <w:jc w:val="center"/>
              <w:textAlignment w:val="center"/>
              <w:rPr>
                <w:rFonts w:ascii="仿宋" w:hAnsi="仿宋" w:eastAsia="仿宋" w:cs="仿宋"/>
                <w:color w:val="auto"/>
              </w:rPr>
            </w:pPr>
            <w:r>
              <w:rPr>
                <w:rFonts w:hint="eastAsia" w:ascii="仿宋" w:hAnsi="仿宋" w:eastAsia="仿宋" w:cs="仿宋"/>
                <w:color w:val="auto"/>
                <w:kern w:val="0"/>
                <w:lang w:bidi="ar"/>
              </w:rPr>
              <w:t>通过</w:t>
            </w:r>
          </w:p>
        </w:tc>
      </w:tr>
    </w:tbl>
    <w:p w14:paraId="2B63575B">
      <w:pPr>
        <w:pStyle w:val="2"/>
        <w:rPr>
          <w:color w:val="auto"/>
        </w:rPr>
      </w:pPr>
      <w:bookmarkStart w:id="11" w:name="_Toc47536676"/>
      <w:bookmarkEnd w:id="11"/>
      <w:bookmarkStart w:id="12" w:name="_Toc47533288"/>
      <w:bookmarkEnd w:id="12"/>
      <w:bookmarkStart w:id="13" w:name="_Toc47532923"/>
      <w:bookmarkEnd w:id="13"/>
      <w:bookmarkStart w:id="14" w:name="_Toc47536304"/>
      <w:bookmarkEnd w:id="14"/>
      <w:bookmarkStart w:id="15" w:name="_Toc47539102"/>
      <w:bookmarkEnd w:id="15"/>
      <w:bookmarkStart w:id="16" w:name="_Toc47537166"/>
      <w:bookmarkEnd w:id="16"/>
      <w:r>
        <w:rPr>
          <w:rFonts w:hint="eastAsia"/>
          <w:color w:val="auto"/>
        </w:rPr>
        <w:t>项目建设内容</w:t>
      </w:r>
    </w:p>
    <w:p w14:paraId="7941395E">
      <w:pPr>
        <w:ind w:left="482" w:firstLine="0" w:firstLineChars="0"/>
        <w:outlineLvl w:val="1"/>
        <w:rPr>
          <w:b/>
          <w:color w:val="auto"/>
        </w:rPr>
      </w:pPr>
      <w:r>
        <w:rPr>
          <w:rFonts w:hint="eastAsia"/>
          <w:b/>
          <w:color w:val="auto"/>
        </w:rPr>
        <w:t>1、总体建设内容</w:t>
      </w:r>
    </w:p>
    <w:p w14:paraId="64B7EA1C">
      <w:pPr>
        <w:numPr>
          <w:ilvl w:val="0"/>
          <w:numId w:val="0"/>
        </w:numPr>
        <w:ind w:firstLine="480" w:firstLineChars="200"/>
        <w:rPr>
          <w:bCs/>
          <w:color w:val="auto"/>
          <w:highlight w:val="none"/>
        </w:rPr>
      </w:pPr>
      <w:r>
        <w:rPr>
          <w:bCs/>
          <w:color w:val="auto"/>
          <w:highlight w:val="none"/>
        </w:rPr>
        <w:t>本项目</w:t>
      </w:r>
      <w:r>
        <w:rPr>
          <w:rFonts w:hint="eastAsia"/>
          <w:bCs/>
          <w:color w:val="auto"/>
          <w:highlight w:val="none"/>
        </w:rPr>
        <w:t>在</w:t>
      </w:r>
      <w:r>
        <w:rPr>
          <w:bCs/>
          <w:color w:val="auto"/>
          <w:highlight w:val="none"/>
        </w:rPr>
        <w:t>“智慧决策”与“智慧管理”两大体系</w:t>
      </w:r>
      <w:r>
        <w:rPr>
          <w:rFonts w:hint="eastAsia"/>
          <w:bCs/>
          <w:color w:val="auto"/>
          <w:highlight w:val="none"/>
        </w:rPr>
        <w:t>的基础上</w:t>
      </w:r>
      <w:r>
        <w:rPr>
          <w:bCs/>
          <w:color w:val="auto"/>
          <w:highlight w:val="none"/>
        </w:rPr>
        <w:t>，构建覆盖旅游监测、广电管理、文物管理、假日管理和文旅产业的5大决策支持场景；推进文旅营商通</w:t>
      </w:r>
      <w:r>
        <w:rPr>
          <w:rFonts w:hint="eastAsia"/>
          <w:bCs/>
          <w:color w:val="auto"/>
          <w:highlight w:val="none"/>
          <w:lang w:eastAsia="zh-CN"/>
        </w:rPr>
        <w:t>（企业侧、政务侧）</w:t>
      </w:r>
      <w:r>
        <w:rPr>
          <w:bCs/>
          <w:color w:val="auto"/>
          <w:highlight w:val="none"/>
        </w:rPr>
        <w:t>、活动报送、</w:t>
      </w:r>
      <w:r>
        <w:rPr>
          <w:rFonts w:hint="eastAsia"/>
          <w:bCs/>
          <w:color w:val="auto"/>
          <w:highlight w:val="none"/>
        </w:rPr>
        <w:t>旅游资源和</w:t>
      </w:r>
      <w:r>
        <w:rPr>
          <w:bCs/>
          <w:color w:val="auto"/>
          <w:highlight w:val="none"/>
        </w:rPr>
        <w:t>产品管理、文旅一张图、文物管理、市民文化中心</w:t>
      </w:r>
      <w:r>
        <w:rPr>
          <w:rFonts w:hint="eastAsia"/>
          <w:bCs/>
          <w:color w:val="auto"/>
          <w:highlight w:val="none"/>
        </w:rPr>
        <w:t>管理7大</w:t>
      </w:r>
      <w:r>
        <w:rPr>
          <w:bCs/>
          <w:color w:val="auto"/>
          <w:highlight w:val="none"/>
        </w:rPr>
        <w:t>文旅产业管理</w:t>
      </w:r>
      <w:r>
        <w:rPr>
          <w:rFonts w:hint="eastAsia"/>
          <w:bCs/>
          <w:color w:val="auto"/>
          <w:highlight w:val="none"/>
        </w:rPr>
        <w:t>场景及</w:t>
      </w:r>
      <w:r>
        <w:rPr>
          <w:bCs/>
          <w:color w:val="auto"/>
          <w:highlight w:val="none"/>
        </w:rPr>
        <w:t>文旅AI应用</w:t>
      </w:r>
      <w:r>
        <w:rPr>
          <w:rFonts w:hint="eastAsia"/>
          <w:bCs/>
          <w:color w:val="auto"/>
          <w:highlight w:val="none"/>
        </w:rPr>
        <w:t>的</w:t>
      </w:r>
      <w:r>
        <w:rPr>
          <w:bCs/>
          <w:color w:val="auto"/>
          <w:highlight w:val="none"/>
        </w:rPr>
        <w:t>建设。同时，夯实文旅通平台基础能力，构建模型预处理、智能</w:t>
      </w:r>
      <w:r>
        <w:rPr>
          <w:rFonts w:hint="eastAsia"/>
          <w:bCs/>
          <w:color w:val="auto"/>
          <w:highlight w:val="none"/>
        </w:rPr>
        <w:t>工具建设</w:t>
      </w:r>
      <w:r>
        <w:rPr>
          <w:bCs/>
          <w:color w:val="auto"/>
          <w:highlight w:val="none"/>
        </w:rPr>
        <w:t>等AI支撑能力，并完成5个</w:t>
      </w:r>
      <w:r>
        <w:rPr>
          <w:rFonts w:hint="eastAsia"/>
          <w:bCs/>
          <w:color w:val="auto"/>
          <w:highlight w:val="none"/>
        </w:rPr>
        <w:t>业务</w:t>
      </w:r>
      <w:r>
        <w:rPr>
          <w:bCs/>
          <w:color w:val="auto"/>
          <w:highlight w:val="none"/>
        </w:rPr>
        <w:t>系统的数据汇接，推动文旅行业内外部数据互联互通与深度协同。</w:t>
      </w:r>
    </w:p>
    <w:p w14:paraId="372FA3C1">
      <w:pPr>
        <w:numPr>
          <w:ilvl w:val="0"/>
          <w:numId w:val="0"/>
        </w:numPr>
        <w:ind w:firstLine="480" w:firstLineChars="200"/>
        <w:rPr>
          <w:bCs/>
          <w:color w:val="auto"/>
        </w:rPr>
      </w:pPr>
      <w:r>
        <w:rPr>
          <w:rFonts w:hint="eastAsia"/>
          <w:bCs/>
          <w:color w:val="auto"/>
          <w:highlight w:val="none"/>
        </w:rPr>
        <w:t>本项目整体应用系统架构图如下</w:t>
      </w:r>
      <w:r>
        <w:rPr>
          <w:rFonts w:hint="eastAsia"/>
          <w:bCs/>
          <w:color w:val="auto"/>
        </w:rPr>
        <w:t>：</w:t>
      </w:r>
    </w:p>
    <w:p w14:paraId="0927E240">
      <w:pPr>
        <w:numPr>
          <w:ilvl w:val="0"/>
          <w:numId w:val="0"/>
        </w:numPr>
        <w:rPr>
          <w:color w:val="auto"/>
        </w:rPr>
      </w:pPr>
      <w:r>
        <w:rPr>
          <w:color w:val="auto"/>
        </w:rPr>
        <w:drawing>
          <wp:inline distT="0" distB="0" distL="114300" distR="114300">
            <wp:extent cx="5271135" cy="3140710"/>
            <wp:effectExtent l="0" t="0" r="12065" b="8890"/>
            <wp:docPr id="1" name="图片 1" descr="974ea8ad0e592a3ba58ae0b0d2c27a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4ea8ad0e592a3ba58ae0b0d2c27ad7"/>
                    <pic:cNvPicPr>
                      <a:picLocks noChangeAspect="1"/>
                    </pic:cNvPicPr>
                  </pic:nvPicPr>
                  <pic:blipFill>
                    <a:blip r:embed="rId13"/>
                    <a:stretch>
                      <a:fillRect/>
                    </a:stretch>
                  </pic:blipFill>
                  <pic:spPr>
                    <a:xfrm>
                      <a:off x="0" y="0"/>
                      <a:ext cx="5271135" cy="3140710"/>
                    </a:xfrm>
                    <a:prstGeom prst="rect">
                      <a:avLst/>
                    </a:prstGeom>
                    <a:noFill/>
                    <a:ln>
                      <a:noFill/>
                    </a:ln>
                  </pic:spPr>
                </pic:pic>
              </a:graphicData>
            </a:graphic>
          </wp:inline>
        </w:drawing>
      </w:r>
    </w:p>
    <w:p w14:paraId="744D79BE">
      <w:pPr>
        <w:numPr>
          <w:ilvl w:val="0"/>
          <w:numId w:val="0"/>
        </w:numPr>
        <w:ind w:firstLine="480" w:firstLineChars="200"/>
        <w:rPr>
          <w:bCs/>
          <w:color w:val="auto"/>
        </w:rPr>
      </w:pPr>
      <w:r>
        <w:rPr>
          <w:rFonts w:hint="eastAsia"/>
          <w:bCs/>
          <w:color w:val="auto"/>
        </w:rPr>
        <w:t>本项目网络拓扑图如下：</w:t>
      </w:r>
    </w:p>
    <w:p w14:paraId="2C2B8E70">
      <w:pPr>
        <w:pStyle w:val="21"/>
        <w:rPr>
          <w:color w:val="auto"/>
        </w:rPr>
      </w:pPr>
      <w:r>
        <w:rPr>
          <w:color w:val="auto"/>
          <w:lang w:val="en-US" w:eastAsia="zh-CN"/>
        </w:rPr>
        <w:drawing>
          <wp:inline distT="0" distB="0" distL="114300" distR="114300">
            <wp:extent cx="5250180" cy="2520950"/>
            <wp:effectExtent l="0" t="0" r="7620" b="190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4"/>
                    <a:stretch>
                      <a:fillRect/>
                    </a:stretch>
                  </pic:blipFill>
                  <pic:spPr>
                    <a:xfrm>
                      <a:off x="0" y="0"/>
                      <a:ext cx="5250180" cy="2520950"/>
                    </a:xfrm>
                    <a:prstGeom prst="rect">
                      <a:avLst/>
                    </a:prstGeom>
                    <a:noFill/>
                    <a:ln>
                      <a:noFill/>
                    </a:ln>
                  </pic:spPr>
                </pic:pic>
              </a:graphicData>
            </a:graphic>
          </wp:inline>
        </w:drawing>
      </w:r>
    </w:p>
    <w:p w14:paraId="34E71DE8">
      <w:pPr>
        <w:ind w:firstLine="482"/>
        <w:outlineLvl w:val="1"/>
        <w:rPr>
          <w:b/>
          <w:color w:val="auto"/>
        </w:rPr>
      </w:pPr>
      <w:r>
        <w:rPr>
          <w:rFonts w:hint="eastAsia"/>
          <w:b/>
          <w:color w:val="auto"/>
        </w:rPr>
        <w:t>2、技术路线</w:t>
      </w:r>
    </w:p>
    <w:p w14:paraId="6454B65F">
      <w:pPr>
        <w:rPr>
          <w:color w:val="auto"/>
        </w:rPr>
      </w:pPr>
      <w:r>
        <w:rPr>
          <w:rFonts w:hint="eastAsia"/>
          <w:color w:val="auto"/>
        </w:rPr>
        <w:t>本项目作为</w:t>
      </w:r>
      <w:r>
        <w:rPr>
          <w:rFonts w:hint="eastAsia"/>
          <w:color w:val="auto"/>
          <w:highlight w:val="none"/>
        </w:rPr>
        <w:t>升级改造项目</w:t>
      </w:r>
      <w:r>
        <w:rPr>
          <w:rFonts w:hint="eastAsia"/>
          <w:color w:val="auto"/>
        </w:rPr>
        <w:t>，秉持“平稳过渡”原则，本次升级部分系统基于现有系统进行开发，遵循现有基础技术架构，新建系统需采用当前主流的JavaEE三层开发架构，Web Service、XML、SOA技术架构，实现与现有系统的无缝衔接，保障系统的可扩展性。</w:t>
      </w:r>
    </w:p>
    <w:p w14:paraId="2763F6D4">
      <w:pPr>
        <w:ind w:firstLine="482"/>
        <w:outlineLvl w:val="1"/>
        <w:rPr>
          <w:b/>
          <w:color w:val="auto"/>
        </w:rPr>
      </w:pPr>
      <w:r>
        <w:rPr>
          <w:rFonts w:hint="eastAsia"/>
          <w:b/>
          <w:color w:val="auto"/>
        </w:rPr>
        <w:t>3、技术架构</w:t>
      </w:r>
    </w:p>
    <w:p w14:paraId="0EE6DC4D">
      <w:pPr>
        <w:rPr>
          <w:color w:val="auto"/>
        </w:rPr>
      </w:pPr>
      <w:r>
        <w:rPr>
          <w:rFonts w:hint="eastAsia"/>
          <w:color w:val="auto"/>
        </w:rPr>
        <w:t>为保障本项目顺利实施并达成建设目标，系统需采用分层解耦的总体架构，清晰界定应用层、平台能力层与基础设施层之间的接口与职责。架构设计应保障业务应用与底层技术平台的独立性，确保系统具备良好的可扩展性、可维护性和高可用性。上层业务的变更不应导致底层技术架构的剧烈变动，以实现平滑演进。</w:t>
      </w:r>
    </w:p>
    <w:p w14:paraId="7077EF67">
      <w:pPr>
        <w:ind w:firstLine="482"/>
        <w:outlineLvl w:val="1"/>
        <w:rPr>
          <w:rFonts w:hint="eastAsia"/>
          <w:b/>
          <w:color w:val="auto"/>
        </w:rPr>
      </w:pPr>
      <w:r>
        <w:rPr>
          <w:rFonts w:hint="eastAsia"/>
          <w:b/>
          <w:color w:val="auto"/>
          <w:lang w:val="en-US" w:eastAsia="zh-CN"/>
        </w:rPr>
        <w:t>4、</w:t>
      </w:r>
      <w:r>
        <w:rPr>
          <w:rFonts w:hint="eastAsia"/>
          <w:b/>
          <w:color w:val="auto"/>
        </w:rPr>
        <w:t>数据要求</w:t>
      </w:r>
    </w:p>
    <w:p w14:paraId="1DFEF6F0">
      <w:pPr>
        <w:pStyle w:val="15"/>
        <w:rPr>
          <w:rFonts w:ascii="宋体" w:hAnsi="宋体" w:eastAsia="宋体" w:cs="宋体"/>
          <w:color w:val="auto"/>
          <w:kern w:val="0"/>
          <w:sz w:val="24"/>
          <w:lang w:bidi="ar"/>
        </w:rPr>
      </w:pPr>
      <w:r>
        <w:rPr>
          <w:rFonts w:hint="eastAsia" w:ascii="宋体" w:hAnsi="宋体" w:eastAsia="宋体" w:cs="宋体"/>
          <w:color w:val="auto"/>
          <w:kern w:val="0"/>
          <w:sz w:val="24"/>
          <w:lang w:bidi="ar"/>
        </w:rPr>
        <w:t>（1）数据库设计文档中，原则上应包括新增/升级改造的二级功能模块对应的数据库表。</w:t>
      </w:r>
    </w:p>
    <w:p w14:paraId="212D5B82">
      <w:pPr>
        <w:pStyle w:val="15"/>
        <w:rPr>
          <w:rFonts w:ascii="宋体" w:hAnsi="宋体" w:eastAsia="宋体" w:cs="宋体"/>
          <w:color w:val="auto"/>
          <w:kern w:val="0"/>
          <w:sz w:val="24"/>
          <w:lang w:bidi="ar"/>
        </w:rPr>
      </w:pPr>
      <w:r>
        <w:rPr>
          <w:rFonts w:hint="eastAsia" w:ascii="宋体" w:hAnsi="宋体" w:eastAsia="宋体" w:cs="宋体"/>
          <w:color w:val="auto"/>
          <w:kern w:val="0"/>
          <w:sz w:val="24"/>
          <w:lang w:bidi="ar"/>
        </w:rPr>
        <w:t>（2）新增/升级改造的业务功能模块涉及的业务对象、业务结果的数据库表应完成数据编目上链。</w:t>
      </w:r>
    </w:p>
    <w:p w14:paraId="1215C383">
      <w:pPr>
        <w:pStyle w:val="15"/>
        <w:rPr>
          <w:rFonts w:ascii="宋体" w:hAnsi="宋体" w:eastAsia="宋体" w:cs="宋体"/>
          <w:color w:val="auto"/>
          <w:kern w:val="0"/>
          <w:sz w:val="24"/>
          <w:lang w:bidi="ar"/>
        </w:rPr>
      </w:pPr>
      <w:r>
        <w:rPr>
          <w:rFonts w:hint="eastAsia" w:ascii="宋体" w:hAnsi="宋体" w:eastAsia="宋体" w:cs="宋体"/>
          <w:color w:val="auto"/>
          <w:kern w:val="0"/>
          <w:sz w:val="24"/>
          <w:lang w:bidi="ar"/>
        </w:rPr>
        <w:t>（3）数据目录名称应符合上海市</w:t>
      </w:r>
      <w:r>
        <w:rPr>
          <w:rFonts w:hint="eastAsia" w:ascii="宋体" w:hAnsi="宋体" w:eastAsia="宋体" w:cs="宋体"/>
          <w:color w:val="auto"/>
          <w:kern w:val="0"/>
          <w:sz w:val="24"/>
          <w:lang w:val="en-US" w:eastAsia="zh-CN" w:bidi="ar"/>
        </w:rPr>
        <w:t>大数据中心规定的</w:t>
      </w:r>
      <w:r>
        <w:rPr>
          <w:rFonts w:hint="eastAsia" w:ascii="宋体" w:hAnsi="宋体" w:eastAsia="宋体" w:cs="宋体"/>
          <w:color w:val="auto"/>
          <w:kern w:val="0"/>
          <w:sz w:val="24"/>
          <w:lang w:bidi="ar"/>
        </w:rPr>
        <w:t>数据资源命名规范。数据目录中的数据项应包含数据库表的核心数据项，其核心数据项应包含业务主体（人、企、事、产品、地址）、主体唯一标识、时间等关键信息。</w:t>
      </w:r>
    </w:p>
    <w:p w14:paraId="44F6C9CD">
      <w:pPr>
        <w:pStyle w:val="15"/>
        <w:rPr>
          <w:rFonts w:ascii="宋体" w:hAnsi="宋体" w:eastAsia="宋体" w:cs="宋体"/>
          <w:color w:val="auto"/>
          <w:kern w:val="0"/>
          <w:sz w:val="24"/>
          <w:lang w:bidi="ar"/>
        </w:rPr>
      </w:pPr>
      <w:r>
        <w:rPr>
          <w:rFonts w:hint="eastAsia" w:ascii="宋体" w:hAnsi="宋体" w:eastAsia="宋体" w:cs="宋体"/>
          <w:color w:val="auto"/>
          <w:kern w:val="0"/>
          <w:sz w:val="24"/>
          <w:lang w:bidi="ar"/>
        </w:rPr>
        <w:t>（4）系统升级改造后应具备与分中心指定的数据中台对接并实现数据归集和共享的能力。</w:t>
      </w:r>
    </w:p>
    <w:p w14:paraId="03E1D0F4">
      <w:pPr>
        <w:pStyle w:val="15"/>
        <w:rPr>
          <w:color w:val="auto"/>
        </w:rPr>
      </w:pPr>
      <w:r>
        <w:rPr>
          <w:rFonts w:hint="eastAsia" w:ascii="宋体" w:hAnsi="宋体" w:eastAsia="宋体" w:cs="宋体"/>
          <w:color w:val="auto"/>
          <w:kern w:val="0"/>
          <w:sz w:val="24"/>
          <w:lang w:bidi="ar"/>
        </w:rPr>
        <w:t>（5）配合完成业务数据标准编制，并按照相关管理规则和技术规范完成数据归集。</w:t>
      </w:r>
    </w:p>
    <w:p w14:paraId="60E24114">
      <w:pPr>
        <w:ind w:firstLine="482"/>
        <w:outlineLvl w:val="1"/>
        <w:rPr>
          <w:rFonts w:hint="eastAsia"/>
          <w:b/>
          <w:color w:val="auto"/>
          <w:lang w:val="en-US" w:eastAsia="zh-CN"/>
        </w:rPr>
      </w:pPr>
      <w:r>
        <w:rPr>
          <w:rFonts w:hint="eastAsia"/>
          <w:b/>
          <w:color w:val="auto"/>
          <w:lang w:val="en-US" w:eastAsia="zh-CN"/>
        </w:rPr>
        <w:t>5、部署环境</w:t>
      </w:r>
    </w:p>
    <w:p w14:paraId="4EE162AA">
      <w:pPr>
        <w:rPr>
          <w:color w:val="auto"/>
        </w:rPr>
      </w:pPr>
      <w:r>
        <w:rPr>
          <w:rFonts w:hint="eastAsia"/>
          <w:color w:val="auto"/>
        </w:rPr>
        <w:t>本项目全面依托上海市电子政务云建设，部署在</w:t>
      </w:r>
      <w:r>
        <w:rPr>
          <w:rFonts w:hint="eastAsia"/>
          <w:color w:val="auto"/>
          <w:lang w:eastAsia="zh-CN"/>
        </w:rPr>
        <w:t>XC</w:t>
      </w:r>
      <w:r>
        <w:rPr>
          <w:rFonts w:hint="eastAsia"/>
          <w:color w:val="auto"/>
        </w:rPr>
        <w:t>基础设施(云服务器、存储、网络、密码等)资源环境，使用国产化基础软件，</w:t>
      </w:r>
      <w:r>
        <w:rPr>
          <w:rFonts w:hint="eastAsia"/>
          <w:color w:val="auto"/>
          <w:lang w:bidi="ar"/>
        </w:rPr>
        <w:t>操作系统服务环境为统信UOS v20，中间件为</w:t>
      </w:r>
      <w:r>
        <w:rPr>
          <w:rFonts w:hint="eastAsia"/>
          <w:color w:val="auto"/>
        </w:rPr>
        <w:t>V7企业版</w:t>
      </w:r>
      <w:r>
        <w:rPr>
          <w:rFonts w:hint="eastAsia"/>
          <w:color w:val="auto"/>
          <w:lang w:bidi="ar"/>
        </w:rPr>
        <w:t>，</w:t>
      </w:r>
      <w:r>
        <w:rPr>
          <w:rFonts w:hint="eastAsia"/>
          <w:color w:val="auto"/>
        </w:rPr>
        <w:t>达梦数据库 V8.1企业版</w:t>
      </w:r>
      <w:r>
        <w:rPr>
          <w:rFonts w:hint="eastAsia"/>
          <w:color w:val="auto"/>
          <w:lang w:bidi="ar"/>
        </w:rPr>
        <w:t>，密码服务产品为格尔，</w:t>
      </w:r>
      <w:r>
        <w:rPr>
          <w:rFonts w:hint="eastAsia"/>
          <w:color w:val="auto"/>
        </w:rPr>
        <w:t>上述资源均由市电子政务云统一提供。</w:t>
      </w:r>
    </w:p>
    <w:p w14:paraId="1442F3D2">
      <w:pPr>
        <w:rPr>
          <w:color w:val="auto"/>
        </w:rPr>
      </w:pPr>
      <w:r>
        <w:rPr>
          <w:rFonts w:hint="eastAsia"/>
          <w:color w:val="auto"/>
        </w:rPr>
        <w:t>系统需依据</w:t>
      </w:r>
      <w:r>
        <w:rPr>
          <w:rFonts w:hint="eastAsia"/>
          <w:color w:val="auto"/>
          <w:lang w:eastAsia="zh-CN"/>
        </w:rPr>
        <w:t>XC</w:t>
      </w:r>
      <w:r>
        <w:rPr>
          <w:rFonts w:hint="eastAsia"/>
          <w:color w:val="auto"/>
        </w:rPr>
        <w:t>要求实现，按照上海市电子政务云相关管理要求，以及项目的网络安全等级保护、商业密码应用要求完成环境与应用部署。</w:t>
      </w:r>
    </w:p>
    <w:tbl>
      <w:tblPr>
        <w:tblStyle w:val="36"/>
        <w:tblpPr w:leftFromText="180" w:rightFromText="180" w:vertAnchor="text" w:horzAnchor="page" w:tblpX="1919" w:tblpY="484"/>
        <w:tblOverlap w:val="never"/>
        <w:tblW w:w="8320" w:type="dxa"/>
        <w:tblInd w:w="0" w:type="dxa"/>
        <w:tblLayout w:type="autofit"/>
        <w:tblCellMar>
          <w:top w:w="0" w:type="dxa"/>
          <w:left w:w="108" w:type="dxa"/>
          <w:bottom w:w="0" w:type="dxa"/>
          <w:right w:w="108" w:type="dxa"/>
        </w:tblCellMar>
      </w:tblPr>
      <w:tblGrid>
        <w:gridCol w:w="704"/>
        <w:gridCol w:w="1559"/>
        <w:gridCol w:w="6057"/>
      </w:tblGrid>
      <w:tr w14:paraId="241717F8">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7C946394">
            <w:pPr>
              <w:ind w:firstLine="0" w:firstLineChars="0"/>
              <w:jc w:val="left"/>
              <w:rPr>
                <w:color w:val="auto"/>
              </w:rPr>
            </w:pPr>
            <w:r>
              <w:rPr>
                <w:rFonts w:hint="eastAsia"/>
                <w:color w:val="auto"/>
              </w:rPr>
              <w:t>1、旅游监测场景</w:t>
            </w:r>
          </w:p>
        </w:tc>
      </w:tr>
      <w:tr w14:paraId="415511D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18A105D">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7D09DA30">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44DACEAA">
            <w:pPr>
              <w:ind w:firstLine="0" w:firstLineChars="0"/>
              <w:rPr>
                <w:color w:val="auto"/>
              </w:rPr>
            </w:pPr>
            <w:r>
              <w:rPr>
                <w:rFonts w:hint="eastAsia"/>
                <w:color w:val="auto"/>
              </w:rPr>
              <w:t>功能描述</w:t>
            </w:r>
          </w:p>
        </w:tc>
      </w:tr>
      <w:tr w14:paraId="5586E02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DEE0B41">
            <w:pPr>
              <w:ind w:firstLine="0" w:firstLineChars="0"/>
              <w:rPr>
                <w:color w:val="auto"/>
              </w:rPr>
            </w:pPr>
            <w:r>
              <w:rPr>
                <w:rFonts w:hint="eastAsia"/>
                <w:color w:val="auto"/>
              </w:rPr>
              <w:t>1</w:t>
            </w:r>
          </w:p>
        </w:tc>
        <w:tc>
          <w:tcPr>
            <w:tcW w:w="1559" w:type="dxa"/>
            <w:tcBorders>
              <w:top w:val="single" w:color="auto" w:sz="4" w:space="0"/>
              <w:left w:val="nil"/>
              <w:bottom w:val="single" w:color="auto" w:sz="4" w:space="0"/>
              <w:right w:val="single" w:color="auto" w:sz="4" w:space="0"/>
            </w:tcBorders>
            <w:noWrap w:val="0"/>
            <w:vAlign w:val="center"/>
          </w:tcPr>
          <w:p w14:paraId="41DEAA83">
            <w:pPr>
              <w:ind w:firstLine="0" w:firstLineChars="0"/>
              <w:rPr>
                <w:color w:val="auto"/>
              </w:rPr>
            </w:pPr>
            <w:r>
              <w:rPr>
                <w:rFonts w:hint="eastAsia"/>
                <w:color w:val="auto"/>
              </w:rPr>
              <w:t>景区综合监测应用场景升级-监测运行报告</w:t>
            </w:r>
          </w:p>
        </w:tc>
        <w:tc>
          <w:tcPr>
            <w:tcW w:w="6057" w:type="dxa"/>
            <w:tcBorders>
              <w:top w:val="single" w:color="auto" w:sz="4" w:space="0"/>
              <w:left w:val="nil"/>
              <w:bottom w:val="single" w:color="auto" w:sz="4" w:space="0"/>
              <w:right w:val="single" w:color="auto" w:sz="4" w:space="0"/>
            </w:tcBorders>
            <w:noWrap w:val="0"/>
            <w:vAlign w:val="center"/>
          </w:tcPr>
          <w:p w14:paraId="6881AADD">
            <w:pPr>
              <w:ind w:firstLine="0" w:firstLineChars="0"/>
              <w:rPr>
                <w:color w:val="auto"/>
              </w:rPr>
            </w:pPr>
            <w:r>
              <w:rPr>
                <w:rFonts w:hint="eastAsia"/>
                <w:color w:val="auto"/>
              </w:rPr>
              <w:t>打造景区综合监测应用场景监测运行报告模块，可查看历史数据监测运行报告，用户可以根据需求选择历史日期，生成并查看对应的监测运行报告。</w:t>
            </w:r>
          </w:p>
        </w:tc>
      </w:tr>
      <w:tr w14:paraId="3E50FE6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CE5F4F6">
            <w:pPr>
              <w:ind w:firstLine="0" w:firstLineChars="0"/>
              <w:rPr>
                <w:color w:val="auto"/>
              </w:rPr>
            </w:pPr>
            <w:r>
              <w:rPr>
                <w:rFonts w:hint="eastAsia"/>
                <w:color w:val="auto"/>
              </w:rPr>
              <w:t>2</w:t>
            </w:r>
          </w:p>
        </w:tc>
        <w:tc>
          <w:tcPr>
            <w:tcW w:w="1559" w:type="dxa"/>
            <w:tcBorders>
              <w:top w:val="single" w:color="auto" w:sz="4" w:space="0"/>
              <w:left w:val="nil"/>
              <w:bottom w:val="single" w:color="auto" w:sz="4" w:space="0"/>
              <w:right w:val="single" w:color="auto" w:sz="4" w:space="0"/>
            </w:tcBorders>
            <w:noWrap w:val="0"/>
            <w:vAlign w:val="center"/>
          </w:tcPr>
          <w:p w14:paraId="6786A12E">
            <w:pPr>
              <w:ind w:firstLine="0" w:firstLineChars="0"/>
              <w:rPr>
                <w:color w:val="auto"/>
              </w:rPr>
            </w:pPr>
            <w:r>
              <w:rPr>
                <w:rFonts w:hint="eastAsia"/>
                <w:color w:val="auto"/>
              </w:rPr>
              <w:t>景区综合监测应用场景升级-日常与节假日切换</w:t>
            </w:r>
          </w:p>
        </w:tc>
        <w:tc>
          <w:tcPr>
            <w:tcW w:w="6057" w:type="dxa"/>
            <w:tcBorders>
              <w:top w:val="single" w:color="auto" w:sz="4" w:space="0"/>
              <w:left w:val="nil"/>
              <w:bottom w:val="single" w:color="auto" w:sz="4" w:space="0"/>
              <w:right w:val="single" w:color="auto" w:sz="4" w:space="0"/>
            </w:tcBorders>
            <w:noWrap w:val="0"/>
            <w:vAlign w:val="center"/>
          </w:tcPr>
          <w:p w14:paraId="450A81FC">
            <w:pPr>
              <w:ind w:firstLine="0" w:firstLineChars="0"/>
              <w:rPr>
                <w:color w:val="auto"/>
              </w:rPr>
            </w:pPr>
            <w:r>
              <w:rPr>
                <w:rFonts w:hint="eastAsia"/>
                <w:color w:val="auto"/>
              </w:rPr>
              <w:t>根据业务处室对日常监管和节假日监管的需求，建设节假日监管切换功能，对节假日重点景区的视频、客流等数据更加直观的进行展示，有效提高节假日监管效率。</w:t>
            </w:r>
          </w:p>
        </w:tc>
      </w:tr>
      <w:tr w14:paraId="3A6C299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A0C9A6D">
            <w:pPr>
              <w:ind w:firstLine="0" w:firstLineChars="0"/>
              <w:rPr>
                <w:color w:val="auto"/>
              </w:rPr>
            </w:pPr>
            <w:r>
              <w:rPr>
                <w:rFonts w:hint="eastAsia"/>
                <w:color w:val="auto"/>
              </w:rPr>
              <w:t>3</w:t>
            </w:r>
          </w:p>
        </w:tc>
        <w:tc>
          <w:tcPr>
            <w:tcW w:w="1559" w:type="dxa"/>
            <w:tcBorders>
              <w:top w:val="single" w:color="auto" w:sz="4" w:space="0"/>
              <w:left w:val="nil"/>
              <w:bottom w:val="single" w:color="auto" w:sz="4" w:space="0"/>
              <w:right w:val="single" w:color="auto" w:sz="4" w:space="0"/>
            </w:tcBorders>
            <w:noWrap w:val="0"/>
            <w:vAlign w:val="center"/>
          </w:tcPr>
          <w:p w14:paraId="44214C62">
            <w:pPr>
              <w:ind w:firstLine="0" w:firstLineChars="0"/>
              <w:rPr>
                <w:color w:val="auto"/>
              </w:rPr>
            </w:pPr>
            <w:r>
              <w:rPr>
                <w:rFonts w:hint="eastAsia"/>
                <w:color w:val="auto"/>
              </w:rPr>
              <w:t>宾馆酒店监测应用场景升级</w:t>
            </w:r>
          </w:p>
        </w:tc>
        <w:tc>
          <w:tcPr>
            <w:tcW w:w="6057" w:type="dxa"/>
            <w:tcBorders>
              <w:top w:val="single" w:color="auto" w:sz="4" w:space="0"/>
              <w:left w:val="nil"/>
              <w:bottom w:val="single" w:color="auto" w:sz="4" w:space="0"/>
              <w:right w:val="single" w:color="auto" w:sz="4" w:space="0"/>
            </w:tcBorders>
            <w:noWrap w:val="0"/>
            <w:vAlign w:val="center"/>
          </w:tcPr>
          <w:p w14:paraId="3EA9D00D">
            <w:pPr>
              <w:ind w:firstLine="0" w:firstLineChars="0"/>
              <w:rPr>
                <w:color w:val="auto"/>
              </w:rPr>
            </w:pPr>
            <w:r>
              <w:rPr>
                <w:rFonts w:hint="eastAsia"/>
                <w:color w:val="auto"/>
              </w:rPr>
              <w:t>以客户提供的宾旅馆数据、消费数据及业务需求为基础，对宾馆酒店监测应用场景进行栏目重构、交互升级、可视化页面布局等多方面的改造，新增住宿业基础信息、酒店入住概览、入住时长、入住游客来源、境内入住游客年龄结构、酒店日平均房价等数据指标等维度进行综合分析监测。通过对上海市所有宾旅馆的实时数据接入，按照宾旅馆类型、等级、星级、行政区划等维度进行实时数据展现，可实时了解上海市住宿业整体行业基本情况。</w:t>
            </w:r>
          </w:p>
        </w:tc>
      </w:tr>
      <w:tr w14:paraId="3EBCEB9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73DC2FD">
            <w:pPr>
              <w:ind w:firstLine="0" w:firstLineChars="0"/>
              <w:rPr>
                <w:color w:val="auto"/>
              </w:rPr>
            </w:pPr>
            <w:r>
              <w:rPr>
                <w:rFonts w:hint="eastAsia"/>
                <w:color w:val="auto"/>
              </w:rPr>
              <w:t>4</w:t>
            </w:r>
          </w:p>
        </w:tc>
        <w:tc>
          <w:tcPr>
            <w:tcW w:w="1559" w:type="dxa"/>
            <w:tcBorders>
              <w:top w:val="single" w:color="auto" w:sz="4" w:space="0"/>
              <w:left w:val="nil"/>
              <w:bottom w:val="single" w:color="auto" w:sz="4" w:space="0"/>
              <w:right w:val="single" w:color="auto" w:sz="4" w:space="0"/>
            </w:tcBorders>
            <w:noWrap w:val="0"/>
            <w:vAlign w:val="center"/>
          </w:tcPr>
          <w:p w14:paraId="0E8F3688">
            <w:pPr>
              <w:ind w:firstLine="0" w:firstLineChars="0"/>
              <w:rPr>
                <w:color w:val="auto"/>
              </w:rPr>
            </w:pPr>
            <w:r>
              <w:rPr>
                <w:rFonts w:hint="eastAsia"/>
                <w:color w:val="auto"/>
              </w:rPr>
              <w:t>全域客流监测应用场景</w:t>
            </w:r>
          </w:p>
        </w:tc>
        <w:tc>
          <w:tcPr>
            <w:tcW w:w="6057" w:type="dxa"/>
            <w:tcBorders>
              <w:top w:val="single" w:color="auto" w:sz="4" w:space="0"/>
              <w:left w:val="nil"/>
              <w:bottom w:val="single" w:color="auto" w:sz="4" w:space="0"/>
              <w:right w:val="single" w:color="auto" w:sz="4" w:space="0"/>
            </w:tcBorders>
            <w:noWrap w:val="0"/>
            <w:vAlign w:val="center"/>
          </w:tcPr>
          <w:p w14:paraId="582C0039">
            <w:pPr>
              <w:ind w:firstLine="0" w:firstLineChars="0"/>
              <w:rPr>
                <w:color w:val="auto"/>
              </w:rPr>
            </w:pPr>
            <w:r>
              <w:rPr>
                <w:rFonts w:hint="eastAsia"/>
                <w:color w:val="auto"/>
              </w:rPr>
              <w:t>基于上海市客流数据，打造上海全域总游客数、外省游客数、入境游客数、游客数趋势、客源地排行、游客画像等数据模块，并以环状图、折线图、柱状图、GIS地图等形式进行可视化展示。</w:t>
            </w:r>
          </w:p>
        </w:tc>
      </w:tr>
      <w:tr w14:paraId="0B36B42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2B7AE48">
            <w:pPr>
              <w:ind w:firstLine="0" w:firstLineChars="0"/>
              <w:rPr>
                <w:color w:val="auto"/>
              </w:rPr>
            </w:pPr>
            <w:r>
              <w:rPr>
                <w:rFonts w:hint="eastAsia"/>
                <w:color w:val="auto"/>
              </w:rPr>
              <w:t>5</w:t>
            </w:r>
          </w:p>
        </w:tc>
        <w:tc>
          <w:tcPr>
            <w:tcW w:w="1559" w:type="dxa"/>
            <w:tcBorders>
              <w:top w:val="single" w:color="auto" w:sz="4" w:space="0"/>
              <w:left w:val="nil"/>
              <w:bottom w:val="single" w:color="auto" w:sz="4" w:space="0"/>
              <w:right w:val="single" w:color="auto" w:sz="4" w:space="0"/>
            </w:tcBorders>
            <w:noWrap w:val="0"/>
            <w:vAlign w:val="center"/>
          </w:tcPr>
          <w:p w14:paraId="62425C4F">
            <w:pPr>
              <w:ind w:firstLine="0" w:firstLineChars="0"/>
              <w:rPr>
                <w:color w:val="auto"/>
              </w:rPr>
            </w:pPr>
            <w:r>
              <w:rPr>
                <w:rFonts w:hint="eastAsia"/>
                <w:color w:val="auto"/>
              </w:rPr>
              <w:t>重点场馆应用场景升级</w:t>
            </w:r>
          </w:p>
        </w:tc>
        <w:tc>
          <w:tcPr>
            <w:tcW w:w="6057" w:type="dxa"/>
            <w:tcBorders>
              <w:top w:val="single" w:color="auto" w:sz="4" w:space="0"/>
              <w:left w:val="nil"/>
              <w:bottom w:val="single" w:color="auto" w:sz="4" w:space="0"/>
              <w:right w:val="single" w:color="auto" w:sz="4" w:space="0"/>
            </w:tcBorders>
            <w:noWrap w:val="0"/>
            <w:vAlign w:val="center"/>
          </w:tcPr>
          <w:p w14:paraId="680D4695">
            <w:pPr>
              <w:ind w:firstLine="0" w:firstLineChars="0"/>
              <w:rPr>
                <w:color w:val="auto"/>
              </w:rPr>
            </w:pPr>
            <w:r>
              <w:rPr>
                <w:rFonts w:hint="eastAsia"/>
                <w:color w:val="auto"/>
              </w:rPr>
              <w:t>基于上海市重点场馆地址、等级、开放时间、客流、联系信息等相关数据，完成场景页面设计，用折线图、列表等数据可视化形式进行展现。</w:t>
            </w:r>
          </w:p>
        </w:tc>
      </w:tr>
      <w:tr w14:paraId="22B6C60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47815BF">
            <w:pPr>
              <w:ind w:firstLine="0" w:firstLineChars="0"/>
              <w:rPr>
                <w:color w:val="auto"/>
              </w:rPr>
            </w:pPr>
            <w:r>
              <w:rPr>
                <w:rFonts w:hint="eastAsia"/>
                <w:color w:val="auto"/>
              </w:rPr>
              <w:t>6</w:t>
            </w:r>
          </w:p>
        </w:tc>
        <w:tc>
          <w:tcPr>
            <w:tcW w:w="1559" w:type="dxa"/>
            <w:tcBorders>
              <w:top w:val="single" w:color="auto" w:sz="4" w:space="0"/>
              <w:left w:val="nil"/>
              <w:bottom w:val="single" w:color="auto" w:sz="4" w:space="0"/>
              <w:right w:val="single" w:color="auto" w:sz="4" w:space="0"/>
            </w:tcBorders>
            <w:noWrap w:val="0"/>
            <w:vAlign w:val="center"/>
          </w:tcPr>
          <w:p w14:paraId="4EB4546D">
            <w:pPr>
              <w:ind w:firstLine="0" w:firstLineChars="0"/>
              <w:rPr>
                <w:color w:val="auto"/>
              </w:rPr>
            </w:pPr>
            <w:r>
              <w:rPr>
                <w:rFonts w:hint="eastAsia"/>
                <w:color w:val="auto"/>
              </w:rPr>
              <w:t>入境游监测应用场景</w:t>
            </w:r>
          </w:p>
        </w:tc>
        <w:tc>
          <w:tcPr>
            <w:tcW w:w="6057" w:type="dxa"/>
            <w:tcBorders>
              <w:top w:val="single" w:color="auto" w:sz="4" w:space="0"/>
              <w:left w:val="nil"/>
              <w:bottom w:val="single" w:color="auto" w:sz="4" w:space="0"/>
              <w:right w:val="single" w:color="auto" w:sz="4" w:space="0"/>
            </w:tcBorders>
            <w:noWrap w:val="0"/>
            <w:vAlign w:val="center"/>
          </w:tcPr>
          <w:p w14:paraId="5A90309A">
            <w:pPr>
              <w:ind w:firstLine="0" w:firstLineChars="0"/>
              <w:rPr>
                <w:color w:val="auto"/>
              </w:rPr>
            </w:pPr>
            <w:r>
              <w:rPr>
                <w:rFonts w:hint="eastAsia"/>
                <w:color w:val="auto"/>
              </w:rPr>
              <w:t>基于原消费综合监测应用场景部分数据，新增入境游监测应用场景。展示上海市入境方式、人均消费金额、人均旅游时长（天）、入境游消费数据、入境游客源地占比等数据模块，并以图标、折线图、饼状图、柱状图等多种数据可视化形式进行呈现，赋能管理人员了解入境游市场运行状态。</w:t>
            </w:r>
          </w:p>
        </w:tc>
      </w:tr>
      <w:tr w14:paraId="670D1DF2">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34DB9C42">
            <w:pPr>
              <w:ind w:firstLine="0" w:firstLineChars="0"/>
              <w:rPr>
                <w:color w:val="auto"/>
              </w:rPr>
            </w:pPr>
            <w:r>
              <w:rPr>
                <w:rFonts w:hint="eastAsia"/>
                <w:color w:val="auto"/>
              </w:rPr>
              <w:t>2、广电管理场景</w:t>
            </w:r>
          </w:p>
        </w:tc>
      </w:tr>
      <w:tr w14:paraId="302CBF6D">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B28EDE4">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0C08C478">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3D783107">
            <w:pPr>
              <w:ind w:firstLine="0" w:firstLineChars="0"/>
              <w:rPr>
                <w:color w:val="auto"/>
              </w:rPr>
            </w:pPr>
            <w:r>
              <w:rPr>
                <w:rFonts w:hint="eastAsia"/>
                <w:color w:val="auto"/>
              </w:rPr>
              <w:t>功能描述</w:t>
            </w:r>
          </w:p>
        </w:tc>
      </w:tr>
      <w:tr w14:paraId="23CC5C2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5CE4661">
            <w:pPr>
              <w:ind w:firstLine="0" w:firstLineChars="0"/>
              <w:rPr>
                <w:color w:val="auto"/>
              </w:rPr>
            </w:pPr>
            <w:r>
              <w:rPr>
                <w:rFonts w:hint="eastAsia"/>
                <w:color w:val="auto"/>
              </w:rPr>
              <w:t>7</w:t>
            </w:r>
          </w:p>
        </w:tc>
        <w:tc>
          <w:tcPr>
            <w:tcW w:w="1559" w:type="dxa"/>
            <w:tcBorders>
              <w:top w:val="single" w:color="auto" w:sz="4" w:space="0"/>
              <w:left w:val="nil"/>
              <w:bottom w:val="single" w:color="auto" w:sz="4" w:space="0"/>
              <w:right w:val="single" w:color="auto" w:sz="4" w:space="0"/>
            </w:tcBorders>
            <w:noWrap w:val="0"/>
            <w:vAlign w:val="center"/>
          </w:tcPr>
          <w:p w14:paraId="75CAECAA">
            <w:pPr>
              <w:ind w:firstLine="0" w:firstLineChars="0"/>
              <w:rPr>
                <w:color w:val="auto"/>
              </w:rPr>
            </w:pPr>
            <w:r>
              <w:rPr>
                <w:rFonts w:hint="eastAsia"/>
                <w:color w:val="auto"/>
              </w:rPr>
              <w:t>广电网络总览应用场景——电视频道</w:t>
            </w:r>
          </w:p>
        </w:tc>
        <w:tc>
          <w:tcPr>
            <w:tcW w:w="6057" w:type="dxa"/>
            <w:tcBorders>
              <w:top w:val="single" w:color="auto" w:sz="4" w:space="0"/>
              <w:left w:val="nil"/>
              <w:bottom w:val="single" w:color="auto" w:sz="4" w:space="0"/>
              <w:right w:val="single" w:color="auto" w:sz="4" w:space="0"/>
            </w:tcBorders>
            <w:noWrap w:val="0"/>
            <w:vAlign w:val="center"/>
          </w:tcPr>
          <w:p w14:paraId="6B3DD182">
            <w:pPr>
              <w:ind w:firstLine="0" w:firstLineChars="0"/>
              <w:rPr>
                <w:color w:val="auto"/>
              </w:rPr>
            </w:pPr>
            <w:r>
              <w:rPr>
                <w:rFonts w:hint="eastAsia"/>
                <w:color w:val="auto"/>
              </w:rPr>
              <w:t>以柱状图、词云、滚动列表等数据化形式展示全国卫星频道收视排行、上海台组频道收视排行。</w:t>
            </w:r>
          </w:p>
        </w:tc>
      </w:tr>
      <w:tr w14:paraId="414CA63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6F88FCC">
            <w:pPr>
              <w:ind w:firstLine="0" w:firstLineChars="0"/>
              <w:rPr>
                <w:color w:val="auto"/>
              </w:rPr>
            </w:pPr>
            <w:r>
              <w:rPr>
                <w:rFonts w:hint="eastAsia"/>
                <w:color w:val="auto"/>
              </w:rPr>
              <w:t>8</w:t>
            </w:r>
          </w:p>
        </w:tc>
        <w:tc>
          <w:tcPr>
            <w:tcW w:w="1559" w:type="dxa"/>
            <w:tcBorders>
              <w:top w:val="single" w:color="auto" w:sz="4" w:space="0"/>
              <w:left w:val="nil"/>
              <w:bottom w:val="single" w:color="auto" w:sz="4" w:space="0"/>
              <w:right w:val="single" w:color="auto" w:sz="4" w:space="0"/>
            </w:tcBorders>
            <w:noWrap w:val="0"/>
            <w:vAlign w:val="center"/>
          </w:tcPr>
          <w:p w14:paraId="5B4AF83E">
            <w:pPr>
              <w:ind w:firstLine="0" w:firstLineChars="0"/>
              <w:rPr>
                <w:color w:val="auto"/>
              </w:rPr>
            </w:pPr>
            <w:r>
              <w:rPr>
                <w:rFonts w:hint="eastAsia"/>
                <w:color w:val="auto"/>
              </w:rPr>
              <w:t>广电网络总览应用场景——网络传媒</w:t>
            </w:r>
          </w:p>
        </w:tc>
        <w:tc>
          <w:tcPr>
            <w:tcW w:w="6057" w:type="dxa"/>
            <w:tcBorders>
              <w:top w:val="single" w:color="auto" w:sz="4" w:space="0"/>
              <w:left w:val="nil"/>
              <w:bottom w:val="single" w:color="auto" w:sz="4" w:space="0"/>
              <w:right w:val="single" w:color="auto" w:sz="4" w:space="0"/>
            </w:tcBorders>
            <w:noWrap w:val="0"/>
            <w:vAlign w:val="center"/>
          </w:tcPr>
          <w:p w14:paraId="2D0B832D">
            <w:pPr>
              <w:ind w:firstLine="0" w:firstLineChars="0"/>
              <w:rPr>
                <w:color w:val="auto"/>
              </w:rPr>
            </w:pPr>
            <w:r>
              <w:rPr>
                <w:rFonts w:hint="eastAsia"/>
                <w:color w:val="auto"/>
              </w:rPr>
              <w:t>以柱状图、词云、滚动列表等数据化形式展示阅读稿件关键词云、传媒持证机构情况、网络视听审看情况等数据。</w:t>
            </w:r>
          </w:p>
        </w:tc>
      </w:tr>
      <w:tr w14:paraId="4D456E24">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787E4519">
            <w:pPr>
              <w:ind w:firstLine="0" w:firstLineChars="0"/>
              <w:rPr>
                <w:color w:val="auto"/>
              </w:rPr>
            </w:pPr>
            <w:r>
              <w:rPr>
                <w:rFonts w:hint="eastAsia"/>
                <w:color w:val="auto"/>
              </w:rPr>
              <w:t>3、文物管理场景</w:t>
            </w:r>
          </w:p>
        </w:tc>
      </w:tr>
      <w:tr w14:paraId="669A27B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138806">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44258439">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632B88AD">
            <w:pPr>
              <w:ind w:firstLine="0" w:firstLineChars="0"/>
              <w:rPr>
                <w:color w:val="auto"/>
              </w:rPr>
            </w:pPr>
            <w:r>
              <w:rPr>
                <w:rFonts w:hint="eastAsia"/>
                <w:color w:val="auto"/>
              </w:rPr>
              <w:t>功能描述</w:t>
            </w:r>
          </w:p>
        </w:tc>
      </w:tr>
      <w:tr w14:paraId="3CC645E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AFB6266">
            <w:pPr>
              <w:ind w:firstLine="0" w:firstLineChars="0"/>
              <w:rPr>
                <w:color w:val="auto"/>
              </w:rPr>
            </w:pPr>
            <w:r>
              <w:rPr>
                <w:rFonts w:hint="eastAsia"/>
                <w:color w:val="auto"/>
              </w:rPr>
              <w:t>9</w:t>
            </w:r>
          </w:p>
        </w:tc>
        <w:tc>
          <w:tcPr>
            <w:tcW w:w="1559" w:type="dxa"/>
            <w:tcBorders>
              <w:top w:val="single" w:color="auto" w:sz="4" w:space="0"/>
              <w:left w:val="nil"/>
              <w:bottom w:val="single" w:color="auto" w:sz="4" w:space="0"/>
              <w:right w:val="single" w:color="auto" w:sz="4" w:space="0"/>
            </w:tcBorders>
            <w:noWrap w:val="0"/>
            <w:vAlign w:val="center"/>
          </w:tcPr>
          <w:p w14:paraId="3E112D18">
            <w:pPr>
              <w:ind w:firstLine="0" w:firstLineChars="0"/>
              <w:rPr>
                <w:color w:val="auto"/>
              </w:rPr>
            </w:pPr>
            <w:r>
              <w:rPr>
                <w:rFonts w:hint="eastAsia"/>
                <w:color w:val="auto"/>
              </w:rPr>
              <w:t>文物总览应用场景</w:t>
            </w:r>
          </w:p>
        </w:tc>
        <w:tc>
          <w:tcPr>
            <w:tcW w:w="6057" w:type="dxa"/>
            <w:tcBorders>
              <w:top w:val="single" w:color="auto" w:sz="4" w:space="0"/>
              <w:left w:val="nil"/>
              <w:bottom w:val="single" w:color="auto" w:sz="4" w:space="0"/>
              <w:right w:val="single" w:color="auto" w:sz="4" w:space="0"/>
            </w:tcBorders>
            <w:noWrap w:val="0"/>
            <w:vAlign w:val="center"/>
          </w:tcPr>
          <w:p w14:paraId="47FE94B0">
            <w:pPr>
              <w:ind w:firstLine="0" w:firstLineChars="0"/>
              <w:rPr>
                <w:color w:val="auto"/>
              </w:rPr>
            </w:pPr>
            <w:r>
              <w:rPr>
                <w:rFonts w:hint="eastAsia"/>
                <w:color w:val="auto"/>
              </w:rPr>
              <w:t>以文旅产业系统数据为基础，统计并展示上海市文物分布情况及基本信息。</w:t>
            </w:r>
          </w:p>
        </w:tc>
      </w:tr>
      <w:tr w14:paraId="00CD582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A8B33D7">
            <w:pPr>
              <w:ind w:firstLine="0" w:firstLineChars="0"/>
              <w:rPr>
                <w:color w:val="auto"/>
              </w:rPr>
            </w:pPr>
            <w:r>
              <w:rPr>
                <w:rFonts w:hint="eastAsia"/>
                <w:color w:val="auto"/>
              </w:rPr>
              <w:t>10</w:t>
            </w:r>
          </w:p>
        </w:tc>
        <w:tc>
          <w:tcPr>
            <w:tcW w:w="1559" w:type="dxa"/>
            <w:tcBorders>
              <w:top w:val="single" w:color="auto" w:sz="4" w:space="0"/>
              <w:left w:val="nil"/>
              <w:bottom w:val="single" w:color="auto" w:sz="4" w:space="0"/>
              <w:right w:val="single" w:color="auto" w:sz="4" w:space="0"/>
            </w:tcBorders>
            <w:noWrap w:val="0"/>
            <w:vAlign w:val="center"/>
          </w:tcPr>
          <w:p w14:paraId="105F1BC9">
            <w:pPr>
              <w:ind w:firstLine="0" w:firstLineChars="0"/>
              <w:rPr>
                <w:color w:val="auto"/>
              </w:rPr>
            </w:pPr>
            <w:r>
              <w:rPr>
                <w:rFonts w:hint="eastAsia"/>
                <w:color w:val="auto"/>
              </w:rPr>
              <w:t>不可移动文物、馆藏文物、文物拍卖场景</w:t>
            </w:r>
          </w:p>
        </w:tc>
        <w:tc>
          <w:tcPr>
            <w:tcW w:w="6057" w:type="dxa"/>
            <w:tcBorders>
              <w:top w:val="single" w:color="auto" w:sz="4" w:space="0"/>
              <w:left w:val="nil"/>
              <w:bottom w:val="single" w:color="auto" w:sz="4" w:space="0"/>
              <w:right w:val="single" w:color="auto" w:sz="4" w:space="0"/>
            </w:tcBorders>
            <w:noWrap w:val="0"/>
            <w:vAlign w:val="center"/>
          </w:tcPr>
          <w:p w14:paraId="1FF40117">
            <w:pPr>
              <w:ind w:firstLine="0" w:firstLineChars="0"/>
              <w:rPr>
                <w:color w:val="auto"/>
              </w:rPr>
            </w:pPr>
            <w:r>
              <w:rPr>
                <w:rFonts w:hint="eastAsia"/>
                <w:color w:val="auto"/>
              </w:rPr>
              <w:t>展示不可以移动文物情况、馆藏文物定级情况、文物拍卖详细情况数据维度进行综合分析监测。</w:t>
            </w:r>
          </w:p>
        </w:tc>
      </w:tr>
      <w:tr w14:paraId="4E9F26E8">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4BDA318B">
            <w:pPr>
              <w:ind w:firstLine="0" w:firstLineChars="0"/>
              <w:rPr>
                <w:color w:val="auto"/>
              </w:rPr>
            </w:pPr>
            <w:r>
              <w:rPr>
                <w:rFonts w:hint="eastAsia"/>
                <w:color w:val="auto"/>
              </w:rPr>
              <w:t>4、假日管理场景</w:t>
            </w:r>
          </w:p>
        </w:tc>
      </w:tr>
      <w:tr w14:paraId="48CEE12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21EFFC6">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1980CD23">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05E9643A">
            <w:pPr>
              <w:ind w:firstLine="0" w:firstLineChars="0"/>
              <w:rPr>
                <w:color w:val="auto"/>
              </w:rPr>
            </w:pPr>
            <w:r>
              <w:rPr>
                <w:rFonts w:hint="eastAsia"/>
                <w:color w:val="auto"/>
              </w:rPr>
              <w:t>功能描述</w:t>
            </w:r>
          </w:p>
        </w:tc>
      </w:tr>
      <w:tr w14:paraId="6B28041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C31A5B2">
            <w:pPr>
              <w:ind w:firstLine="0" w:firstLineChars="0"/>
              <w:rPr>
                <w:color w:val="auto"/>
              </w:rPr>
            </w:pPr>
            <w:r>
              <w:rPr>
                <w:rFonts w:hint="eastAsia"/>
                <w:color w:val="auto"/>
              </w:rPr>
              <w:t>11</w:t>
            </w:r>
          </w:p>
        </w:tc>
        <w:tc>
          <w:tcPr>
            <w:tcW w:w="1559" w:type="dxa"/>
            <w:tcBorders>
              <w:top w:val="single" w:color="auto" w:sz="4" w:space="0"/>
              <w:left w:val="nil"/>
              <w:bottom w:val="single" w:color="auto" w:sz="4" w:space="0"/>
              <w:right w:val="single" w:color="auto" w:sz="4" w:space="0"/>
            </w:tcBorders>
            <w:noWrap w:val="0"/>
            <w:vAlign w:val="center"/>
          </w:tcPr>
          <w:p w14:paraId="00AD811A">
            <w:pPr>
              <w:ind w:firstLine="0" w:firstLineChars="0"/>
              <w:rPr>
                <w:color w:val="auto"/>
              </w:rPr>
            </w:pPr>
            <w:r>
              <w:rPr>
                <w:rFonts w:hint="eastAsia"/>
                <w:color w:val="auto"/>
              </w:rPr>
              <w:t>邮轮旅游</w:t>
            </w:r>
          </w:p>
        </w:tc>
        <w:tc>
          <w:tcPr>
            <w:tcW w:w="6057" w:type="dxa"/>
            <w:tcBorders>
              <w:top w:val="single" w:color="auto" w:sz="4" w:space="0"/>
              <w:left w:val="nil"/>
              <w:bottom w:val="single" w:color="auto" w:sz="4" w:space="0"/>
              <w:right w:val="single" w:color="auto" w:sz="4" w:space="0"/>
            </w:tcBorders>
            <w:noWrap w:val="0"/>
            <w:vAlign w:val="center"/>
          </w:tcPr>
          <w:p w14:paraId="24642A06">
            <w:pPr>
              <w:ind w:firstLine="0" w:firstLineChars="0"/>
              <w:rPr>
                <w:color w:val="auto"/>
              </w:rPr>
            </w:pPr>
            <w:r>
              <w:rPr>
                <w:rFonts w:hint="eastAsia"/>
                <w:color w:val="auto"/>
              </w:rPr>
              <w:t>“邮轮旅游”信息展示模块，包括上海港国际客运中心、上海吴淞口国际邮轮港邮轮旅游的计划进港数、计划出港数、下客人数、上客人数。</w:t>
            </w:r>
          </w:p>
        </w:tc>
      </w:tr>
      <w:tr w14:paraId="479C131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E2209D9">
            <w:pPr>
              <w:ind w:firstLine="0" w:firstLineChars="0"/>
              <w:rPr>
                <w:color w:val="auto"/>
              </w:rPr>
            </w:pPr>
            <w:r>
              <w:rPr>
                <w:rFonts w:hint="eastAsia"/>
                <w:color w:val="auto"/>
              </w:rPr>
              <w:t>12</w:t>
            </w:r>
          </w:p>
        </w:tc>
        <w:tc>
          <w:tcPr>
            <w:tcW w:w="1559" w:type="dxa"/>
            <w:tcBorders>
              <w:top w:val="single" w:color="auto" w:sz="4" w:space="0"/>
              <w:left w:val="nil"/>
              <w:bottom w:val="single" w:color="auto" w:sz="4" w:space="0"/>
              <w:right w:val="single" w:color="auto" w:sz="4" w:space="0"/>
            </w:tcBorders>
            <w:noWrap w:val="0"/>
            <w:vAlign w:val="center"/>
          </w:tcPr>
          <w:p w14:paraId="1C3FF819">
            <w:pPr>
              <w:ind w:firstLine="0" w:firstLineChars="0"/>
              <w:rPr>
                <w:color w:val="auto"/>
              </w:rPr>
            </w:pPr>
            <w:r>
              <w:rPr>
                <w:rFonts w:hint="eastAsia"/>
                <w:color w:val="auto"/>
              </w:rPr>
              <w:t>旅游景区</w:t>
            </w:r>
          </w:p>
        </w:tc>
        <w:tc>
          <w:tcPr>
            <w:tcW w:w="6057" w:type="dxa"/>
            <w:tcBorders>
              <w:top w:val="single" w:color="auto" w:sz="4" w:space="0"/>
              <w:left w:val="nil"/>
              <w:bottom w:val="single" w:color="auto" w:sz="4" w:space="0"/>
              <w:right w:val="single" w:color="auto" w:sz="4" w:space="0"/>
            </w:tcBorders>
            <w:noWrap w:val="0"/>
            <w:vAlign w:val="center"/>
          </w:tcPr>
          <w:p w14:paraId="4314990B">
            <w:pPr>
              <w:ind w:firstLine="0" w:firstLineChars="0"/>
              <w:rPr>
                <w:color w:val="auto"/>
              </w:rPr>
            </w:pPr>
            <w:r>
              <w:rPr>
                <w:rFonts w:hint="eastAsia"/>
                <w:color w:val="auto"/>
              </w:rPr>
              <w:t>“重点景区客流峰值”信息展示模块，以11:30、17:30为标签，自动计算截止11点与17点的东方明珠广播电视塔、朱家角古镇景区、上海海昌海洋公园、上海野生动物园、上海自然博物馆、上海博物馆人广馆，六家重点景区的相关客流峰值数据（最大承载量、人次、成数占比）。</w:t>
            </w:r>
          </w:p>
        </w:tc>
      </w:tr>
      <w:tr w14:paraId="78D8101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8AA7D88">
            <w:pPr>
              <w:ind w:firstLine="0" w:firstLineChars="0"/>
              <w:rPr>
                <w:color w:val="auto"/>
              </w:rPr>
            </w:pPr>
            <w:r>
              <w:rPr>
                <w:rFonts w:hint="eastAsia"/>
                <w:color w:val="auto"/>
              </w:rPr>
              <w:t>13</w:t>
            </w:r>
          </w:p>
        </w:tc>
        <w:tc>
          <w:tcPr>
            <w:tcW w:w="1559" w:type="dxa"/>
            <w:tcBorders>
              <w:top w:val="single" w:color="auto" w:sz="4" w:space="0"/>
              <w:left w:val="nil"/>
              <w:bottom w:val="single" w:color="auto" w:sz="4" w:space="0"/>
              <w:right w:val="single" w:color="auto" w:sz="4" w:space="0"/>
            </w:tcBorders>
            <w:noWrap w:val="0"/>
            <w:vAlign w:val="center"/>
          </w:tcPr>
          <w:p w14:paraId="39F8AED7">
            <w:pPr>
              <w:ind w:firstLine="0" w:firstLineChars="0"/>
              <w:rPr>
                <w:color w:val="auto"/>
              </w:rPr>
            </w:pPr>
            <w:r>
              <w:rPr>
                <w:rFonts w:hint="eastAsia"/>
                <w:color w:val="auto"/>
              </w:rPr>
              <w:t>假日运行报告</w:t>
            </w:r>
          </w:p>
        </w:tc>
        <w:tc>
          <w:tcPr>
            <w:tcW w:w="6057" w:type="dxa"/>
            <w:tcBorders>
              <w:top w:val="single" w:color="auto" w:sz="4" w:space="0"/>
              <w:left w:val="nil"/>
              <w:bottom w:val="single" w:color="auto" w:sz="4" w:space="0"/>
              <w:right w:val="single" w:color="auto" w:sz="4" w:space="0"/>
            </w:tcBorders>
            <w:noWrap w:val="0"/>
            <w:vAlign w:val="center"/>
          </w:tcPr>
          <w:p w14:paraId="75B15B58">
            <w:pPr>
              <w:ind w:firstLine="0" w:firstLineChars="0"/>
              <w:rPr>
                <w:color w:val="auto"/>
              </w:rPr>
            </w:pPr>
            <w:r>
              <w:rPr>
                <w:rFonts w:hint="eastAsia"/>
                <w:color w:val="auto"/>
              </w:rPr>
              <w:t>根据“邮轮旅游”、“重点景区”、红色旅游主题场馆的客流峰值等报表数据，以图表、折线图等形式进行数据可视化呈现假日报告，支持一键导出。</w:t>
            </w:r>
          </w:p>
        </w:tc>
      </w:tr>
      <w:tr w14:paraId="3E73096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CFAFE33">
            <w:pPr>
              <w:ind w:firstLine="0" w:firstLineChars="0"/>
              <w:rPr>
                <w:color w:val="auto"/>
              </w:rPr>
            </w:pPr>
            <w:r>
              <w:rPr>
                <w:rFonts w:hint="eastAsia"/>
                <w:color w:val="auto"/>
              </w:rPr>
              <w:t>14</w:t>
            </w:r>
          </w:p>
        </w:tc>
        <w:tc>
          <w:tcPr>
            <w:tcW w:w="1559" w:type="dxa"/>
            <w:tcBorders>
              <w:top w:val="single" w:color="auto" w:sz="4" w:space="0"/>
              <w:left w:val="nil"/>
              <w:bottom w:val="single" w:color="auto" w:sz="4" w:space="0"/>
              <w:right w:val="single" w:color="auto" w:sz="4" w:space="0"/>
            </w:tcBorders>
            <w:noWrap w:val="0"/>
            <w:vAlign w:val="center"/>
          </w:tcPr>
          <w:p w14:paraId="2A184DF4">
            <w:pPr>
              <w:ind w:firstLine="0" w:firstLineChars="0"/>
              <w:rPr>
                <w:color w:val="auto"/>
              </w:rPr>
            </w:pPr>
            <w:r>
              <w:rPr>
                <w:rFonts w:hint="eastAsia"/>
                <w:color w:val="auto"/>
              </w:rPr>
              <w:t>资源开发处数据上报</w:t>
            </w:r>
          </w:p>
        </w:tc>
        <w:tc>
          <w:tcPr>
            <w:tcW w:w="6057" w:type="dxa"/>
            <w:tcBorders>
              <w:top w:val="single" w:color="auto" w:sz="4" w:space="0"/>
              <w:left w:val="nil"/>
              <w:bottom w:val="single" w:color="auto" w:sz="4" w:space="0"/>
              <w:right w:val="single" w:color="auto" w:sz="4" w:space="0"/>
            </w:tcBorders>
            <w:noWrap w:val="0"/>
            <w:vAlign w:val="center"/>
          </w:tcPr>
          <w:p w14:paraId="359E0517">
            <w:pPr>
              <w:ind w:firstLine="0" w:firstLineChars="0"/>
              <w:rPr>
                <w:color w:val="auto"/>
              </w:rPr>
            </w:pPr>
            <w:r>
              <w:rPr>
                <w:rFonts w:hint="eastAsia"/>
                <w:color w:val="auto"/>
              </w:rPr>
              <w:t>根据资源开发处需求，基于处室上报数据，统计并展示游轮旅游”-“抵港游客”和“离港游客”的每日数量，以折线趋势图形式展示。</w:t>
            </w:r>
          </w:p>
        </w:tc>
      </w:tr>
      <w:tr w14:paraId="1D7267A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FA0CE56">
            <w:pPr>
              <w:ind w:firstLine="0" w:firstLineChars="0"/>
              <w:rPr>
                <w:color w:val="auto"/>
              </w:rPr>
            </w:pPr>
            <w:r>
              <w:rPr>
                <w:rFonts w:hint="eastAsia"/>
                <w:color w:val="auto"/>
              </w:rPr>
              <w:t>15</w:t>
            </w:r>
          </w:p>
        </w:tc>
        <w:tc>
          <w:tcPr>
            <w:tcW w:w="1559" w:type="dxa"/>
            <w:tcBorders>
              <w:top w:val="single" w:color="auto" w:sz="4" w:space="0"/>
              <w:left w:val="nil"/>
              <w:bottom w:val="single" w:color="auto" w:sz="4" w:space="0"/>
              <w:right w:val="single" w:color="auto" w:sz="4" w:space="0"/>
            </w:tcBorders>
            <w:noWrap w:val="0"/>
            <w:vAlign w:val="center"/>
          </w:tcPr>
          <w:p w14:paraId="5E64ED5D">
            <w:pPr>
              <w:ind w:firstLine="0" w:firstLineChars="0"/>
              <w:rPr>
                <w:color w:val="auto"/>
              </w:rPr>
            </w:pPr>
            <w:r>
              <w:rPr>
                <w:rFonts w:hint="eastAsia"/>
                <w:color w:val="auto"/>
              </w:rPr>
              <w:t>革命文物处数据上报</w:t>
            </w:r>
          </w:p>
        </w:tc>
        <w:tc>
          <w:tcPr>
            <w:tcW w:w="6057" w:type="dxa"/>
            <w:tcBorders>
              <w:top w:val="single" w:color="auto" w:sz="4" w:space="0"/>
              <w:left w:val="nil"/>
              <w:bottom w:val="single" w:color="auto" w:sz="4" w:space="0"/>
              <w:right w:val="single" w:color="auto" w:sz="4" w:space="0"/>
            </w:tcBorders>
            <w:noWrap w:val="0"/>
            <w:vAlign w:val="center"/>
          </w:tcPr>
          <w:p w14:paraId="702C0C23">
            <w:pPr>
              <w:ind w:firstLine="0" w:firstLineChars="0"/>
              <w:rPr>
                <w:color w:val="auto"/>
              </w:rPr>
            </w:pPr>
            <w:r>
              <w:rPr>
                <w:rFonts w:hint="eastAsia"/>
                <w:color w:val="auto"/>
              </w:rPr>
              <w:t>根据革命文物处需求，打造“红色旅游主题场馆（点）接待游客”上报模块，包括数据项、分析图表、单日及汇总文字描述，并以饼图、趋势图等形式进行数据可视化呈现。</w:t>
            </w:r>
          </w:p>
        </w:tc>
      </w:tr>
      <w:tr w14:paraId="16C56337">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3A494278">
            <w:pPr>
              <w:ind w:firstLine="0" w:firstLineChars="0"/>
              <w:rPr>
                <w:color w:val="auto"/>
              </w:rPr>
            </w:pPr>
            <w:r>
              <w:rPr>
                <w:rFonts w:hint="eastAsia"/>
                <w:color w:val="auto"/>
              </w:rPr>
              <w:t>5、文旅产业场景</w:t>
            </w:r>
          </w:p>
        </w:tc>
      </w:tr>
      <w:tr w14:paraId="1F2ECCB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D76F773">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0BF36510">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2B2C372D">
            <w:pPr>
              <w:ind w:firstLine="0" w:firstLineChars="0"/>
              <w:rPr>
                <w:color w:val="auto"/>
              </w:rPr>
            </w:pPr>
            <w:r>
              <w:rPr>
                <w:rFonts w:hint="eastAsia"/>
                <w:color w:val="auto"/>
              </w:rPr>
              <w:t>功能描述</w:t>
            </w:r>
          </w:p>
        </w:tc>
      </w:tr>
      <w:tr w14:paraId="3542F86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A4FF62A">
            <w:pPr>
              <w:ind w:firstLine="0" w:firstLineChars="0"/>
              <w:rPr>
                <w:color w:val="auto"/>
              </w:rPr>
            </w:pPr>
            <w:r>
              <w:rPr>
                <w:rFonts w:hint="eastAsia"/>
                <w:color w:val="auto"/>
              </w:rPr>
              <w:t>16</w:t>
            </w:r>
          </w:p>
        </w:tc>
        <w:tc>
          <w:tcPr>
            <w:tcW w:w="1559" w:type="dxa"/>
            <w:tcBorders>
              <w:top w:val="single" w:color="auto" w:sz="4" w:space="0"/>
              <w:left w:val="nil"/>
              <w:bottom w:val="single" w:color="auto" w:sz="4" w:space="0"/>
              <w:right w:val="single" w:color="auto" w:sz="4" w:space="0"/>
            </w:tcBorders>
            <w:noWrap w:val="0"/>
            <w:vAlign w:val="center"/>
          </w:tcPr>
          <w:p w14:paraId="42A53E83">
            <w:pPr>
              <w:ind w:firstLine="0" w:firstLineChars="0"/>
              <w:rPr>
                <w:color w:val="auto"/>
              </w:rPr>
            </w:pPr>
            <w:r>
              <w:rPr>
                <w:rFonts w:hint="eastAsia"/>
                <w:color w:val="auto"/>
              </w:rPr>
              <w:t>文旅营商通应用场景</w:t>
            </w:r>
          </w:p>
        </w:tc>
        <w:tc>
          <w:tcPr>
            <w:tcW w:w="6057" w:type="dxa"/>
            <w:tcBorders>
              <w:top w:val="single" w:color="auto" w:sz="4" w:space="0"/>
              <w:left w:val="nil"/>
              <w:bottom w:val="single" w:color="auto" w:sz="4" w:space="0"/>
              <w:right w:val="single" w:color="auto" w:sz="4" w:space="0"/>
            </w:tcBorders>
            <w:noWrap w:val="0"/>
            <w:vAlign w:val="center"/>
          </w:tcPr>
          <w:p w14:paraId="5170770C">
            <w:pPr>
              <w:ind w:firstLine="0" w:firstLineChars="0"/>
              <w:rPr>
                <w:color w:val="auto"/>
              </w:rPr>
            </w:pPr>
            <w:r>
              <w:rPr>
                <w:rFonts w:hint="eastAsia"/>
                <w:color w:val="auto"/>
              </w:rPr>
              <w:t>以客户提供的数据及业务需求为基础，新增文旅营商通应用场景，文旅企业基本信息、招商载体、招商走访与服务、招商项目情况、行业税收排行、招商政策等数据指标等维度进行综合分析监测。通过对上海市64个涉文涉旅行业的企业数据接入，按照文旅企业累计、文旅企业新增、按区域划分、按责任处室划分进行展现，可实时了解上海市住宿业整体行业基本情况。</w:t>
            </w:r>
          </w:p>
        </w:tc>
      </w:tr>
      <w:tr w14:paraId="57CF60FB">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FE7103A">
            <w:pPr>
              <w:ind w:firstLine="0" w:firstLineChars="0"/>
              <w:rPr>
                <w:color w:val="auto"/>
              </w:rPr>
            </w:pPr>
            <w:r>
              <w:rPr>
                <w:rFonts w:hint="eastAsia"/>
                <w:color w:val="auto"/>
              </w:rPr>
              <w:t>17</w:t>
            </w:r>
          </w:p>
        </w:tc>
        <w:tc>
          <w:tcPr>
            <w:tcW w:w="1559" w:type="dxa"/>
            <w:tcBorders>
              <w:top w:val="single" w:color="auto" w:sz="4" w:space="0"/>
              <w:left w:val="nil"/>
              <w:bottom w:val="single" w:color="auto" w:sz="4" w:space="0"/>
              <w:right w:val="single" w:color="auto" w:sz="4" w:space="0"/>
            </w:tcBorders>
            <w:noWrap w:val="0"/>
            <w:vAlign w:val="center"/>
          </w:tcPr>
          <w:p w14:paraId="4A6A8058">
            <w:pPr>
              <w:ind w:firstLine="0" w:firstLineChars="0"/>
              <w:rPr>
                <w:color w:val="auto"/>
              </w:rPr>
            </w:pPr>
            <w:r>
              <w:rPr>
                <w:rFonts w:hint="eastAsia"/>
                <w:color w:val="auto"/>
              </w:rPr>
              <w:t>文旅活动总览应用场景</w:t>
            </w:r>
          </w:p>
        </w:tc>
        <w:tc>
          <w:tcPr>
            <w:tcW w:w="6057" w:type="dxa"/>
            <w:tcBorders>
              <w:top w:val="single" w:color="auto" w:sz="4" w:space="0"/>
              <w:left w:val="nil"/>
              <w:bottom w:val="single" w:color="auto" w:sz="4" w:space="0"/>
              <w:right w:val="single" w:color="auto" w:sz="4" w:space="0"/>
            </w:tcBorders>
            <w:noWrap w:val="0"/>
            <w:vAlign w:val="center"/>
          </w:tcPr>
          <w:p w14:paraId="5DD79374">
            <w:pPr>
              <w:ind w:firstLine="0" w:firstLineChars="0"/>
              <w:rPr>
                <w:color w:val="auto"/>
              </w:rPr>
            </w:pPr>
            <w:r>
              <w:rPr>
                <w:rFonts w:hint="eastAsia"/>
                <w:color w:val="auto"/>
              </w:rPr>
              <w:t>以文旅产业系统活动数据为基础，新增文旅活动应用场景，热门演出、品质展览、休闲旅游、公共文化信息、赛事活动、节庆活动等数据维度进行综合分析监测。</w:t>
            </w:r>
          </w:p>
        </w:tc>
      </w:tr>
      <w:tr w14:paraId="1E7BBD3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19CA3AE">
            <w:pPr>
              <w:ind w:firstLine="0" w:firstLineChars="0"/>
              <w:rPr>
                <w:color w:val="auto"/>
              </w:rPr>
            </w:pPr>
            <w:r>
              <w:rPr>
                <w:rFonts w:hint="eastAsia"/>
                <w:color w:val="auto"/>
              </w:rPr>
              <w:t>18</w:t>
            </w:r>
          </w:p>
        </w:tc>
        <w:tc>
          <w:tcPr>
            <w:tcW w:w="1559" w:type="dxa"/>
            <w:tcBorders>
              <w:top w:val="single" w:color="auto" w:sz="4" w:space="0"/>
              <w:left w:val="nil"/>
              <w:bottom w:val="single" w:color="auto" w:sz="4" w:space="0"/>
              <w:right w:val="single" w:color="auto" w:sz="4" w:space="0"/>
            </w:tcBorders>
            <w:noWrap w:val="0"/>
            <w:vAlign w:val="center"/>
          </w:tcPr>
          <w:p w14:paraId="57BC9906">
            <w:pPr>
              <w:ind w:firstLine="0" w:firstLineChars="0"/>
              <w:rPr>
                <w:color w:val="auto"/>
              </w:rPr>
            </w:pPr>
            <w:r>
              <w:rPr>
                <w:rFonts w:hint="eastAsia"/>
                <w:color w:val="auto"/>
              </w:rPr>
              <w:t>旅游资源管理应用场景</w:t>
            </w:r>
          </w:p>
        </w:tc>
        <w:tc>
          <w:tcPr>
            <w:tcW w:w="6057" w:type="dxa"/>
            <w:tcBorders>
              <w:top w:val="single" w:color="auto" w:sz="4" w:space="0"/>
              <w:left w:val="nil"/>
              <w:bottom w:val="single" w:color="auto" w:sz="4" w:space="0"/>
              <w:right w:val="single" w:color="auto" w:sz="4" w:space="0"/>
            </w:tcBorders>
            <w:noWrap w:val="0"/>
            <w:vAlign w:val="center"/>
          </w:tcPr>
          <w:p w14:paraId="6742027B">
            <w:pPr>
              <w:ind w:firstLine="0" w:firstLineChars="0"/>
              <w:rPr>
                <w:color w:val="auto"/>
              </w:rPr>
            </w:pPr>
            <w:r>
              <w:rPr>
                <w:rFonts w:hint="eastAsia"/>
                <w:color w:val="auto"/>
              </w:rPr>
              <w:t>以文旅产业系统数据为基础，新增旅游资源应用场景，对单体旅游资源、博物馆、美术馆等数据维度进行综合分析监测。</w:t>
            </w:r>
            <w:r>
              <w:rPr>
                <w:rFonts w:hint="eastAsia"/>
                <w:color w:val="auto"/>
              </w:rPr>
              <w:br w:type="textWrapping"/>
            </w:r>
            <w:r>
              <w:rPr>
                <w:rFonts w:hint="eastAsia"/>
                <w:color w:val="auto"/>
              </w:rPr>
              <w:t>基本情况：展示上海市文旅资源总数量，根据博物馆、美术馆、红色场馆、历史文化建筑等类型进行分类数量展示。</w:t>
            </w:r>
            <w:r>
              <w:rPr>
                <w:rFonts w:hint="eastAsia"/>
                <w:color w:val="auto"/>
              </w:rPr>
              <w:br w:type="textWrapping"/>
            </w:r>
            <w:r>
              <w:rPr>
                <w:rFonts w:hint="eastAsia"/>
                <w:color w:val="auto"/>
              </w:rPr>
              <w:t>行政区划:根据旅游资源地址等基本信息，按照行政区划进行分类；</w:t>
            </w:r>
            <w:r>
              <w:rPr>
                <w:rFonts w:hint="eastAsia"/>
                <w:color w:val="auto"/>
              </w:rPr>
              <w:br w:type="textWrapping"/>
            </w:r>
            <w:r>
              <w:rPr>
                <w:rFonts w:hint="eastAsia"/>
                <w:color w:val="auto"/>
              </w:rPr>
              <w:t>基于GIS高清晰卫星地图，展示上海市不可移动文物的分布情况及基本信息。</w:t>
            </w:r>
          </w:p>
        </w:tc>
      </w:tr>
      <w:tr w14:paraId="634B989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B352CF2">
            <w:pPr>
              <w:ind w:firstLine="0" w:firstLineChars="0"/>
              <w:rPr>
                <w:color w:val="auto"/>
              </w:rPr>
            </w:pPr>
            <w:r>
              <w:rPr>
                <w:rFonts w:hint="eastAsia"/>
                <w:color w:val="auto"/>
              </w:rPr>
              <w:t>19</w:t>
            </w:r>
          </w:p>
        </w:tc>
        <w:tc>
          <w:tcPr>
            <w:tcW w:w="1559" w:type="dxa"/>
            <w:tcBorders>
              <w:top w:val="single" w:color="auto" w:sz="4" w:space="0"/>
              <w:left w:val="nil"/>
              <w:bottom w:val="single" w:color="auto" w:sz="4" w:space="0"/>
              <w:right w:val="single" w:color="auto" w:sz="4" w:space="0"/>
            </w:tcBorders>
            <w:noWrap w:val="0"/>
            <w:vAlign w:val="center"/>
          </w:tcPr>
          <w:p w14:paraId="6E05F1BD">
            <w:pPr>
              <w:ind w:firstLine="0" w:firstLineChars="0"/>
              <w:rPr>
                <w:color w:val="auto"/>
              </w:rPr>
            </w:pPr>
            <w:r>
              <w:rPr>
                <w:rFonts w:hint="eastAsia"/>
                <w:color w:val="auto"/>
              </w:rPr>
              <w:t>文旅产品总览应用场景</w:t>
            </w:r>
          </w:p>
        </w:tc>
        <w:tc>
          <w:tcPr>
            <w:tcW w:w="6057" w:type="dxa"/>
            <w:tcBorders>
              <w:top w:val="single" w:color="auto" w:sz="4" w:space="0"/>
              <w:left w:val="nil"/>
              <w:bottom w:val="single" w:color="auto" w:sz="4" w:space="0"/>
              <w:right w:val="single" w:color="auto" w:sz="4" w:space="0"/>
            </w:tcBorders>
            <w:noWrap w:val="0"/>
            <w:vAlign w:val="center"/>
          </w:tcPr>
          <w:p w14:paraId="56A57C67">
            <w:pPr>
              <w:ind w:firstLine="0" w:firstLineChars="0"/>
              <w:rPr>
                <w:color w:val="auto"/>
              </w:rPr>
            </w:pPr>
            <w:r>
              <w:rPr>
                <w:rFonts w:hint="eastAsia"/>
                <w:color w:val="auto"/>
              </w:rPr>
              <w:t>展示20个主题下文旅产品统计数据及变化趋势、文旅产品消费人次、产品转化率等数据模块，可按主题查看热门文旅产品榜单，帮助管理人员对上海全市文旅产品进行监测与调控。</w:t>
            </w:r>
          </w:p>
        </w:tc>
      </w:tr>
      <w:tr w14:paraId="6D8214A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19C3AAE">
            <w:pPr>
              <w:ind w:firstLine="0" w:firstLineChars="0"/>
              <w:rPr>
                <w:color w:val="auto"/>
              </w:rPr>
            </w:pPr>
            <w:r>
              <w:rPr>
                <w:rFonts w:hint="eastAsia"/>
                <w:color w:val="auto"/>
              </w:rPr>
              <w:t>20</w:t>
            </w:r>
          </w:p>
        </w:tc>
        <w:tc>
          <w:tcPr>
            <w:tcW w:w="1559" w:type="dxa"/>
            <w:tcBorders>
              <w:top w:val="single" w:color="auto" w:sz="4" w:space="0"/>
              <w:left w:val="nil"/>
              <w:bottom w:val="single" w:color="auto" w:sz="4" w:space="0"/>
              <w:right w:val="single" w:color="auto" w:sz="4" w:space="0"/>
            </w:tcBorders>
            <w:noWrap w:val="0"/>
            <w:vAlign w:val="center"/>
          </w:tcPr>
          <w:p w14:paraId="6054931C">
            <w:pPr>
              <w:ind w:firstLine="0" w:firstLineChars="0"/>
              <w:rPr>
                <w:color w:val="auto"/>
              </w:rPr>
            </w:pPr>
            <w:r>
              <w:rPr>
                <w:rFonts w:hint="eastAsia"/>
                <w:color w:val="auto"/>
              </w:rPr>
              <w:t>区级文旅驾驶舱</w:t>
            </w:r>
          </w:p>
        </w:tc>
        <w:tc>
          <w:tcPr>
            <w:tcW w:w="6057" w:type="dxa"/>
            <w:tcBorders>
              <w:top w:val="single" w:color="auto" w:sz="4" w:space="0"/>
              <w:left w:val="nil"/>
              <w:bottom w:val="single" w:color="auto" w:sz="4" w:space="0"/>
              <w:right w:val="single" w:color="auto" w:sz="4" w:space="0"/>
            </w:tcBorders>
            <w:noWrap w:val="0"/>
            <w:vAlign w:val="center"/>
          </w:tcPr>
          <w:p w14:paraId="7D3B5629">
            <w:pPr>
              <w:ind w:firstLine="0" w:firstLineChars="0"/>
              <w:rPr>
                <w:color w:val="auto"/>
              </w:rPr>
            </w:pPr>
            <w:r>
              <w:rPr>
                <w:rFonts w:hint="eastAsia"/>
                <w:color w:val="auto"/>
              </w:rPr>
              <w:t>基于应用场景数据，面向16个区文旅局工作人员开放各区文旅数据，展示本区游客来源地TOP10、景区实时客流、文旅消费热力图等主题的文旅数据应用场景，赋能区文旅局相关工作开展。数据权限分层管理按行政区划与岗位角色（管理员/普通职员）设置不同的数据访问权限。</w:t>
            </w:r>
            <w:r>
              <w:rPr>
                <w:rFonts w:hint="eastAsia"/>
                <w:color w:val="auto"/>
              </w:rPr>
              <w:br w:type="textWrapping"/>
            </w:r>
            <w:r>
              <w:rPr>
                <w:rFonts w:hint="eastAsia"/>
                <w:color w:val="auto"/>
              </w:rPr>
              <w:t>基于文旅通平台数据，面向各区文旅局开放各区文旅数据系统，并开放数据权限给各区文旅局工作人员，赋能区文旅局相关工作开展。</w:t>
            </w:r>
          </w:p>
        </w:tc>
      </w:tr>
      <w:tr w14:paraId="303204A2">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63048251">
            <w:pPr>
              <w:ind w:firstLine="0" w:firstLineChars="0"/>
              <w:rPr>
                <w:color w:val="auto"/>
              </w:rPr>
            </w:pPr>
            <w:r>
              <w:rPr>
                <w:rFonts w:hint="eastAsia"/>
                <w:color w:val="auto"/>
              </w:rPr>
              <w:t>6、智能体前台</w:t>
            </w:r>
          </w:p>
        </w:tc>
      </w:tr>
      <w:tr w14:paraId="2AC0396B">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D846C7">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396C1ECD">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165CB21E">
            <w:pPr>
              <w:ind w:firstLine="0" w:firstLineChars="0"/>
              <w:rPr>
                <w:color w:val="auto"/>
              </w:rPr>
            </w:pPr>
            <w:r>
              <w:rPr>
                <w:rFonts w:hint="eastAsia"/>
                <w:color w:val="auto"/>
              </w:rPr>
              <w:t>功能描述</w:t>
            </w:r>
          </w:p>
        </w:tc>
      </w:tr>
      <w:tr w14:paraId="6AF73C4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34EAAB1">
            <w:pPr>
              <w:ind w:firstLine="0" w:firstLineChars="0"/>
              <w:rPr>
                <w:color w:val="auto"/>
              </w:rPr>
            </w:pPr>
            <w:r>
              <w:rPr>
                <w:rFonts w:hint="eastAsia"/>
                <w:color w:val="auto"/>
              </w:rPr>
              <w:t>21</w:t>
            </w:r>
          </w:p>
        </w:tc>
        <w:tc>
          <w:tcPr>
            <w:tcW w:w="1559" w:type="dxa"/>
            <w:tcBorders>
              <w:top w:val="single" w:color="auto" w:sz="4" w:space="0"/>
              <w:left w:val="nil"/>
              <w:bottom w:val="single" w:color="auto" w:sz="4" w:space="0"/>
              <w:right w:val="single" w:color="auto" w:sz="4" w:space="0"/>
            </w:tcBorders>
            <w:noWrap w:val="0"/>
            <w:vAlign w:val="center"/>
          </w:tcPr>
          <w:p w14:paraId="2B84E2A8">
            <w:pPr>
              <w:ind w:firstLine="0" w:firstLineChars="0"/>
              <w:rPr>
                <w:color w:val="auto"/>
              </w:rPr>
            </w:pPr>
            <w:r>
              <w:rPr>
                <w:rFonts w:hint="eastAsia"/>
                <w:color w:val="auto"/>
              </w:rPr>
              <w:t>各应用场景智能体入口及交互</w:t>
            </w:r>
          </w:p>
        </w:tc>
        <w:tc>
          <w:tcPr>
            <w:tcW w:w="6057" w:type="dxa"/>
            <w:tcBorders>
              <w:top w:val="single" w:color="auto" w:sz="4" w:space="0"/>
              <w:left w:val="nil"/>
              <w:bottom w:val="single" w:color="auto" w:sz="4" w:space="0"/>
              <w:right w:val="single" w:color="auto" w:sz="4" w:space="0"/>
            </w:tcBorders>
            <w:noWrap w:val="0"/>
            <w:vAlign w:val="center"/>
          </w:tcPr>
          <w:p w14:paraId="772A76DB">
            <w:pPr>
              <w:ind w:firstLine="0" w:firstLineChars="0"/>
              <w:rPr>
                <w:color w:val="auto"/>
              </w:rPr>
            </w:pPr>
            <w:r>
              <w:rPr>
                <w:rFonts w:hint="eastAsia"/>
                <w:color w:val="auto"/>
              </w:rPr>
              <w:t>基于应用场景系统界面打造浮窗交互，通过可拖动的悬浮按钮，支持用户在不中断当前操作的情况下快速访问“AI文旅智能应用系统”的核心功能，实现多任务高效协同。</w:t>
            </w:r>
          </w:p>
        </w:tc>
      </w:tr>
      <w:tr w14:paraId="08CF813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6C97647">
            <w:pPr>
              <w:ind w:firstLine="0" w:firstLineChars="0"/>
              <w:rPr>
                <w:color w:val="auto"/>
              </w:rPr>
            </w:pPr>
            <w:r>
              <w:rPr>
                <w:rFonts w:hint="eastAsia"/>
                <w:color w:val="auto"/>
              </w:rPr>
              <w:t>22</w:t>
            </w:r>
          </w:p>
        </w:tc>
        <w:tc>
          <w:tcPr>
            <w:tcW w:w="1559" w:type="dxa"/>
            <w:tcBorders>
              <w:top w:val="single" w:color="auto" w:sz="4" w:space="0"/>
              <w:left w:val="nil"/>
              <w:bottom w:val="single" w:color="auto" w:sz="4" w:space="0"/>
              <w:right w:val="single" w:color="auto" w:sz="4" w:space="0"/>
            </w:tcBorders>
            <w:noWrap w:val="0"/>
            <w:vAlign w:val="center"/>
          </w:tcPr>
          <w:p w14:paraId="47AA9445">
            <w:pPr>
              <w:ind w:firstLine="0" w:firstLineChars="0"/>
              <w:rPr>
                <w:color w:val="auto"/>
              </w:rPr>
            </w:pPr>
            <w:r>
              <w:rPr>
                <w:rFonts w:hint="eastAsia"/>
                <w:color w:val="auto"/>
              </w:rPr>
              <w:t>文旅产业管理系统智能体入口及交互</w:t>
            </w:r>
          </w:p>
        </w:tc>
        <w:tc>
          <w:tcPr>
            <w:tcW w:w="6057" w:type="dxa"/>
            <w:tcBorders>
              <w:top w:val="single" w:color="auto" w:sz="4" w:space="0"/>
              <w:left w:val="nil"/>
              <w:bottom w:val="single" w:color="auto" w:sz="4" w:space="0"/>
              <w:right w:val="single" w:color="auto" w:sz="4" w:space="0"/>
            </w:tcBorders>
            <w:noWrap w:val="0"/>
            <w:vAlign w:val="center"/>
          </w:tcPr>
          <w:p w14:paraId="79BA3F03">
            <w:pPr>
              <w:ind w:firstLine="0" w:firstLineChars="0"/>
              <w:rPr>
                <w:color w:val="auto"/>
              </w:rPr>
            </w:pPr>
            <w:r>
              <w:rPr>
                <w:rFonts w:hint="eastAsia"/>
                <w:color w:val="auto"/>
              </w:rPr>
              <w:t>基于文旅产业管理系统界面打造浮窗交互，通过可拖动的悬浮按钮，支持用户在不中断当前操作的情况下快速访问“AI文旅智能应用系统”的核心功能，实现多任务高效协同。</w:t>
            </w:r>
          </w:p>
        </w:tc>
      </w:tr>
      <w:tr w14:paraId="65741287">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06302A68">
            <w:pPr>
              <w:ind w:firstLine="0" w:firstLineChars="0"/>
              <w:rPr>
                <w:color w:val="auto"/>
              </w:rPr>
            </w:pPr>
            <w:r>
              <w:rPr>
                <w:rFonts w:hint="eastAsia"/>
                <w:color w:val="auto"/>
              </w:rPr>
              <w:t>7、文旅营商通—政务侧</w:t>
            </w:r>
          </w:p>
        </w:tc>
      </w:tr>
      <w:tr w14:paraId="656B88C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CDEC107">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691E0267">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5B0307DB">
            <w:pPr>
              <w:ind w:firstLine="0" w:firstLineChars="0"/>
              <w:rPr>
                <w:color w:val="auto"/>
              </w:rPr>
            </w:pPr>
            <w:r>
              <w:rPr>
                <w:rFonts w:hint="eastAsia"/>
                <w:color w:val="auto"/>
              </w:rPr>
              <w:t>功能描述</w:t>
            </w:r>
          </w:p>
        </w:tc>
      </w:tr>
      <w:tr w14:paraId="12CF49F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87CCEA1">
            <w:pPr>
              <w:ind w:firstLine="0" w:firstLineChars="0"/>
              <w:rPr>
                <w:color w:val="auto"/>
              </w:rPr>
            </w:pPr>
            <w:r>
              <w:rPr>
                <w:rFonts w:hint="eastAsia"/>
                <w:color w:val="auto"/>
              </w:rPr>
              <w:t>23</w:t>
            </w:r>
          </w:p>
        </w:tc>
        <w:tc>
          <w:tcPr>
            <w:tcW w:w="1559" w:type="dxa"/>
            <w:tcBorders>
              <w:top w:val="single" w:color="auto" w:sz="4" w:space="0"/>
              <w:left w:val="nil"/>
              <w:bottom w:val="single" w:color="auto" w:sz="4" w:space="0"/>
              <w:right w:val="single" w:color="auto" w:sz="4" w:space="0"/>
            </w:tcBorders>
            <w:noWrap w:val="0"/>
            <w:vAlign w:val="center"/>
          </w:tcPr>
          <w:p w14:paraId="0156C46C">
            <w:pPr>
              <w:ind w:firstLine="0" w:firstLineChars="0"/>
              <w:rPr>
                <w:color w:val="auto"/>
              </w:rPr>
            </w:pPr>
            <w:r>
              <w:rPr>
                <w:rFonts w:hint="eastAsia"/>
                <w:color w:val="auto"/>
              </w:rPr>
              <w:t>文旅企业法人库</w:t>
            </w:r>
          </w:p>
        </w:tc>
        <w:tc>
          <w:tcPr>
            <w:tcW w:w="6057" w:type="dxa"/>
            <w:tcBorders>
              <w:top w:val="single" w:color="auto" w:sz="4" w:space="0"/>
              <w:left w:val="nil"/>
              <w:bottom w:val="single" w:color="auto" w:sz="4" w:space="0"/>
              <w:right w:val="single" w:color="auto" w:sz="4" w:space="0"/>
            </w:tcBorders>
            <w:noWrap w:val="0"/>
            <w:vAlign w:val="center"/>
          </w:tcPr>
          <w:p w14:paraId="06CDC33C">
            <w:pPr>
              <w:ind w:firstLine="0" w:firstLineChars="0"/>
              <w:rPr>
                <w:color w:val="auto"/>
              </w:rPr>
            </w:pPr>
            <w:r>
              <w:rPr>
                <w:rFonts w:hint="eastAsia"/>
                <w:color w:val="auto"/>
              </w:rPr>
              <w:t>包含文旅企业法人库、规上企业两大模块，汇聚全市文旅企业信息，包括供港注册信息、营业收入、走访情况等数据，管理上海全市文旅企业基础信息。</w:t>
            </w:r>
          </w:p>
        </w:tc>
      </w:tr>
      <w:tr w14:paraId="2C2DC2D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5405235">
            <w:pPr>
              <w:ind w:firstLine="0" w:firstLineChars="0"/>
              <w:rPr>
                <w:color w:val="auto"/>
              </w:rPr>
            </w:pPr>
            <w:r>
              <w:rPr>
                <w:rFonts w:hint="eastAsia"/>
                <w:color w:val="auto"/>
              </w:rPr>
              <w:t>24</w:t>
            </w:r>
          </w:p>
        </w:tc>
        <w:tc>
          <w:tcPr>
            <w:tcW w:w="1559" w:type="dxa"/>
            <w:tcBorders>
              <w:top w:val="single" w:color="auto" w:sz="4" w:space="0"/>
              <w:left w:val="nil"/>
              <w:bottom w:val="single" w:color="auto" w:sz="4" w:space="0"/>
              <w:right w:val="single" w:color="auto" w:sz="4" w:space="0"/>
            </w:tcBorders>
            <w:noWrap w:val="0"/>
            <w:vAlign w:val="center"/>
          </w:tcPr>
          <w:p w14:paraId="1A7F1D32">
            <w:pPr>
              <w:ind w:firstLine="0" w:firstLineChars="0"/>
              <w:rPr>
                <w:color w:val="auto"/>
              </w:rPr>
            </w:pPr>
            <w:r>
              <w:rPr>
                <w:rFonts w:hint="eastAsia"/>
                <w:color w:val="auto"/>
              </w:rPr>
              <w:t>招商政策资源库</w:t>
            </w:r>
          </w:p>
        </w:tc>
        <w:tc>
          <w:tcPr>
            <w:tcW w:w="6057" w:type="dxa"/>
            <w:tcBorders>
              <w:top w:val="single" w:color="auto" w:sz="4" w:space="0"/>
              <w:left w:val="nil"/>
              <w:bottom w:val="single" w:color="auto" w:sz="4" w:space="0"/>
              <w:right w:val="single" w:color="auto" w:sz="4" w:space="0"/>
            </w:tcBorders>
            <w:noWrap w:val="0"/>
            <w:vAlign w:val="center"/>
          </w:tcPr>
          <w:p w14:paraId="53888D0C">
            <w:pPr>
              <w:ind w:firstLine="0" w:firstLineChars="0"/>
              <w:rPr>
                <w:color w:val="auto"/>
              </w:rPr>
            </w:pPr>
            <w:r>
              <w:rPr>
                <w:rFonts w:hint="eastAsia"/>
                <w:color w:val="auto"/>
              </w:rPr>
              <w:t>包含发展规划、行业准入、项目申报、政策法规、负面清单、文旅协会、联系方式、政策计算器八大模块，且作为支撑文旅营商通企业端的后台，提供企业端展示政策内容的管理功能，在招商政策资源库模块中增删改政策、申报等内容后，企业端展示提供的政策、申报等服务内容也会同步发生改变。</w:t>
            </w:r>
          </w:p>
        </w:tc>
      </w:tr>
      <w:tr w14:paraId="5DBE6C1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6661C12">
            <w:pPr>
              <w:ind w:firstLine="0" w:firstLineChars="0"/>
              <w:rPr>
                <w:color w:val="auto"/>
              </w:rPr>
            </w:pPr>
            <w:r>
              <w:rPr>
                <w:rFonts w:hint="eastAsia"/>
                <w:color w:val="auto"/>
              </w:rPr>
              <w:t>25</w:t>
            </w:r>
          </w:p>
        </w:tc>
        <w:tc>
          <w:tcPr>
            <w:tcW w:w="1559" w:type="dxa"/>
            <w:tcBorders>
              <w:top w:val="single" w:color="auto" w:sz="4" w:space="0"/>
              <w:left w:val="nil"/>
              <w:bottom w:val="single" w:color="auto" w:sz="4" w:space="0"/>
              <w:right w:val="single" w:color="auto" w:sz="4" w:space="0"/>
            </w:tcBorders>
            <w:noWrap w:val="0"/>
            <w:vAlign w:val="center"/>
          </w:tcPr>
          <w:p w14:paraId="561E30C3">
            <w:pPr>
              <w:ind w:firstLine="0" w:firstLineChars="0"/>
              <w:rPr>
                <w:color w:val="auto"/>
              </w:rPr>
            </w:pPr>
            <w:r>
              <w:rPr>
                <w:rFonts w:hint="eastAsia"/>
                <w:color w:val="auto"/>
              </w:rPr>
              <w:t>招商载体资源库</w:t>
            </w:r>
          </w:p>
        </w:tc>
        <w:tc>
          <w:tcPr>
            <w:tcW w:w="6057" w:type="dxa"/>
            <w:tcBorders>
              <w:top w:val="single" w:color="auto" w:sz="4" w:space="0"/>
              <w:left w:val="nil"/>
              <w:bottom w:val="single" w:color="auto" w:sz="4" w:space="0"/>
              <w:right w:val="single" w:color="auto" w:sz="4" w:space="0"/>
            </w:tcBorders>
            <w:noWrap w:val="0"/>
            <w:vAlign w:val="center"/>
          </w:tcPr>
          <w:p w14:paraId="55542404">
            <w:pPr>
              <w:ind w:firstLine="0" w:firstLineChars="0"/>
              <w:rPr>
                <w:color w:val="auto"/>
              </w:rPr>
            </w:pPr>
            <w:r>
              <w:rPr>
                <w:rFonts w:hint="eastAsia"/>
                <w:color w:val="auto"/>
              </w:rPr>
              <w:t>1.汇聚上海全市招商载体资源基础信息，包括载体名称、载体类型、载体联系人、载体空置面积、载体地址、预估项目总投资额、累计完成投资额等信息。</w:t>
            </w:r>
            <w:r>
              <w:rPr>
                <w:rFonts w:hint="eastAsia"/>
                <w:color w:val="auto"/>
              </w:rPr>
              <w:br w:type="textWrapping"/>
            </w:r>
            <w:r>
              <w:rPr>
                <w:rFonts w:hint="eastAsia"/>
                <w:color w:val="auto"/>
              </w:rPr>
              <w:t>2.用户可对载体资源信息进行单项新增、编辑、批量导入导出等操作，可按载体名称、载体类型、预计总投资额、载体空置面积等条件查询相关企业及信息。</w:t>
            </w:r>
          </w:p>
        </w:tc>
      </w:tr>
      <w:tr w14:paraId="017796A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3C4E9F9">
            <w:pPr>
              <w:ind w:firstLine="0" w:firstLineChars="0"/>
              <w:rPr>
                <w:color w:val="auto"/>
              </w:rPr>
            </w:pPr>
            <w:r>
              <w:rPr>
                <w:rFonts w:hint="eastAsia"/>
                <w:color w:val="auto"/>
              </w:rPr>
              <w:t>26</w:t>
            </w:r>
          </w:p>
        </w:tc>
        <w:tc>
          <w:tcPr>
            <w:tcW w:w="1559" w:type="dxa"/>
            <w:tcBorders>
              <w:top w:val="single" w:color="auto" w:sz="4" w:space="0"/>
              <w:left w:val="nil"/>
              <w:bottom w:val="single" w:color="auto" w:sz="4" w:space="0"/>
              <w:right w:val="single" w:color="auto" w:sz="4" w:space="0"/>
            </w:tcBorders>
            <w:noWrap w:val="0"/>
            <w:vAlign w:val="center"/>
          </w:tcPr>
          <w:p w14:paraId="1A5587D2">
            <w:pPr>
              <w:ind w:firstLine="0" w:firstLineChars="0"/>
              <w:rPr>
                <w:color w:val="auto"/>
              </w:rPr>
            </w:pPr>
            <w:r>
              <w:rPr>
                <w:rFonts w:hint="eastAsia"/>
                <w:color w:val="auto"/>
              </w:rPr>
              <w:t>招商项目信息库</w:t>
            </w:r>
          </w:p>
        </w:tc>
        <w:tc>
          <w:tcPr>
            <w:tcW w:w="6057" w:type="dxa"/>
            <w:tcBorders>
              <w:top w:val="single" w:color="auto" w:sz="4" w:space="0"/>
              <w:left w:val="nil"/>
              <w:bottom w:val="single" w:color="auto" w:sz="4" w:space="0"/>
              <w:right w:val="single" w:color="auto" w:sz="4" w:space="0"/>
            </w:tcBorders>
            <w:noWrap w:val="0"/>
            <w:vAlign w:val="center"/>
          </w:tcPr>
          <w:p w14:paraId="6E4B8518">
            <w:pPr>
              <w:ind w:firstLine="0" w:firstLineChars="0"/>
              <w:rPr>
                <w:color w:val="auto"/>
              </w:rPr>
            </w:pPr>
            <w:r>
              <w:rPr>
                <w:rFonts w:hint="eastAsia"/>
                <w:color w:val="auto"/>
              </w:rPr>
              <w:t>1.汇聚上海全市文旅招商项目基础信息，包括商机名称、商机状态、预计项目总投资额、商机录入部门等信息。</w:t>
            </w:r>
            <w:r>
              <w:rPr>
                <w:rFonts w:hint="eastAsia"/>
                <w:color w:val="auto"/>
              </w:rPr>
              <w:br w:type="textWrapping"/>
            </w:r>
            <w:r>
              <w:rPr>
                <w:rFonts w:hint="eastAsia"/>
                <w:color w:val="auto"/>
              </w:rPr>
              <w:t>2.用户可对项目商机信息进行单项新增、编辑、批量导入导出等操作，可按项目名称、项目类型、项目来源、项目入库时间、商机状态、商机录入部门、行政区域查询相关项目及信息。</w:t>
            </w:r>
          </w:p>
        </w:tc>
      </w:tr>
      <w:tr w14:paraId="14182A5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553B05A">
            <w:pPr>
              <w:ind w:firstLine="0" w:firstLineChars="0"/>
              <w:rPr>
                <w:color w:val="auto"/>
              </w:rPr>
            </w:pPr>
            <w:r>
              <w:rPr>
                <w:rFonts w:hint="eastAsia"/>
                <w:color w:val="auto"/>
              </w:rPr>
              <w:t>27</w:t>
            </w:r>
          </w:p>
        </w:tc>
        <w:tc>
          <w:tcPr>
            <w:tcW w:w="1559" w:type="dxa"/>
            <w:tcBorders>
              <w:top w:val="single" w:color="auto" w:sz="4" w:space="0"/>
              <w:left w:val="nil"/>
              <w:bottom w:val="single" w:color="auto" w:sz="4" w:space="0"/>
              <w:right w:val="single" w:color="auto" w:sz="4" w:space="0"/>
            </w:tcBorders>
            <w:noWrap w:val="0"/>
            <w:vAlign w:val="center"/>
          </w:tcPr>
          <w:p w14:paraId="4C85BEA0">
            <w:pPr>
              <w:ind w:firstLine="0" w:firstLineChars="0"/>
              <w:rPr>
                <w:color w:val="auto"/>
              </w:rPr>
            </w:pPr>
            <w:r>
              <w:rPr>
                <w:rFonts w:hint="eastAsia"/>
                <w:color w:val="auto"/>
              </w:rPr>
              <w:t>重点企业服务包</w:t>
            </w:r>
          </w:p>
        </w:tc>
        <w:tc>
          <w:tcPr>
            <w:tcW w:w="6057" w:type="dxa"/>
            <w:tcBorders>
              <w:top w:val="single" w:color="auto" w:sz="4" w:space="0"/>
              <w:left w:val="nil"/>
              <w:bottom w:val="single" w:color="auto" w:sz="4" w:space="0"/>
              <w:right w:val="single" w:color="auto" w:sz="4" w:space="0"/>
            </w:tcBorders>
            <w:noWrap w:val="0"/>
            <w:vAlign w:val="center"/>
          </w:tcPr>
          <w:p w14:paraId="06D9240E">
            <w:pPr>
              <w:ind w:firstLine="0" w:firstLineChars="0"/>
              <w:rPr>
                <w:color w:val="auto"/>
              </w:rPr>
            </w:pPr>
            <w:r>
              <w:rPr>
                <w:rFonts w:hint="eastAsia"/>
                <w:color w:val="auto"/>
              </w:rPr>
              <w:t>包括上海市内重点企业名录、企业走访情况两大模块，展示上海全市文旅重点企业信息，包括企业名称、责任处室、营收同比、问题诉求、最近走访等，管理上海全市文旅重点企业信息。</w:t>
            </w:r>
          </w:p>
        </w:tc>
      </w:tr>
      <w:tr w14:paraId="2376C08D">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43D6F01">
            <w:pPr>
              <w:ind w:firstLine="0" w:firstLineChars="0"/>
              <w:rPr>
                <w:color w:val="auto"/>
              </w:rPr>
            </w:pPr>
            <w:r>
              <w:rPr>
                <w:rFonts w:hint="eastAsia"/>
                <w:color w:val="auto"/>
              </w:rPr>
              <w:t>28</w:t>
            </w:r>
          </w:p>
        </w:tc>
        <w:tc>
          <w:tcPr>
            <w:tcW w:w="1559" w:type="dxa"/>
            <w:tcBorders>
              <w:top w:val="single" w:color="auto" w:sz="4" w:space="0"/>
              <w:left w:val="nil"/>
              <w:bottom w:val="single" w:color="auto" w:sz="4" w:space="0"/>
              <w:right w:val="single" w:color="auto" w:sz="4" w:space="0"/>
            </w:tcBorders>
            <w:noWrap w:val="0"/>
            <w:vAlign w:val="center"/>
          </w:tcPr>
          <w:p w14:paraId="11B9AED5">
            <w:pPr>
              <w:ind w:firstLine="0" w:firstLineChars="0"/>
              <w:rPr>
                <w:color w:val="auto"/>
              </w:rPr>
            </w:pPr>
            <w:r>
              <w:rPr>
                <w:rFonts w:hint="eastAsia"/>
                <w:color w:val="auto"/>
              </w:rPr>
              <w:t>招商走访与服务</w:t>
            </w:r>
          </w:p>
        </w:tc>
        <w:tc>
          <w:tcPr>
            <w:tcW w:w="6057" w:type="dxa"/>
            <w:tcBorders>
              <w:top w:val="single" w:color="auto" w:sz="4" w:space="0"/>
              <w:left w:val="nil"/>
              <w:bottom w:val="single" w:color="auto" w:sz="4" w:space="0"/>
              <w:right w:val="single" w:color="auto" w:sz="4" w:space="0"/>
            </w:tcBorders>
            <w:noWrap w:val="0"/>
            <w:vAlign w:val="center"/>
          </w:tcPr>
          <w:p w14:paraId="2C699C6B">
            <w:pPr>
              <w:ind w:firstLine="0" w:firstLineChars="0"/>
              <w:rPr>
                <w:color w:val="auto"/>
              </w:rPr>
            </w:pPr>
            <w:r>
              <w:rPr>
                <w:rFonts w:hint="eastAsia"/>
                <w:color w:val="auto"/>
              </w:rPr>
              <w:t>包括各区文旅部门、局机关各相关处室、局属单位三大模块的对外招商，用户可对各条记录进行单项新增、编辑、批量导入导出、条件查询等操作，管理上海全市文旅招商走访与服务信息。</w:t>
            </w:r>
          </w:p>
        </w:tc>
      </w:tr>
      <w:tr w14:paraId="793CB24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BC3E48A">
            <w:pPr>
              <w:ind w:firstLine="0" w:firstLineChars="0"/>
              <w:rPr>
                <w:color w:val="auto"/>
              </w:rPr>
            </w:pPr>
            <w:r>
              <w:rPr>
                <w:rFonts w:hint="eastAsia"/>
                <w:color w:val="auto"/>
              </w:rPr>
              <w:t>29</w:t>
            </w:r>
          </w:p>
        </w:tc>
        <w:tc>
          <w:tcPr>
            <w:tcW w:w="1559" w:type="dxa"/>
            <w:tcBorders>
              <w:top w:val="single" w:color="auto" w:sz="4" w:space="0"/>
              <w:left w:val="nil"/>
              <w:bottom w:val="single" w:color="auto" w:sz="4" w:space="0"/>
              <w:right w:val="single" w:color="auto" w:sz="4" w:space="0"/>
            </w:tcBorders>
            <w:noWrap w:val="0"/>
            <w:vAlign w:val="center"/>
          </w:tcPr>
          <w:p w14:paraId="063BC5C3">
            <w:pPr>
              <w:ind w:firstLine="0" w:firstLineChars="0"/>
              <w:rPr>
                <w:color w:val="auto"/>
              </w:rPr>
            </w:pPr>
            <w:r>
              <w:rPr>
                <w:rFonts w:hint="eastAsia"/>
                <w:color w:val="auto"/>
              </w:rPr>
              <w:t>招商服务资讯</w:t>
            </w:r>
          </w:p>
        </w:tc>
        <w:tc>
          <w:tcPr>
            <w:tcW w:w="6057" w:type="dxa"/>
            <w:tcBorders>
              <w:top w:val="single" w:color="auto" w:sz="4" w:space="0"/>
              <w:left w:val="nil"/>
              <w:bottom w:val="single" w:color="auto" w:sz="4" w:space="0"/>
              <w:right w:val="single" w:color="auto" w:sz="4" w:space="0"/>
            </w:tcBorders>
            <w:noWrap w:val="0"/>
            <w:vAlign w:val="center"/>
          </w:tcPr>
          <w:p w14:paraId="08B11242">
            <w:pPr>
              <w:ind w:firstLine="0" w:firstLineChars="0"/>
              <w:rPr>
                <w:color w:val="auto"/>
              </w:rPr>
            </w:pPr>
            <w:r>
              <w:rPr>
                <w:rFonts w:hint="eastAsia"/>
                <w:color w:val="auto"/>
              </w:rPr>
              <w:t>归档每期招商引资动态，用户可对每条招商引资动态内容进行单项新增、编辑、批量导入导出等操作，并按标题、时间等条件进行查询。</w:t>
            </w:r>
          </w:p>
        </w:tc>
      </w:tr>
      <w:tr w14:paraId="030920D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63848F3">
            <w:pPr>
              <w:ind w:firstLine="0" w:firstLineChars="0"/>
              <w:rPr>
                <w:color w:val="auto"/>
              </w:rPr>
            </w:pPr>
            <w:r>
              <w:rPr>
                <w:rFonts w:hint="eastAsia"/>
                <w:color w:val="auto"/>
              </w:rPr>
              <w:t>30</w:t>
            </w:r>
          </w:p>
        </w:tc>
        <w:tc>
          <w:tcPr>
            <w:tcW w:w="1559" w:type="dxa"/>
            <w:tcBorders>
              <w:top w:val="single" w:color="auto" w:sz="4" w:space="0"/>
              <w:left w:val="nil"/>
              <w:bottom w:val="single" w:color="auto" w:sz="4" w:space="0"/>
              <w:right w:val="single" w:color="auto" w:sz="4" w:space="0"/>
            </w:tcBorders>
            <w:noWrap w:val="0"/>
            <w:vAlign w:val="center"/>
          </w:tcPr>
          <w:p w14:paraId="09D06796">
            <w:pPr>
              <w:ind w:firstLine="0" w:firstLineChars="0"/>
              <w:rPr>
                <w:color w:val="auto"/>
              </w:rPr>
            </w:pPr>
            <w:r>
              <w:rPr>
                <w:rFonts w:hint="eastAsia"/>
                <w:color w:val="auto"/>
              </w:rPr>
              <w:t>督办提醒</w:t>
            </w:r>
          </w:p>
        </w:tc>
        <w:tc>
          <w:tcPr>
            <w:tcW w:w="6057" w:type="dxa"/>
            <w:tcBorders>
              <w:top w:val="single" w:color="auto" w:sz="4" w:space="0"/>
              <w:left w:val="nil"/>
              <w:bottom w:val="single" w:color="auto" w:sz="4" w:space="0"/>
              <w:right w:val="single" w:color="auto" w:sz="4" w:space="0"/>
            </w:tcBorders>
            <w:noWrap w:val="0"/>
            <w:vAlign w:val="center"/>
          </w:tcPr>
          <w:p w14:paraId="4C710F37">
            <w:pPr>
              <w:ind w:firstLine="0" w:firstLineChars="0"/>
              <w:rPr>
                <w:color w:val="auto"/>
              </w:rPr>
            </w:pPr>
            <w:r>
              <w:rPr>
                <w:rFonts w:hint="eastAsia"/>
                <w:color w:val="auto"/>
              </w:rPr>
              <w:t>1.定期巡查每月各区文旅部门招商走访与服务、招商项目的数据填报情况，如该月未上报，系统自动向各区文旅部门账号发送数据填报弹窗提醒。</w:t>
            </w:r>
            <w:r>
              <w:rPr>
                <w:rFonts w:hint="eastAsia"/>
                <w:color w:val="auto"/>
              </w:rPr>
              <w:br w:type="textWrapping"/>
            </w:r>
            <w:r>
              <w:rPr>
                <w:rFonts w:hint="eastAsia"/>
                <w:color w:val="auto"/>
              </w:rPr>
              <w:t>2.汇总系统自动向各文旅部门发送的督办提醒消息，用户可查看未按要求上报招商走访信息的文旅部门，并可按月份、文旅部门条件查询。</w:t>
            </w:r>
          </w:p>
        </w:tc>
      </w:tr>
      <w:tr w14:paraId="357CF91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C762928">
            <w:pPr>
              <w:ind w:firstLine="0" w:firstLineChars="0"/>
              <w:rPr>
                <w:color w:val="auto"/>
              </w:rPr>
            </w:pPr>
            <w:r>
              <w:rPr>
                <w:rFonts w:hint="eastAsia"/>
                <w:color w:val="auto"/>
              </w:rPr>
              <w:t>31</w:t>
            </w:r>
          </w:p>
        </w:tc>
        <w:tc>
          <w:tcPr>
            <w:tcW w:w="1559" w:type="dxa"/>
            <w:tcBorders>
              <w:top w:val="single" w:color="auto" w:sz="4" w:space="0"/>
              <w:left w:val="nil"/>
              <w:bottom w:val="single" w:color="auto" w:sz="4" w:space="0"/>
              <w:right w:val="single" w:color="auto" w:sz="4" w:space="0"/>
            </w:tcBorders>
            <w:noWrap w:val="0"/>
            <w:vAlign w:val="center"/>
          </w:tcPr>
          <w:p w14:paraId="2E6C5FC7">
            <w:pPr>
              <w:ind w:firstLine="0" w:firstLineChars="0"/>
              <w:rPr>
                <w:color w:val="auto"/>
              </w:rPr>
            </w:pPr>
            <w:r>
              <w:rPr>
                <w:rFonts w:hint="eastAsia"/>
                <w:color w:val="auto"/>
              </w:rPr>
              <w:t>数据总览</w:t>
            </w:r>
          </w:p>
        </w:tc>
        <w:tc>
          <w:tcPr>
            <w:tcW w:w="6057" w:type="dxa"/>
            <w:tcBorders>
              <w:top w:val="single" w:color="auto" w:sz="4" w:space="0"/>
              <w:left w:val="nil"/>
              <w:bottom w:val="single" w:color="auto" w:sz="4" w:space="0"/>
              <w:right w:val="single" w:color="auto" w:sz="4" w:space="0"/>
            </w:tcBorders>
            <w:noWrap w:val="0"/>
            <w:vAlign w:val="center"/>
          </w:tcPr>
          <w:p w14:paraId="27D9BD62">
            <w:pPr>
              <w:ind w:firstLine="0" w:firstLineChars="0"/>
              <w:rPr>
                <w:color w:val="auto"/>
              </w:rPr>
            </w:pPr>
            <w:r>
              <w:rPr>
                <w:rFonts w:hint="eastAsia"/>
                <w:color w:val="auto"/>
              </w:rPr>
              <w:t>汇总上海市全域文旅产业营商相关数据，并进行可视化展示，包括“文旅企业总体情况、招商载体、招商项目、重点企业、招商走访与服务、行业税收排行与企业排行”六个模块。</w:t>
            </w:r>
          </w:p>
        </w:tc>
      </w:tr>
      <w:tr w14:paraId="5848F0D0">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4E057753">
            <w:pPr>
              <w:ind w:firstLine="0" w:firstLineChars="0"/>
              <w:rPr>
                <w:color w:val="auto"/>
              </w:rPr>
            </w:pPr>
            <w:r>
              <w:rPr>
                <w:rFonts w:hint="eastAsia"/>
                <w:color w:val="auto"/>
              </w:rPr>
              <w:t>8、文旅营商通—企业侧</w:t>
            </w:r>
          </w:p>
        </w:tc>
      </w:tr>
      <w:tr w14:paraId="025A416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886A67A">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0A12157D">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1D1DC1CF">
            <w:pPr>
              <w:ind w:firstLine="0" w:firstLineChars="0"/>
              <w:rPr>
                <w:color w:val="auto"/>
              </w:rPr>
            </w:pPr>
            <w:r>
              <w:rPr>
                <w:rFonts w:hint="eastAsia"/>
                <w:color w:val="auto"/>
              </w:rPr>
              <w:t>功能描述</w:t>
            </w:r>
          </w:p>
        </w:tc>
      </w:tr>
      <w:tr w14:paraId="386DD1C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3AFFBA9">
            <w:pPr>
              <w:ind w:firstLine="0" w:firstLineChars="0"/>
              <w:rPr>
                <w:color w:val="auto"/>
              </w:rPr>
            </w:pPr>
            <w:r>
              <w:rPr>
                <w:rFonts w:hint="eastAsia"/>
                <w:color w:val="auto"/>
              </w:rPr>
              <w:t>32</w:t>
            </w:r>
          </w:p>
        </w:tc>
        <w:tc>
          <w:tcPr>
            <w:tcW w:w="1559" w:type="dxa"/>
            <w:tcBorders>
              <w:top w:val="single" w:color="auto" w:sz="4" w:space="0"/>
              <w:left w:val="nil"/>
              <w:bottom w:val="single" w:color="auto" w:sz="4" w:space="0"/>
              <w:right w:val="single" w:color="auto" w:sz="4" w:space="0"/>
            </w:tcBorders>
            <w:noWrap w:val="0"/>
            <w:vAlign w:val="center"/>
          </w:tcPr>
          <w:p w14:paraId="181D7514">
            <w:pPr>
              <w:ind w:firstLine="0" w:firstLineChars="0"/>
              <w:rPr>
                <w:color w:val="auto"/>
              </w:rPr>
            </w:pPr>
            <w:r>
              <w:rPr>
                <w:rFonts w:hint="eastAsia"/>
                <w:color w:val="auto"/>
              </w:rPr>
              <w:t>文旅政策服务</w:t>
            </w:r>
          </w:p>
        </w:tc>
        <w:tc>
          <w:tcPr>
            <w:tcW w:w="6057" w:type="dxa"/>
            <w:tcBorders>
              <w:top w:val="single" w:color="auto" w:sz="4" w:space="0"/>
              <w:left w:val="nil"/>
              <w:bottom w:val="single" w:color="auto" w:sz="4" w:space="0"/>
              <w:right w:val="single" w:color="auto" w:sz="4" w:space="0"/>
            </w:tcBorders>
            <w:noWrap w:val="0"/>
            <w:vAlign w:val="center"/>
          </w:tcPr>
          <w:p w14:paraId="7280195E">
            <w:pPr>
              <w:ind w:firstLine="0" w:firstLineChars="0"/>
              <w:rPr>
                <w:color w:val="auto"/>
              </w:rPr>
            </w:pPr>
            <w:r>
              <w:rPr>
                <w:rFonts w:hint="eastAsia"/>
                <w:color w:val="auto"/>
              </w:rPr>
              <w:t>聚焦文旅企业普遍关注的“发展规划、行业准入、政策法规、负面清单、项目申报、联系方式、文旅协会”等官方信息，提供政策查询、政策计算器等文旅政策服务，企业用户可分类查看。</w:t>
            </w:r>
          </w:p>
        </w:tc>
      </w:tr>
      <w:tr w14:paraId="76E7585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E6A2069">
            <w:pPr>
              <w:ind w:firstLine="0" w:firstLineChars="0"/>
              <w:rPr>
                <w:color w:val="auto"/>
              </w:rPr>
            </w:pPr>
            <w:r>
              <w:rPr>
                <w:rFonts w:hint="eastAsia"/>
                <w:color w:val="auto"/>
              </w:rPr>
              <w:t>33</w:t>
            </w:r>
          </w:p>
        </w:tc>
        <w:tc>
          <w:tcPr>
            <w:tcW w:w="1559" w:type="dxa"/>
            <w:tcBorders>
              <w:top w:val="single" w:color="auto" w:sz="4" w:space="0"/>
              <w:left w:val="nil"/>
              <w:bottom w:val="single" w:color="auto" w:sz="4" w:space="0"/>
              <w:right w:val="single" w:color="auto" w:sz="4" w:space="0"/>
            </w:tcBorders>
            <w:noWrap w:val="0"/>
            <w:vAlign w:val="center"/>
          </w:tcPr>
          <w:p w14:paraId="296D8A6E">
            <w:pPr>
              <w:ind w:firstLine="0" w:firstLineChars="0"/>
              <w:rPr>
                <w:color w:val="auto"/>
              </w:rPr>
            </w:pPr>
            <w:r>
              <w:rPr>
                <w:rFonts w:hint="eastAsia"/>
                <w:color w:val="auto"/>
              </w:rPr>
              <w:t>文旅营商服务</w:t>
            </w:r>
          </w:p>
        </w:tc>
        <w:tc>
          <w:tcPr>
            <w:tcW w:w="6057" w:type="dxa"/>
            <w:tcBorders>
              <w:top w:val="single" w:color="auto" w:sz="4" w:space="0"/>
              <w:left w:val="nil"/>
              <w:bottom w:val="single" w:color="auto" w:sz="4" w:space="0"/>
              <w:right w:val="single" w:color="auto" w:sz="4" w:space="0"/>
            </w:tcBorders>
            <w:noWrap w:val="0"/>
            <w:vAlign w:val="center"/>
          </w:tcPr>
          <w:p w14:paraId="516167C6">
            <w:pPr>
              <w:ind w:firstLine="0" w:firstLineChars="0"/>
              <w:rPr>
                <w:color w:val="auto"/>
              </w:rPr>
            </w:pPr>
            <w:r>
              <w:rPr>
                <w:rFonts w:hint="eastAsia"/>
                <w:color w:val="auto"/>
              </w:rPr>
              <w:t>提供意见征集等相关政企互动服务，政府侧可收集反馈文旅企业反映的相关意见建议，建立畅通高效的政企互动渠道和沟通桥梁。</w:t>
            </w:r>
          </w:p>
        </w:tc>
      </w:tr>
      <w:tr w14:paraId="116A274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90E5CAD">
            <w:pPr>
              <w:ind w:firstLine="0" w:firstLineChars="0"/>
              <w:rPr>
                <w:color w:val="auto"/>
              </w:rPr>
            </w:pPr>
            <w:r>
              <w:rPr>
                <w:rFonts w:hint="eastAsia"/>
                <w:color w:val="auto"/>
              </w:rPr>
              <w:t>34</w:t>
            </w:r>
          </w:p>
        </w:tc>
        <w:tc>
          <w:tcPr>
            <w:tcW w:w="1559" w:type="dxa"/>
            <w:tcBorders>
              <w:top w:val="single" w:color="auto" w:sz="4" w:space="0"/>
              <w:left w:val="nil"/>
              <w:bottom w:val="single" w:color="auto" w:sz="4" w:space="0"/>
              <w:right w:val="single" w:color="auto" w:sz="4" w:space="0"/>
            </w:tcBorders>
            <w:noWrap w:val="0"/>
            <w:vAlign w:val="center"/>
          </w:tcPr>
          <w:p w14:paraId="7DB4B65E">
            <w:pPr>
              <w:ind w:firstLine="0" w:firstLineChars="0"/>
              <w:rPr>
                <w:color w:val="auto"/>
              </w:rPr>
            </w:pPr>
            <w:r>
              <w:rPr>
                <w:rFonts w:hint="eastAsia"/>
                <w:color w:val="auto"/>
              </w:rPr>
              <w:t>文旅企业档案服务</w:t>
            </w:r>
          </w:p>
        </w:tc>
        <w:tc>
          <w:tcPr>
            <w:tcW w:w="6057" w:type="dxa"/>
            <w:tcBorders>
              <w:top w:val="single" w:color="auto" w:sz="4" w:space="0"/>
              <w:left w:val="nil"/>
              <w:bottom w:val="single" w:color="auto" w:sz="4" w:space="0"/>
              <w:right w:val="single" w:color="auto" w:sz="4" w:space="0"/>
            </w:tcBorders>
            <w:noWrap w:val="0"/>
            <w:vAlign w:val="center"/>
          </w:tcPr>
          <w:p w14:paraId="691C26F5">
            <w:pPr>
              <w:ind w:firstLine="0" w:firstLineChars="0"/>
              <w:rPr>
                <w:color w:val="auto"/>
              </w:rPr>
            </w:pPr>
            <w:r>
              <w:rPr>
                <w:rFonts w:hint="eastAsia"/>
                <w:color w:val="auto"/>
              </w:rPr>
              <w:t>依托“一网通办”企业专属网页基础支撑能力，基于本市大数据资源平台汇聚的纳税、缴费、信用、年检、资质、人事等各类企业档案信息，分析形成领域、类型、规模、性质等各类企业标签特征信息，为用户提供基于授权的“一企一档”专属服务。</w:t>
            </w:r>
          </w:p>
        </w:tc>
      </w:tr>
      <w:tr w14:paraId="1FC9E6C4">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721B3C03">
            <w:pPr>
              <w:ind w:firstLine="0" w:firstLineChars="0"/>
              <w:rPr>
                <w:color w:val="auto"/>
              </w:rPr>
            </w:pPr>
            <w:r>
              <w:rPr>
                <w:rFonts w:hint="eastAsia"/>
                <w:color w:val="auto"/>
              </w:rPr>
              <w:t>9、文旅活动报送</w:t>
            </w:r>
          </w:p>
        </w:tc>
      </w:tr>
      <w:tr w14:paraId="754544C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166515E">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75F7FE05">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68B3EE1D">
            <w:pPr>
              <w:ind w:firstLine="0" w:firstLineChars="0"/>
              <w:rPr>
                <w:color w:val="auto"/>
              </w:rPr>
            </w:pPr>
            <w:r>
              <w:rPr>
                <w:rFonts w:hint="eastAsia"/>
                <w:color w:val="auto"/>
              </w:rPr>
              <w:t>功能描述</w:t>
            </w:r>
          </w:p>
        </w:tc>
      </w:tr>
      <w:tr w14:paraId="062CAD2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D04D966">
            <w:pPr>
              <w:ind w:firstLine="0" w:firstLineChars="0"/>
              <w:rPr>
                <w:color w:val="auto"/>
              </w:rPr>
            </w:pPr>
            <w:r>
              <w:rPr>
                <w:rFonts w:hint="eastAsia"/>
                <w:color w:val="auto"/>
              </w:rPr>
              <w:t>35</w:t>
            </w:r>
          </w:p>
        </w:tc>
        <w:tc>
          <w:tcPr>
            <w:tcW w:w="1559" w:type="dxa"/>
            <w:tcBorders>
              <w:top w:val="single" w:color="auto" w:sz="4" w:space="0"/>
              <w:left w:val="nil"/>
              <w:bottom w:val="single" w:color="auto" w:sz="4" w:space="0"/>
              <w:right w:val="single" w:color="auto" w:sz="4" w:space="0"/>
            </w:tcBorders>
            <w:noWrap w:val="0"/>
            <w:vAlign w:val="center"/>
          </w:tcPr>
          <w:p w14:paraId="12C22879">
            <w:pPr>
              <w:ind w:firstLine="0" w:firstLineChars="0"/>
              <w:rPr>
                <w:color w:val="auto"/>
              </w:rPr>
            </w:pPr>
            <w:r>
              <w:rPr>
                <w:rFonts w:hint="eastAsia"/>
                <w:color w:val="auto"/>
              </w:rPr>
              <w:t>文旅活动总览</w:t>
            </w:r>
          </w:p>
        </w:tc>
        <w:tc>
          <w:tcPr>
            <w:tcW w:w="6057" w:type="dxa"/>
            <w:tcBorders>
              <w:top w:val="single" w:color="auto" w:sz="4" w:space="0"/>
              <w:left w:val="nil"/>
              <w:bottom w:val="single" w:color="auto" w:sz="4" w:space="0"/>
              <w:right w:val="single" w:color="auto" w:sz="4" w:space="0"/>
            </w:tcBorders>
            <w:noWrap w:val="0"/>
            <w:vAlign w:val="center"/>
          </w:tcPr>
          <w:p w14:paraId="019330AC">
            <w:pPr>
              <w:ind w:firstLine="0" w:firstLineChars="0"/>
              <w:rPr>
                <w:color w:val="auto"/>
              </w:rPr>
            </w:pPr>
            <w:r>
              <w:rPr>
                <w:rFonts w:hint="eastAsia"/>
                <w:color w:val="auto"/>
              </w:rPr>
              <w:t>汇总上海全市文旅活动相关数据，并进行可视化展示，包括“活动数量、热门推荐、热门演出、品质展览、行政区域分类、休闲旅游、公共文化信息、活动统计分析、节庆活动统计分析”九个模块。</w:t>
            </w:r>
          </w:p>
        </w:tc>
      </w:tr>
      <w:tr w14:paraId="2BAC56A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459A4E5">
            <w:pPr>
              <w:ind w:firstLine="0" w:firstLineChars="0"/>
              <w:rPr>
                <w:color w:val="auto"/>
              </w:rPr>
            </w:pPr>
            <w:r>
              <w:rPr>
                <w:rFonts w:hint="eastAsia"/>
                <w:color w:val="auto"/>
              </w:rPr>
              <w:t>36</w:t>
            </w:r>
          </w:p>
        </w:tc>
        <w:tc>
          <w:tcPr>
            <w:tcW w:w="1559" w:type="dxa"/>
            <w:tcBorders>
              <w:top w:val="single" w:color="auto" w:sz="4" w:space="0"/>
              <w:left w:val="nil"/>
              <w:bottom w:val="single" w:color="auto" w:sz="4" w:space="0"/>
              <w:right w:val="single" w:color="auto" w:sz="4" w:space="0"/>
            </w:tcBorders>
            <w:noWrap w:val="0"/>
            <w:vAlign w:val="center"/>
          </w:tcPr>
          <w:p w14:paraId="21A4F348">
            <w:pPr>
              <w:ind w:firstLine="0" w:firstLineChars="0"/>
              <w:rPr>
                <w:color w:val="auto"/>
              </w:rPr>
            </w:pPr>
            <w:r>
              <w:rPr>
                <w:rFonts w:hint="eastAsia"/>
                <w:color w:val="auto"/>
              </w:rPr>
              <w:t>热门演出</w:t>
            </w:r>
          </w:p>
        </w:tc>
        <w:tc>
          <w:tcPr>
            <w:tcW w:w="6057" w:type="dxa"/>
            <w:tcBorders>
              <w:top w:val="single" w:color="auto" w:sz="4" w:space="0"/>
              <w:left w:val="nil"/>
              <w:bottom w:val="single" w:color="auto" w:sz="4" w:space="0"/>
              <w:right w:val="single" w:color="auto" w:sz="4" w:space="0"/>
            </w:tcBorders>
            <w:noWrap w:val="0"/>
            <w:vAlign w:val="center"/>
          </w:tcPr>
          <w:p w14:paraId="7A981ACE">
            <w:pPr>
              <w:ind w:firstLine="0" w:firstLineChars="0"/>
              <w:rPr>
                <w:color w:val="auto"/>
              </w:rPr>
            </w:pPr>
            <w:r>
              <w:rPr>
                <w:rFonts w:hint="eastAsia"/>
                <w:color w:val="auto"/>
              </w:rPr>
              <w:t>1.根据上海市文旅局市场管理处业务需求，对上海市演唱会音乐节、音乐会、话剧音乐剧、戏曲、舞蹈舞剧、儿童亲子、脱口秀相声、Livehouse、沉浸式演出、剧本娱乐等类型的热门演出活动数据进行汇聚，包括活动名称、类型、活动时间、活动地址、行政区域、活动图片等；</w:t>
            </w:r>
            <w:r>
              <w:rPr>
                <w:rFonts w:hint="eastAsia"/>
                <w:color w:val="auto"/>
              </w:rPr>
              <w:br w:type="textWrapping"/>
            </w:r>
            <w:r>
              <w:rPr>
                <w:rFonts w:hint="eastAsia"/>
                <w:color w:val="auto"/>
              </w:rPr>
              <w:t>2.用户可对热门演出信息进行单项新增、编辑、批量导入导出等操作，并按活动名称、日期、行政区域、活动主题、状态等条件进行查询。</w:t>
            </w:r>
          </w:p>
        </w:tc>
      </w:tr>
      <w:tr w14:paraId="79FFD7C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564368A">
            <w:pPr>
              <w:ind w:firstLine="0" w:firstLineChars="0"/>
              <w:rPr>
                <w:color w:val="auto"/>
              </w:rPr>
            </w:pPr>
            <w:r>
              <w:rPr>
                <w:rFonts w:hint="eastAsia"/>
                <w:color w:val="auto"/>
              </w:rPr>
              <w:t>37</w:t>
            </w:r>
          </w:p>
        </w:tc>
        <w:tc>
          <w:tcPr>
            <w:tcW w:w="1559" w:type="dxa"/>
            <w:tcBorders>
              <w:top w:val="single" w:color="auto" w:sz="4" w:space="0"/>
              <w:left w:val="nil"/>
              <w:bottom w:val="single" w:color="auto" w:sz="4" w:space="0"/>
              <w:right w:val="single" w:color="auto" w:sz="4" w:space="0"/>
            </w:tcBorders>
            <w:noWrap w:val="0"/>
            <w:vAlign w:val="center"/>
          </w:tcPr>
          <w:p w14:paraId="5E4296AB">
            <w:pPr>
              <w:ind w:firstLine="0" w:firstLineChars="0"/>
              <w:rPr>
                <w:color w:val="auto"/>
              </w:rPr>
            </w:pPr>
            <w:r>
              <w:rPr>
                <w:rFonts w:hint="eastAsia"/>
                <w:color w:val="auto"/>
              </w:rPr>
              <w:t>品质展览</w:t>
            </w:r>
          </w:p>
        </w:tc>
        <w:tc>
          <w:tcPr>
            <w:tcW w:w="6057" w:type="dxa"/>
            <w:tcBorders>
              <w:top w:val="single" w:color="auto" w:sz="4" w:space="0"/>
              <w:left w:val="nil"/>
              <w:bottom w:val="single" w:color="auto" w:sz="4" w:space="0"/>
              <w:right w:val="single" w:color="auto" w:sz="4" w:space="0"/>
            </w:tcBorders>
            <w:noWrap w:val="0"/>
            <w:vAlign w:val="center"/>
          </w:tcPr>
          <w:p w14:paraId="10F70205">
            <w:pPr>
              <w:ind w:firstLine="0" w:firstLineChars="0"/>
              <w:rPr>
                <w:color w:val="auto"/>
              </w:rPr>
            </w:pPr>
            <w:r>
              <w:rPr>
                <w:rFonts w:hint="eastAsia"/>
                <w:color w:val="auto"/>
              </w:rPr>
              <w:t>1.根据上海市文旅局博物馆处、艺术处、国际处业务需求，统计并展示美术馆展览、革命场馆展览、博物馆展览、画廊、艺术空间展览等品质展览数据，包括展览名称、日期、类型、地址、行政区域、图片等。</w:t>
            </w:r>
            <w:r>
              <w:rPr>
                <w:rFonts w:hint="eastAsia"/>
                <w:color w:val="auto"/>
              </w:rPr>
              <w:br w:type="textWrapping"/>
            </w:r>
            <w:r>
              <w:rPr>
                <w:rFonts w:hint="eastAsia"/>
                <w:color w:val="auto"/>
              </w:rPr>
              <w:t>2.用户可对品质展览信息进行单项新增、编辑、批量导入导出等操作，并按展览名称、展览日期、主题、类型等条件进行查询。</w:t>
            </w:r>
            <w:r>
              <w:rPr>
                <w:rFonts w:hint="eastAsia"/>
                <w:color w:val="auto"/>
              </w:rPr>
              <w:br w:type="textWrapping"/>
            </w:r>
            <w:r>
              <w:rPr>
                <w:rFonts w:hint="eastAsia"/>
                <w:color w:val="auto"/>
              </w:rPr>
              <w:t>3.场馆填报品质展览信息后，文旅局可对填报信息进行审核，可进行“通过”、“退回”等操作，退回时可附退回理由，场馆修改展览信息后重新上报。</w:t>
            </w:r>
          </w:p>
        </w:tc>
      </w:tr>
      <w:tr w14:paraId="6398393D">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4E5DEAC">
            <w:pPr>
              <w:ind w:firstLine="0" w:firstLineChars="0"/>
              <w:rPr>
                <w:color w:val="auto"/>
              </w:rPr>
            </w:pPr>
            <w:r>
              <w:rPr>
                <w:rFonts w:hint="eastAsia"/>
                <w:color w:val="auto"/>
              </w:rPr>
              <w:t>38</w:t>
            </w:r>
          </w:p>
        </w:tc>
        <w:tc>
          <w:tcPr>
            <w:tcW w:w="1559" w:type="dxa"/>
            <w:tcBorders>
              <w:top w:val="single" w:color="auto" w:sz="4" w:space="0"/>
              <w:left w:val="nil"/>
              <w:bottom w:val="single" w:color="auto" w:sz="4" w:space="0"/>
              <w:right w:val="single" w:color="auto" w:sz="4" w:space="0"/>
            </w:tcBorders>
            <w:noWrap w:val="0"/>
            <w:vAlign w:val="center"/>
          </w:tcPr>
          <w:p w14:paraId="6FD42712">
            <w:pPr>
              <w:ind w:firstLine="0" w:firstLineChars="0"/>
              <w:rPr>
                <w:color w:val="auto"/>
              </w:rPr>
            </w:pPr>
            <w:r>
              <w:rPr>
                <w:rFonts w:hint="eastAsia"/>
                <w:color w:val="auto"/>
              </w:rPr>
              <w:t>休闲旅游</w:t>
            </w:r>
          </w:p>
        </w:tc>
        <w:tc>
          <w:tcPr>
            <w:tcW w:w="6057" w:type="dxa"/>
            <w:tcBorders>
              <w:top w:val="single" w:color="auto" w:sz="4" w:space="0"/>
              <w:left w:val="nil"/>
              <w:bottom w:val="single" w:color="auto" w:sz="4" w:space="0"/>
              <w:right w:val="single" w:color="auto" w:sz="4" w:space="0"/>
            </w:tcBorders>
            <w:noWrap w:val="0"/>
            <w:vAlign w:val="center"/>
          </w:tcPr>
          <w:p w14:paraId="3DD6B3F2">
            <w:pPr>
              <w:ind w:firstLine="0" w:firstLineChars="0"/>
              <w:rPr>
                <w:color w:val="auto"/>
              </w:rPr>
            </w:pPr>
            <w:r>
              <w:rPr>
                <w:rFonts w:hint="eastAsia"/>
                <w:color w:val="auto"/>
              </w:rPr>
              <w:t>1.根据上海市文旅局业务需求，提供文旅元宇宙、国家级旅游度假区、A级景区、古镇、主题乐园、建筑可阅读、郊野公园休闲街区、邮轮航线、各区特色路线等休闲旅游活动数据，包括活动名称、活动类型、日期、地址、行政区域、图片等。</w:t>
            </w:r>
            <w:r>
              <w:rPr>
                <w:rFonts w:hint="eastAsia"/>
                <w:color w:val="auto"/>
              </w:rPr>
              <w:br w:type="textWrapping"/>
            </w:r>
            <w:r>
              <w:rPr>
                <w:rFonts w:hint="eastAsia"/>
                <w:color w:val="auto"/>
              </w:rPr>
              <w:t>2.用户可对休闲旅游信息进行单项新增、编辑、批量导入导出等操作，并按名称、主题、类型、日期等条件进行查询。</w:t>
            </w:r>
            <w:r>
              <w:rPr>
                <w:rFonts w:hint="eastAsia"/>
                <w:color w:val="auto"/>
              </w:rPr>
              <w:br w:type="textWrapping"/>
            </w:r>
            <w:r>
              <w:rPr>
                <w:rFonts w:hint="eastAsia"/>
                <w:color w:val="auto"/>
              </w:rPr>
              <w:t>3.文旅局可对填报的休闲旅游信息进行审核，可进行“通过”、“退回”等操作，退回时可附退回理由，填报方修改展览信息后重新上报。</w:t>
            </w:r>
          </w:p>
        </w:tc>
      </w:tr>
      <w:tr w14:paraId="50FB37D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5DCF839">
            <w:pPr>
              <w:ind w:firstLine="0" w:firstLineChars="0"/>
              <w:rPr>
                <w:color w:val="auto"/>
              </w:rPr>
            </w:pPr>
            <w:r>
              <w:rPr>
                <w:rFonts w:hint="eastAsia"/>
                <w:color w:val="auto"/>
              </w:rPr>
              <w:t>39</w:t>
            </w:r>
          </w:p>
        </w:tc>
        <w:tc>
          <w:tcPr>
            <w:tcW w:w="1559" w:type="dxa"/>
            <w:tcBorders>
              <w:top w:val="single" w:color="auto" w:sz="4" w:space="0"/>
              <w:left w:val="nil"/>
              <w:bottom w:val="single" w:color="auto" w:sz="4" w:space="0"/>
              <w:right w:val="single" w:color="auto" w:sz="4" w:space="0"/>
            </w:tcBorders>
            <w:noWrap w:val="0"/>
            <w:vAlign w:val="center"/>
          </w:tcPr>
          <w:p w14:paraId="0BC62FC9">
            <w:pPr>
              <w:ind w:firstLine="0" w:firstLineChars="0"/>
              <w:rPr>
                <w:color w:val="auto"/>
              </w:rPr>
            </w:pPr>
            <w:r>
              <w:rPr>
                <w:rFonts w:hint="eastAsia"/>
                <w:color w:val="auto"/>
              </w:rPr>
              <w:t>公共文化信息</w:t>
            </w:r>
          </w:p>
        </w:tc>
        <w:tc>
          <w:tcPr>
            <w:tcW w:w="6057" w:type="dxa"/>
            <w:tcBorders>
              <w:top w:val="single" w:color="auto" w:sz="4" w:space="0"/>
              <w:left w:val="nil"/>
              <w:bottom w:val="single" w:color="auto" w:sz="4" w:space="0"/>
              <w:right w:val="single" w:color="auto" w:sz="4" w:space="0"/>
            </w:tcBorders>
            <w:noWrap w:val="0"/>
            <w:vAlign w:val="center"/>
          </w:tcPr>
          <w:p w14:paraId="49A5CC2F">
            <w:pPr>
              <w:ind w:firstLine="0" w:firstLineChars="0"/>
              <w:rPr>
                <w:color w:val="auto"/>
              </w:rPr>
            </w:pPr>
            <w:r>
              <w:rPr>
                <w:rFonts w:hint="eastAsia"/>
                <w:color w:val="auto"/>
              </w:rPr>
              <w:t>1.根据上海市文旅局业务需求，提供公共图书馆、儿童友好城市阅读新空间、文化馆、社区文化活动中心等公共文化活动数据，包括活动名称、活动类型、日期、地址、行政区域、图片等。</w:t>
            </w:r>
            <w:r>
              <w:rPr>
                <w:rFonts w:hint="eastAsia"/>
                <w:color w:val="auto"/>
              </w:rPr>
              <w:br w:type="textWrapping"/>
            </w:r>
            <w:r>
              <w:rPr>
                <w:rFonts w:hint="eastAsia"/>
                <w:color w:val="auto"/>
              </w:rPr>
              <w:t>2.用户可对公共文化信息进行单项新增、编辑、批量导入导出等操作，并按活动名称、日期、行政区域、状态等条件进行查询。</w:t>
            </w:r>
            <w:r>
              <w:rPr>
                <w:rFonts w:hint="eastAsia"/>
                <w:color w:val="auto"/>
              </w:rPr>
              <w:br w:type="textWrapping"/>
            </w:r>
            <w:r>
              <w:rPr>
                <w:rFonts w:hint="eastAsia"/>
                <w:color w:val="auto"/>
              </w:rPr>
              <w:t>3.文旅局可对审核填报的公共文化信息，并操作“通过”或“退回”，退回时可附退回理由，填报方修改后重新上报。</w:t>
            </w:r>
          </w:p>
        </w:tc>
      </w:tr>
      <w:tr w14:paraId="2AFCC86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5242106">
            <w:pPr>
              <w:ind w:firstLine="0" w:firstLineChars="0"/>
              <w:rPr>
                <w:color w:val="auto"/>
              </w:rPr>
            </w:pPr>
            <w:r>
              <w:rPr>
                <w:rFonts w:hint="eastAsia"/>
                <w:color w:val="auto"/>
              </w:rPr>
              <w:t>40</w:t>
            </w:r>
          </w:p>
        </w:tc>
        <w:tc>
          <w:tcPr>
            <w:tcW w:w="1559" w:type="dxa"/>
            <w:tcBorders>
              <w:top w:val="single" w:color="auto" w:sz="4" w:space="0"/>
              <w:left w:val="nil"/>
              <w:bottom w:val="single" w:color="auto" w:sz="4" w:space="0"/>
              <w:right w:val="single" w:color="auto" w:sz="4" w:space="0"/>
            </w:tcBorders>
            <w:noWrap w:val="0"/>
            <w:vAlign w:val="center"/>
          </w:tcPr>
          <w:p w14:paraId="5BA7921F">
            <w:pPr>
              <w:ind w:firstLine="0" w:firstLineChars="0"/>
              <w:rPr>
                <w:color w:val="auto"/>
              </w:rPr>
            </w:pPr>
            <w:r>
              <w:rPr>
                <w:rFonts w:hint="eastAsia"/>
                <w:color w:val="auto"/>
              </w:rPr>
              <w:t>赛事活动</w:t>
            </w:r>
          </w:p>
        </w:tc>
        <w:tc>
          <w:tcPr>
            <w:tcW w:w="6057" w:type="dxa"/>
            <w:tcBorders>
              <w:top w:val="single" w:color="auto" w:sz="4" w:space="0"/>
              <w:left w:val="nil"/>
              <w:bottom w:val="single" w:color="auto" w:sz="4" w:space="0"/>
              <w:right w:val="single" w:color="auto" w:sz="4" w:space="0"/>
            </w:tcBorders>
            <w:noWrap w:val="0"/>
            <w:vAlign w:val="center"/>
          </w:tcPr>
          <w:p w14:paraId="5D0E25E1">
            <w:pPr>
              <w:ind w:firstLine="0" w:firstLineChars="0"/>
              <w:rPr>
                <w:color w:val="auto"/>
              </w:rPr>
            </w:pPr>
            <w:r>
              <w:rPr>
                <w:rFonts w:hint="eastAsia"/>
                <w:color w:val="auto"/>
              </w:rPr>
              <w:t>1.汇聚上海市全域赛事活动信息，包含名称、级别、类别、购票渠道、地址、时间、图片等数据；</w:t>
            </w:r>
            <w:r>
              <w:rPr>
                <w:rFonts w:hint="eastAsia"/>
                <w:color w:val="auto"/>
              </w:rPr>
              <w:br w:type="textWrapping"/>
            </w:r>
            <w:r>
              <w:rPr>
                <w:rFonts w:hint="eastAsia"/>
                <w:color w:val="auto"/>
              </w:rPr>
              <w:t>2.用户可对赛事信息进行单项新增、编辑、批量导入导出等操作，并按赛事名称、级别、类别、时间等条件进行查询。</w:t>
            </w:r>
          </w:p>
        </w:tc>
      </w:tr>
      <w:tr w14:paraId="3831A11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E8BA01F">
            <w:pPr>
              <w:ind w:firstLine="0" w:firstLineChars="0"/>
              <w:rPr>
                <w:color w:val="auto"/>
              </w:rPr>
            </w:pPr>
            <w:r>
              <w:rPr>
                <w:rFonts w:hint="eastAsia"/>
                <w:color w:val="auto"/>
              </w:rPr>
              <w:t>41</w:t>
            </w:r>
          </w:p>
        </w:tc>
        <w:tc>
          <w:tcPr>
            <w:tcW w:w="1559" w:type="dxa"/>
            <w:tcBorders>
              <w:top w:val="single" w:color="auto" w:sz="4" w:space="0"/>
              <w:left w:val="nil"/>
              <w:bottom w:val="single" w:color="auto" w:sz="4" w:space="0"/>
              <w:right w:val="single" w:color="auto" w:sz="4" w:space="0"/>
            </w:tcBorders>
            <w:noWrap w:val="0"/>
            <w:vAlign w:val="center"/>
          </w:tcPr>
          <w:p w14:paraId="5D488563">
            <w:pPr>
              <w:ind w:firstLine="0" w:firstLineChars="0"/>
              <w:rPr>
                <w:color w:val="auto"/>
              </w:rPr>
            </w:pPr>
            <w:r>
              <w:rPr>
                <w:rFonts w:hint="eastAsia"/>
                <w:color w:val="auto"/>
              </w:rPr>
              <w:t>节庆活动</w:t>
            </w:r>
          </w:p>
        </w:tc>
        <w:tc>
          <w:tcPr>
            <w:tcW w:w="6057" w:type="dxa"/>
            <w:tcBorders>
              <w:top w:val="single" w:color="auto" w:sz="4" w:space="0"/>
              <w:left w:val="nil"/>
              <w:bottom w:val="single" w:color="auto" w:sz="4" w:space="0"/>
              <w:right w:val="single" w:color="auto" w:sz="4" w:space="0"/>
            </w:tcBorders>
            <w:noWrap w:val="0"/>
            <w:vAlign w:val="center"/>
          </w:tcPr>
          <w:p w14:paraId="142998A8">
            <w:pPr>
              <w:ind w:firstLine="0" w:firstLineChars="0"/>
              <w:rPr>
                <w:color w:val="auto"/>
              </w:rPr>
            </w:pPr>
            <w:r>
              <w:rPr>
                <w:rFonts w:hint="eastAsia"/>
                <w:color w:val="auto"/>
              </w:rPr>
              <w:t>1.汇聚上海市每年活动日、主题节庆活动信息；包含名称、级别、主办单位、参与形式、地址、时间、图片等数据；</w:t>
            </w:r>
            <w:r>
              <w:rPr>
                <w:rFonts w:hint="eastAsia"/>
                <w:color w:val="auto"/>
              </w:rPr>
              <w:br w:type="textWrapping"/>
            </w:r>
            <w:r>
              <w:rPr>
                <w:rFonts w:hint="eastAsia"/>
                <w:color w:val="auto"/>
              </w:rPr>
              <w:t>2.用户可对节庆活动信息进行单项新增、编辑、批量导入导出等操作，并按名称、级别、时间等条件进行查询。</w:t>
            </w:r>
          </w:p>
        </w:tc>
      </w:tr>
      <w:tr w14:paraId="4FCBEAE5">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450E0164">
            <w:pPr>
              <w:ind w:firstLine="0" w:firstLineChars="0"/>
              <w:rPr>
                <w:color w:val="auto"/>
              </w:rPr>
            </w:pPr>
            <w:r>
              <w:rPr>
                <w:rFonts w:hint="eastAsia"/>
                <w:color w:val="auto"/>
              </w:rPr>
              <w:t>10、旅游资源和产品管理</w:t>
            </w:r>
          </w:p>
        </w:tc>
      </w:tr>
      <w:tr w14:paraId="4402757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9A9E9CD">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519DB9DD">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019DAEA8">
            <w:pPr>
              <w:ind w:firstLine="0" w:firstLineChars="0"/>
              <w:rPr>
                <w:color w:val="auto"/>
              </w:rPr>
            </w:pPr>
            <w:r>
              <w:rPr>
                <w:rFonts w:hint="eastAsia"/>
                <w:color w:val="auto"/>
              </w:rPr>
              <w:t>功能描述</w:t>
            </w:r>
          </w:p>
        </w:tc>
      </w:tr>
      <w:tr w14:paraId="05D1B40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A22019E">
            <w:pPr>
              <w:ind w:firstLine="0" w:firstLineChars="0"/>
              <w:rPr>
                <w:color w:val="auto"/>
              </w:rPr>
            </w:pPr>
            <w:r>
              <w:rPr>
                <w:rFonts w:hint="eastAsia"/>
                <w:color w:val="auto"/>
              </w:rPr>
              <w:t>42</w:t>
            </w:r>
          </w:p>
        </w:tc>
        <w:tc>
          <w:tcPr>
            <w:tcW w:w="1559" w:type="dxa"/>
            <w:tcBorders>
              <w:top w:val="single" w:color="auto" w:sz="4" w:space="0"/>
              <w:left w:val="nil"/>
              <w:bottom w:val="single" w:color="auto" w:sz="4" w:space="0"/>
              <w:right w:val="single" w:color="auto" w:sz="4" w:space="0"/>
            </w:tcBorders>
            <w:noWrap w:val="0"/>
            <w:vAlign w:val="center"/>
          </w:tcPr>
          <w:p w14:paraId="46F6C949">
            <w:pPr>
              <w:ind w:firstLine="0" w:firstLineChars="0"/>
              <w:rPr>
                <w:color w:val="auto"/>
              </w:rPr>
            </w:pPr>
            <w:r>
              <w:rPr>
                <w:rFonts w:hint="eastAsia"/>
                <w:color w:val="auto"/>
              </w:rPr>
              <w:t>旅游资源-旅游资源总览</w:t>
            </w:r>
          </w:p>
        </w:tc>
        <w:tc>
          <w:tcPr>
            <w:tcW w:w="6057" w:type="dxa"/>
            <w:tcBorders>
              <w:top w:val="single" w:color="auto" w:sz="4" w:space="0"/>
              <w:left w:val="nil"/>
              <w:bottom w:val="single" w:color="auto" w:sz="4" w:space="0"/>
              <w:right w:val="single" w:color="auto" w:sz="4" w:space="0"/>
            </w:tcBorders>
            <w:noWrap w:val="0"/>
            <w:vAlign w:val="center"/>
          </w:tcPr>
          <w:p w14:paraId="7ECC508D">
            <w:pPr>
              <w:ind w:firstLine="0" w:firstLineChars="0"/>
              <w:rPr>
                <w:color w:val="auto"/>
              </w:rPr>
            </w:pPr>
            <w:r>
              <w:rPr>
                <w:rFonts w:hint="eastAsia"/>
                <w:color w:val="auto"/>
              </w:rPr>
              <w:t>通过多样化的可视化方式，全面展示旅游资源的管理状况与态势，包括“旅游资源分布地图可视化、旅游资源总数、旅游资源等级、旅游资源类型”四个模块。</w:t>
            </w:r>
          </w:p>
        </w:tc>
      </w:tr>
      <w:tr w14:paraId="049C135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BFFFB16">
            <w:pPr>
              <w:ind w:firstLine="0" w:firstLineChars="0"/>
              <w:rPr>
                <w:color w:val="auto"/>
              </w:rPr>
            </w:pPr>
            <w:r>
              <w:rPr>
                <w:rFonts w:hint="eastAsia"/>
                <w:color w:val="auto"/>
              </w:rPr>
              <w:t>43</w:t>
            </w:r>
          </w:p>
        </w:tc>
        <w:tc>
          <w:tcPr>
            <w:tcW w:w="1559" w:type="dxa"/>
            <w:tcBorders>
              <w:top w:val="single" w:color="auto" w:sz="4" w:space="0"/>
              <w:left w:val="nil"/>
              <w:bottom w:val="single" w:color="auto" w:sz="4" w:space="0"/>
              <w:right w:val="single" w:color="auto" w:sz="4" w:space="0"/>
            </w:tcBorders>
            <w:noWrap w:val="0"/>
            <w:vAlign w:val="center"/>
          </w:tcPr>
          <w:p w14:paraId="5F79F136">
            <w:pPr>
              <w:ind w:firstLine="0" w:firstLineChars="0"/>
              <w:rPr>
                <w:color w:val="auto"/>
              </w:rPr>
            </w:pPr>
            <w:r>
              <w:rPr>
                <w:rFonts w:hint="eastAsia"/>
                <w:color w:val="auto"/>
              </w:rPr>
              <w:t>旅游资源-单体旅游资源</w:t>
            </w:r>
          </w:p>
        </w:tc>
        <w:tc>
          <w:tcPr>
            <w:tcW w:w="6057" w:type="dxa"/>
            <w:tcBorders>
              <w:top w:val="single" w:color="auto" w:sz="4" w:space="0"/>
              <w:left w:val="nil"/>
              <w:bottom w:val="single" w:color="auto" w:sz="4" w:space="0"/>
              <w:right w:val="single" w:color="auto" w:sz="4" w:space="0"/>
            </w:tcBorders>
            <w:noWrap w:val="0"/>
            <w:vAlign w:val="center"/>
          </w:tcPr>
          <w:p w14:paraId="3BBD9377">
            <w:pPr>
              <w:ind w:firstLine="0" w:firstLineChars="0"/>
              <w:rPr>
                <w:color w:val="auto"/>
              </w:rPr>
            </w:pPr>
            <w:r>
              <w:rPr>
                <w:rFonts w:hint="eastAsia"/>
                <w:color w:val="auto"/>
              </w:rPr>
              <w:t>1.汇聚支持景区、红色场馆、博物馆、美术馆、古镇、建筑可阅读、历史风貌保护等类型的单体旅游资源信息，包括名称、类型、行政区域、等级等数据；</w:t>
            </w:r>
            <w:r>
              <w:rPr>
                <w:rFonts w:hint="eastAsia"/>
                <w:color w:val="auto"/>
              </w:rPr>
              <w:br w:type="textWrapping"/>
            </w:r>
            <w:r>
              <w:rPr>
                <w:rFonts w:hint="eastAsia"/>
                <w:color w:val="auto"/>
              </w:rPr>
              <w:t>2.可对旅游资源信息进行单项新增、编辑、批量导入导出等操作，并按名称、行政区域、类型、等级等条件进行查询。</w:t>
            </w:r>
          </w:p>
        </w:tc>
      </w:tr>
      <w:tr w14:paraId="3FABA6F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95D94DE">
            <w:pPr>
              <w:ind w:firstLine="0" w:firstLineChars="0"/>
              <w:rPr>
                <w:color w:val="auto"/>
              </w:rPr>
            </w:pPr>
            <w:r>
              <w:rPr>
                <w:rFonts w:hint="eastAsia"/>
                <w:color w:val="auto"/>
              </w:rPr>
              <w:t>44</w:t>
            </w:r>
          </w:p>
        </w:tc>
        <w:tc>
          <w:tcPr>
            <w:tcW w:w="1559" w:type="dxa"/>
            <w:tcBorders>
              <w:top w:val="single" w:color="auto" w:sz="4" w:space="0"/>
              <w:left w:val="nil"/>
              <w:bottom w:val="single" w:color="auto" w:sz="4" w:space="0"/>
              <w:right w:val="single" w:color="auto" w:sz="4" w:space="0"/>
            </w:tcBorders>
            <w:noWrap w:val="0"/>
            <w:vAlign w:val="center"/>
          </w:tcPr>
          <w:p w14:paraId="306DE937">
            <w:pPr>
              <w:ind w:firstLine="0" w:firstLineChars="0"/>
              <w:rPr>
                <w:color w:val="auto"/>
              </w:rPr>
            </w:pPr>
            <w:r>
              <w:rPr>
                <w:rFonts w:hint="eastAsia"/>
                <w:color w:val="auto"/>
              </w:rPr>
              <w:t>旅游产品-旅游产品总览</w:t>
            </w:r>
          </w:p>
        </w:tc>
        <w:tc>
          <w:tcPr>
            <w:tcW w:w="6057" w:type="dxa"/>
            <w:tcBorders>
              <w:top w:val="single" w:color="auto" w:sz="4" w:space="0"/>
              <w:left w:val="nil"/>
              <w:bottom w:val="single" w:color="auto" w:sz="4" w:space="0"/>
              <w:right w:val="single" w:color="auto" w:sz="4" w:space="0"/>
            </w:tcBorders>
            <w:noWrap w:val="0"/>
            <w:vAlign w:val="center"/>
          </w:tcPr>
          <w:p w14:paraId="5443D5F2">
            <w:pPr>
              <w:ind w:firstLine="0" w:firstLineChars="0"/>
              <w:rPr>
                <w:color w:val="auto"/>
              </w:rPr>
            </w:pPr>
            <w:r>
              <w:rPr>
                <w:rFonts w:hint="eastAsia"/>
                <w:color w:val="auto"/>
              </w:rPr>
              <w:t>可视化展示旅游产品的管理状况与态势，包括“总数统计、旅游产品热度TOP10、旅游产品等级数量分布、旅行社等级数量分布”四个模块。</w:t>
            </w:r>
          </w:p>
        </w:tc>
      </w:tr>
      <w:tr w14:paraId="372D1D8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28406A7">
            <w:pPr>
              <w:ind w:firstLine="0" w:firstLineChars="0"/>
              <w:rPr>
                <w:color w:val="auto"/>
              </w:rPr>
            </w:pPr>
            <w:r>
              <w:rPr>
                <w:rFonts w:hint="eastAsia"/>
                <w:color w:val="auto"/>
              </w:rPr>
              <w:t>45</w:t>
            </w:r>
          </w:p>
        </w:tc>
        <w:tc>
          <w:tcPr>
            <w:tcW w:w="1559" w:type="dxa"/>
            <w:tcBorders>
              <w:top w:val="single" w:color="auto" w:sz="4" w:space="0"/>
              <w:left w:val="nil"/>
              <w:bottom w:val="single" w:color="auto" w:sz="4" w:space="0"/>
              <w:right w:val="single" w:color="auto" w:sz="4" w:space="0"/>
            </w:tcBorders>
            <w:noWrap w:val="0"/>
            <w:vAlign w:val="center"/>
          </w:tcPr>
          <w:p w14:paraId="608A44BD">
            <w:pPr>
              <w:ind w:firstLine="0" w:firstLineChars="0"/>
              <w:rPr>
                <w:color w:val="auto"/>
              </w:rPr>
            </w:pPr>
            <w:r>
              <w:rPr>
                <w:rFonts w:hint="eastAsia"/>
                <w:color w:val="auto"/>
              </w:rPr>
              <w:t>旅游产品-旅游线路</w:t>
            </w:r>
          </w:p>
        </w:tc>
        <w:tc>
          <w:tcPr>
            <w:tcW w:w="6057" w:type="dxa"/>
            <w:tcBorders>
              <w:top w:val="single" w:color="auto" w:sz="4" w:space="0"/>
              <w:left w:val="nil"/>
              <w:bottom w:val="single" w:color="auto" w:sz="4" w:space="0"/>
              <w:right w:val="single" w:color="auto" w:sz="4" w:space="0"/>
            </w:tcBorders>
            <w:noWrap w:val="0"/>
            <w:vAlign w:val="center"/>
          </w:tcPr>
          <w:p w14:paraId="76DC922A">
            <w:pPr>
              <w:ind w:firstLine="0" w:firstLineChars="0"/>
              <w:rPr>
                <w:color w:val="auto"/>
              </w:rPr>
            </w:pPr>
            <w:r>
              <w:rPr>
                <w:rFonts w:hint="eastAsia"/>
                <w:color w:val="auto"/>
              </w:rPr>
              <w:t>1.汇聚上海全市旅游线路信息，包括名称、主题、类型、行政区域、等级、天数、目标客群等数据；</w:t>
            </w:r>
            <w:r>
              <w:rPr>
                <w:rFonts w:hint="eastAsia"/>
                <w:color w:val="auto"/>
              </w:rPr>
              <w:br w:type="textWrapping"/>
            </w:r>
            <w:r>
              <w:rPr>
                <w:rFonts w:hint="eastAsia"/>
                <w:color w:val="auto"/>
              </w:rPr>
              <w:t>2.用户可对工业旅游路线、科普旅游路线、红色旅游路线、乡村游路线等旅游线路进行单项新增、编辑、批量导入导出等操作，并按名称、行政区域、主题、等级等条件进行查询。</w:t>
            </w:r>
          </w:p>
        </w:tc>
      </w:tr>
      <w:tr w14:paraId="3525B1D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75FEC4F">
            <w:pPr>
              <w:ind w:firstLine="0" w:firstLineChars="0"/>
              <w:rPr>
                <w:color w:val="auto"/>
              </w:rPr>
            </w:pPr>
            <w:r>
              <w:rPr>
                <w:rFonts w:hint="eastAsia"/>
                <w:color w:val="auto"/>
              </w:rPr>
              <w:t>46</w:t>
            </w:r>
          </w:p>
        </w:tc>
        <w:tc>
          <w:tcPr>
            <w:tcW w:w="1559" w:type="dxa"/>
            <w:tcBorders>
              <w:top w:val="single" w:color="auto" w:sz="4" w:space="0"/>
              <w:left w:val="nil"/>
              <w:bottom w:val="single" w:color="auto" w:sz="4" w:space="0"/>
              <w:right w:val="single" w:color="auto" w:sz="4" w:space="0"/>
            </w:tcBorders>
            <w:noWrap w:val="0"/>
            <w:vAlign w:val="center"/>
          </w:tcPr>
          <w:p w14:paraId="2B1ED575">
            <w:pPr>
              <w:ind w:firstLine="0" w:firstLineChars="0"/>
              <w:rPr>
                <w:color w:val="auto"/>
              </w:rPr>
            </w:pPr>
            <w:r>
              <w:rPr>
                <w:rFonts w:hint="eastAsia"/>
                <w:color w:val="auto"/>
              </w:rPr>
              <w:t>旅游产品-文创礼物</w:t>
            </w:r>
          </w:p>
        </w:tc>
        <w:tc>
          <w:tcPr>
            <w:tcW w:w="6057" w:type="dxa"/>
            <w:tcBorders>
              <w:top w:val="single" w:color="auto" w:sz="4" w:space="0"/>
              <w:left w:val="nil"/>
              <w:bottom w:val="single" w:color="auto" w:sz="4" w:space="0"/>
              <w:right w:val="single" w:color="auto" w:sz="4" w:space="0"/>
            </w:tcBorders>
            <w:noWrap w:val="0"/>
            <w:vAlign w:val="center"/>
          </w:tcPr>
          <w:p w14:paraId="12B7DD03">
            <w:pPr>
              <w:ind w:firstLine="0" w:firstLineChars="0"/>
              <w:rPr>
                <w:color w:val="auto"/>
              </w:rPr>
            </w:pPr>
            <w:r>
              <w:rPr>
                <w:rFonts w:hint="eastAsia"/>
                <w:color w:val="auto"/>
              </w:rPr>
              <w:t>1.汇聚上海全市文创礼物信息，包括名称、主题、类型、购买渠道、价格等；</w:t>
            </w:r>
            <w:r>
              <w:rPr>
                <w:rFonts w:hint="eastAsia"/>
                <w:color w:val="auto"/>
              </w:rPr>
              <w:br w:type="textWrapping"/>
            </w:r>
            <w:r>
              <w:rPr>
                <w:rFonts w:hint="eastAsia"/>
                <w:color w:val="auto"/>
              </w:rPr>
              <w:t>2.用户可对文创产品、上海礼物等旅游产品进行单项新增、编辑、批量导入导出等操作，并按名称、购买渠道、主题、类型等条件进行查询。</w:t>
            </w:r>
          </w:p>
        </w:tc>
      </w:tr>
      <w:tr w14:paraId="261FD0E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3917216">
            <w:pPr>
              <w:ind w:firstLine="0" w:firstLineChars="0"/>
              <w:rPr>
                <w:color w:val="auto"/>
              </w:rPr>
            </w:pPr>
            <w:r>
              <w:rPr>
                <w:rFonts w:hint="eastAsia"/>
                <w:color w:val="auto"/>
              </w:rPr>
              <w:t>47</w:t>
            </w:r>
          </w:p>
        </w:tc>
        <w:tc>
          <w:tcPr>
            <w:tcW w:w="1559" w:type="dxa"/>
            <w:tcBorders>
              <w:top w:val="single" w:color="auto" w:sz="4" w:space="0"/>
              <w:left w:val="nil"/>
              <w:bottom w:val="single" w:color="auto" w:sz="4" w:space="0"/>
              <w:right w:val="single" w:color="auto" w:sz="4" w:space="0"/>
            </w:tcBorders>
            <w:noWrap w:val="0"/>
            <w:vAlign w:val="center"/>
          </w:tcPr>
          <w:p w14:paraId="2D570987">
            <w:pPr>
              <w:ind w:firstLine="0" w:firstLineChars="0"/>
              <w:rPr>
                <w:color w:val="auto"/>
              </w:rPr>
            </w:pPr>
            <w:r>
              <w:rPr>
                <w:rFonts w:hint="eastAsia"/>
                <w:color w:val="auto"/>
              </w:rPr>
              <w:t>旅游产品-邮轮游船</w:t>
            </w:r>
          </w:p>
        </w:tc>
        <w:tc>
          <w:tcPr>
            <w:tcW w:w="6057" w:type="dxa"/>
            <w:tcBorders>
              <w:top w:val="single" w:color="auto" w:sz="4" w:space="0"/>
              <w:left w:val="nil"/>
              <w:bottom w:val="single" w:color="auto" w:sz="4" w:space="0"/>
              <w:right w:val="single" w:color="auto" w:sz="4" w:space="0"/>
            </w:tcBorders>
            <w:noWrap w:val="0"/>
            <w:vAlign w:val="center"/>
          </w:tcPr>
          <w:p w14:paraId="4E1C43BA">
            <w:pPr>
              <w:ind w:firstLine="0" w:firstLineChars="0"/>
              <w:rPr>
                <w:color w:val="auto"/>
              </w:rPr>
            </w:pPr>
            <w:r>
              <w:rPr>
                <w:rFonts w:hint="eastAsia"/>
                <w:color w:val="auto"/>
              </w:rPr>
              <w:t>1.汇聚上海全市邮轮游船旅游产品信息，包括名称、主题、航线时长、购买渠道、价格等；</w:t>
            </w:r>
            <w:r>
              <w:rPr>
                <w:rFonts w:hint="eastAsia"/>
                <w:color w:val="auto"/>
              </w:rPr>
              <w:br w:type="textWrapping"/>
            </w:r>
            <w:r>
              <w:rPr>
                <w:rFonts w:hint="eastAsia"/>
                <w:color w:val="auto"/>
              </w:rPr>
              <w:t>2.用户可对黄浦江游船、苏州河游船、邮轮游等旅游产品进行单项新增、编辑、批量导入导出等操作，并按名称、购买渠道、主题等条件进行查询。</w:t>
            </w:r>
          </w:p>
        </w:tc>
      </w:tr>
      <w:tr w14:paraId="5C829A01">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445392AA">
            <w:pPr>
              <w:ind w:firstLine="0" w:firstLineChars="0"/>
              <w:rPr>
                <w:color w:val="auto"/>
              </w:rPr>
            </w:pPr>
            <w:r>
              <w:rPr>
                <w:rFonts w:hint="eastAsia"/>
                <w:color w:val="auto"/>
              </w:rPr>
              <w:t>11、文旅一张图</w:t>
            </w:r>
          </w:p>
        </w:tc>
      </w:tr>
      <w:tr w14:paraId="65912D5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4621606">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7BC9280A">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7526D84A">
            <w:pPr>
              <w:ind w:firstLine="0" w:firstLineChars="0"/>
              <w:rPr>
                <w:color w:val="auto"/>
              </w:rPr>
            </w:pPr>
            <w:r>
              <w:rPr>
                <w:rFonts w:hint="eastAsia"/>
                <w:color w:val="auto"/>
              </w:rPr>
              <w:t>功能描述</w:t>
            </w:r>
          </w:p>
        </w:tc>
      </w:tr>
      <w:tr w14:paraId="2FAC4FA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449A757">
            <w:pPr>
              <w:ind w:firstLine="0" w:firstLineChars="0"/>
              <w:rPr>
                <w:color w:val="auto"/>
              </w:rPr>
            </w:pPr>
            <w:r>
              <w:rPr>
                <w:rFonts w:hint="eastAsia"/>
                <w:color w:val="auto"/>
              </w:rPr>
              <w:t>48</w:t>
            </w:r>
          </w:p>
        </w:tc>
        <w:tc>
          <w:tcPr>
            <w:tcW w:w="1559" w:type="dxa"/>
            <w:tcBorders>
              <w:top w:val="single" w:color="auto" w:sz="4" w:space="0"/>
              <w:left w:val="nil"/>
              <w:bottom w:val="single" w:color="auto" w:sz="4" w:space="0"/>
              <w:right w:val="single" w:color="auto" w:sz="4" w:space="0"/>
            </w:tcBorders>
            <w:noWrap w:val="0"/>
            <w:vAlign w:val="center"/>
          </w:tcPr>
          <w:p w14:paraId="5B95AEC3">
            <w:pPr>
              <w:ind w:firstLine="0" w:firstLineChars="0"/>
              <w:rPr>
                <w:color w:val="auto"/>
              </w:rPr>
            </w:pPr>
            <w:r>
              <w:rPr>
                <w:rFonts w:hint="eastAsia"/>
                <w:color w:val="auto"/>
              </w:rPr>
              <w:t>文旅资源展示-场馆设施</w:t>
            </w:r>
          </w:p>
        </w:tc>
        <w:tc>
          <w:tcPr>
            <w:tcW w:w="6057" w:type="dxa"/>
            <w:tcBorders>
              <w:top w:val="single" w:color="auto" w:sz="4" w:space="0"/>
              <w:left w:val="nil"/>
              <w:bottom w:val="single" w:color="auto" w:sz="4" w:space="0"/>
              <w:right w:val="single" w:color="auto" w:sz="4" w:space="0"/>
            </w:tcBorders>
            <w:noWrap w:val="0"/>
            <w:vAlign w:val="center"/>
          </w:tcPr>
          <w:p w14:paraId="267831F7">
            <w:pPr>
              <w:ind w:firstLine="0" w:firstLineChars="0"/>
              <w:rPr>
                <w:color w:val="auto"/>
              </w:rPr>
            </w:pPr>
            <w:r>
              <w:rPr>
                <w:rFonts w:hint="eastAsia"/>
                <w:color w:val="auto"/>
              </w:rPr>
              <w:t>展示上海全市文旅场馆设施、文化遗产、文旅产业、文旅机构等点位信息及基础信息，可按文旅细分领域对文旅资源点位进行分类查看。</w:t>
            </w:r>
          </w:p>
        </w:tc>
      </w:tr>
      <w:tr w14:paraId="4F71DBD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AE725DA">
            <w:pPr>
              <w:ind w:firstLine="0" w:firstLineChars="0"/>
              <w:rPr>
                <w:color w:val="auto"/>
              </w:rPr>
            </w:pPr>
            <w:r>
              <w:rPr>
                <w:rFonts w:hint="eastAsia"/>
                <w:color w:val="auto"/>
              </w:rPr>
              <w:t>49</w:t>
            </w:r>
          </w:p>
        </w:tc>
        <w:tc>
          <w:tcPr>
            <w:tcW w:w="1559" w:type="dxa"/>
            <w:tcBorders>
              <w:top w:val="single" w:color="auto" w:sz="4" w:space="0"/>
              <w:left w:val="nil"/>
              <w:bottom w:val="single" w:color="auto" w:sz="4" w:space="0"/>
              <w:right w:val="single" w:color="auto" w:sz="4" w:space="0"/>
            </w:tcBorders>
            <w:noWrap w:val="0"/>
            <w:vAlign w:val="center"/>
          </w:tcPr>
          <w:p w14:paraId="04685101">
            <w:pPr>
              <w:ind w:firstLine="0" w:firstLineChars="0"/>
              <w:rPr>
                <w:color w:val="auto"/>
              </w:rPr>
            </w:pPr>
            <w:r>
              <w:rPr>
                <w:rFonts w:hint="eastAsia"/>
                <w:color w:val="auto"/>
              </w:rPr>
              <w:t>文旅资源展示-文化遗产</w:t>
            </w:r>
          </w:p>
        </w:tc>
        <w:tc>
          <w:tcPr>
            <w:tcW w:w="6057" w:type="dxa"/>
            <w:tcBorders>
              <w:top w:val="single" w:color="auto" w:sz="4" w:space="0"/>
              <w:left w:val="nil"/>
              <w:bottom w:val="single" w:color="auto" w:sz="4" w:space="0"/>
              <w:right w:val="single" w:color="auto" w:sz="4" w:space="0"/>
            </w:tcBorders>
            <w:noWrap w:val="0"/>
            <w:vAlign w:val="center"/>
          </w:tcPr>
          <w:p w14:paraId="64E0CB6B">
            <w:pPr>
              <w:ind w:firstLine="0" w:firstLineChars="0"/>
              <w:rPr>
                <w:color w:val="auto"/>
              </w:rPr>
            </w:pPr>
            <w:r>
              <w:rPr>
                <w:rFonts w:hint="eastAsia"/>
                <w:color w:val="auto"/>
              </w:rPr>
              <w:t>可按公共文化、文化市场、旅游休闲、文旅资源分类查看对应地图，如博物馆、美术馆、图书馆、艺术馆、剧场、国家级旅游度假区等，展示其在全市分布数、情况。</w:t>
            </w:r>
          </w:p>
        </w:tc>
      </w:tr>
      <w:tr w14:paraId="37553EB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EBC8453">
            <w:pPr>
              <w:ind w:firstLine="0" w:firstLineChars="0"/>
              <w:rPr>
                <w:color w:val="auto"/>
              </w:rPr>
            </w:pPr>
            <w:r>
              <w:rPr>
                <w:rFonts w:hint="eastAsia"/>
                <w:color w:val="auto"/>
              </w:rPr>
              <w:t>50</w:t>
            </w:r>
          </w:p>
        </w:tc>
        <w:tc>
          <w:tcPr>
            <w:tcW w:w="1559" w:type="dxa"/>
            <w:tcBorders>
              <w:top w:val="single" w:color="auto" w:sz="4" w:space="0"/>
              <w:left w:val="nil"/>
              <w:bottom w:val="single" w:color="auto" w:sz="4" w:space="0"/>
              <w:right w:val="single" w:color="auto" w:sz="4" w:space="0"/>
            </w:tcBorders>
            <w:noWrap w:val="0"/>
            <w:vAlign w:val="center"/>
          </w:tcPr>
          <w:p w14:paraId="196F8560">
            <w:pPr>
              <w:ind w:firstLine="0" w:firstLineChars="0"/>
              <w:rPr>
                <w:color w:val="auto"/>
              </w:rPr>
            </w:pPr>
            <w:r>
              <w:rPr>
                <w:rFonts w:hint="eastAsia"/>
                <w:color w:val="auto"/>
              </w:rPr>
              <w:t>文旅资源展示-文旅产业</w:t>
            </w:r>
          </w:p>
        </w:tc>
        <w:tc>
          <w:tcPr>
            <w:tcW w:w="6057" w:type="dxa"/>
            <w:tcBorders>
              <w:top w:val="single" w:color="auto" w:sz="4" w:space="0"/>
              <w:left w:val="nil"/>
              <w:bottom w:val="single" w:color="auto" w:sz="4" w:space="0"/>
              <w:right w:val="single" w:color="auto" w:sz="4" w:space="0"/>
            </w:tcBorders>
            <w:noWrap w:val="0"/>
            <w:vAlign w:val="center"/>
          </w:tcPr>
          <w:p w14:paraId="5BB10F89">
            <w:pPr>
              <w:ind w:firstLine="0" w:firstLineChars="0"/>
              <w:rPr>
                <w:color w:val="auto"/>
              </w:rPr>
            </w:pPr>
            <w:r>
              <w:rPr>
                <w:rFonts w:hint="eastAsia"/>
                <w:color w:val="auto"/>
              </w:rPr>
              <w:t>打造上海文旅产业地图，围绕重点细分领域，分类展现产业聚集情况、招商情况等。可按集聚空间、投资项目、扶持资金分类查看对应地图，如国家级文化产业示范园区、国家级夜间文化和旅游消费集聚区、文化产业赋能乡村振兴试点区、广播电视和网络试听产业园区等，展示其在全市分布数、情况。</w:t>
            </w:r>
          </w:p>
        </w:tc>
      </w:tr>
      <w:tr w14:paraId="0B9214D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03FC75F">
            <w:pPr>
              <w:ind w:firstLine="0" w:firstLineChars="0"/>
              <w:rPr>
                <w:color w:val="auto"/>
              </w:rPr>
            </w:pPr>
            <w:r>
              <w:rPr>
                <w:rFonts w:hint="eastAsia"/>
                <w:color w:val="auto"/>
              </w:rPr>
              <w:t>51</w:t>
            </w:r>
          </w:p>
        </w:tc>
        <w:tc>
          <w:tcPr>
            <w:tcW w:w="1559" w:type="dxa"/>
            <w:tcBorders>
              <w:top w:val="single" w:color="auto" w:sz="4" w:space="0"/>
              <w:left w:val="nil"/>
              <w:bottom w:val="single" w:color="auto" w:sz="4" w:space="0"/>
              <w:right w:val="single" w:color="auto" w:sz="4" w:space="0"/>
            </w:tcBorders>
            <w:noWrap w:val="0"/>
            <w:vAlign w:val="center"/>
          </w:tcPr>
          <w:p w14:paraId="0474F244">
            <w:pPr>
              <w:ind w:firstLine="0" w:firstLineChars="0"/>
              <w:rPr>
                <w:color w:val="auto"/>
              </w:rPr>
            </w:pPr>
            <w:r>
              <w:rPr>
                <w:rFonts w:hint="eastAsia"/>
                <w:color w:val="auto"/>
              </w:rPr>
              <w:t>文旅资源展示-文旅机构</w:t>
            </w:r>
          </w:p>
        </w:tc>
        <w:tc>
          <w:tcPr>
            <w:tcW w:w="6057" w:type="dxa"/>
            <w:tcBorders>
              <w:top w:val="single" w:color="auto" w:sz="4" w:space="0"/>
              <w:left w:val="nil"/>
              <w:bottom w:val="single" w:color="auto" w:sz="4" w:space="0"/>
              <w:right w:val="single" w:color="auto" w:sz="4" w:space="0"/>
            </w:tcBorders>
            <w:noWrap w:val="0"/>
            <w:vAlign w:val="center"/>
          </w:tcPr>
          <w:p w14:paraId="423B170B">
            <w:pPr>
              <w:ind w:firstLine="0" w:firstLineChars="0"/>
              <w:rPr>
                <w:color w:val="auto"/>
              </w:rPr>
            </w:pPr>
            <w:r>
              <w:rPr>
                <w:rFonts w:hint="eastAsia"/>
                <w:color w:val="auto"/>
              </w:rPr>
              <w:t>可按演出机构、艺术品机构、旅游机构、广电机构、社会团体分类查看对应地图，如文艺表演团体、画廊、艺术品拍卖机构、文物艺术品拍卖机构、旅行社、广播电视播出机构、文旅/广电/文物领域各类社会团体等，展示其在全市分布数、情况。</w:t>
            </w:r>
          </w:p>
        </w:tc>
      </w:tr>
      <w:tr w14:paraId="645A8DB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310A689">
            <w:pPr>
              <w:ind w:firstLine="0" w:firstLineChars="0"/>
              <w:rPr>
                <w:color w:val="auto"/>
              </w:rPr>
            </w:pPr>
            <w:r>
              <w:rPr>
                <w:rFonts w:hint="eastAsia"/>
                <w:color w:val="auto"/>
              </w:rPr>
              <w:t>52</w:t>
            </w:r>
          </w:p>
        </w:tc>
        <w:tc>
          <w:tcPr>
            <w:tcW w:w="1559" w:type="dxa"/>
            <w:tcBorders>
              <w:top w:val="single" w:color="auto" w:sz="4" w:space="0"/>
              <w:left w:val="nil"/>
              <w:bottom w:val="single" w:color="auto" w:sz="4" w:space="0"/>
              <w:right w:val="single" w:color="auto" w:sz="4" w:space="0"/>
            </w:tcBorders>
            <w:noWrap w:val="0"/>
            <w:vAlign w:val="center"/>
          </w:tcPr>
          <w:p w14:paraId="4D79DFD4">
            <w:pPr>
              <w:ind w:firstLine="0" w:firstLineChars="0"/>
              <w:rPr>
                <w:color w:val="auto"/>
              </w:rPr>
            </w:pPr>
            <w:r>
              <w:rPr>
                <w:rFonts w:hint="eastAsia"/>
                <w:color w:val="auto"/>
              </w:rPr>
              <w:t>时空信息匹配-文旅活动</w:t>
            </w:r>
          </w:p>
        </w:tc>
        <w:tc>
          <w:tcPr>
            <w:tcW w:w="6057" w:type="dxa"/>
            <w:tcBorders>
              <w:top w:val="single" w:color="auto" w:sz="4" w:space="0"/>
              <w:left w:val="nil"/>
              <w:bottom w:val="single" w:color="auto" w:sz="4" w:space="0"/>
              <w:right w:val="single" w:color="auto" w:sz="4" w:space="0"/>
            </w:tcBorders>
            <w:noWrap w:val="0"/>
            <w:vAlign w:val="center"/>
          </w:tcPr>
          <w:p w14:paraId="6E9F9D14">
            <w:pPr>
              <w:ind w:firstLine="0" w:firstLineChars="0"/>
              <w:rPr>
                <w:color w:val="auto"/>
              </w:rPr>
            </w:pPr>
            <w:r>
              <w:rPr>
                <w:rFonts w:hint="eastAsia"/>
                <w:color w:val="auto"/>
              </w:rPr>
              <w:t>针对文化场馆等涉及举办文旅活动的文旅资源点位，点击具体某一点位后可查阅其近期举办的文旅活动信息，包括文旅活动名称、时间、具体地址、活动主题等。</w:t>
            </w:r>
          </w:p>
        </w:tc>
      </w:tr>
      <w:tr w14:paraId="4838199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1C51CFE">
            <w:pPr>
              <w:ind w:firstLine="0" w:firstLineChars="0"/>
              <w:rPr>
                <w:color w:val="auto"/>
              </w:rPr>
            </w:pPr>
            <w:r>
              <w:rPr>
                <w:rFonts w:hint="eastAsia"/>
                <w:color w:val="auto"/>
              </w:rPr>
              <w:t>53</w:t>
            </w:r>
          </w:p>
        </w:tc>
        <w:tc>
          <w:tcPr>
            <w:tcW w:w="1559" w:type="dxa"/>
            <w:tcBorders>
              <w:top w:val="single" w:color="auto" w:sz="4" w:space="0"/>
              <w:left w:val="nil"/>
              <w:bottom w:val="single" w:color="auto" w:sz="4" w:space="0"/>
              <w:right w:val="single" w:color="auto" w:sz="4" w:space="0"/>
            </w:tcBorders>
            <w:noWrap w:val="0"/>
            <w:vAlign w:val="center"/>
          </w:tcPr>
          <w:p w14:paraId="369247AF">
            <w:pPr>
              <w:ind w:firstLine="0" w:firstLineChars="0"/>
              <w:rPr>
                <w:color w:val="auto"/>
              </w:rPr>
            </w:pPr>
            <w:r>
              <w:rPr>
                <w:rFonts w:hint="eastAsia"/>
                <w:color w:val="auto"/>
              </w:rPr>
              <w:t>时空信息匹配-旅游产品</w:t>
            </w:r>
          </w:p>
        </w:tc>
        <w:tc>
          <w:tcPr>
            <w:tcW w:w="6057" w:type="dxa"/>
            <w:tcBorders>
              <w:top w:val="single" w:color="auto" w:sz="4" w:space="0"/>
              <w:left w:val="nil"/>
              <w:bottom w:val="single" w:color="auto" w:sz="4" w:space="0"/>
              <w:right w:val="single" w:color="auto" w:sz="4" w:space="0"/>
            </w:tcBorders>
            <w:noWrap w:val="0"/>
            <w:vAlign w:val="center"/>
          </w:tcPr>
          <w:p w14:paraId="5B8645BA">
            <w:pPr>
              <w:ind w:firstLine="0" w:firstLineChars="0"/>
              <w:rPr>
                <w:color w:val="auto"/>
              </w:rPr>
            </w:pPr>
            <w:r>
              <w:rPr>
                <w:rFonts w:hint="eastAsia"/>
                <w:color w:val="auto"/>
              </w:rPr>
              <w:t>针对旅行社等涉及旅游产品的文旅资源点位，点击具体某一点位后可查阅其近期发布的旅游产品，包括旅游产品名称、线路、天数、票价、适用人群等。</w:t>
            </w:r>
          </w:p>
        </w:tc>
      </w:tr>
      <w:tr w14:paraId="7F4C705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97A97C2">
            <w:pPr>
              <w:ind w:firstLine="0" w:firstLineChars="0"/>
              <w:rPr>
                <w:color w:val="auto"/>
              </w:rPr>
            </w:pPr>
            <w:r>
              <w:rPr>
                <w:rFonts w:hint="eastAsia"/>
                <w:color w:val="auto"/>
              </w:rPr>
              <w:t>54</w:t>
            </w:r>
          </w:p>
        </w:tc>
        <w:tc>
          <w:tcPr>
            <w:tcW w:w="1559" w:type="dxa"/>
            <w:tcBorders>
              <w:top w:val="single" w:color="auto" w:sz="4" w:space="0"/>
              <w:left w:val="nil"/>
              <w:bottom w:val="single" w:color="auto" w:sz="4" w:space="0"/>
              <w:right w:val="single" w:color="auto" w:sz="4" w:space="0"/>
            </w:tcBorders>
            <w:noWrap w:val="0"/>
            <w:vAlign w:val="center"/>
          </w:tcPr>
          <w:p w14:paraId="4F940F91">
            <w:pPr>
              <w:ind w:firstLine="0" w:firstLineChars="0"/>
              <w:rPr>
                <w:color w:val="auto"/>
              </w:rPr>
            </w:pPr>
            <w:r>
              <w:rPr>
                <w:rFonts w:hint="eastAsia"/>
                <w:color w:val="auto"/>
              </w:rPr>
              <w:t>时空信息匹配-客流监测</w:t>
            </w:r>
          </w:p>
        </w:tc>
        <w:tc>
          <w:tcPr>
            <w:tcW w:w="6057" w:type="dxa"/>
            <w:tcBorders>
              <w:top w:val="single" w:color="auto" w:sz="4" w:space="0"/>
              <w:left w:val="nil"/>
              <w:bottom w:val="single" w:color="auto" w:sz="4" w:space="0"/>
              <w:right w:val="single" w:color="auto" w:sz="4" w:space="0"/>
            </w:tcBorders>
            <w:noWrap w:val="0"/>
            <w:vAlign w:val="center"/>
          </w:tcPr>
          <w:p w14:paraId="00C64E48">
            <w:pPr>
              <w:ind w:firstLine="0" w:firstLineChars="0"/>
              <w:rPr>
                <w:color w:val="auto"/>
              </w:rPr>
            </w:pPr>
            <w:r>
              <w:rPr>
                <w:rFonts w:hint="eastAsia"/>
                <w:color w:val="auto"/>
              </w:rPr>
              <w:t>针对景区等涉及游客客流的文旅资源点位，点击具体某一点位后可查阅其当前实时客流数据。</w:t>
            </w:r>
          </w:p>
        </w:tc>
      </w:tr>
      <w:tr w14:paraId="13E348C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949D0F1">
            <w:pPr>
              <w:ind w:firstLine="0" w:firstLineChars="0"/>
              <w:rPr>
                <w:color w:val="auto"/>
              </w:rPr>
            </w:pPr>
            <w:r>
              <w:rPr>
                <w:rFonts w:hint="eastAsia"/>
                <w:color w:val="auto"/>
              </w:rPr>
              <w:t>55</w:t>
            </w:r>
          </w:p>
        </w:tc>
        <w:tc>
          <w:tcPr>
            <w:tcW w:w="1559" w:type="dxa"/>
            <w:tcBorders>
              <w:top w:val="single" w:color="auto" w:sz="4" w:space="0"/>
              <w:left w:val="nil"/>
              <w:bottom w:val="single" w:color="auto" w:sz="4" w:space="0"/>
              <w:right w:val="single" w:color="auto" w:sz="4" w:space="0"/>
            </w:tcBorders>
            <w:noWrap w:val="0"/>
            <w:vAlign w:val="center"/>
          </w:tcPr>
          <w:p w14:paraId="706BA46F">
            <w:pPr>
              <w:ind w:firstLine="0" w:firstLineChars="0"/>
              <w:rPr>
                <w:color w:val="auto"/>
              </w:rPr>
            </w:pPr>
            <w:r>
              <w:rPr>
                <w:rFonts w:hint="eastAsia"/>
                <w:color w:val="auto"/>
              </w:rPr>
              <w:t>时空信息匹配-视频监控</w:t>
            </w:r>
          </w:p>
        </w:tc>
        <w:tc>
          <w:tcPr>
            <w:tcW w:w="6057" w:type="dxa"/>
            <w:tcBorders>
              <w:top w:val="single" w:color="auto" w:sz="4" w:space="0"/>
              <w:left w:val="nil"/>
              <w:bottom w:val="single" w:color="auto" w:sz="4" w:space="0"/>
              <w:right w:val="single" w:color="auto" w:sz="4" w:space="0"/>
            </w:tcBorders>
            <w:noWrap w:val="0"/>
            <w:vAlign w:val="center"/>
          </w:tcPr>
          <w:p w14:paraId="7AB78ECD">
            <w:pPr>
              <w:ind w:firstLine="0" w:firstLineChars="0"/>
              <w:rPr>
                <w:color w:val="auto"/>
              </w:rPr>
            </w:pPr>
            <w:r>
              <w:rPr>
                <w:rFonts w:hint="eastAsia"/>
                <w:color w:val="auto"/>
              </w:rPr>
              <w:t>针对场馆等涉及游客聚集的文旅资源点位，点击具体某一点位后可查阅其场所内重要位置的实时视频监控画面。</w:t>
            </w:r>
          </w:p>
        </w:tc>
      </w:tr>
      <w:tr w14:paraId="6246495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9857D15">
            <w:pPr>
              <w:ind w:firstLine="0" w:firstLineChars="0"/>
              <w:rPr>
                <w:color w:val="auto"/>
              </w:rPr>
            </w:pPr>
            <w:r>
              <w:rPr>
                <w:rFonts w:hint="eastAsia"/>
                <w:color w:val="auto"/>
              </w:rPr>
              <w:t>56</w:t>
            </w:r>
          </w:p>
        </w:tc>
        <w:tc>
          <w:tcPr>
            <w:tcW w:w="1559" w:type="dxa"/>
            <w:tcBorders>
              <w:top w:val="single" w:color="auto" w:sz="4" w:space="0"/>
              <w:left w:val="nil"/>
              <w:bottom w:val="single" w:color="auto" w:sz="4" w:space="0"/>
              <w:right w:val="single" w:color="auto" w:sz="4" w:space="0"/>
            </w:tcBorders>
            <w:noWrap w:val="0"/>
            <w:vAlign w:val="center"/>
          </w:tcPr>
          <w:p w14:paraId="1D774035">
            <w:pPr>
              <w:ind w:firstLine="0" w:firstLineChars="0"/>
              <w:rPr>
                <w:color w:val="auto"/>
              </w:rPr>
            </w:pPr>
            <w:r>
              <w:rPr>
                <w:rFonts w:hint="eastAsia"/>
                <w:color w:val="auto"/>
              </w:rPr>
              <w:t>一张图交互-点位周边分析</w:t>
            </w:r>
          </w:p>
        </w:tc>
        <w:tc>
          <w:tcPr>
            <w:tcW w:w="6057" w:type="dxa"/>
            <w:tcBorders>
              <w:top w:val="single" w:color="auto" w:sz="4" w:space="0"/>
              <w:left w:val="nil"/>
              <w:bottom w:val="single" w:color="auto" w:sz="4" w:space="0"/>
              <w:right w:val="single" w:color="auto" w:sz="4" w:space="0"/>
            </w:tcBorders>
            <w:noWrap w:val="0"/>
            <w:vAlign w:val="center"/>
          </w:tcPr>
          <w:p w14:paraId="4D641D96">
            <w:pPr>
              <w:ind w:firstLine="0" w:firstLineChars="0"/>
              <w:rPr>
                <w:color w:val="auto"/>
              </w:rPr>
            </w:pPr>
            <w:r>
              <w:rPr>
                <w:rFonts w:hint="eastAsia"/>
                <w:color w:val="auto"/>
              </w:rPr>
              <w:t>针对某一文旅资源点位周围1km、5km内，涉及“吃、住、行、游、购、娱”的设施资源进行智能分析，辅助管理人员对文旅资源的统一调配。</w:t>
            </w:r>
          </w:p>
        </w:tc>
      </w:tr>
      <w:tr w14:paraId="1C35FBB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88E4C86">
            <w:pPr>
              <w:ind w:firstLine="0" w:firstLineChars="0"/>
              <w:rPr>
                <w:color w:val="auto"/>
              </w:rPr>
            </w:pPr>
            <w:r>
              <w:rPr>
                <w:rFonts w:hint="eastAsia"/>
                <w:color w:val="auto"/>
              </w:rPr>
              <w:t>57</w:t>
            </w:r>
          </w:p>
        </w:tc>
        <w:tc>
          <w:tcPr>
            <w:tcW w:w="1559" w:type="dxa"/>
            <w:tcBorders>
              <w:top w:val="single" w:color="auto" w:sz="4" w:space="0"/>
              <w:left w:val="nil"/>
              <w:bottom w:val="single" w:color="auto" w:sz="4" w:space="0"/>
              <w:right w:val="single" w:color="auto" w:sz="4" w:space="0"/>
            </w:tcBorders>
            <w:noWrap w:val="0"/>
            <w:vAlign w:val="center"/>
          </w:tcPr>
          <w:p w14:paraId="1AC3FC77">
            <w:pPr>
              <w:ind w:firstLine="0" w:firstLineChars="0"/>
              <w:rPr>
                <w:color w:val="auto"/>
              </w:rPr>
            </w:pPr>
            <w:r>
              <w:rPr>
                <w:rFonts w:hint="eastAsia"/>
                <w:color w:val="auto"/>
              </w:rPr>
              <w:t>一张图交互-划区规划分析</w:t>
            </w:r>
          </w:p>
        </w:tc>
        <w:tc>
          <w:tcPr>
            <w:tcW w:w="6057" w:type="dxa"/>
            <w:tcBorders>
              <w:top w:val="single" w:color="auto" w:sz="4" w:space="0"/>
              <w:left w:val="nil"/>
              <w:bottom w:val="single" w:color="auto" w:sz="4" w:space="0"/>
              <w:right w:val="single" w:color="auto" w:sz="4" w:space="0"/>
            </w:tcBorders>
            <w:noWrap w:val="0"/>
            <w:vAlign w:val="center"/>
          </w:tcPr>
          <w:p w14:paraId="39513BFE">
            <w:pPr>
              <w:ind w:firstLine="0" w:firstLineChars="0"/>
              <w:rPr>
                <w:color w:val="auto"/>
              </w:rPr>
            </w:pPr>
            <w:r>
              <w:rPr>
                <w:rFonts w:hint="eastAsia"/>
                <w:color w:val="auto"/>
              </w:rPr>
              <w:t>根据行政区、街镇等维度进行区域划分，并智能分析该区域内涉及“吃、住、行、游、购、娱”的设施资源分配情况，辅助管理人员进行资源分配。</w:t>
            </w:r>
          </w:p>
        </w:tc>
      </w:tr>
      <w:tr w14:paraId="79F0F77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2A70E85">
            <w:pPr>
              <w:ind w:firstLine="0" w:firstLineChars="0"/>
              <w:rPr>
                <w:color w:val="auto"/>
              </w:rPr>
            </w:pPr>
            <w:r>
              <w:rPr>
                <w:rFonts w:hint="eastAsia"/>
                <w:color w:val="auto"/>
              </w:rPr>
              <w:t>58</w:t>
            </w:r>
          </w:p>
        </w:tc>
        <w:tc>
          <w:tcPr>
            <w:tcW w:w="1559" w:type="dxa"/>
            <w:tcBorders>
              <w:top w:val="single" w:color="auto" w:sz="4" w:space="0"/>
              <w:left w:val="nil"/>
              <w:bottom w:val="single" w:color="auto" w:sz="4" w:space="0"/>
              <w:right w:val="single" w:color="auto" w:sz="4" w:space="0"/>
            </w:tcBorders>
            <w:noWrap w:val="0"/>
            <w:vAlign w:val="center"/>
          </w:tcPr>
          <w:p w14:paraId="426A0D50">
            <w:pPr>
              <w:ind w:firstLine="0" w:firstLineChars="0"/>
              <w:rPr>
                <w:color w:val="auto"/>
              </w:rPr>
            </w:pPr>
            <w:r>
              <w:rPr>
                <w:rFonts w:hint="eastAsia"/>
                <w:color w:val="auto"/>
              </w:rPr>
              <w:t>一张图交互-整体产业分析</w:t>
            </w:r>
          </w:p>
        </w:tc>
        <w:tc>
          <w:tcPr>
            <w:tcW w:w="6057" w:type="dxa"/>
            <w:tcBorders>
              <w:top w:val="single" w:color="auto" w:sz="4" w:space="0"/>
              <w:left w:val="nil"/>
              <w:bottom w:val="single" w:color="auto" w:sz="4" w:space="0"/>
              <w:right w:val="single" w:color="auto" w:sz="4" w:space="0"/>
            </w:tcBorders>
            <w:noWrap w:val="0"/>
            <w:vAlign w:val="center"/>
          </w:tcPr>
          <w:p w14:paraId="46189665">
            <w:pPr>
              <w:ind w:firstLine="0" w:firstLineChars="0"/>
              <w:rPr>
                <w:color w:val="auto"/>
              </w:rPr>
            </w:pPr>
            <w:r>
              <w:rPr>
                <w:rFonts w:hint="eastAsia"/>
                <w:color w:val="auto"/>
              </w:rPr>
              <w:t>根据上海全市文旅相关基础设施的布局、密度、类型等数据信息，智能分析上海市文旅产业整体情况，辅助文旅局进行整体性文旅产业相关规划。</w:t>
            </w:r>
          </w:p>
        </w:tc>
      </w:tr>
      <w:tr w14:paraId="5A0D9C69">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06B6FD09">
            <w:pPr>
              <w:ind w:firstLine="0" w:firstLineChars="0"/>
              <w:rPr>
                <w:color w:val="auto"/>
              </w:rPr>
            </w:pPr>
            <w:r>
              <w:rPr>
                <w:rFonts w:hint="eastAsia"/>
                <w:color w:val="auto"/>
              </w:rPr>
              <w:t>12、文物管理系统</w:t>
            </w:r>
          </w:p>
        </w:tc>
      </w:tr>
      <w:tr w14:paraId="55F853B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CFB941C">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760E5852">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2675A772">
            <w:pPr>
              <w:ind w:firstLine="0" w:firstLineChars="0"/>
              <w:rPr>
                <w:color w:val="auto"/>
              </w:rPr>
            </w:pPr>
            <w:r>
              <w:rPr>
                <w:rFonts w:hint="eastAsia"/>
                <w:color w:val="auto"/>
              </w:rPr>
              <w:t>功能描述</w:t>
            </w:r>
          </w:p>
        </w:tc>
      </w:tr>
      <w:tr w14:paraId="767F45D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182BDC7">
            <w:pPr>
              <w:ind w:firstLine="0" w:firstLineChars="0"/>
              <w:rPr>
                <w:color w:val="auto"/>
              </w:rPr>
            </w:pPr>
            <w:r>
              <w:rPr>
                <w:rFonts w:hint="eastAsia"/>
                <w:color w:val="auto"/>
              </w:rPr>
              <w:t>59</w:t>
            </w:r>
          </w:p>
        </w:tc>
        <w:tc>
          <w:tcPr>
            <w:tcW w:w="1559" w:type="dxa"/>
            <w:tcBorders>
              <w:top w:val="single" w:color="auto" w:sz="4" w:space="0"/>
              <w:left w:val="nil"/>
              <w:bottom w:val="single" w:color="auto" w:sz="4" w:space="0"/>
              <w:right w:val="single" w:color="auto" w:sz="4" w:space="0"/>
            </w:tcBorders>
            <w:noWrap w:val="0"/>
            <w:vAlign w:val="center"/>
          </w:tcPr>
          <w:p w14:paraId="5671A35A">
            <w:pPr>
              <w:ind w:firstLine="0" w:firstLineChars="0"/>
              <w:rPr>
                <w:color w:val="auto"/>
              </w:rPr>
            </w:pPr>
            <w:r>
              <w:rPr>
                <w:rFonts w:hint="eastAsia"/>
                <w:color w:val="auto"/>
              </w:rPr>
              <w:t>文物总览</w:t>
            </w:r>
          </w:p>
        </w:tc>
        <w:tc>
          <w:tcPr>
            <w:tcW w:w="6057" w:type="dxa"/>
            <w:tcBorders>
              <w:top w:val="single" w:color="auto" w:sz="4" w:space="0"/>
              <w:left w:val="nil"/>
              <w:bottom w:val="single" w:color="auto" w:sz="4" w:space="0"/>
              <w:right w:val="single" w:color="auto" w:sz="4" w:space="0"/>
            </w:tcBorders>
            <w:noWrap w:val="0"/>
            <w:vAlign w:val="center"/>
          </w:tcPr>
          <w:p w14:paraId="2FA38835">
            <w:pPr>
              <w:ind w:firstLine="0" w:firstLineChars="0"/>
              <w:rPr>
                <w:color w:val="auto"/>
              </w:rPr>
            </w:pPr>
            <w:r>
              <w:rPr>
                <w:rFonts w:hint="eastAsia"/>
                <w:color w:val="auto"/>
              </w:rPr>
              <w:t>采用柱状图、折线图、饼图、地图等多种图表形式，直观展示不可移动文物的数量统计、分布情况，馆藏文物信息概览、文物状态，文物拍卖申请数量与审批结果等数据数据指标。</w:t>
            </w:r>
          </w:p>
        </w:tc>
      </w:tr>
      <w:tr w14:paraId="369D20D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C0BF366">
            <w:pPr>
              <w:ind w:firstLine="0" w:firstLineChars="0"/>
              <w:rPr>
                <w:color w:val="auto"/>
              </w:rPr>
            </w:pPr>
            <w:r>
              <w:rPr>
                <w:rFonts w:hint="eastAsia"/>
                <w:color w:val="auto"/>
              </w:rPr>
              <w:t>60</w:t>
            </w:r>
          </w:p>
        </w:tc>
        <w:tc>
          <w:tcPr>
            <w:tcW w:w="1559" w:type="dxa"/>
            <w:tcBorders>
              <w:top w:val="single" w:color="auto" w:sz="4" w:space="0"/>
              <w:left w:val="nil"/>
              <w:bottom w:val="single" w:color="auto" w:sz="4" w:space="0"/>
              <w:right w:val="single" w:color="auto" w:sz="4" w:space="0"/>
            </w:tcBorders>
            <w:noWrap w:val="0"/>
            <w:vAlign w:val="center"/>
          </w:tcPr>
          <w:p w14:paraId="07D90BF5">
            <w:pPr>
              <w:ind w:firstLine="0" w:firstLineChars="0"/>
              <w:rPr>
                <w:color w:val="auto"/>
              </w:rPr>
            </w:pPr>
            <w:r>
              <w:rPr>
                <w:rFonts w:hint="eastAsia"/>
                <w:color w:val="auto"/>
              </w:rPr>
              <w:t>不可移动文物管理</w:t>
            </w:r>
          </w:p>
        </w:tc>
        <w:tc>
          <w:tcPr>
            <w:tcW w:w="6057" w:type="dxa"/>
            <w:tcBorders>
              <w:top w:val="single" w:color="auto" w:sz="4" w:space="0"/>
              <w:left w:val="nil"/>
              <w:bottom w:val="single" w:color="auto" w:sz="4" w:space="0"/>
              <w:right w:val="single" w:color="auto" w:sz="4" w:space="0"/>
            </w:tcBorders>
            <w:noWrap w:val="0"/>
            <w:vAlign w:val="center"/>
          </w:tcPr>
          <w:p w14:paraId="7F206FF8">
            <w:pPr>
              <w:ind w:firstLine="0" w:firstLineChars="0"/>
              <w:rPr>
                <w:color w:val="auto"/>
              </w:rPr>
            </w:pPr>
            <w:r>
              <w:rPr>
                <w:rFonts w:hint="eastAsia"/>
                <w:color w:val="auto"/>
              </w:rPr>
              <w:t>处室对不可移动文物的信息进行新增、修改、删除、查看的管理，主要信息包含：名称、地址及位置、本体边界坐标、面积、文物级别、保护区划、年代、类别等。</w:t>
            </w:r>
          </w:p>
        </w:tc>
      </w:tr>
      <w:tr w14:paraId="0DFDD72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91D89C0">
            <w:pPr>
              <w:ind w:firstLine="0" w:firstLineChars="0"/>
              <w:rPr>
                <w:color w:val="auto"/>
              </w:rPr>
            </w:pPr>
            <w:r>
              <w:rPr>
                <w:rFonts w:hint="eastAsia"/>
                <w:color w:val="auto"/>
              </w:rPr>
              <w:t>61</w:t>
            </w:r>
          </w:p>
        </w:tc>
        <w:tc>
          <w:tcPr>
            <w:tcW w:w="1559" w:type="dxa"/>
            <w:tcBorders>
              <w:top w:val="single" w:color="auto" w:sz="4" w:space="0"/>
              <w:left w:val="nil"/>
              <w:bottom w:val="single" w:color="auto" w:sz="4" w:space="0"/>
              <w:right w:val="single" w:color="auto" w:sz="4" w:space="0"/>
            </w:tcBorders>
            <w:noWrap w:val="0"/>
            <w:vAlign w:val="center"/>
          </w:tcPr>
          <w:p w14:paraId="1F1D0436">
            <w:pPr>
              <w:ind w:firstLine="0" w:firstLineChars="0"/>
              <w:rPr>
                <w:color w:val="auto"/>
              </w:rPr>
            </w:pPr>
            <w:r>
              <w:rPr>
                <w:rFonts w:hint="eastAsia"/>
                <w:color w:val="auto"/>
              </w:rPr>
              <w:t>馆藏文物管理</w:t>
            </w:r>
          </w:p>
        </w:tc>
        <w:tc>
          <w:tcPr>
            <w:tcW w:w="6057" w:type="dxa"/>
            <w:tcBorders>
              <w:top w:val="single" w:color="auto" w:sz="4" w:space="0"/>
              <w:left w:val="nil"/>
              <w:bottom w:val="single" w:color="auto" w:sz="4" w:space="0"/>
              <w:right w:val="single" w:color="auto" w:sz="4" w:space="0"/>
            </w:tcBorders>
            <w:noWrap w:val="0"/>
            <w:vAlign w:val="center"/>
          </w:tcPr>
          <w:p w14:paraId="2A5D5A98">
            <w:pPr>
              <w:ind w:firstLine="0" w:firstLineChars="0"/>
              <w:rPr>
                <w:color w:val="auto"/>
              </w:rPr>
            </w:pPr>
            <w:r>
              <w:rPr>
                <w:rFonts w:hint="eastAsia"/>
                <w:color w:val="auto"/>
              </w:rPr>
              <w:t>支持馆藏文物信息的上传、定级、复核功能，以及对已定级的文物进行删除、修改、查看功能。</w:t>
            </w:r>
          </w:p>
        </w:tc>
      </w:tr>
      <w:tr w14:paraId="4D27F07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2052B36">
            <w:pPr>
              <w:ind w:firstLine="0" w:firstLineChars="0"/>
              <w:rPr>
                <w:color w:val="auto"/>
              </w:rPr>
            </w:pPr>
            <w:r>
              <w:rPr>
                <w:rFonts w:hint="eastAsia"/>
                <w:color w:val="auto"/>
              </w:rPr>
              <w:t>62</w:t>
            </w:r>
          </w:p>
        </w:tc>
        <w:tc>
          <w:tcPr>
            <w:tcW w:w="1559" w:type="dxa"/>
            <w:tcBorders>
              <w:top w:val="single" w:color="auto" w:sz="4" w:space="0"/>
              <w:left w:val="nil"/>
              <w:bottom w:val="single" w:color="auto" w:sz="4" w:space="0"/>
              <w:right w:val="single" w:color="auto" w:sz="4" w:space="0"/>
            </w:tcBorders>
            <w:noWrap w:val="0"/>
            <w:vAlign w:val="center"/>
          </w:tcPr>
          <w:p w14:paraId="14413B79">
            <w:pPr>
              <w:ind w:firstLine="0" w:firstLineChars="0"/>
              <w:rPr>
                <w:color w:val="auto"/>
              </w:rPr>
            </w:pPr>
            <w:r>
              <w:rPr>
                <w:rFonts w:hint="eastAsia"/>
                <w:color w:val="auto"/>
              </w:rPr>
              <w:t>文物拍卖管理</w:t>
            </w:r>
          </w:p>
        </w:tc>
        <w:tc>
          <w:tcPr>
            <w:tcW w:w="6057" w:type="dxa"/>
            <w:tcBorders>
              <w:top w:val="single" w:color="auto" w:sz="4" w:space="0"/>
              <w:left w:val="nil"/>
              <w:bottom w:val="single" w:color="auto" w:sz="4" w:space="0"/>
              <w:right w:val="single" w:color="auto" w:sz="4" w:space="0"/>
            </w:tcBorders>
            <w:noWrap w:val="0"/>
            <w:vAlign w:val="center"/>
          </w:tcPr>
          <w:p w14:paraId="4957898C">
            <w:pPr>
              <w:ind w:firstLine="0" w:firstLineChars="0"/>
              <w:rPr>
                <w:color w:val="auto"/>
              </w:rPr>
            </w:pPr>
            <w:r>
              <w:rPr>
                <w:rFonts w:hint="eastAsia"/>
                <w:color w:val="auto"/>
              </w:rPr>
              <w:t>支持拍卖公司通过系统上传拍卖申请，推送至文物处审批，如未通过则退回及反馈撤拍原因，并归集撤拍文物数据入库:拍卖公司拍卖出文物后，需填报拍卖价格上传。同步对接全国文物市场信息备案系统，按照统一信息标准、预留数据接口。</w:t>
            </w:r>
          </w:p>
        </w:tc>
      </w:tr>
      <w:tr w14:paraId="666D0CF7">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025EE3EF">
            <w:pPr>
              <w:ind w:firstLine="0" w:firstLineChars="0"/>
              <w:rPr>
                <w:color w:val="auto"/>
              </w:rPr>
            </w:pPr>
            <w:r>
              <w:rPr>
                <w:rFonts w:hint="eastAsia"/>
                <w:color w:val="auto"/>
              </w:rPr>
              <w:t>13、市民文化中心管理</w:t>
            </w:r>
          </w:p>
        </w:tc>
      </w:tr>
      <w:tr w14:paraId="10BF754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B9DDA3D">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1A1C6203">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5B94C97D">
            <w:pPr>
              <w:ind w:firstLine="0" w:firstLineChars="0"/>
              <w:rPr>
                <w:color w:val="auto"/>
              </w:rPr>
            </w:pPr>
            <w:r>
              <w:rPr>
                <w:rFonts w:hint="eastAsia"/>
                <w:color w:val="auto"/>
              </w:rPr>
              <w:t>功能描述</w:t>
            </w:r>
          </w:p>
        </w:tc>
      </w:tr>
      <w:tr w14:paraId="48A1E68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105852B">
            <w:pPr>
              <w:ind w:firstLine="0" w:firstLineChars="0"/>
              <w:rPr>
                <w:color w:val="auto"/>
              </w:rPr>
            </w:pPr>
            <w:r>
              <w:rPr>
                <w:rFonts w:hint="eastAsia"/>
                <w:color w:val="auto"/>
              </w:rPr>
              <w:t>63</w:t>
            </w:r>
          </w:p>
        </w:tc>
        <w:tc>
          <w:tcPr>
            <w:tcW w:w="1559" w:type="dxa"/>
            <w:tcBorders>
              <w:top w:val="single" w:color="auto" w:sz="4" w:space="0"/>
              <w:left w:val="nil"/>
              <w:bottom w:val="single" w:color="auto" w:sz="4" w:space="0"/>
              <w:right w:val="single" w:color="auto" w:sz="4" w:space="0"/>
            </w:tcBorders>
            <w:noWrap w:val="0"/>
            <w:vAlign w:val="center"/>
          </w:tcPr>
          <w:p w14:paraId="10691C05">
            <w:pPr>
              <w:ind w:firstLine="0" w:firstLineChars="0"/>
              <w:rPr>
                <w:color w:val="auto"/>
              </w:rPr>
            </w:pPr>
            <w:r>
              <w:rPr>
                <w:rFonts w:hint="eastAsia"/>
                <w:color w:val="auto"/>
              </w:rPr>
              <w:t>场所管理-基础与财务信息管理</w:t>
            </w:r>
          </w:p>
        </w:tc>
        <w:tc>
          <w:tcPr>
            <w:tcW w:w="6057" w:type="dxa"/>
            <w:tcBorders>
              <w:top w:val="single" w:color="auto" w:sz="4" w:space="0"/>
              <w:left w:val="nil"/>
              <w:bottom w:val="single" w:color="auto" w:sz="4" w:space="0"/>
              <w:right w:val="single" w:color="auto" w:sz="4" w:space="0"/>
            </w:tcBorders>
            <w:noWrap w:val="0"/>
            <w:vAlign w:val="center"/>
          </w:tcPr>
          <w:p w14:paraId="45C98C3D">
            <w:pPr>
              <w:ind w:firstLine="0" w:firstLineChars="0"/>
              <w:rPr>
                <w:color w:val="auto"/>
              </w:rPr>
            </w:pPr>
            <w:r>
              <w:rPr>
                <w:rFonts w:hint="eastAsia"/>
                <w:color w:val="auto"/>
              </w:rPr>
              <w:t>详细记录市民文化中心建筑面积、建筑结构等基础信息，以及日常运营的各项财务收支情况，包括活动经费的来源、使用去向、设备采购费用等。建立完善的财务档案，便于随时查阅和审计。</w:t>
            </w:r>
          </w:p>
        </w:tc>
      </w:tr>
      <w:tr w14:paraId="4D12C8D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830161D">
            <w:pPr>
              <w:ind w:firstLine="0" w:firstLineChars="0"/>
              <w:rPr>
                <w:color w:val="auto"/>
              </w:rPr>
            </w:pPr>
            <w:r>
              <w:rPr>
                <w:rFonts w:hint="eastAsia"/>
                <w:color w:val="auto"/>
              </w:rPr>
              <w:t>64</w:t>
            </w:r>
          </w:p>
        </w:tc>
        <w:tc>
          <w:tcPr>
            <w:tcW w:w="1559" w:type="dxa"/>
            <w:tcBorders>
              <w:top w:val="single" w:color="auto" w:sz="4" w:space="0"/>
              <w:left w:val="nil"/>
              <w:bottom w:val="single" w:color="auto" w:sz="4" w:space="0"/>
              <w:right w:val="single" w:color="auto" w:sz="4" w:space="0"/>
            </w:tcBorders>
            <w:noWrap w:val="0"/>
            <w:vAlign w:val="center"/>
          </w:tcPr>
          <w:p w14:paraId="7F432564">
            <w:pPr>
              <w:ind w:firstLine="0" w:firstLineChars="0"/>
              <w:rPr>
                <w:color w:val="auto"/>
              </w:rPr>
            </w:pPr>
            <w:r>
              <w:rPr>
                <w:rFonts w:hint="eastAsia"/>
                <w:color w:val="auto"/>
              </w:rPr>
              <w:t>场所管理-场地与服务项目管理</w:t>
            </w:r>
          </w:p>
        </w:tc>
        <w:tc>
          <w:tcPr>
            <w:tcW w:w="6057" w:type="dxa"/>
            <w:tcBorders>
              <w:top w:val="single" w:color="auto" w:sz="4" w:space="0"/>
              <w:left w:val="nil"/>
              <w:bottom w:val="single" w:color="auto" w:sz="4" w:space="0"/>
              <w:right w:val="single" w:color="auto" w:sz="4" w:space="0"/>
            </w:tcBorders>
            <w:noWrap w:val="0"/>
            <w:vAlign w:val="center"/>
          </w:tcPr>
          <w:p w14:paraId="3235F4CD">
            <w:pPr>
              <w:ind w:firstLine="0" w:firstLineChars="0"/>
              <w:rPr>
                <w:color w:val="auto"/>
              </w:rPr>
            </w:pPr>
            <w:r>
              <w:rPr>
                <w:rFonts w:hint="eastAsia"/>
                <w:color w:val="auto"/>
              </w:rPr>
              <w:t>对市民文化中心内的各类场地，如会议室、多功能厅、舞蹈室、图书阅览室等进行全面管理。记录每个场地的使用规格、容纳人数、设备配备等情况。同时，对提供的服务项目，如文化课程培训、健康讲座、文艺演出等进行分类管理，包括服务内容、师资力量、服务时间等信息的管理。</w:t>
            </w:r>
          </w:p>
        </w:tc>
      </w:tr>
      <w:tr w14:paraId="405D2BFD">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150489E">
            <w:pPr>
              <w:ind w:firstLine="0" w:firstLineChars="0"/>
              <w:rPr>
                <w:color w:val="auto"/>
              </w:rPr>
            </w:pPr>
            <w:r>
              <w:rPr>
                <w:rFonts w:hint="eastAsia"/>
                <w:color w:val="auto"/>
              </w:rPr>
              <w:t>65</w:t>
            </w:r>
          </w:p>
        </w:tc>
        <w:tc>
          <w:tcPr>
            <w:tcW w:w="1559" w:type="dxa"/>
            <w:tcBorders>
              <w:top w:val="single" w:color="auto" w:sz="4" w:space="0"/>
              <w:left w:val="nil"/>
              <w:bottom w:val="single" w:color="auto" w:sz="4" w:space="0"/>
              <w:right w:val="single" w:color="auto" w:sz="4" w:space="0"/>
            </w:tcBorders>
            <w:noWrap w:val="0"/>
            <w:vAlign w:val="center"/>
          </w:tcPr>
          <w:p w14:paraId="1D3B46C4">
            <w:pPr>
              <w:ind w:firstLine="0" w:firstLineChars="0"/>
              <w:rPr>
                <w:color w:val="auto"/>
              </w:rPr>
            </w:pPr>
            <w:r>
              <w:rPr>
                <w:rFonts w:hint="eastAsia"/>
                <w:color w:val="auto"/>
              </w:rPr>
              <w:t>场所管理-员工与团队档案管理</w:t>
            </w:r>
          </w:p>
        </w:tc>
        <w:tc>
          <w:tcPr>
            <w:tcW w:w="6057" w:type="dxa"/>
            <w:tcBorders>
              <w:top w:val="single" w:color="auto" w:sz="4" w:space="0"/>
              <w:left w:val="nil"/>
              <w:bottom w:val="single" w:color="auto" w:sz="4" w:space="0"/>
              <w:right w:val="single" w:color="auto" w:sz="4" w:space="0"/>
            </w:tcBorders>
            <w:noWrap w:val="0"/>
            <w:vAlign w:val="center"/>
          </w:tcPr>
          <w:p w14:paraId="355BF10D">
            <w:pPr>
              <w:ind w:firstLine="0" w:firstLineChars="0"/>
              <w:rPr>
                <w:color w:val="auto"/>
              </w:rPr>
            </w:pPr>
            <w:r>
              <w:rPr>
                <w:rFonts w:hint="eastAsia"/>
                <w:color w:val="auto"/>
              </w:rPr>
              <w:t>为市民文化中心的全体员工建立详细的电子档案，包括个人基本信息（姓名、性别、年龄、联系方式等）、教育背景、工作经历、专业技能、培训记录等。对于各个团队，如活动策划团队、场地维护团队、后勤保障团队等，也建立相应的档案，记录团队的职责分工、成员构成、工作绩效等，方便人员管理和团队协作。</w:t>
            </w:r>
          </w:p>
        </w:tc>
      </w:tr>
      <w:tr w14:paraId="3097B35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2474DA3">
            <w:pPr>
              <w:ind w:firstLine="0" w:firstLineChars="0"/>
              <w:rPr>
                <w:color w:val="auto"/>
              </w:rPr>
            </w:pPr>
            <w:r>
              <w:rPr>
                <w:rFonts w:hint="eastAsia"/>
                <w:color w:val="auto"/>
              </w:rPr>
              <w:t>66</w:t>
            </w:r>
          </w:p>
        </w:tc>
        <w:tc>
          <w:tcPr>
            <w:tcW w:w="1559" w:type="dxa"/>
            <w:tcBorders>
              <w:top w:val="single" w:color="auto" w:sz="4" w:space="0"/>
              <w:left w:val="nil"/>
              <w:bottom w:val="single" w:color="auto" w:sz="4" w:space="0"/>
              <w:right w:val="single" w:color="auto" w:sz="4" w:space="0"/>
            </w:tcBorders>
            <w:noWrap w:val="0"/>
            <w:vAlign w:val="center"/>
          </w:tcPr>
          <w:p w14:paraId="266C886C">
            <w:pPr>
              <w:ind w:firstLine="0" w:firstLineChars="0"/>
              <w:rPr>
                <w:color w:val="auto"/>
              </w:rPr>
            </w:pPr>
            <w:r>
              <w:rPr>
                <w:rFonts w:hint="eastAsia"/>
                <w:color w:val="auto"/>
              </w:rPr>
              <w:t>场所管理-实录与报表统计</w:t>
            </w:r>
          </w:p>
        </w:tc>
        <w:tc>
          <w:tcPr>
            <w:tcW w:w="6057" w:type="dxa"/>
            <w:tcBorders>
              <w:top w:val="single" w:color="auto" w:sz="4" w:space="0"/>
              <w:left w:val="nil"/>
              <w:bottom w:val="single" w:color="auto" w:sz="4" w:space="0"/>
              <w:right w:val="single" w:color="auto" w:sz="4" w:space="0"/>
            </w:tcBorders>
            <w:noWrap w:val="0"/>
            <w:vAlign w:val="center"/>
          </w:tcPr>
          <w:p w14:paraId="78C99002">
            <w:pPr>
              <w:ind w:firstLine="0" w:firstLineChars="0"/>
              <w:rPr>
                <w:color w:val="auto"/>
              </w:rPr>
            </w:pPr>
            <w:r>
              <w:rPr>
                <w:rFonts w:hint="eastAsia"/>
                <w:color w:val="auto"/>
              </w:rPr>
              <w:t>实时记录市民文化中心的各项运营数据，如场地使用情况（使用时长、使用频率、预约情况等）、人员出勤情况、活动参与人数等。定期生成各类报表，如日报、周报、月报、年报等，对数据进行统计分析，直观展示活动中心的运营状况，为决策提供数据支持。</w:t>
            </w:r>
          </w:p>
        </w:tc>
      </w:tr>
      <w:tr w14:paraId="522D8E1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B09FB42">
            <w:pPr>
              <w:ind w:firstLine="0" w:firstLineChars="0"/>
              <w:rPr>
                <w:color w:val="auto"/>
              </w:rPr>
            </w:pPr>
            <w:r>
              <w:rPr>
                <w:rFonts w:hint="eastAsia"/>
                <w:color w:val="auto"/>
              </w:rPr>
              <w:t>67</w:t>
            </w:r>
          </w:p>
        </w:tc>
        <w:tc>
          <w:tcPr>
            <w:tcW w:w="1559" w:type="dxa"/>
            <w:tcBorders>
              <w:top w:val="single" w:color="auto" w:sz="4" w:space="0"/>
              <w:left w:val="nil"/>
              <w:bottom w:val="single" w:color="auto" w:sz="4" w:space="0"/>
              <w:right w:val="single" w:color="auto" w:sz="4" w:space="0"/>
            </w:tcBorders>
            <w:noWrap w:val="0"/>
            <w:vAlign w:val="center"/>
          </w:tcPr>
          <w:p w14:paraId="40BB48B6">
            <w:pPr>
              <w:ind w:firstLine="0" w:firstLineChars="0"/>
              <w:rPr>
                <w:color w:val="auto"/>
              </w:rPr>
            </w:pPr>
            <w:r>
              <w:rPr>
                <w:rFonts w:hint="eastAsia"/>
                <w:color w:val="auto"/>
              </w:rPr>
              <w:t>场所管理-评估监督流程和登录/操作日志等模块</w:t>
            </w:r>
          </w:p>
        </w:tc>
        <w:tc>
          <w:tcPr>
            <w:tcW w:w="6057" w:type="dxa"/>
            <w:tcBorders>
              <w:top w:val="single" w:color="auto" w:sz="4" w:space="0"/>
              <w:left w:val="nil"/>
              <w:bottom w:val="single" w:color="auto" w:sz="4" w:space="0"/>
              <w:right w:val="single" w:color="auto" w:sz="4" w:space="0"/>
            </w:tcBorders>
            <w:noWrap w:val="0"/>
            <w:vAlign w:val="center"/>
          </w:tcPr>
          <w:p w14:paraId="1D392378">
            <w:pPr>
              <w:ind w:firstLine="0" w:firstLineChars="0"/>
              <w:rPr>
                <w:color w:val="auto"/>
              </w:rPr>
            </w:pPr>
            <w:r>
              <w:rPr>
                <w:rFonts w:hint="eastAsia"/>
                <w:color w:val="auto"/>
              </w:rPr>
              <w:t>制定科学合理的员工评估及监督体系，涵盖多个维度，对市民文化中心进行定期评估、监督及反馈。建立完善的登录和操作日志系统，记录每个用户在系统中的操作行为，包括操作时间、操作内容、操作人员等，以便进行安全审计和问题追溯。</w:t>
            </w:r>
          </w:p>
        </w:tc>
      </w:tr>
      <w:tr w14:paraId="7F6B3BA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9B76307">
            <w:pPr>
              <w:ind w:firstLine="0" w:firstLineChars="0"/>
              <w:rPr>
                <w:color w:val="auto"/>
              </w:rPr>
            </w:pPr>
            <w:r>
              <w:rPr>
                <w:rFonts w:hint="eastAsia"/>
                <w:color w:val="auto"/>
              </w:rPr>
              <w:t>68</w:t>
            </w:r>
          </w:p>
        </w:tc>
        <w:tc>
          <w:tcPr>
            <w:tcW w:w="1559" w:type="dxa"/>
            <w:tcBorders>
              <w:top w:val="single" w:color="auto" w:sz="4" w:space="0"/>
              <w:left w:val="nil"/>
              <w:bottom w:val="single" w:color="auto" w:sz="4" w:space="0"/>
              <w:right w:val="single" w:color="auto" w:sz="4" w:space="0"/>
            </w:tcBorders>
            <w:noWrap w:val="0"/>
            <w:vAlign w:val="center"/>
          </w:tcPr>
          <w:p w14:paraId="3AEA9A5D">
            <w:pPr>
              <w:ind w:firstLine="0" w:firstLineChars="0"/>
              <w:rPr>
                <w:color w:val="auto"/>
              </w:rPr>
            </w:pPr>
            <w:r>
              <w:rPr>
                <w:rFonts w:hint="eastAsia"/>
                <w:color w:val="auto"/>
              </w:rPr>
              <w:t>区级数据接入</w:t>
            </w:r>
          </w:p>
        </w:tc>
        <w:tc>
          <w:tcPr>
            <w:tcW w:w="6057" w:type="dxa"/>
            <w:tcBorders>
              <w:top w:val="single" w:color="auto" w:sz="4" w:space="0"/>
              <w:left w:val="nil"/>
              <w:bottom w:val="single" w:color="auto" w:sz="4" w:space="0"/>
              <w:right w:val="single" w:color="auto" w:sz="4" w:space="0"/>
            </w:tcBorders>
            <w:noWrap w:val="0"/>
            <w:vAlign w:val="center"/>
          </w:tcPr>
          <w:p w14:paraId="2AAE63D5">
            <w:pPr>
              <w:ind w:firstLine="0" w:firstLineChars="0"/>
              <w:rPr>
                <w:color w:val="auto"/>
              </w:rPr>
            </w:pPr>
            <w:r>
              <w:rPr>
                <w:rFonts w:hint="eastAsia"/>
                <w:color w:val="auto"/>
              </w:rPr>
              <w:t>基于区级现有平台，可以实现区级现有场所管理、活动管理相关数据接入。</w:t>
            </w:r>
          </w:p>
        </w:tc>
      </w:tr>
      <w:tr w14:paraId="3DD5D2D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BA3088">
            <w:pPr>
              <w:ind w:firstLine="0" w:firstLineChars="0"/>
              <w:rPr>
                <w:color w:val="auto"/>
              </w:rPr>
            </w:pPr>
            <w:r>
              <w:rPr>
                <w:rFonts w:hint="eastAsia"/>
                <w:color w:val="auto"/>
              </w:rPr>
              <w:t>69</w:t>
            </w:r>
          </w:p>
        </w:tc>
        <w:tc>
          <w:tcPr>
            <w:tcW w:w="1559" w:type="dxa"/>
            <w:tcBorders>
              <w:top w:val="single" w:color="auto" w:sz="4" w:space="0"/>
              <w:left w:val="nil"/>
              <w:bottom w:val="single" w:color="auto" w:sz="4" w:space="0"/>
              <w:right w:val="single" w:color="auto" w:sz="4" w:space="0"/>
            </w:tcBorders>
            <w:noWrap w:val="0"/>
            <w:vAlign w:val="center"/>
          </w:tcPr>
          <w:p w14:paraId="730AE026">
            <w:pPr>
              <w:ind w:firstLine="0" w:firstLineChars="0"/>
              <w:rPr>
                <w:color w:val="auto"/>
              </w:rPr>
            </w:pPr>
            <w:r>
              <w:rPr>
                <w:rFonts w:hint="eastAsia"/>
                <w:color w:val="auto"/>
              </w:rPr>
              <w:t>活动管理-活动上报及审核</w:t>
            </w:r>
          </w:p>
        </w:tc>
        <w:tc>
          <w:tcPr>
            <w:tcW w:w="6057" w:type="dxa"/>
            <w:tcBorders>
              <w:top w:val="single" w:color="auto" w:sz="4" w:space="0"/>
              <w:left w:val="nil"/>
              <w:bottom w:val="single" w:color="auto" w:sz="4" w:space="0"/>
              <w:right w:val="single" w:color="auto" w:sz="4" w:space="0"/>
            </w:tcBorders>
            <w:noWrap w:val="0"/>
            <w:vAlign w:val="center"/>
          </w:tcPr>
          <w:p w14:paraId="291B133F">
            <w:pPr>
              <w:ind w:firstLine="0" w:firstLineChars="0"/>
              <w:rPr>
                <w:color w:val="auto"/>
              </w:rPr>
            </w:pPr>
            <w:r>
              <w:rPr>
                <w:rFonts w:hint="eastAsia"/>
                <w:color w:val="auto"/>
              </w:rPr>
              <w:t>活动基础信息录入（名称、时间、地点、参与人数、内容简介）、附件上传（宣传海报、方案文档、安全预案）、多级审核机制（社区管理员初审、街道办复核、文旅部门终审）、审核状态实时跟踪（待提交、审核中、已通过/驳回）驳回原因反馈及修改重提功能。</w:t>
            </w:r>
          </w:p>
        </w:tc>
      </w:tr>
      <w:tr w14:paraId="2F41134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E7B3F43">
            <w:pPr>
              <w:ind w:firstLine="0" w:firstLineChars="0"/>
              <w:rPr>
                <w:color w:val="auto"/>
              </w:rPr>
            </w:pPr>
            <w:r>
              <w:rPr>
                <w:rFonts w:hint="eastAsia"/>
                <w:color w:val="auto"/>
              </w:rPr>
              <w:t>70</w:t>
            </w:r>
          </w:p>
        </w:tc>
        <w:tc>
          <w:tcPr>
            <w:tcW w:w="1559" w:type="dxa"/>
            <w:tcBorders>
              <w:top w:val="single" w:color="auto" w:sz="4" w:space="0"/>
              <w:left w:val="nil"/>
              <w:bottom w:val="single" w:color="auto" w:sz="4" w:space="0"/>
              <w:right w:val="single" w:color="auto" w:sz="4" w:space="0"/>
            </w:tcBorders>
            <w:noWrap w:val="0"/>
            <w:vAlign w:val="center"/>
          </w:tcPr>
          <w:p w14:paraId="2EF137E4">
            <w:pPr>
              <w:ind w:firstLine="0" w:firstLineChars="0"/>
              <w:rPr>
                <w:color w:val="auto"/>
              </w:rPr>
            </w:pPr>
            <w:r>
              <w:rPr>
                <w:rFonts w:hint="eastAsia"/>
                <w:color w:val="auto"/>
              </w:rPr>
              <w:t>活动管理-活动发布及下架</w:t>
            </w:r>
          </w:p>
        </w:tc>
        <w:tc>
          <w:tcPr>
            <w:tcW w:w="6057" w:type="dxa"/>
            <w:tcBorders>
              <w:top w:val="single" w:color="auto" w:sz="4" w:space="0"/>
              <w:left w:val="nil"/>
              <w:bottom w:val="single" w:color="auto" w:sz="4" w:space="0"/>
              <w:right w:val="single" w:color="auto" w:sz="4" w:space="0"/>
            </w:tcBorders>
            <w:noWrap w:val="0"/>
            <w:vAlign w:val="center"/>
          </w:tcPr>
          <w:p w14:paraId="6CD21E4B">
            <w:pPr>
              <w:ind w:firstLine="0" w:firstLineChars="0"/>
              <w:rPr>
                <w:color w:val="auto"/>
              </w:rPr>
            </w:pPr>
            <w:r>
              <w:rPr>
                <w:rFonts w:hint="eastAsia"/>
                <w:color w:val="auto"/>
              </w:rPr>
              <w:t>审核通过后自动发布至平台首页/活动列表、支持自定义发布时间（定时发布）、活动状态切换（正常/暂停/终止）、下架原因记录（如场地冲突、报名不足）、历史活动归档查询。</w:t>
            </w:r>
          </w:p>
        </w:tc>
      </w:tr>
      <w:tr w14:paraId="3949F0D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E952269">
            <w:pPr>
              <w:ind w:firstLine="0" w:firstLineChars="0"/>
              <w:rPr>
                <w:color w:val="auto"/>
              </w:rPr>
            </w:pPr>
            <w:r>
              <w:rPr>
                <w:rFonts w:hint="eastAsia"/>
                <w:color w:val="auto"/>
              </w:rPr>
              <w:t>71</w:t>
            </w:r>
          </w:p>
        </w:tc>
        <w:tc>
          <w:tcPr>
            <w:tcW w:w="1559" w:type="dxa"/>
            <w:tcBorders>
              <w:top w:val="single" w:color="auto" w:sz="4" w:space="0"/>
              <w:left w:val="nil"/>
              <w:bottom w:val="single" w:color="auto" w:sz="4" w:space="0"/>
              <w:right w:val="single" w:color="auto" w:sz="4" w:space="0"/>
            </w:tcBorders>
            <w:noWrap w:val="0"/>
            <w:vAlign w:val="center"/>
          </w:tcPr>
          <w:p w14:paraId="4D0215AE">
            <w:pPr>
              <w:ind w:firstLine="0" w:firstLineChars="0"/>
              <w:rPr>
                <w:color w:val="auto"/>
              </w:rPr>
            </w:pPr>
            <w:r>
              <w:rPr>
                <w:rFonts w:hint="eastAsia"/>
                <w:color w:val="auto"/>
              </w:rPr>
              <w:t>活动管理-活动预约</w:t>
            </w:r>
          </w:p>
        </w:tc>
        <w:tc>
          <w:tcPr>
            <w:tcW w:w="6057" w:type="dxa"/>
            <w:tcBorders>
              <w:top w:val="single" w:color="auto" w:sz="4" w:space="0"/>
              <w:left w:val="nil"/>
              <w:bottom w:val="single" w:color="auto" w:sz="4" w:space="0"/>
              <w:right w:val="single" w:color="auto" w:sz="4" w:space="0"/>
            </w:tcBorders>
            <w:noWrap w:val="0"/>
            <w:vAlign w:val="center"/>
          </w:tcPr>
          <w:p w14:paraId="275D9BDB">
            <w:pPr>
              <w:ind w:firstLine="0" w:firstLineChars="0"/>
              <w:rPr>
                <w:color w:val="auto"/>
              </w:rPr>
            </w:pPr>
            <w:r>
              <w:rPr>
                <w:rFonts w:hint="eastAsia"/>
                <w:color w:val="auto"/>
              </w:rPr>
              <w:t>可以实现各类市民文化活动预约，活动列表筛选（按时间、类型、地点）、预约人数选择（支持分组预约）、实时库存查询与占位、取消预约规则（提前时限、次数限制）、预约数据统计（参与率、热门时段分析）。</w:t>
            </w:r>
          </w:p>
        </w:tc>
      </w:tr>
      <w:tr w14:paraId="2706DADB">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D81087C">
            <w:pPr>
              <w:ind w:firstLine="0" w:firstLineChars="0"/>
              <w:rPr>
                <w:color w:val="auto"/>
              </w:rPr>
            </w:pPr>
            <w:r>
              <w:rPr>
                <w:rFonts w:hint="eastAsia"/>
                <w:color w:val="auto"/>
              </w:rPr>
              <w:t>72</w:t>
            </w:r>
          </w:p>
        </w:tc>
        <w:tc>
          <w:tcPr>
            <w:tcW w:w="1559" w:type="dxa"/>
            <w:tcBorders>
              <w:top w:val="single" w:color="auto" w:sz="4" w:space="0"/>
              <w:left w:val="nil"/>
              <w:bottom w:val="single" w:color="auto" w:sz="4" w:space="0"/>
              <w:right w:val="single" w:color="auto" w:sz="4" w:space="0"/>
            </w:tcBorders>
            <w:noWrap w:val="0"/>
            <w:vAlign w:val="center"/>
          </w:tcPr>
          <w:p w14:paraId="007E782F">
            <w:pPr>
              <w:ind w:firstLine="0" w:firstLineChars="0"/>
              <w:rPr>
                <w:color w:val="auto"/>
              </w:rPr>
            </w:pPr>
            <w:r>
              <w:rPr>
                <w:rFonts w:hint="eastAsia"/>
                <w:color w:val="auto"/>
              </w:rPr>
              <w:t>活动管理-活动看板</w:t>
            </w:r>
          </w:p>
        </w:tc>
        <w:tc>
          <w:tcPr>
            <w:tcW w:w="6057" w:type="dxa"/>
            <w:tcBorders>
              <w:top w:val="single" w:color="auto" w:sz="4" w:space="0"/>
              <w:left w:val="nil"/>
              <w:bottom w:val="single" w:color="auto" w:sz="4" w:space="0"/>
              <w:right w:val="single" w:color="auto" w:sz="4" w:space="0"/>
            </w:tcBorders>
            <w:noWrap w:val="0"/>
            <w:vAlign w:val="center"/>
          </w:tcPr>
          <w:p w14:paraId="5A06D384">
            <w:pPr>
              <w:ind w:firstLine="0" w:firstLineChars="0"/>
              <w:rPr>
                <w:color w:val="auto"/>
              </w:rPr>
            </w:pPr>
            <w:r>
              <w:rPr>
                <w:rFonts w:hint="eastAsia"/>
                <w:color w:val="auto"/>
              </w:rPr>
              <w:t>实时看板（当前在线预约人数、剩余名额）、热力地图（各社区活动参与分布）、趋势分析（周/月活动参与量变化）。</w:t>
            </w:r>
            <w:r>
              <w:rPr>
                <w:rFonts w:hint="eastAsia"/>
                <w:color w:val="auto"/>
              </w:rPr>
              <w:br w:type="textWrapping"/>
            </w:r>
            <w:r>
              <w:rPr>
                <w:rFonts w:hint="eastAsia"/>
                <w:color w:val="auto"/>
              </w:rPr>
              <w:t>异常预警（超员、未签到情况）、导出报表（Excel/PDF格式）。</w:t>
            </w:r>
          </w:p>
        </w:tc>
      </w:tr>
      <w:tr w14:paraId="1F2F043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31330AA">
            <w:pPr>
              <w:ind w:firstLine="0" w:firstLineChars="0"/>
              <w:rPr>
                <w:color w:val="auto"/>
              </w:rPr>
            </w:pPr>
            <w:r>
              <w:rPr>
                <w:rFonts w:hint="eastAsia"/>
                <w:color w:val="auto"/>
              </w:rPr>
              <w:t>73</w:t>
            </w:r>
          </w:p>
        </w:tc>
        <w:tc>
          <w:tcPr>
            <w:tcW w:w="1559" w:type="dxa"/>
            <w:tcBorders>
              <w:top w:val="single" w:color="auto" w:sz="4" w:space="0"/>
              <w:left w:val="nil"/>
              <w:bottom w:val="single" w:color="auto" w:sz="4" w:space="0"/>
              <w:right w:val="single" w:color="auto" w:sz="4" w:space="0"/>
            </w:tcBorders>
            <w:noWrap w:val="0"/>
            <w:vAlign w:val="center"/>
          </w:tcPr>
          <w:p w14:paraId="5C42D7D0">
            <w:pPr>
              <w:ind w:firstLine="0" w:firstLineChars="0"/>
              <w:rPr>
                <w:color w:val="auto"/>
              </w:rPr>
            </w:pPr>
            <w:r>
              <w:rPr>
                <w:rFonts w:hint="eastAsia"/>
                <w:color w:val="auto"/>
              </w:rPr>
              <w:t>后台管理-数据分析管理</w:t>
            </w:r>
          </w:p>
        </w:tc>
        <w:tc>
          <w:tcPr>
            <w:tcW w:w="6057" w:type="dxa"/>
            <w:tcBorders>
              <w:top w:val="single" w:color="auto" w:sz="4" w:space="0"/>
              <w:left w:val="nil"/>
              <w:bottom w:val="single" w:color="auto" w:sz="4" w:space="0"/>
              <w:right w:val="single" w:color="auto" w:sz="4" w:space="0"/>
            </w:tcBorders>
            <w:noWrap w:val="0"/>
            <w:vAlign w:val="center"/>
          </w:tcPr>
          <w:p w14:paraId="57D293D9">
            <w:pPr>
              <w:ind w:firstLine="0" w:firstLineChars="0"/>
              <w:rPr>
                <w:color w:val="auto"/>
              </w:rPr>
            </w:pPr>
            <w:r>
              <w:rPr>
                <w:rFonts w:hint="eastAsia"/>
                <w:color w:val="auto"/>
              </w:rPr>
              <w:t>基于多层级（中心、街道、区县、市级）数据报表和多维度（基本、财务、员工、场地、人次、利用率）统计，支持同比环比及自定义复合分析，并通过数据挖掘模型提供精准的决策支持；</w:t>
            </w:r>
          </w:p>
        </w:tc>
      </w:tr>
      <w:tr w14:paraId="0A5C5CF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D1886B5">
            <w:pPr>
              <w:ind w:firstLine="0" w:firstLineChars="0"/>
              <w:rPr>
                <w:color w:val="auto"/>
              </w:rPr>
            </w:pPr>
            <w:r>
              <w:rPr>
                <w:rFonts w:hint="eastAsia"/>
                <w:color w:val="auto"/>
              </w:rPr>
              <w:t>74</w:t>
            </w:r>
          </w:p>
        </w:tc>
        <w:tc>
          <w:tcPr>
            <w:tcW w:w="1559" w:type="dxa"/>
            <w:tcBorders>
              <w:top w:val="single" w:color="auto" w:sz="4" w:space="0"/>
              <w:left w:val="nil"/>
              <w:bottom w:val="single" w:color="auto" w:sz="4" w:space="0"/>
              <w:right w:val="single" w:color="auto" w:sz="4" w:space="0"/>
            </w:tcBorders>
            <w:noWrap w:val="0"/>
            <w:vAlign w:val="center"/>
          </w:tcPr>
          <w:p w14:paraId="270E1794">
            <w:pPr>
              <w:ind w:firstLine="0" w:firstLineChars="0"/>
              <w:rPr>
                <w:color w:val="auto"/>
              </w:rPr>
            </w:pPr>
            <w:r>
              <w:rPr>
                <w:rFonts w:hint="eastAsia"/>
                <w:color w:val="auto"/>
              </w:rPr>
              <w:t>H5页面</w:t>
            </w:r>
          </w:p>
        </w:tc>
        <w:tc>
          <w:tcPr>
            <w:tcW w:w="6057" w:type="dxa"/>
            <w:tcBorders>
              <w:top w:val="single" w:color="auto" w:sz="4" w:space="0"/>
              <w:left w:val="nil"/>
              <w:bottom w:val="single" w:color="auto" w:sz="4" w:space="0"/>
              <w:right w:val="single" w:color="auto" w:sz="4" w:space="0"/>
            </w:tcBorders>
            <w:noWrap w:val="0"/>
            <w:vAlign w:val="center"/>
          </w:tcPr>
          <w:p w14:paraId="606E4631">
            <w:pPr>
              <w:ind w:firstLine="0" w:firstLineChars="0"/>
              <w:rPr>
                <w:color w:val="auto"/>
              </w:rPr>
            </w:pPr>
            <w:r>
              <w:rPr>
                <w:rFonts w:hint="eastAsia"/>
                <w:color w:val="auto"/>
              </w:rPr>
              <w:t>包含活动上报审核、会员管理、积分管理、数据看板等多项功能，实现市民文化中心的人群、活动和场所的移动化管理，满足便捷办公需求。</w:t>
            </w:r>
          </w:p>
        </w:tc>
      </w:tr>
      <w:tr w14:paraId="4FBE31A5">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75E12553">
            <w:pPr>
              <w:ind w:firstLine="0" w:firstLineChars="0"/>
              <w:rPr>
                <w:color w:val="auto"/>
              </w:rPr>
            </w:pPr>
            <w:r>
              <w:rPr>
                <w:rFonts w:hint="eastAsia"/>
                <w:color w:val="auto"/>
              </w:rPr>
              <w:t>14、文旅AI应用-行业洞察</w:t>
            </w:r>
          </w:p>
        </w:tc>
      </w:tr>
      <w:tr w14:paraId="1EE09A3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538C51A">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1CEA27F1">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49819629">
            <w:pPr>
              <w:ind w:firstLine="0" w:firstLineChars="0"/>
              <w:rPr>
                <w:color w:val="auto"/>
              </w:rPr>
            </w:pPr>
            <w:r>
              <w:rPr>
                <w:rFonts w:hint="eastAsia"/>
                <w:color w:val="auto"/>
              </w:rPr>
              <w:t>功能描述</w:t>
            </w:r>
          </w:p>
        </w:tc>
      </w:tr>
      <w:tr w14:paraId="4600947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D7343F3">
            <w:pPr>
              <w:ind w:firstLine="0" w:firstLineChars="0"/>
              <w:rPr>
                <w:color w:val="auto"/>
              </w:rPr>
            </w:pPr>
            <w:r>
              <w:rPr>
                <w:rFonts w:hint="eastAsia"/>
                <w:color w:val="auto"/>
              </w:rPr>
              <w:t>75</w:t>
            </w:r>
          </w:p>
        </w:tc>
        <w:tc>
          <w:tcPr>
            <w:tcW w:w="1559" w:type="dxa"/>
            <w:tcBorders>
              <w:top w:val="single" w:color="auto" w:sz="4" w:space="0"/>
              <w:left w:val="nil"/>
              <w:bottom w:val="single" w:color="auto" w:sz="4" w:space="0"/>
              <w:right w:val="single" w:color="auto" w:sz="4" w:space="0"/>
            </w:tcBorders>
            <w:noWrap w:val="0"/>
            <w:vAlign w:val="center"/>
          </w:tcPr>
          <w:p w14:paraId="4A3CF18D">
            <w:pPr>
              <w:ind w:firstLine="0" w:firstLineChars="0"/>
              <w:rPr>
                <w:color w:val="auto"/>
              </w:rPr>
            </w:pPr>
            <w:r>
              <w:rPr>
                <w:rFonts w:hint="eastAsia"/>
                <w:color w:val="auto"/>
              </w:rPr>
              <w:t>文旅行业洞察-全国文旅政策洞察--政策归集</w:t>
            </w:r>
          </w:p>
        </w:tc>
        <w:tc>
          <w:tcPr>
            <w:tcW w:w="6057" w:type="dxa"/>
            <w:tcBorders>
              <w:top w:val="single" w:color="auto" w:sz="4" w:space="0"/>
              <w:left w:val="nil"/>
              <w:bottom w:val="single" w:color="auto" w:sz="4" w:space="0"/>
              <w:right w:val="single" w:color="auto" w:sz="4" w:space="0"/>
            </w:tcBorders>
            <w:noWrap w:val="0"/>
            <w:vAlign w:val="center"/>
          </w:tcPr>
          <w:p w14:paraId="06AE32EC">
            <w:pPr>
              <w:ind w:firstLine="0" w:firstLineChars="0"/>
              <w:rPr>
                <w:color w:val="auto"/>
              </w:rPr>
            </w:pPr>
            <w:r>
              <w:rPr>
                <w:rFonts w:hint="eastAsia"/>
                <w:color w:val="auto"/>
              </w:rPr>
              <w:t>归属于六大政务智能化辅助应用场景中的“资料检索”。通过定期政策归集，对接国务院、文旅部等50+官方平台，汇聚各类政策文件、讲话全文，构建政策主题（如“数字文旅”“文旅产业招商”）与法规条款的关联网络。</w:t>
            </w:r>
          </w:p>
        </w:tc>
      </w:tr>
      <w:tr w14:paraId="171DCA1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CA05E63">
            <w:pPr>
              <w:ind w:firstLine="0" w:firstLineChars="0"/>
              <w:rPr>
                <w:color w:val="auto"/>
              </w:rPr>
            </w:pPr>
            <w:r>
              <w:rPr>
                <w:rFonts w:hint="eastAsia"/>
                <w:color w:val="auto"/>
              </w:rPr>
              <w:t>76</w:t>
            </w:r>
          </w:p>
        </w:tc>
        <w:tc>
          <w:tcPr>
            <w:tcW w:w="1559" w:type="dxa"/>
            <w:tcBorders>
              <w:top w:val="single" w:color="auto" w:sz="4" w:space="0"/>
              <w:left w:val="nil"/>
              <w:bottom w:val="single" w:color="auto" w:sz="4" w:space="0"/>
              <w:right w:val="single" w:color="auto" w:sz="4" w:space="0"/>
            </w:tcBorders>
            <w:noWrap w:val="0"/>
            <w:vAlign w:val="center"/>
          </w:tcPr>
          <w:p w14:paraId="7EED4A84">
            <w:pPr>
              <w:ind w:firstLine="0" w:firstLineChars="0"/>
              <w:rPr>
                <w:color w:val="auto"/>
              </w:rPr>
            </w:pPr>
            <w:r>
              <w:rPr>
                <w:rFonts w:hint="eastAsia"/>
                <w:color w:val="auto"/>
              </w:rPr>
              <w:t>文旅行业洞察-全国文旅政策洞察--智能分析</w:t>
            </w:r>
          </w:p>
        </w:tc>
        <w:tc>
          <w:tcPr>
            <w:tcW w:w="6057" w:type="dxa"/>
            <w:tcBorders>
              <w:top w:val="single" w:color="auto" w:sz="4" w:space="0"/>
              <w:left w:val="nil"/>
              <w:bottom w:val="single" w:color="auto" w:sz="4" w:space="0"/>
              <w:right w:val="single" w:color="auto" w:sz="4" w:space="0"/>
            </w:tcBorders>
            <w:noWrap w:val="0"/>
            <w:vAlign w:val="center"/>
          </w:tcPr>
          <w:p w14:paraId="2D21A077">
            <w:pPr>
              <w:ind w:firstLine="0" w:firstLineChars="0"/>
              <w:rPr>
                <w:color w:val="auto"/>
              </w:rPr>
            </w:pPr>
            <w:r>
              <w:rPr>
                <w:rFonts w:hint="eastAsia"/>
                <w:color w:val="auto"/>
              </w:rPr>
              <w:t>归属于六大政务智能化辅助应用场景中的“文书生成”。基于大模型采集内容提炼政策关键词，以时间序列、区域划分、主题划分等进行归类分析，总结政策趋势和最新动向。</w:t>
            </w:r>
          </w:p>
        </w:tc>
      </w:tr>
      <w:tr w14:paraId="7C4AE7B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E1FE35C">
            <w:pPr>
              <w:ind w:firstLine="0" w:firstLineChars="0"/>
              <w:rPr>
                <w:color w:val="auto"/>
              </w:rPr>
            </w:pPr>
            <w:r>
              <w:rPr>
                <w:rFonts w:hint="eastAsia"/>
                <w:color w:val="auto"/>
              </w:rPr>
              <w:t>77</w:t>
            </w:r>
          </w:p>
        </w:tc>
        <w:tc>
          <w:tcPr>
            <w:tcW w:w="1559" w:type="dxa"/>
            <w:tcBorders>
              <w:top w:val="single" w:color="auto" w:sz="4" w:space="0"/>
              <w:left w:val="nil"/>
              <w:bottom w:val="single" w:color="auto" w:sz="4" w:space="0"/>
              <w:right w:val="single" w:color="auto" w:sz="4" w:space="0"/>
            </w:tcBorders>
            <w:noWrap w:val="0"/>
            <w:vAlign w:val="center"/>
          </w:tcPr>
          <w:p w14:paraId="2232547F">
            <w:pPr>
              <w:ind w:firstLine="0" w:firstLineChars="0"/>
              <w:rPr>
                <w:color w:val="auto"/>
              </w:rPr>
            </w:pPr>
            <w:r>
              <w:rPr>
                <w:rFonts w:hint="eastAsia"/>
                <w:color w:val="auto"/>
              </w:rPr>
              <w:t>文旅行业洞察-全国文旅政策洞察--输出交互</w:t>
            </w:r>
          </w:p>
        </w:tc>
        <w:tc>
          <w:tcPr>
            <w:tcW w:w="6057" w:type="dxa"/>
            <w:tcBorders>
              <w:top w:val="single" w:color="auto" w:sz="4" w:space="0"/>
              <w:left w:val="nil"/>
              <w:bottom w:val="single" w:color="auto" w:sz="4" w:space="0"/>
              <w:right w:val="single" w:color="auto" w:sz="4" w:space="0"/>
            </w:tcBorders>
            <w:noWrap w:val="0"/>
            <w:vAlign w:val="center"/>
          </w:tcPr>
          <w:p w14:paraId="5C2C280F">
            <w:pPr>
              <w:ind w:firstLine="0" w:firstLineChars="0"/>
              <w:rPr>
                <w:color w:val="auto"/>
              </w:rPr>
            </w:pPr>
            <w:r>
              <w:rPr>
                <w:rFonts w:hint="eastAsia"/>
                <w:color w:val="auto"/>
              </w:rPr>
              <w:t>归属于六大政务智能化辅助应用场景中的“文书生成”。生成国家及其它省份最新文旅政策洞察报告，支持文档一键下载，辅助工作人员掌握全国文旅政策动向。</w:t>
            </w:r>
          </w:p>
        </w:tc>
      </w:tr>
      <w:tr w14:paraId="1017F0A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28B1EB2">
            <w:pPr>
              <w:ind w:firstLine="0" w:firstLineChars="0"/>
              <w:rPr>
                <w:color w:val="auto"/>
              </w:rPr>
            </w:pPr>
            <w:r>
              <w:rPr>
                <w:rFonts w:hint="eastAsia"/>
                <w:color w:val="auto"/>
              </w:rPr>
              <w:t>78</w:t>
            </w:r>
          </w:p>
        </w:tc>
        <w:tc>
          <w:tcPr>
            <w:tcW w:w="1559" w:type="dxa"/>
            <w:tcBorders>
              <w:top w:val="single" w:color="auto" w:sz="4" w:space="0"/>
              <w:left w:val="nil"/>
              <w:bottom w:val="single" w:color="auto" w:sz="4" w:space="0"/>
              <w:right w:val="single" w:color="auto" w:sz="4" w:space="0"/>
            </w:tcBorders>
            <w:noWrap w:val="0"/>
            <w:vAlign w:val="center"/>
          </w:tcPr>
          <w:p w14:paraId="34F73FE7">
            <w:pPr>
              <w:ind w:firstLine="0" w:firstLineChars="0"/>
              <w:rPr>
                <w:color w:val="auto"/>
              </w:rPr>
            </w:pPr>
            <w:r>
              <w:rPr>
                <w:rFonts w:hint="eastAsia"/>
                <w:color w:val="auto"/>
              </w:rPr>
              <w:t>文旅行业洞察-全国文旅热点洞察--热点归集</w:t>
            </w:r>
          </w:p>
        </w:tc>
        <w:tc>
          <w:tcPr>
            <w:tcW w:w="6057" w:type="dxa"/>
            <w:tcBorders>
              <w:top w:val="single" w:color="auto" w:sz="4" w:space="0"/>
              <w:left w:val="nil"/>
              <w:bottom w:val="single" w:color="auto" w:sz="4" w:space="0"/>
              <w:right w:val="single" w:color="auto" w:sz="4" w:space="0"/>
            </w:tcBorders>
            <w:noWrap w:val="0"/>
            <w:vAlign w:val="center"/>
          </w:tcPr>
          <w:p w14:paraId="3D6CE4D6">
            <w:pPr>
              <w:ind w:firstLine="0" w:firstLineChars="0"/>
              <w:rPr>
                <w:color w:val="auto"/>
              </w:rPr>
            </w:pPr>
            <w:r>
              <w:rPr>
                <w:rFonts w:hint="eastAsia"/>
                <w:color w:val="auto"/>
              </w:rPr>
              <w:t>归属于六大政务智能化辅助应用场景中的“资料检索”。通过归集各类新闻资讯、行业分析平台，汇聚文旅行业热点消费趋势、旅游模式趋势及产业趋势等内容。</w:t>
            </w:r>
          </w:p>
        </w:tc>
      </w:tr>
      <w:tr w14:paraId="7A39D6A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1697940">
            <w:pPr>
              <w:ind w:firstLine="0" w:firstLineChars="0"/>
              <w:rPr>
                <w:color w:val="auto"/>
              </w:rPr>
            </w:pPr>
            <w:r>
              <w:rPr>
                <w:rFonts w:hint="eastAsia"/>
                <w:color w:val="auto"/>
              </w:rPr>
              <w:t>79</w:t>
            </w:r>
          </w:p>
        </w:tc>
        <w:tc>
          <w:tcPr>
            <w:tcW w:w="1559" w:type="dxa"/>
            <w:tcBorders>
              <w:top w:val="single" w:color="auto" w:sz="4" w:space="0"/>
              <w:left w:val="nil"/>
              <w:bottom w:val="single" w:color="auto" w:sz="4" w:space="0"/>
              <w:right w:val="single" w:color="auto" w:sz="4" w:space="0"/>
            </w:tcBorders>
            <w:noWrap w:val="0"/>
            <w:vAlign w:val="center"/>
          </w:tcPr>
          <w:p w14:paraId="434CD227">
            <w:pPr>
              <w:ind w:firstLine="0" w:firstLineChars="0"/>
              <w:rPr>
                <w:color w:val="auto"/>
              </w:rPr>
            </w:pPr>
            <w:r>
              <w:rPr>
                <w:rFonts w:hint="eastAsia"/>
                <w:color w:val="auto"/>
              </w:rPr>
              <w:t>文旅行业洞察-全国文旅热点洞察--智能分析</w:t>
            </w:r>
          </w:p>
        </w:tc>
        <w:tc>
          <w:tcPr>
            <w:tcW w:w="6057" w:type="dxa"/>
            <w:tcBorders>
              <w:top w:val="single" w:color="auto" w:sz="4" w:space="0"/>
              <w:left w:val="nil"/>
              <w:bottom w:val="single" w:color="auto" w:sz="4" w:space="0"/>
              <w:right w:val="single" w:color="auto" w:sz="4" w:space="0"/>
            </w:tcBorders>
            <w:noWrap w:val="0"/>
            <w:vAlign w:val="center"/>
          </w:tcPr>
          <w:p w14:paraId="1763C9B1">
            <w:pPr>
              <w:ind w:firstLine="0" w:firstLineChars="0"/>
              <w:rPr>
                <w:color w:val="auto"/>
              </w:rPr>
            </w:pPr>
            <w:r>
              <w:rPr>
                <w:rFonts w:hint="eastAsia"/>
                <w:color w:val="auto"/>
              </w:rPr>
              <w:t>归属于六大政务智能化辅助应用场景中的“文书生成”。对于大模型采集内容进行分析汇总，发现最新行业趋势，通过动态聚类算法等，总结“银发旅游”“入境旅游”等关心的特色文旅行业热点。</w:t>
            </w:r>
          </w:p>
        </w:tc>
      </w:tr>
      <w:tr w14:paraId="3A5DE6E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9B73F1F">
            <w:pPr>
              <w:ind w:firstLine="0" w:firstLineChars="0"/>
              <w:rPr>
                <w:color w:val="auto"/>
              </w:rPr>
            </w:pPr>
            <w:r>
              <w:rPr>
                <w:rFonts w:hint="eastAsia"/>
                <w:color w:val="auto"/>
              </w:rPr>
              <w:t>80</w:t>
            </w:r>
          </w:p>
        </w:tc>
        <w:tc>
          <w:tcPr>
            <w:tcW w:w="1559" w:type="dxa"/>
            <w:tcBorders>
              <w:top w:val="single" w:color="auto" w:sz="4" w:space="0"/>
              <w:left w:val="nil"/>
              <w:bottom w:val="single" w:color="auto" w:sz="4" w:space="0"/>
              <w:right w:val="single" w:color="auto" w:sz="4" w:space="0"/>
            </w:tcBorders>
            <w:noWrap w:val="0"/>
            <w:vAlign w:val="center"/>
          </w:tcPr>
          <w:p w14:paraId="699ECB2B">
            <w:pPr>
              <w:ind w:firstLine="0" w:firstLineChars="0"/>
              <w:rPr>
                <w:color w:val="auto"/>
              </w:rPr>
            </w:pPr>
            <w:r>
              <w:rPr>
                <w:rFonts w:hint="eastAsia"/>
                <w:color w:val="auto"/>
              </w:rPr>
              <w:t>文旅行业洞察-全国文旅热点洞察--输出交互</w:t>
            </w:r>
          </w:p>
        </w:tc>
        <w:tc>
          <w:tcPr>
            <w:tcW w:w="6057" w:type="dxa"/>
            <w:tcBorders>
              <w:top w:val="single" w:color="auto" w:sz="4" w:space="0"/>
              <w:left w:val="nil"/>
              <w:bottom w:val="single" w:color="auto" w:sz="4" w:space="0"/>
              <w:right w:val="single" w:color="auto" w:sz="4" w:space="0"/>
            </w:tcBorders>
            <w:noWrap w:val="0"/>
            <w:vAlign w:val="center"/>
          </w:tcPr>
          <w:p w14:paraId="482C25B8">
            <w:pPr>
              <w:ind w:firstLine="0" w:firstLineChars="0"/>
              <w:rPr>
                <w:color w:val="auto"/>
              </w:rPr>
            </w:pPr>
            <w:r>
              <w:rPr>
                <w:rFonts w:hint="eastAsia"/>
                <w:color w:val="auto"/>
              </w:rPr>
              <w:t>归属于六大政务智能化辅助应用场景中的“文书生成”。自动生成热点周报，支持文档一键下载，辅助工作人员把握行业风向，及时作出市场决策。</w:t>
            </w:r>
          </w:p>
        </w:tc>
      </w:tr>
      <w:tr w14:paraId="2B9C881B">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CD72D6C">
            <w:pPr>
              <w:ind w:firstLine="0" w:firstLineChars="0"/>
              <w:rPr>
                <w:color w:val="auto"/>
              </w:rPr>
            </w:pPr>
            <w:r>
              <w:rPr>
                <w:rFonts w:hint="eastAsia"/>
                <w:color w:val="auto"/>
              </w:rPr>
              <w:t>81</w:t>
            </w:r>
          </w:p>
        </w:tc>
        <w:tc>
          <w:tcPr>
            <w:tcW w:w="1559" w:type="dxa"/>
            <w:tcBorders>
              <w:top w:val="single" w:color="auto" w:sz="4" w:space="0"/>
              <w:left w:val="nil"/>
              <w:bottom w:val="single" w:color="auto" w:sz="4" w:space="0"/>
              <w:right w:val="single" w:color="auto" w:sz="4" w:space="0"/>
            </w:tcBorders>
            <w:noWrap w:val="0"/>
            <w:vAlign w:val="center"/>
          </w:tcPr>
          <w:p w14:paraId="6A319C9D">
            <w:pPr>
              <w:ind w:firstLine="0" w:firstLineChars="0"/>
              <w:rPr>
                <w:color w:val="auto"/>
              </w:rPr>
            </w:pPr>
            <w:r>
              <w:rPr>
                <w:rFonts w:hint="eastAsia"/>
                <w:color w:val="auto"/>
              </w:rPr>
              <w:t>文旅行业洞察-全国文旅事件洞察--事件归集</w:t>
            </w:r>
          </w:p>
        </w:tc>
        <w:tc>
          <w:tcPr>
            <w:tcW w:w="6057" w:type="dxa"/>
            <w:tcBorders>
              <w:top w:val="single" w:color="auto" w:sz="4" w:space="0"/>
              <w:left w:val="nil"/>
              <w:bottom w:val="single" w:color="auto" w:sz="4" w:space="0"/>
              <w:right w:val="single" w:color="auto" w:sz="4" w:space="0"/>
            </w:tcBorders>
            <w:noWrap w:val="0"/>
            <w:vAlign w:val="center"/>
          </w:tcPr>
          <w:p w14:paraId="69162527">
            <w:pPr>
              <w:ind w:firstLine="0" w:firstLineChars="0"/>
              <w:rPr>
                <w:color w:val="auto"/>
              </w:rPr>
            </w:pPr>
            <w:r>
              <w:rPr>
                <w:rFonts w:hint="eastAsia"/>
                <w:color w:val="auto"/>
              </w:rPr>
              <w:t>归属于六大政务智能化辅助应用场景中的“资料检索”。通过归集文旅局内部数据，分析汇总历史文旅</w:t>
            </w:r>
            <w:r>
              <w:rPr>
                <w:rFonts w:hint="eastAsia"/>
                <w:color w:val="auto"/>
                <w:lang w:eastAsia="zh-CN"/>
              </w:rPr>
              <w:t>YQ</w:t>
            </w:r>
            <w:r>
              <w:rPr>
                <w:rFonts w:hint="eastAsia"/>
                <w:color w:val="auto"/>
              </w:rPr>
              <w:t>事件、应急事件的背景、情况和处理方式，并收集市场最新</w:t>
            </w:r>
            <w:r>
              <w:rPr>
                <w:rFonts w:hint="eastAsia"/>
                <w:color w:val="auto"/>
                <w:lang w:eastAsia="zh-CN"/>
              </w:rPr>
              <w:t>YQ</w:t>
            </w:r>
            <w:r>
              <w:rPr>
                <w:rFonts w:hint="eastAsia"/>
                <w:color w:val="auto"/>
              </w:rPr>
              <w:t>事件和应急事件内容。</w:t>
            </w:r>
          </w:p>
        </w:tc>
      </w:tr>
      <w:tr w14:paraId="1944F01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8C5C2D7">
            <w:pPr>
              <w:ind w:firstLine="0" w:firstLineChars="0"/>
              <w:rPr>
                <w:color w:val="auto"/>
              </w:rPr>
            </w:pPr>
            <w:r>
              <w:rPr>
                <w:rFonts w:hint="eastAsia"/>
                <w:color w:val="auto"/>
              </w:rPr>
              <w:t>82</w:t>
            </w:r>
          </w:p>
        </w:tc>
        <w:tc>
          <w:tcPr>
            <w:tcW w:w="1559" w:type="dxa"/>
            <w:tcBorders>
              <w:top w:val="single" w:color="auto" w:sz="4" w:space="0"/>
              <w:left w:val="nil"/>
              <w:bottom w:val="single" w:color="auto" w:sz="4" w:space="0"/>
              <w:right w:val="single" w:color="auto" w:sz="4" w:space="0"/>
            </w:tcBorders>
            <w:noWrap w:val="0"/>
            <w:vAlign w:val="center"/>
          </w:tcPr>
          <w:p w14:paraId="3AC819D9">
            <w:pPr>
              <w:ind w:firstLine="0" w:firstLineChars="0"/>
              <w:rPr>
                <w:color w:val="auto"/>
              </w:rPr>
            </w:pPr>
            <w:r>
              <w:rPr>
                <w:rFonts w:hint="eastAsia"/>
                <w:color w:val="auto"/>
              </w:rPr>
              <w:t>文旅行业洞察-全国文旅事件洞察--智能分析</w:t>
            </w:r>
          </w:p>
        </w:tc>
        <w:tc>
          <w:tcPr>
            <w:tcW w:w="6057" w:type="dxa"/>
            <w:tcBorders>
              <w:top w:val="single" w:color="auto" w:sz="4" w:space="0"/>
              <w:left w:val="nil"/>
              <w:bottom w:val="single" w:color="auto" w:sz="4" w:space="0"/>
              <w:right w:val="single" w:color="auto" w:sz="4" w:space="0"/>
            </w:tcBorders>
            <w:noWrap w:val="0"/>
            <w:vAlign w:val="center"/>
          </w:tcPr>
          <w:p w14:paraId="156B566D">
            <w:pPr>
              <w:ind w:firstLine="0" w:firstLineChars="0"/>
              <w:rPr>
                <w:color w:val="auto"/>
              </w:rPr>
            </w:pPr>
            <w:r>
              <w:rPr>
                <w:rFonts w:hint="eastAsia"/>
                <w:color w:val="auto"/>
              </w:rPr>
              <w:t>归属于六大政务智能化辅助应用场景中的“文书生成”。结合历史及最新</w:t>
            </w:r>
            <w:r>
              <w:rPr>
                <w:rFonts w:hint="eastAsia"/>
                <w:color w:val="auto"/>
                <w:lang w:eastAsia="zh-CN"/>
              </w:rPr>
              <w:t>YQ</w:t>
            </w:r>
            <w:r>
              <w:rPr>
                <w:rFonts w:hint="eastAsia"/>
                <w:color w:val="auto"/>
              </w:rPr>
              <w:t>事件及应急事情及分析，生成应急预案、建议处置办法及参考提示。</w:t>
            </w:r>
          </w:p>
        </w:tc>
      </w:tr>
      <w:tr w14:paraId="472653CB">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EAC86E5">
            <w:pPr>
              <w:ind w:firstLine="0" w:firstLineChars="0"/>
              <w:rPr>
                <w:color w:val="auto"/>
              </w:rPr>
            </w:pPr>
            <w:r>
              <w:rPr>
                <w:rFonts w:hint="eastAsia"/>
                <w:color w:val="auto"/>
              </w:rPr>
              <w:t>83</w:t>
            </w:r>
          </w:p>
        </w:tc>
        <w:tc>
          <w:tcPr>
            <w:tcW w:w="1559" w:type="dxa"/>
            <w:tcBorders>
              <w:top w:val="single" w:color="auto" w:sz="4" w:space="0"/>
              <w:left w:val="nil"/>
              <w:bottom w:val="single" w:color="auto" w:sz="4" w:space="0"/>
              <w:right w:val="single" w:color="auto" w:sz="4" w:space="0"/>
            </w:tcBorders>
            <w:noWrap w:val="0"/>
            <w:vAlign w:val="center"/>
          </w:tcPr>
          <w:p w14:paraId="429A32C8">
            <w:pPr>
              <w:ind w:firstLine="0" w:firstLineChars="0"/>
              <w:rPr>
                <w:color w:val="auto"/>
              </w:rPr>
            </w:pPr>
            <w:r>
              <w:rPr>
                <w:rFonts w:hint="eastAsia"/>
                <w:color w:val="auto"/>
              </w:rPr>
              <w:t>文旅行业洞察-全国文旅事件洞察--输出交互</w:t>
            </w:r>
          </w:p>
        </w:tc>
        <w:tc>
          <w:tcPr>
            <w:tcW w:w="6057" w:type="dxa"/>
            <w:tcBorders>
              <w:top w:val="single" w:color="auto" w:sz="4" w:space="0"/>
              <w:left w:val="nil"/>
              <w:bottom w:val="single" w:color="auto" w:sz="4" w:space="0"/>
              <w:right w:val="single" w:color="auto" w:sz="4" w:space="0"/>
            </w:tcBorders>
            <w:noWrap w:val="0"/>
            <w:vAlign w:val="center"/>
          </w:tcPr>
          <w:p w14:paraId="4CEFDF22">
            <w:pPr>
              <w:ind w:firstLine="0" w:firstLineChars="0"/>
              <w:rPr>
                <w:color w:val="auto"/>
              </w:rPr>
            </w:pPr>
            <w:r>
              <w:rPr>
                <w:rFonts w:hint="eastAsia"/>
                <w:color w:val="auto"/>
              </w:rPr>
              <w:t>归属于六大政务智能化辅助应用场景中的“文书生成”。自动生成时间报告，支持文档一键下载，辅助工作人员把握行业风向，及时作出市场决策。</w:t>
            </w:r>
          </w:p>
        </w:tc>
      </w:tr>
      <w:tr w14:paraId="4F4DE611">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7D0A3EA0">
            <w:pPr>
              <w:ind w:firstLine="0" w:firstLineChars="0"/>
              <w:rPr>
                <w:color w:val="auto"/>
              </w:rPr>
            </w:pPr>
            <w:r>
              <w:rPr>
                <w:rFonts w:hint="eastAsia"/>
                <w:color w:val="auto"/>
              </w:rPr>
              <w:t>15、文旅AI应用-智能助手</w:t>
            </w:r>
          </w:p>
        </w:tc>
      </w:tr>
      <w:tr w14:paraId="1D42FAB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7B533F8">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79AA1E2A">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12624723">
            <w:pPr>
              <w:ind w:firstLine="0" w:firstLineChars="0"/>
              <w:rPr>
                <w:color w:val="auto"/>
              </w:rPr>
            </w:pPr>
            <w:r>
              <w:rPr>
                <w:rFonts w:hint="eastAsia"/>
                <w:color w:val="auto"/>
              </w:rPr>
              <w:t>功能描述</w:t>
            </w:r>
          </w:p>
        </w:tc>
      </w:tr>
      <w:tr w14:paraId="3E9BFC58">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142D860">
            <w:pPr>
              <w:ind w:firstLine="0" w:firstLineChars="0"/>
              <w:rPr>
                <w:color w:val="auto"/>
              </w:rPr>
            </w:pPr>
            <w:r>
              <w:rPr>
                <w:rFonts w:hint="eastAsia"/>
                <w:color w:val="auto"/>
              </w:rPr>
              <w:t>84</w:t>
            </w:r>
          </w:p>
        </w:tc>
        <w:tc>
          <w:tcPr>
            <w:tcW w:w="1559" w:type="dxa"/>
            <w:tcBorders>
              <w:top w:val="single" w:color="auto" w:sz="4" w:space="0"/>
              <w:left w:val="nil"/>
              <w:bottom w:val="single" w:color="auto" w:sz="4" w:space="0"/>
              <w:right w:val="single" w:color="auto" w:sz="4" w:space="0"/>
            </w:tcBorders>
            <w:noWrap w:val="0"/>
            <w:vAlign w:val="center"/>
          </w:tcPr>
          <w:p w14:paraId="5C1FAE83">
            <w:pPr>
              <w:ind w:firstLine="0" w:firstLineChars="0"/>
              <w:rPr>
                <w:color w:val="auto"/>
              </w:rPr>
            </w:pPr>
            <w:r>
              <w:rPr>
                <w:rFonts w:hint="eastAsia"/>
                <w:color w:val="auto"/>
              </w:rPr>
              <w:t>文旅智能助手智能体-景区客流主题业务应用--客流预测</w:t>
            </w:r>
          </w:p>
        </w:tc>
        <w:tc>
          <w:tcPr>
            <w:tcW w:w="6057" w:type="dxa"/>
            <w:tcBorders>
              <w:top w:val="single" w:color="auto" w:sz="4" w:space="0"/>
              <w:left w:val="nil"/>
              <w:bottom w:val="single" w:color="auto" w:sz="4" w:space="0"/>
              <w:right w:val="single" w:color="auto" w:sz="4" w:space="0"/>
            </w:tcBorders>
            <w:noWrap w:val="0"/>
            <w:vAlign w:val="center"/>
          </w:tcPr>
          <w:p w14:paraId="4DC1F578">
            <w:pPr>
              <w:ind w:firstLine="0" w:firstLineChars="0"/>
              <w:rPr>
                <w:color w:val="auto"/>
              </w:rPr>
            </w:pPr>
            <w:r>
              <w:rPr>
                <w:rFonts w:hint="eastAsia"/>
                <w:color w:val="auto"/>
              </w:rPr>
              <w:t>归属于六大政务智能化辅助应用场景中的“智能问答”。针对景区客流预测应用场景，基于景区客流知识库，并结合节假日、气象等多维度影响因素插件的多源数据融合，调用文旅智能问数工具、文旅智能问答工具等，输出景区客流数据预测，辅助工作人员提前进行相关资源调配。</w:t>
            </w:r>
          </w:p>
        </w:tc>
      </w:tr>
      <w:tr w14:paraId="79879E2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37993CD">
            <w:pPr>
              <w:ind w:firstLine="0" w:firstLineChars="0"/>
              <w:rPr>
                <w:color w:val="auto"/>
              </w:rPr>
            </w:pPr>
            <w:r>
              <w:rPr>
                <w:rFonts w:hint="eastAsia"/>
                <w:color w:val="auto"/>
              </w:rPr>
              <w:t>85</w:t>
            </w:r>
          </w:p>
        </w:tc>
        <w:tc>
          <w:tcPr>
            <w:tcW w:w="1559" w:type="dxa"/>
            <w:tcBorders>
              <w:top w:val="single" w:color="auto" w:sz="4" w:space="0"/>
              <w:left w:val="nil"/>
              <w:bottom w:val="single" w:color="auto" w:sz="4" w:space="0"/>
              <w:right w:val="single" w:color="auto" w:sz="4" w:space="0"/>
            </w:tcBorders>
            <w:noWrap w:val="0"/>
            <w:vAlign w:val="center"/>
          </w:tcPr>
          <w:p w14:paraId="5FD4CA91">
            <w:pPr>
              <w:ind w:firstLine="0" w:firstLineChars="0"/>
              <w:rPr>
                <w:color w:val="auto"/>
              </w:rPr>
            </w:pPr>
            <w:r>
              <w:rPr>
                <w:rFonts w:hint="eastAsia"/>
                <w:color w:val="auto"/>
              </w:rPr>
              <w:t>文旅智能助手智能体-景区客流主题业务应用--数据问答</w:t>
            </w:r>
          </w:p>
        </w:tc>
        <w:tc>
          <w:tcPr>
            <w:tcW w:w="6057" w:type="dxa"/>
            <w:tcBorders>
              <w:top w:val="single" w:color="auto" w:sz="4" w:space="0"/>
              <w:left w:val="nil"/>
              <w:bottom w:val="single" w:color="auto" w:sz="4" w:space="0"/>
              <w:right w:val="single" w:color="auto" w:sz="4" w:space="0"/>
            </w:tcBorders>
            <w:noWrap w:val="0"/>
            <w:vAlign w:val="center"/>
          </w:tcPr>
          <w:p w14:paraId="5F33A16F">
            <w:pPr>
              <w:ind w:firstLine="0" w:firstLineChars="0"/>
              <w:rPr>
                <w:color w:val="auto"/>
              </w:rPr>
            </w:pPr>
            <w:r>
              <w:rPr>
                <w:rFonts w:hint="eastAsia"/>
                <w:color w:val="auto"/>
              </w:rPr>
              <w:t>归属于六大政务智能化辅助应用场景中的“智能问答”。针对景区客流主题应用场景，基于景区客流知识库，调用文旅智能问数工具、文旅智能问答工具等，分时段分析各级景区客流量、景区客流舒适度数据情况，支持历史数据比对，输出相关数据图表，包括折线图、柱状图、饼图等，并可根据用户的反馈不断优化图表设计，支持数据一键导出。</w:t>
            </w:r>
          </w:p>
        </w:tc>
      </w:tr>
      <w:tr w14:paraId="3A2D52E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09BCDBB">
            <w:pPr>
              <w:ind w:firstLine="0" w:firstLineChars="0"/>
              <w:rPr>
                <w:color w:val="auto"/>
              </w:rPr>
            </w:pPr>
            <w:r>
              <w:rPr>
                <w:rFonts w:hint="eastAsia"/>
                <w:color w:val="auto"/>
              </w:rPr>
              <w:t>86</w:t>
            </w:r>
          </w:p>
        </w:tc>
        <w:tc>
          <w:tcPr>
            <w:tcW w:w="1559" w:type="dxa"/>
            <w:tcBorders>
              <w:top w:val="single" w:color="auto" w:sz="4" w:space="0"/>
              <w:left w:val="nil"/>
              <w:bottom w:val="single" w:color="auto" w:sz="4" w:space="0"/>
              <w:right w:val="single" w:color="auto" w:sz="4" w:space="0"/>
            </w:tcBorders>
            <w:noWrap w:val="0"/>
            <w:vAlign w:val="center"/>
          </w:tcPr>
          <w:p w14:paraId="4DAE4C9F">
            <w:pPr>
              <w:ind w:firstLine="0" w:firstLineChars="0"/>
              <w:rPr>
                <w:color w:val="auto"/>
              </w:rPr>
            </w:pPr>
            <w:r>
              <w:rPr>
                <w:rFonts w:hint="eastAsia"/>
                <w:color w:val="auto"/>
              </w:rPr>
              <w:t>文旅智能助手智能体-游客画像主题业务应用</w:t>
            </w:r>
          </w:p>
        </w:tc>
        <w:tc>
          <w:tcPr>
            <w:tcW w:w="6057" w:type="dxa"/>
            <w:tcBorders>
              <w:top w:val="single" w:color="auto" w:sz="4" w:space="0"/>
              <w:left w:val="nil"/>
              <w:bottom w:val="single" w:color="auto" w:sz="4" w:space="0"/>
              <w:right w:val="single" w:color="auto" w:sz="4" w:space="0"/>
            </w:tcBorders>
            <w:noWrap w:val="0"/>
            <w:vAlign w:val="center"/>
          </w:tcPr>
          <w:p w14:paraId="3D6D92FF">
            <w:pPr>
              <w:ind w:firstLine="0" w:firstLineChars="0"/>
              <w:rPr>
                <w:color w:val="auto"/>
              </w:rPr>
            </w:pPr>
            <w:r>
              <w:rPr>
                <w:rFonts w:hint="eastAsia"/>
                <w:color w:val="auto"/>
              </w:rPr>
              <w:t>归属于六大政务智能化辅助应用场景中的“智能问答”。针对游客画像主题应用场景，基于游客画像知识库，调用文旅智能问数工具、文旅智能问答工具等，实现近一年、近一月来沪游客数量、居住地、消费水平分析、性别构成、年龄构成等实时数据问答服务，支持历史数据比对，输出相关数据图表，包括折线图、柱状图、饼图等，并可根据用户的反馈不断优化图表设计，支持数据一键导出。</w:t>
            </w:r>
          </w:p>
        </w:tc>
      </w:tr>
      <w:tr w14:paraId="15D20E6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7F555A3">
            <w:pPr>
              <w:ind w:firstLine="0" w:firstLineChars="0"/>
              <w:rPr>
                <w:color w:val="auto"/>
              </w:rPr>
            </w:pPr>
            <w:r>
              <w:rPr>
                <w:rFonts w:hint="eastAsia"/>
                <w:color w:val="auto"/>
              </w:rPr>
              <w:t>87</w:t>
            </w:r>
          </w:p>
        </w:tc>
        <w:tc>
          <w:tcPr>
            <w:tcW w:w="1559" w:type="dxa"/>
            <w:tcBorders>
              <w:top w:val="single" w:color="auto" w:sz="4" w:space="0"/>
              <w:left w:val="nil"/>
              <w:bottom w:val="single" w:color="auto" w:sz="4" w:space="0"/>
              <w:right w:val="single" w:color="auto" w:sz="4" w:space="0"/>
            </w:tcBorders>
            <w:noWrap w:val="0"/>
            <w:vAlign w:val="center"/>
          </w:tcPr>
          <w:p w14:paraId="5F433C38">
            <w:pPr>
              <w:ind w:firstLine="0" w:firstLineChars="0"/>
              <w:rPr>
                <w:color w:val="auto"/>
              </w:rPr>
            </w:pPr>
            <w:r>
              <w:rPr>
                <w:rFonts w:hint="eastAsia"/>
                <w:color w:val="auto"/>
              </w:rPr>
              <w:t>文旅智能助手智能体-宾馆酒店主题业务应用</w:t>
            </w:r>
          </w:p>
        </w:tc>
        <w:tc>
          <w:tcPr>
            <w:tcW w:w="6057" w:type="dxa"/>
            <w:tcBorders>
              <w:top w:val="single" w:color="auto" w:sz="4" w:space="0"/>
              <w:left w:val="nil"/>
              <w:bottom w:val="single" w:color="auto" w:sz="4" w:space="0"/>
              <w:right w:val="single" w:color="auto" w:sz="4" w:space="0"/>
            </w:tcBorders>
            <w:noWrap w:val="0"/>
            <w:vAlign w:val="center"/>
          </w:tcPr>
          <w:p w14:paraId="545BE642">
            <w:pPr>
              <w:ind w:firstLine="0" w:firstLineChars="0"/>
              <w:rPr>
                <w:color w:val="auto"/>
              </w:rPr>
            </w:pPr>
            <w:r>
              <w:rPr>
                <w:rFonts w:hint="eastAsia"/>
                <w:color w:val="auto"/>
              </w:rPr>
              <w:t>归属于六大政务智能化辅助应用场景中的“智能问答”。针对宾馆酒店主题应用场景，基于宾馆酒店知识库，调用文旅智能问数工具、文旅智能问答工具等，如宾馆酒店等级占比、平均入住率、平均客房价、住客平均过夜天数等，提供实时数据问答服务，支持历史数据比对，输出相关数据图表，包括折线图、柱状图、饼图等，并可根据用户的反馈不断优化图表设计，支持高清一键导出。</w:t>
            </w:r>
          </w:p>
        </w:tc>
      </w:tr>
      <w:tr w14:paraId="2EE4C1C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B0D6C7F">
            <w:pPr>
              <w:ind w:firstLine="0" w:firstLineChars="0"/>
              <w:rPr>
                <w:color w:val="auto"/>
              </w:rPr>
            </w:pPr>
            <w:r>
              <w:rPr>
                <w:rFonts w:hint="eastAsia"/>
                <w:color w:val="auto"/>
              </w:rPr>
              <w:t>88</w:t>
            </w:r>
          </w:p>
        </w:tc>
        <w:tc>
          <w:tcPr>
            <w:tcW w:w="1559" w:type="dxa"/>
            <w:tcBorders>
              <w:top w:val="single" w:color="auto" w:sz="4" w:space="0"/>
              <w:left w:val="nil"/>
              <w:bottom w:val="single" w:color="auto" w:sz="4" w:space="0"/>
              <w:right w:val="single" w:color="auto" w:sz="4" w:space="0"/>
            </w:tcBorders>
            <w:noWrap w:val="0"/>
            <w:vAlign w:val="center"/>
          </w:tcPr>
          <w:p w14:paraId="7A4D95C7">
            <w:pPr>
              <w:ind w:firstLine="0" w:firstLineChars="0"/>
              <w:rPr>
                <w:color w:val="auto"/>
              </w:rPr>
            </w:pPr>
            <w:r>
              <w:rPr>
                <w:rFonts w:hint="eastAsia"/>
                <w:color w:val="auto"/>
              </w:rPr>
              <w:t>文旅智能助手智能体-文旅消费主题业务应用</w:t>
            </w:r>
          </w:p>
        </w:tc>
        <w:tc>
          <w:tcPr>
            <w:tcW w:w="6057" w:type="dxa"/>
            <w:tcBorders>
              <w:top w:val="single" w:color="auto" w:sz="4" w:space="0"/>
              <w:left w:val="nil"/>
              <w:bottom w:val="single" w:color="auto" w:sz="4" w:space="0"/>
              <w:right w:val="single" w:color="auto" w:sz="4" w:space="0"/>
            </w:tcBorders>
            <w:noWrap w:val="0"/>
            <w:vAlign w:val="center"/>
          </w:tcPr>
          <w:p w14:paraId="50681C6B">
            <w:pPr>
              <w:ind w:firstLine="0" w:firstLineChars="0"/>
              <w:rPr>
                <w:color w:val="auto"/>
              </w:rPr>
            </w:pPr>
            <w:r>
              <w:rPr>
                <w:rFonts w:hint="eastAsia"/>
                <w:color w:val="auto"/>
              </w:rPr>
              <w:t>归属于六大政务智能化辅助应用场景中的“智能问答”。针对文旅消费主题应用场景，基于文旅消费知识库，调用文旅智能问数工具、文旅智能问答工具等，如近一年、近一月来沪游客居住地、消费水平分析、性别构成、年龄构成、游客消费习惯和偏好、当前热门的文旅消费领域等，提供实时数据问答服务，支持历史数据比对，输出相关数据图表，包括折线图、柱状图、饼图等，并可根据用户的反馈不断优化图表设计，支持高清一键导出。</w:t>
            </w:r>
          </w:p>
        </w:tc>
      </w:tr>
      <w:tr w14:paraId="5651096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4962607">
            <w:pPr>
              <w:ind w:firstLine="0" w:firstLineChars="0"/>
              <w:rPr>
                <w:color w:val="auto"/>
              </w:rPr>
            </w:pPr>
            <w:r>
              <w:rPr>
                <w:rFonts w:hint="eastAsia"/>
                <w:color w:val="auto"/>
              </w:rPr>
              <w:t>89</w:t>
            </w:r>
          </w:p>
        </w:tc>
        <w:tc>
          <w:tcPr>
            <w:tcW w:w="1559" w:type="dxa"/>
            <w:tcBorders>
              <w:top w:val="single" w:color="auto" w:sz="4" w:space="0"/>
              <w:left w:val="nil"/>
              <w:bottom w:val="single" w:color="auto" w:sz="4" w:space="0"/>
              <w:right w:val="single" w:color="auto" w:sz="4" w:space="0"/>
            </w:tcBorders>
            <w:noWrap w:val="0"/>
            <w:vAlign w:val="center"/>
          </w:tcPr>
          <w:p w14:paraId="6D40FC49">
            <w:pPr>
              <w:ind w:firstLine="0" w:firstLineChars="0"/>
              <w:rPr>
                <w:color w:val="auto"/>
              </w:rPr>
            </w:pPr>
            <w:r>
              <w:rPr>
                <w:rFonts w:hint="eastAsia"/>
                <w:color w:val="auto"/>
              </w:rPr>
              <w:t>文旅智能助手智能体-文旅营商主题业务应用</w:t>
            </w:r>
          </w:p>
        </w:tc>
        <w:tc>
          <w:tcPr>
            <w:tcW w:w="6057" w:type="dxa"/>
            <w:tcBorders>
              <w:top w:val="single" w:color="auto" w:sz="4" w:space="0"/>
              <w:left w:val="nil"/>
              <w:bottom w:val="single" w:color="auto" w:sz="4" w:space="0"/>
              <w:right w:val="single" w:color="auto" w:sz="4" w:space="0"/>
            </w:tcBorders>
            <w:noWrap w:val="0"/>
            <w:vAlign w:val="center"/>
          </w:tcPr>
          <w:p w14:paraId="5517BF23">
            <w:pPr>
              <w:ind w:firstLine="0" w:firstLineChars="0"/>
              <w:rPr>
                <w:color w:val="auto"/>
              </w:rPr>
            </w:pPr>
            <w:r>
              <w:rPr>
                <w:rFonts w:hint="eastAsia"/>
                <w:color w:val="auto"/>
              </w:rPr>
              <w:t>归属于六大政务智能化辅助应用场景中的“智能问答”。针对文旅营商主题应用场景，基于文旅营商知识库，调用文旅智能问数工具、文旅智能问答工具等，结合文旅企业细分领域分类占比数量、文旅企业经营相关数据、文旅企业走访情况等，并通过大模型插件自动化对企业公众号文章、企业官网等公开平台信息进行梳理，提供实时数据问答服务，支持历史数据比对，输出相关数据图表，包括折线图、柱状图、饼图等，并可根据用户的反馈不断优化图表设计，支持数据一键导出。</w:t>
            </w:r>
          </w:p>
        </w:tc>
      </w:tr>
      <w:tr w14:paraId="7CC38EA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431AC30">
            <w:pPr>
              <w:ind w:firstLine="0" w:firstLineChars="0"/>
              <w:rPr>
                <w:color w:val="auto"/>
              </w:rPr>
            </w:pPr>
            <w:r>
              <w:rPr>
                <w:rFonts w:hint="eastAsia"/>
                <w:color w:val="auto"/>
              </w:rPr>
              <w:t>90</w:t>
            </w:r>
          </w:p>
        </w:tc>
        <w:tc>
          <w:tcPr>
            <w:tcW w:w="1559" w:type="dxa"/>
            <w:tcBorders>
              <w:top w:val="single" w:color="auto" w:sz="4" w:space="0"/>
              <w:left w:val="nil"/>
              <w:bottom w:val="single" w:color="auto" w:sz="4" w:space="0"/>
              <w:right w:val="single" w:color="auto" w:sz="4" w:space="0"/>
            </w:tcBorders>
            <w:noWrap w:val="0"/>
            <w:vAlign w:val="center"/>
          </w:tcPr>
          <w:p w14:paraId="07C2A59C">
            <w:pPr>
              <w:ind w:firstLine="0" w:firstLineChars="0"/>
              <w:rPr>
                <w:color w:val="auto"/>
              </w:rPr>
            </w:pPr>
            <w:r>
              <w:rPr>
                <w:rFonts w:hint="eastAsia"/>
                <w:color w:val="auto"/>
              </w:rPr>
              <w:t>文旅智能助手智能体-文旅活动主题业务应用</w:t>
            </w:r>
          </w:p>
        </w:tc>
        <w:tc>
          <w:tcPr>
            <w:tcW w:w="6057" w:type="dxa"/>
            <w:tcBorders>
              <w:top w:val="single" w:color="auto" w:sz="4" w:space="0"/>
              <w:left w:val="nil"/>
              <w:bottom w:val="single" w:color="auto" w:sz="4" w:space="0"/>
              <w:right w:val="single" w:color="auto" w:sz="4" w:space="0"/>
            </w:tcBorders>
            <w:noWrap w:val="0"/>
            <w:vAlign w:val="center"/>
          </w:tcPr>
          <w:p w14:paraId="12DC8A45">
            <w:pPr>
              <w:ind w:firstLine="0" w:firstLineChars="0"/>
              <w:rPr>
                <w:color w:val="auto"/>
              </w:rPr>
            </w:pPr>
            <w:r>
              <w:rPr>
                <w:rFonts w:hint="eastAsia"/>
                <w:color w:val="auto"/>
              </w:rPr>
              <w:t>归属于六大政务智能化辅助应用场景中的“智能问答”。针对文旅活动主题应用场景，基于文旅活动知识库，调用文旅智能问数工具、文旅智能问答工具等，如近期场馆举办展览、演出活动等文旅活动的场次、票价、参与人次等，提供实时数据问答服务，支持历史数据比对，输出相关数据图表，包括折线图、柱状图、饼图等，并可根据用户的反馈不断优化图表设计，支持高清一键导出。</w:t>
            </w:r>
          </w:p>
        </w:tc>
      </w:tr>
      <w:tr w14:paraId="36A1DDCB">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B9CD86B">
            <w:pPr>
              <w:ind w:firstLine="0" w:firstLineChars="0"/>
              <w:rPr>
                <w:color w:val="auto"/>
              </w:rPr>
            </w:pPr>
            <w:r>
              <w:rPr>
                <w:rFonts w:hint="eastAsia"/>
                <w:color w:val="auto"/>
              </w:rPr>
              <w:t>91</w:t>
            </w:r>
          </w:p>
        </w:tc>
        <w:tc>
          <w:tcPr>
            <w:tcW w:w="1559" w:type="dxa"/>
            <w:tcBorders>
              <w:top w:val="single" w:color="auto" w:sz="4" w:space="0"/>
              <w:left w:val="nil"/>
              <w:bottom w:val="single" w:color="auto" w:sz="4" w:space="0"/>
              <w:right w:val="single" w:color="auto" w:sz="4" w:space="0"/>
            </w:tcBorders>
            <w:noWrap w:val="0"/>
            <w:vAlign w:val="center"/>
          </w:tcPr>
          <w:p w14:paraId="34FC422B">
            <w:pPr>
              <w:ind w:firstLine="0" w:firstLineChars="0"/>
              <w:rPr>
                <w:color w:val="auto"/>
              </w:rPr>
            </w:pPr>
            <w:r>
              <w:rPr>
                <w:rFonts w:hint="eastAsia"/>
                <w:color w:val="auto"/>
              </w:rPr>
              <w:t>文旅智能助手智能体-文旅资源主题业务应用</w:t>
            </w:r>
          </w:p>
        </w:tc>
        <w:tc>
          <w:tcPr>
            <w:tcW w:w="6057" w:type="dxa"/>
            <w:tcBorders>
              <w:top w:val="single" w:color="auto" w:sz="4" w:space="0"/>
              <w:left w:val="nil"/>
              <w:bottom w:val="single" w:color="auto" w:sz="4" w:space="0"/>
              <w:right w:val="single" w:color="auto" w:sz="4" w:space="0"/>
            </w:tcBorders>
            <w:noWrap w:val="0"/>
            <w:vAlign w:val="center"/>
          </w:tcPr>
          <w:p w14:paraId="2F4D013E">
            <w:pPr>
              <w:ind w:firstLine="0" w:firstLineChars="0"/>
              <w:rPr>
                <w:color w:val="auto"/>
              </w:rPr>
            </w:pPr>
            <w:r>
              <w:rPr>
                <w:rFonts w:hint="eastAsia"/>
                <w:color w:val="auto"/>
              </w:rPr>
              <w:t>归属于六大政务智能化辅助应用场景中的“智能问答”。针对文旅资源主题应用场景，基于文旅资源知识库，调用文旅智能问数工具、文旅智能问答工具等，对景区、图书馆、美术馆、博物馆、公共文化设施、宾馆酒店等文旅资源的总量、地理位置分布等各维度进行分析，支持历史数据比对，输出相关数据图表，包括折线图、柱状图、饼图等，并可根据用户的反馈不断优化图表设计，确保信息呈现的最佳效果，同时支持一键导出，方便用户使用。</w:t>
            </w:r>
          </w:p>
        </w:tc>
      </w:tr>
      <w:tr w14:paraId="48FD95D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44C7BE7">
            <w:pPr>
              <w:ind w:firstLine="0" w:firstLineChars="0"/>
              <w:rPr>
                <w:color w:val="auto"/>
              </w:rPr>
            </w:pPr>
            <w:r>
              <w:rPr>
                <w:rFonts w:hint="eastAsia"/>
                <w:color w:val="auto"/>
              </w:rPr>
              <w:t>92</w:t>
            </w:r>
          </w:p>
        </w:tc>
        <w:tc>
          <w:tcPr>
            <w:tcW w:w="1559" w:type="dxa"/>
            <w:tcBorders>
              <w:top w:val="single" w:color="auto" w:sz="4" w:space="0"/>
              <w:left w:val="nil"/>
              <w:bottom w:val="single" w:color="auto" w:sz="4" w:space="0"/>
              <w:right w:val="single" w:color="auto" w:sz="4" w:space="0"/>
            </w:tcBorders>
            <w:noWrap w:val="0"/>
            <w:vAlign w:val="center"/>
          </w:tcPr>
          <w:p w14:paraId="3A075DEA">
            <w:pPr>
              <w:ind w:firstLine="0" w:firstLineChars="0"/>
              <w:rPr>
                <w:color w:val="auto"/>
              </w:rPr>
            </w:pPr>
            <w:r>
              <w:rPr>
                <w:rFonts w:hint="eastAsia"/>
                <w:color w:val="auto"/>
              </w:rPr>
              <w:t>文旅智能助手智能体-文物管理主题业务应用</w:t>
            </w:r>
          </w:p>
        </w:tc>
        <w:tc>
          <w:tcPr>
            <w:tcW w:w="6057" w:type="dxa"/>
            <w:tcBorders>
              <w:top w:val="single" w:color="auto" w:sz="4" w:space="0"/>
              <w:left w:val="nil"/>
              <w:bottom w:val="single" w:color="auto" w:sz="4" w:space="0"/>
              <w:right w:val="single" w:color="auto" w:sz="4" w:space="0"/>
            </w:tcBorders>
            <w:noWrap w:val="0"/>
            <w:vAlign w:val="center"/>
          </w:tcPr>
          <w:p w14:paraId="4F4D1BAF">
            <w:pPr>
              <w:ind w:firstLine="0" w:firstLineChars="0"/>
              <w:rPr>
                <w:color w:val="auto"/>
              </w:rPr>
            </w:pPr>
            <w:r>
              <w:rPr>
                <w:rFonts w:hint="eastAsia"/>
                <w:color w:val="auto"/>
              </w:rPr>
              <w:t>归属于六大政务智能化辅助应用场景中的“智能问答”。针对文物主题应用场景，基于文物主题知识库，调用文旅智能问数工具、文旅智能问答工具等，如不可移动文物地理位置分布、文物拍卖交易额、文物分级占比等维度，提供实时数据问答服务，支持历史数据比对，输出相关数据图表，包括折线图、柱状图、饼图等，并可根据用户的反馈不断优化图表设计，确保信息呈现的最佳效果，同时支持数据一键导出，方便用户使用。</w:t>
            </w:r>
          </w:p>
        </w:tc>
      </w:tr>
      <w:tr w14:paraId="1521EC4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911B2BD">
            <w:pPr>
              <w:ind w:firstLine="0" w:firstLineChars="0"/>
              <w:rPr>
                <w:color w:val="auto"/>
              </w:rPr>
            </w:pPr>
            <w:r>
              <w:rPr>
                <w:rFonts w:hint="eastAsia"/>
                <w:color w:val="auto"/>
              </w:rPr>
              <w:t>93</w:t>
            </w:r>
          </w:p>
        </w:tc>
        <w:tc>
          <w:tcPr>
            <w:tcW w:w="1559" w:type="dxa"/>
            <w:tcBorders>
              <w:top w:val="single" w:color="auto" w:sz="4" w:space="0"/>
              <w:left w:val="nil"/>
              <w:bottom w:val="single" w:color="auto" w:sz="4" w:space="0"/>
              <w:right w:val="single" w:color="auto" w:sz="4" w:space="0"/>
            </w:tcBorders>
            <w:noWrap w:val="0"/>
            <w:vAlign w:val="center"/>
          </w:tcPr>
          <w:p w14:paraId="4AE14FA5">
            <w:pPr>
              <w:ind w:firstLine="0" w:firstLineChars="0"/>
              <w:rPr>
                <w:color w:val="auto"/>
              </w:rPr>
            </w:pPr>
            <w:r>
              <w:rPr>
                <w:rFonts w:hint="eastAsia"/>
                <w:color w:val="auto"/>
              </w:rPr>
              <w:t>文旅智能助手智能体-旅游咨询主题业务应用</w:t>
            </w:r>
          </w:p>
        </w:tc>
        <w:tc>
          <w:tcPr>
            <w:tcW w:w="6057" w:type="dxa"/>
            <w:tcBorders>
              <w:top w:val="single" w:color="auto" w:sz="4" w:space="0"/>
              <w:left w:val="nil"/>
              <w:bottom w:val="single" w:color="auto" w:sz="4" w:space="0"/>
              <w:right w:val="single" w:color="auto" w:sz="4" w:space="0"/>
            </w:tcBorders>
            <w:noWrap w:val="0"/>
            <w:vAlign w:val="center"/>
          </w:tcPr>
          <w:p w14:paraId="36D08174">
            <w:pPr>
              <w:ind w:firstLine="0" w:firstLineChars="0"/>
              <w:rPr>
                <w:color w:val="auto"/>
              </w:rPr>
            </w:pPr>
            <w:r>
              <w:rPr>
                <w:rFonts w:hint="eastAsia"/>
                <w:color w:val="auto"/>
              </w:rPr>
              <w:t>归属于六大政务智能化辅助应用场景中的“智能问答”。针对上海旅游服务中心工作人员需求，基于旅游咨询知识库，调用文旅智能问数工具、文旅智能问答工具等进行智能问答，如某景区游客流量情况、近期热门文旅活动等提供实时动态数据交互服务，并自动生成多维数据可视化图表，包括热力图（展示游客分布密度）、折线图（呈现历史客流趋势对比）等，智能生成的内容由处室统一审核确认后发出给工作人员做参考，便于工作人员对游客提问进行解答，同时支持一键导出功能。</w:t>
            </w:r>
          </w:p>
        </w:tc>
      </w:tr>
      <w:tr w14:paraId="23DECF66">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442473F5">
            <w:pPr>
              <w:ind w:firstLine="0" w:firstLineChars="0"/>
              <w:rPr>
                <w:color w:val="auto"/>
              </w:rPr>
            </w:pPr>
            <w:r>
              <w:rPr>
                <w:rFonts w:hint="eastAsia"/>
                <w:color w:val="auto"/>
              </w:rPr>
              <w:t>16、文旅AI智能-模型预处理</w:t>
            </w:r>
          </w:p>
        </w:tc>
      </w:tr>
      <w:tr w14:paraId="0EEE8AE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479846">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54D6ABC1">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0B7B0214">
            <w:pPr>
              <w:ind w:firstLine="0" w:firstLineChars="0"/>
              <w:rPr>
                <w:color w:val="auto"/>
              </w:rPr>
            </w:pPr>
            <w:r>
              <w:rPr>
                <w:rFonts w:hint="eastAsia"/>
                <w:color w:val="auto"/>
              </w:rPr>
              <w:t>功能描述</w:t>
            </w:r>
          </w:p>
        </w:tc>
      </w:tr>
      <w:tr w14:paraId="708A86B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B74CBAD">
            <w:pPr>
              <w:ind w:firstLine="0" w:firstLineChars="0"/>
              <w:rPr>
                <w:color w:val="auto"/>
              </w:rPr>
            </w:pPr>
            <w:r>
              <w:rPr>
                <w:rFonts w:hint="eastAsia"/>
                <w:color w:val="auto"/>
              </w:rPr>
              <w:t>94</w:t>
            </w:r>
          </w:p>
        </w:tc>
        <w:tc>
          <w:tcPr>
            <w:tcW w:w="1559" w:type="dxa"/>
            <w:tcBorders>
              <w:top w:val="single" w:color="auto" w:sz="4" w:space="0"/>
              <w:left w:val="nil"/>
              <w:bottom w:val="single" w:color="auto" w:sz="4" w:space="0"/>
              <w:right w:val="single" w:color="auto" w:sz="4" w:space="0"/>
            </w:tcBorders>
            <w:noWrap w:val="0"/>
            <w:vAlign w:val="center"/>
          </w:tcPr>
          <w:p w14:paraId="311C38EC">
            <w:pPr>
              <w:ind w:firstLine="0" w:firstLineChars="0"/>
              <w:rPr>
                <w:color w:val="auto"/>
              </w:rPr>
            </w:pPr>
            <w:r>
              <w:rPr>
                <w:rFonts w:hint="eastAsia"/>
                <w:color w:val="auto"/>
              </w:rPr>
              <w:t>大模型数据集预处理-数据去噪去重</w:t>
            </w:r>
          </w:p>
        </w:tc>
        <w:tc>
          <w:tcPr>
            <w:tcW w:w="6057" w:type="dxa"/>
            <w:tcBorders>
              <w:top w:val="single" w:color="auto" w:sz="4" w:space="0"/>
              <w:left w:val="nil"/>
              <w:bottom w:val="single" w:color="auto" w:sz="4" w:space="0"/>
              <w:right w:val="single" w:color="auto" w:sz="4" w:space="0"/>
            </w:tcBorders>
            <w:noWrap w:val="0"/>
            <w:vAlign w:val="center"/>
          </w:tcPr>
          <w:p w14:paraId="6EC78056">
            <w:pPr>
              <w:ind w:firstLine="0" w:firstLineChars="0"/>
              <w:rPr>
                <w:color w:val="auto"/>
              </w:rPr>
            </w:pPr>
            <w:r>
              <w:rPr>
                <w:rFonts w:hint="eastAsia"/>
                <w:color w:val="auto"/>
              </w:rPr>
              <w:t>按照业务要求设定阈值或规则、逻辑规则，通过自动化脚本或规则引擎识别并清理异常值、无效数据及重复记录等，确保数据符合业务逻辑边界以提升数据集质量。</w:t>
            </w:r>
          </w:p>
        </w:tc>
      </w:tr>
      <w:tr w14:paraId="52E617F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9E4E3A2">
            <w:pPr>
              <w:ind w:firstLine="0" w:firstLineChars="0"/>
              <w:rPr>
                <w:color w:val="auto"/>
              </w:rPr>
            </w:pPr>
            <w:r>
              <w:rPr>
                <w:rFonts w:hint="eastAsia"/>
                <w:color w:val="auto"/>
              </w:rPr>
              <w:t>95</w:t>
            </w:r>
          </w:p>
        </w:tc>
        <w:tc>
          <w:tcPr>
            <w:tcW w:w="1559" w:type="dxa"/>
            <w:tcBorders>
              <w:top w:val="single" w:color="auto" w:sz="4" w:space="0"/>
              <w:left w:val="nil"/>
              <w:bottom w:val="single" w:color="auto" w:sz="4" w:space="0"/>
              <w:right w:val="single" w:color="auto" w:sz="4" w:space="0"/>
            </w:tcBorders>
            <w:noWrap w:val="0"/>
            <w:vAlign w:val="center"/>
          </w:tcPr>
          <w:p w14:paraId="5AEBEB1A">
            <w:pPr>
              <w:ind w:firstLine="0" w:firstLineChars="0"/>
              <w:rPr>
                <w:color w:val="auto"/>
              </w:rPr>
            </w:pPr>
            <w:r>
              <w:rPr>
                <w:rFonts w:hint="eastAsia"/>
                <w:color w:val="auto"/>
              </w:rPr>
              <w:t>大模型数据集预处理-缺失值处理</w:t>
            </w:r>
          </w:p>
        </w:tc>
        <w:tc>
          <w:tcPr>
            <w:tcW w:w="6057" w:type="dxa"/>
            <w:tcBorders>
              <w:top w:val="single" w:color="auto" w:sz="4" w:space="0"/>
              <w:left w:val="nil"/>
              <w:bottom w:val="single" w:color="auto" w:sz="4" w:space="0"/>
              <w:right w:val="single" w:color="auto" w:sz="4" w:space="0"/>
            </w:tcBorders>
            <w:noWrap w:val="0"/>
            <w:vAlign w:val="center"/>
          </w:tcPr>
          <w:p w14:paraId="09DA984A">
            <w:pPr>
              <w:ind w:firstLine="0" w:firstLineChars="0"/>
              <w:rPr>
                <w:color w:val="auto"/>
              </w:rPr>
            </w:pPr>
            <w:r>
              <w:rPr>
                <w:rFonts w:hint="eastAsia"/>
                <w:color w:val="auto"/>
              </w:rPr>
              <w:t>基于业务规则，对关键字段信息进行缺省值判断，根据不同的业务选择不同的填补方法，避免因空值影响下游分析或建模效果。</w:t>
            </w:r>
          </w:p>
        </w:tc>
      </w:tr>
      <w:tr w14:paraId="5C87C14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890DAE">
            <w:pPr>
              <w:ind w:firstLine="0" w:firstLineChars="0"/>
              <w:rPr>
                <w:color w:val="auto"/>
              </w:rPr>
            </w:pPr>
            <w:r>
              <w:rPr>
                <w:rFonts w:hint="eastAsia"/>
                <w:color w:val="auto"/>
              </w:rPr>
              <w:t>96</w:t>
            </w:r>
          </w:p>
        </w:tc>
        <w:tc>
          <w:tcPr>
            <w:tcW w:w="1559" w:type="dxa"/>
            <w:tcBorders>
              <w:top w:val="single" w:color="auto" w:sz="4" w:space="0"/>
              <w:left w:val="nil"/>
              <w:bottom w:val="single" w:color="auto" w:sz="4" w:space="0"/>
              <w:right w:val="single" w:color="auto" w:sz="4" w:space="0"/>
            </w:tcBorders>
            <w:noWrap w:val="0"/>
            <w:vAlign w:val="center"/>
          </w:tcPr>
          <w:p w14:paraId="2AAB98CB">
            <w:pPr>
              <w:ind w:firstLine="0" w:firstLineChars="0"/>
              <w:rPr>
                <w:color w:val="auto"/>
              </w:rPr>
            </w:pPr>
            <w:r>
              <w:rPr>
                <w:rFonts w:hint="eastAsia"/>
                <w:color w:val="auto"/>
              </w:rPr>
              <w:t>大模型数据集预处理-数据格式统一</w:t>
            </w:r>
          </w:p>
        </w:tc>
        <w:tc>
          <w:tcPr>
            <w:tcW w:w="6057" w:type="dxa"/>
            <w:tcBorders>
              <w:top w:val="single" w:color="auto" w:sz="4" w:space="0"/>
              <w:left w:val="nil"/>
              <w:bottom w:val="single" w:color="auto" w:sz="4" w:space="0"/>
              <w:right w:val="single" w:color="auto" w:sz="4" w:space="0"/>
            </w:tcBorders>
            <w:noWrap w:val="0"/>
            <w:vAlign w:val="center"/>
          </w:tcPr>
          <w:p w14:paraId="34846246">
            <w:pPr>
              <w:ind w:firstLine="0" w:firstLineChars="0"/>
              <w:rPr>
                <w:color w:val="auto"/>
              </w:rPr>
            </w:pPr>
            <w:r>
              <w:rPr>
                <w:rFonts w:hint="eastAsia"/>
                <w:color w:val="auto"/>
              </w:rPr>
              <w:t>对日期、数值、文本等字段强制转换标准化格式（如YYYY-MM-DD、UTF-8编码、统一小数位数），解决跨源数据解析兼容性问题。</w:t>
            </w:r>
          </w:p>
        </w:tc>
      </w:tr>
      <w:tr w14:paraId="569B371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2F4C497">
            <w:pPr>
              <w:ind w:firstLine="0" w:firstLineChars="0"/>
              <w:rPr>
                <w:color w:val="auto"/>
              </w:rPr>
            </w:pPr>
            <w:r>
              <w:rPr>
                <w:rFonts w:hint="eastAsia"/>
                <w:color w:val="auto"/>
              </w:rPr>
              <w:t>97</w:t>
            </w:r>
          </w:p>
        </w:tc>
        <w:tc>
          <w:tcPr>
            <w:tcW w:w="1559" w:type="dxa"/>
            <w:tcBorders>
              <w:top w:val="single" w:color="auto" w:sz="4" w:space="0"/>
              <w:left w:val="nil"/>
              <w:bottom w:val="single" w:color="auto" w:sz="4" w:space="0"/>
              <w:right w:val="single" w:color="auto" w:sz="4" w:space="0"/>
            </w:tcBorders>
            <w:noWrap w:val="0"/>
            <w:vAlign w:val="center"/>
          </w:tcPr>
          <w:p w14:paraId="042F3505">
            <w:pPr>
              <w:ind w:firstLine="0" w:firstLineChars="0"/>
              <w:rPr>
                <w:color w:val="auto"/>
              </w:rPr>
            </w:pPr>
            <w:r>
              <w:rPr>
                <w:rFonts w:hint="eastAsia"/>
                <w:color w:val="auto"/>
              </w:rPr>
              <w:t>大模型数据集预处理-数据标准化处理</w:t>
            </w:r>
          </w:p>
        </w:tc>
        <w:tc>
          <w:tcPr>
            <w:tcW w:w="6057" w:type="dxa"/>
            <w:tcBorders>
              <w:top w:val="single" w:color="auto" w:sz="4" w:space="0"/>
              <w:left w:val="nil"/>
              <w:bottom w:val="single" w:color="auto" w:sz="4" w:space="0"/>
              <w:right w:val="single" w:color="auto" w:sz="4" w:space="0"/>
            </w:tcBorders>
            <w:noWrap w:val="0"/>
            <w:vAlign w:val="center"/>
          </w:tcPr>
          <w:p w14:paraId="3D7697C7">
            <w:pPr>
              <w:ind w:firstLine="0" w:firstLineChars="0"/>
              <w:rPr>
                <w:color w:val="auto"/>
              </w:rPr>
            </w:pPr>
            <w:r>
              <w:rPr>
                <w:rFonts w:hint="eastAsia"/>
                <w:color w:val="auto"/>
              </w:rPr>
              <w:t>根据不同数据清洗加工的需求设定相关规则，针对数据可能出现的数据二义性、不完整、违反业务规则等问题，进行字段合法性检查、数据完整性校验和数据格式类型转换等方面的数据清洗过滤，增强数据可用性。</w:t>
            </w:r>
          </w:p>
        </w:tc>
      </w:tr>
      <w:tr w14:paraId="7D50F42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44A8E2C">
            <w:pPr>
              <w:ind w:firstLine="0" w:firstLineChars="0"/>
              <w:rPr>
                <w:color w:val="auto"/>
              </w:rPr>
            </w:pPr>
            <w:r>
              <w:rPr>
                <w:rFonts w:hint="eastAsia"/>
                <w:color w:val="auto"/>
              </w:rPr>
              <w:t>98</w:t>
            </w:r>
          </w:p>
        </w:tc>
        <w:tc>
          <w:tcPr>
            <w:tcW w:w="1559" w:type="dxa"/>
            <w:tcBorders>
              <w:top w:val="single" w:color="auto" w:sz="4" w:space="0"/>
              <w:left w:val="nil"/>
              <w:bottom w:val="single" w:color="auto" w:sz="4" w:space="0"/>
              <w:right w:val="single" w:color="auto" w:sz="4" w:space="0"/>
            </w:tcBorders>
            <w:noWrap w:val="0"/>
            <w:vAlign w:val="center"/>
          </w:tcPr>
          <w:p w14:paraId="1138F9EC">
            <w:pPr>
              <w:ind w:firstLine="0" w:firstLineChars="0"/>
              <w:rPr>
                <w:color w:val="auto"/>
              </w:rPr>
            </w:pPr>
            <w:r>
              <w:rPr>
                <w:rFonts w:hint="eastAsia"/>
                <w:color w:val="auto"/>
              </w:rPr>
              <w:t>大模型数据集预处理-数据脱敏处理</w:t>
            </w:r>
          </w:p>
        </w:tc>
        <w:tc>
          <w:tcPr>
            <w:tcW w:w="6057" w:type="dxa"/>
            <w:tcBorders>
              <w:top w:val="single" w:color="auto" w:sz="4" w:space="0"/>
              <w:left w:val="nil"/>
              <w:bottom w:val="single" w:color="auto" w:sz="4" w:space="0"/>
              <w:right w:val="single" w:color="auto" w:sz="4" w:space="0"/>
            </w:tcBorders>
            <w:noWrap w:val="0"/>
            <w:vAlign w:val="center"/>
          </w:tcPr>
          <w:p w14:paraId="4D22F249">
            <w:pPr>
              <w:ind w:firstLine="0" w:firstLineChars="0"/>
              <w:rPr>
                <w:color w:val="auto"/>
              </w:rPr>
            </w:pPr>
            <w:r>
              <w:rPr>
                <w:rFonts w:hint="eastAsia"/>
                <w:color w:val="auto"/>
              </w:rPr>
              <w:t>对敏感字段进行泛化（年龄分段）、哈希加密（SHA-256）或动态脱敏（按角色权限显示），满足相关安全要求。</w:t>
            </w:r>
          </w:p>
        </w:tc>
      </w:tr>
      <w:tr w14:paraId="08A311D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F4585F4">
            <w:pPr>
              <w:ind w:firstLine="0" w:firstLineChars="0"/>
              <w:rPr>
                <w:color w:val="auto"/>
              </w:rPr>
            </w:pPr>
            <w:r>
              <w:rPr>
                <w:rFonts w:hint="eastAsia"/>
                <w:color w:val="auto"/>
              </w:rPr>
              <w:t>99</w:t>
            </w:r>
          </w:p>
        </w:tc>
        <w:tc>
          <w:tcPr>
            <w:tcW w:w="1559" w:type="dxa"/>
            <w:tcBorders>
              <w:top w:val="single" w:color="auto" w:sz="4" w:space="0"/>
              <w:left w:val="nil"/>
              <w:bottom w:val="single" w:color="auto" w:sz="4" w:space="0"/>
              <w:right w:val="single" w:color="auto" w:sz="4" w:space="0"/>
            </w:tcBorders>
            <w:noWrap w:val="0"/>
            <w:vAlign w:val="center"/>
          </w:tcPr>
          <w:p w14:paraId="033E811B">
            <w:pPr>
              <w:ind w:firstLine="0" w:firstLineChars="0"/>
              <w:rPr>
                <w:color w:val="auto"/>
              </w:rPr>
            </w:pPr>
            <w:r>
              <w:rPr>
                <w:rFonts w:hint="eastAsia"/>
                <w:color w:val="auto"/>
              </w:rPr>
              <w:t>大模型数据集预处理-景区客流数据集预处理</w:t>
            </w:r>
          </w:p>
        </w:tc>
        <w:tc>
          <w:tcPr>
            <w:tcW w:w="6057" w:type="dxa"/>
            <w:tcBorders>
              <w:top w:val="single" w:color="auto" w:sz="4" w:space="0"/>
              <w:left w:val="nil"/>
              <w:bottom w:val="single" w:color="auto" w:sz="4" w:space="0"/>
              <w:right w:val="single" w:color="auto" w:sz="4" w:space="0"/>
            </w:tcBorders>
            <w:noWrap w:val="0"/>
            <w:vAlign w:val="center"/>
          </w:tcPr>
          <w:p w14:paraId="232AC582">
            <w:pPr>
              <w:ind w:firstLine="0" w:firstLineChars="0"/>
              <w:rPr>
                <w:color w:val="auto"/>
              </w:rPr>
            </w:pPr>
            <w:r>
              <w:rPr>
                <w:rFonts w:hint="eastAsia"/>
                <w:color w:val="auto"/>
              </w:rPr>
              <w:t>依托现有基础数据，开展景区客流数据清洗与结构化处理。工作内容包括：标准化景区信息字段（名称、地址、开放时间等），规范客流监测数据格式（每小时客流统计、峰值记录等），整合历史客流数据（按日期/行政区归档），标注节假日事件标签（国庆、春节等）。建立数据质量校验机制，为后续构建景区客流知识库提供标准化数据源。</w:t>
            </w:r>
          </w:p>
        </w:tc>
      </w:tr>
      <w:tr w14:paraId="58564D2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7FB8B76">
            <w:pPr>
              <w:ind w:firstLine="0" w:firstLineChars="0"/>
              <w:rPr>
                <w:color w:val="auto"/>
              </w:rPr>
            </w:pPr>
            <w:r>
              <w:rPr>
                <w:rFonts w:hint="eastAsia"/>
                <w:color w:val="auto"/>
              </w:rPr>
              <w:t>100</w:t>
            </w:r>
          </w:p>
        </w:tc>
        <w:tc>
          <w:tcPr>
            <w:tcW w:w="1559" w:type="dxa"/>
            <w:tcBorders>
              <w:top w:val="single" w:color="auto" w:sz="4" w:space="0"/>
              <w:left w:val="nil"/>
              <w:bottom w:val="single" w:color="auto" w:sz="4" w:space="0"/>
              <w:right w:val="single" w:color="auto" w:sz="4" w:space="0"/>
            </w:tcBorders>
            <w:noWrap w:val="0"/>
            <w:vAlign w:val="center"/>
          </w:tcPr>
          <w:p w14:paraId="48B3F435">
            <w:pPr>
              <w:ind w:firstLine="0" w:firstLineChars="0"/>
              <w:rPr>
                <w:color w:val="auto"/>
              </w:rPr>
            </w:pPr>
            <w:r>
              <w:rPr>
                <w:rFonts w:hint="eastAsia"/>
                <w:color w:val="auto"/>
              </w:rPr>
              <w:t>大模型数据集预处理-游客画像数据集预处理</w:t>
            </w:r>
          </w:p>
        </w:tc>
        <w:tc>
          <w:tcPr>
            <w:tcW w:w="6057" w:type="dxa"/>
            <w:tcBorders>
              <w:top w:val="single" w:color="auto" w:sz="4" w:space="0"/>
              <w:left w:val="nil"/>
              <w:bottom w:val="single" w:color="auto" w:sz="4" w:space="0"/>
              <w:right w:val="single" w:color="auto" w:sz="4" w:space="0"/>
            </w:tcBorders>
            <w:noWrap w:val="0"/>
            <w:vAlign w:val="center"/>
          </w:tcPr>
          <w:p w14:paraId="5195A3A6">
            <w:pPr>
              <w:ind w:firstLine="0" w:firstLineChars="0"/>
              <w:rPr>
                <w:color w:val="auto"/>
              </w:rPr>
            </w:pPr>
            <w:r>
              <w:rPr>
                <w:rFonts w:hint="eastAsia"/>
                <w:color w:val="auto"/>
              </w:rPr>
              <w:t>依托现有基础数据，执行游客特征数据清洗与归类。重点处理：统一人口统计学特征字段（年龄分段、性别编码等），标准化客源地数据（区域/省份/国别分类），结构化行为数据（消费记录、参观轨迹等），添加节假日事件标记。通过数据去重与缺失值处理，形成符合知识库建设要求的游客画像数据集。</w:t>
            </w:r>
          </w:p>
        </w:tc>
      </w:tr>
      <w:tr w14:paraId="01CE77EF">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59507B">
            <w:pPr>
              <w:ind w:firstLine="0" w:firstLineChars="0"/>
              <w:rPr>
                <w:color w:val="auto"/>
              </w:rPr>
            </w:pPr>
            <w:r>
              <w:rPr>
                <w:rFonts w:hint="eastAsia"/>
                <w:color w:val="auto"/>
              </w:rPr>
              <w:t>101</w:t>
            </w:r>
          </w:p>
        </w:tc>
        <w:tc>
          <w:tcPr>
            <w:tcW w:w="1559" w:type="dxa"/>
            <w:tcBorders>
              <w:top w:val="single" w:color="auto" w:sz="4" w:space="0"/>
              <w:left w:val="nil"/>
              <w:bottom w:val="single" w:color="auto" w:sz="4" w:space="0"/>
              <w:right w:val="single" w:color="auto" w:sz="4" w:space="0"/>
            </w:tcBorders>
            <w:noWrap w:val="0"/>
            <w:vAlign w:val="center"/>
          </w:tcPr>
          <w:p w14:paraId="3EFD7019">
            <w:pPr>
              <w:ind w:firstLine="0" w:firstLineChars="0"/>
              <w:rPr>
                <w:color w:val="auto"/>
              </w:rPr>
            </w:pPr>
            <w:r>
              <w:rPr>
                <w:rFonts w:hint="eastAsia"/>
                <w:color w:val="auto"/>
              </w:rPr>
              <w:t>大模型数据集预处理-宾馆酒店数据集预处理</w:t>
            </w:r>
          </w:p>
        </w:tc>
        <w:tc>
          <w:tcPr>
            <w:tcW w:w="6057" w:type="dxa"/>
            <w:tcBorders>
              <w:top w:val="single" w:color="auto" w:sz="4" w:space="0"/>
              <w:left w:val="nil"/>
              <w:bottom w:val="single" w:color="auto" w:sz="4" w:space="0"/>
              <w:right w:val="single" w:color="auto" w:sz="4" w:space="0"/>
            </w:tcBorders>
            <w:noWrap w:val="0"/>
            <w:vAlign w:val="center"/>
          </w:tcPr>
          <w:p w14:paraId="4F814481">
            <w:pPr>
              <w:ind w:firstLine="0" w:firstLineChars="0"/>
              <w:rPr>
                <w:color w:val="auto"/>
              </w:rPr>
            </w:pPr>
            <w:r>
              <w:rPr>
                <w:rFonts w:hint="eastAsia"/>
                <w:color w:val="auto"/>
              </w:rPr>
              <w:t>依托现有基础数据，开展住宿业数据标准化处理，包括规范酒店基础信息（名称/位置/设施的统一表述），转换经营数据格式（入住率数值标准化等），标注节假日事件标签。建立数据校验规则，确保客房数等关键指标的准确性，为文旅市场分析提供清洁数据。</w:t>
            </w:r>
          </w:p>
        </w:tc>
      </w:tr>
      <w:tr w14:paraId="14BBEA0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2D6D25">
            <w:pPr>
              <w:ind w:firstLine="0" w:firstLineChars="0"/>
              <w:rPr>
                <w:color w:val="auto"/>
              </w:rPr>
            </w:pPr>
            <w:r>
              <w:rPr>
                <w:rFonts w:hint="eastAsia"/>
                <w:color w:val="auto"/>
              </w:rPr>
              <w:t>102</w:t>
            </w:r>
          </w:p>
        </w:tc>
        <w:tc>
          <w:tcPr>
            <w:tcW w:w="1559" w:type="dxa"/>
            <w:tcBorders>
              <w:top w:val="single" w:color="auto" w:sz="4" w:space="0"/>
              <w:left w:val="nil"/>
              <w:bottom w:val="single" w:color="auto" w:sz="4" w:space="0"/>
              <w:right w:val="single" w:color="auto" w:sz="4" w:space="0"/>
            </w:tcBorders>
            <w:noWrap w:val="0"/>
            <w:vAlign w:val="center"/>
          </w:tcPr>
          <w:p w14:paraId="233F8648">
            <w:pPr>
              <w:ind w:firstLine="0" w:firstLineChars="0"/>
              <w:rPr>
                <w:color w:val="auto"/>
              </w:rPr>
            </w:pPr>
            <w:r>
              <w:rPr>
                <w:rFonts w:hint="eastAsia"/>
                <w:color w:val="auto"/>
              </w:rPr>
              <w:t>大模型数据集预处理-文旅消费数据集预处理</w:t>
            </w:r>
          </w:p>
        </w:tc>
        <w:tc>
          <w:tcPr>
            <w:tcW w:w="6057" w:type="dxa"/>
            <w:tcBorders>
              <w:top w:val="single" w:color="auto" w:sz="4" w:space="0"/>
              <w:left w:val="nil"/>
              <w:bottom w:val="single" w:color="auto" w:sz="4" w:space="0"/>
              <w:right w:val="single" w:color="auto" w:sz="4" w:space="0"/>
            </w:tcBorders>
            <w:noWrap w:val="0"/>
            <w:vAlign w:val="center"/>
          </w:tcPr>
          <w:p w14:paraId="3A934F71">
            <w:pPr>
              <w:ind w:firstLine="0" w:firstLineChars="0"/>
              <w:rPr>
                <w:color w:val="auto"/>
              </w:rPr>
            </w:pPr>
            <w:r>
              <w:rPr>
                <w:rFonts w:hint="eastAsia"/>
                <w:color w:val="auto"/>
              </w:rPr>
              <w:t>依托现有基础数据，实施消费数据预处理，包括统一人口统计特征编码，标准化客源地分类，结构化消费行为数据（金额单位/消费类型标准化）等。通过建立数据关联规则，形成可支持深度分析的预处理数据集。</w:t>
            </w:r>
          </w:p>
        </w:tc>
      </w:tr>
      <w:tr w14:paraId="404074F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B10442F">
            <w:pPr>
              <w:ind w:firstLine="0" w:firstLineChars="0"/>
              <w:rPr>
                <w:color w:val="auto"/>
              </w:rPr>
            </w:pPr>
            <w:r>
              <w:rPr>
                <w:rFonts w:hint="eastAsia"/>
                <w:color w:val="auto"/>
              </w:rPr>
              <w:t>103</w:t>
            </w:r>
          </w:p>
        </w:tc>
        <w:tc>
          <w:tcPr>
            <w:tcW w:w="1559" w:type="dxa"/>
            <w:tcBorders>
              <w:top w:val="single" w:color="auto" w:sz="4" w:space="0"/>
              <w:left w:val="nil"/>
              <w:bottom w:val="single" w:color="auto" w:sz="4" w:space="0"/>
              <w:right w:val="single" w:color="auto" w:sz="4" w:space="0"/>
            </w:tcBorders>
            <w:noWrap w:val="0"/>
            <w:vAlign w:val="center"/>
          </w:tcPr>
          <w:p w14:paraId="33985F85">
            <w:pPr>
              <w:ind w:firstLine="0" w:firstLineChars="0"/>
              <w:rPr>
                <w:color w:val="auto"/>
              </w:rPr>
            </w:pPr>
            <w:r>
              <w:rPr>
                <w:rFonts w:hint="eastAsia"/>
                <w:color w:val="auto"/>
              </w:rPr>
              <w:t>大模型数据集预处理-文旅营商数据集预处理</w:t>
            </w:r>
          </w:p>
        </w:tc>
        <w:tc>
          <w:tcPr>
            <w:tcW w:w="6057" w:type="dxa"/>
            <w:tcBorders>
              <w:top w:val="single" w:color="auto" w:sz="4" w:space="0"/>
              <w:left w:val="nil"/>
              <w:bottom w:val="single" w:color="auto" w:sz="4" w:space="0"/>
              <w:right w:val="single" w:color="auto" w:sz="4" w:space="0"/>
            </w:tcBorders>
            <w:noWrap w:val="0"/>
            <w:vAlign w:val="center"/>
          </w:tcPr>
          <w:p w14:paraId="5EC7AA55">
            <w:pPr>
              <w:ind w:firstLine="0" w:firstLineChars="0"/>
              <w:rPr>
                <w:color w:val="auto"/>
              </w:rPr>
            </w:pPr>
            <w:r>
              <w:rPr>
                <w:rFonts w:hint="eastAsia"/>
                <w:color w:val="auto"/>
              </w:rPr>
              <w:t>依托现有基础数据，执行营商环境数据标准化，包括转换经营指标格式（财务数据单位统一），结构化政企互动记录（政策扶持类型分类），建立企业ID唯一标识体系，为知识库构建准备高质量数据。</w:t>
            </w:r>
          </w:p>
        </w:tc>
      </w:tr>
      <w:tr w14:paraId="1F540885">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D84D276">
            <w:pPr>
              <w:ind w:firstLine="0" w:firstLineChars="0"/>
              <w:rPr>
                <w:color w:val="auto"/>
              </w:rPr>
            </w:pPr>
            <w:r>
              <w:rPr>
                <w:rFonts w:hint="eastAsia"/>
                <w:color w:val="auto"/>
              </w:rPr>
              <w:t>104</w:t>
            </w:r>
          </w:p>
        </w:tc>
        <w:tc>
          <w:tcPr>
            <w:tcW w:w="1559" w:type="dxa"/>
            <w:tcBorders>
              <w:top w:val="single" w:color="auto" w:sz="4" w:space="0"/>
              <w:left w:val="nil"/>
              <w:bottom w:val="single" w:color="auto" w:sz="4" w:space="0"/>
              <w:right w:val="single" w:color="auto" w:sz="4" w:space="0"/>
            </w:tcBorders>
            <w:noWrap w:val="0"/>
            <w:vAlign w:val="center"/>
          </w:tcPr>
          <w:p w14:paraId="4443F052">
            <w:pPr>
              <w:ind w:firstLine="0" w:firstLineChars="0"/>
              <w:rPr>
                <w:color w:val="auto"/>
              </w:rPr>
            </w:pPr>
            <w:r>
              <w:rPr>
                <w:rFonts w:hint="eastAsia"/>
                <w:color w:val="auto"/>
              </w:rPr>
              <w:t>大模型数据集预处理-文旅活动数据集预处理</w:t>
            </w:r>
          </w:p>
        </w:tc>
        <w:tc>
          <w:tcPr>
            <w:tcW w:w="6057" w:type="dxa"/>
            <w:tcBorders>
              <w:top w:val="single" w:color="auto" w:sz="4" w:space="0"/>
              <w:left w:val="nil"/>
              <w:bottom w:val="single" w:color="auto" w:sz="4" w:space="0"/>
              <w:right w:val="single" w:color="auto" w:sz="4" w:space="0"/>
            </w:tcBorders>
            <w:noWrap w:val="0"/>
            <w:vAlign w:val="center"/>
          </w:tcPr>
          <w:p w14:paraId="3CD80BFD">
            <w:pPr>
              <w:ind w:firstLine="0" w:firstLineChars="0"/>
              <w:rPr>
                <w:color w:val="auto"/>
              </w:rPr>
            </w:pPr>
            <w:r>
              <w:rPr>
                <w:rFonts w:hint="eastAsia"/>
                <w:color w:val="auto"/>
              </w:rPr>
              <w:t>依托现有基础数据，开展活动数据处理。重点包括标准化活动元数据（名称/主题的文本清洗），规范时空数据格式（日期时间标准化），处理非结构化内容（宣传文本分词处理），统一运营数据指标（票务数据单位归一化）。建立活动编码体系，支持后续数据整合。</w:t>
            </w:r>
          </w:p>
        </w:tc>
      </w:tr>
      <w:tr w14:paraId="37E0B09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128AEF5">
            <w:pPr>
              <w:ind w:firstLine="0" w:firstLineChars="0"/>
              <w:rPr>
                <w:color w:val="auto"/>
              </w:rPr>
            </w:pPr>
            <w:r>
              <w:rPr>
                <w:rFonts w:hint="eastAsia"/>
                <w:color w:val="auto"/>
              </w:rPr>
              <w:t>105</w:t>
            </w:r>
          </w:p>
        </w:tc>
        <w:tc>
          <w:tcPr>
            <w:tcW w:w="1559" w:type="dxa"/>
            <w:tcBorders>
              <w:top w:val="single" w:color="auto" w:sz="4" w:space="0"/>
              <w:left w:val="nil"/>
              <w:bottom w:val="single" w:color="auto" w:sz="4" w:space="0"/>
              <w:right w:val="single" w:color="auto" w:sz="4" w:space="0"/>
            </w:tcBorders>
            <w:noWrap w:val="0"/>
            <w:vAlign w:val="center"/>
          </w:tcPr>
          <w:p w14:paraId="4948FE7B">
            <w:pPr>
              <w:ind w:firstLine="0" w:firstLineChars="0"/>
              <w:rPr>
                <w:color w:val="auto"/>
              </w:rPr>
            </w:pPr>
            <w:r>
              <w:rPr>
                <w:rFonts w:hint="eastAsia"/>
                <w:color w:val="auto"/>
              </w:rPr>
              <w:t>大模型数据集预处理-文旅资源数据集预处理</w:t>
            </w:r>
          </w:p>
        </w:tc>
        <w:tc>
          <w:tcPr>
            <w:tcW w:w="6057" w:type="dxa"/>
            <w:tcBorders>
              <w:top w:val="single" w:color="auto" w:sz="4" w:space="0"/>
              <w:left w:val="nil"/>
              <w:bottom w:val="single" w:color="auto" w:sz="4" w:space="0"/>
              <w:right w:val="single" w:color="auto" w:sz="4" w:space="0"/>
            </w:tcBorders>
            <w:noWrap w:val="0"/>
            <w:vAlign w:val="center"/>
          </w:tcPr>
          <w:p w14:paraId="7DBDC0A9">
            <w:pPr>
              <w:ind w:firstLine="0" w:firstLineChars="0"/>
              <w:rPr>
                <w:color w:val="auto"/>
              </w:rPr>
            </w:pPr>
            <w:r>
              <w:rPr>
                <w:rFonts w:hint="eastAsia"/>
                <w:color w:val="auto"/>
              </w:rPr>
              <w:t>依托现有基础数据，执行数据清洗。工作内容：统一资源属性字段（等级/分类的标准化编码），规范空间数据（地址信息的结构化处理），标准化运营数据（开放时间的格式统一）。通过建立资源唯一标识，形成可扩展的数据预处理成果。</w:t>
            </w:r>
          </w:p>
        </w:tc>
      </w:tr>
      <w:tr w14:paraId="0A5A4582">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6D94A99">
            <w:pPr>
              <w:ind w:firstLine="0" w:firstLineChars="0"/>
              <w:rPr>
                <w:color w:val="auto"/>
              </w:rPr>
            </w:pPr>
            <w:r>
              <w:rPr>
                <w:rFonts w:hint="eastAsia"/>
                <w:color w:val="auto"/>
              </w:rPr>
              <w:t>106</w:t>
            </w:r>
          </w:p>
        </w:tc>
        <w:tc>
          <w:tcPr>
            <w:tcW w:w="1559" w:type="dxa"/>
            <w:tcBorders>
              <w:top w:val="single" w:color="auto" w:sz="4" w:space="0"/>
              <w:left w:val="nil"/>
              <w:bottom w:val="single" w:color="auto" w:sz="4" w:space="0"/>
              <w:right w:val="single" w:color="auto" w:sz="4" w:space="0"/>
            </w:tcBorders>
            <w:noWrap w:val="0"/>
            <w:vAlign w:val="center"/>
          </w:tcPr>
          <w:p w14:paraId="1DE9D136">
            <w:pPr>
              <w:ind w:firstLine="0" w:firstLineChars="0"/>
              <w:rPr>
                <w:color w:val="auto"/>
              </w:rPr>
            </w:pPr>
            <w:r>
              <w:rPr>
                <w:rFonts w:hint="eastAsia"/>
                <w:color w:val="auto"/>
              </w:rPr>
              <w:t>大模型数据集预处理-文物管理数据集预处理</w:t>
            </w:r>
          </w:p>
        </w:tc>
        <w:tc>
          <w:tcPr>
            <w:tcW w:w="6057" w:type="dxa"/>
            <w:tcBorders>
              <w:top w:val="single" w:color="auto" w:sz="4" w:space="0"/>
              <w:left w:val="nil"/>
              <w:bottom w:val="single" w:color="auto" w:sz="4" w:space="0"/>
              <w:right w:val="single" w:color="auto" w:sz="4" w:space="0"/>
            </w:tcBorders>
            <w:noWrap w:val="0"/>
            <w:vAlign w:val="center"/>
          </w:tcPr>
          <w:p w14:paraId="63C90931">
            <w:pPr>
              <w:ind w:firstLine="0" w:firstLineChars="0"/>
              <w:rPr>
                <w:color w:val="auto"/>
              </w:rPr>
            </w:pPr>
            <w:r>
              <w:rPr>
                <w:rFonts w:hint="eastAsia"/>
                <w:color w:val="auto"/>
              </w:rPr>
              <w:t>依托现有基础数据，开展文化遗产数据标准化。包括：规范文物属性字段（分级体系标准化），处理空间分布数据（地址坐标系统一），建立文物编号规则。通过数据校验与补全，形成结构化的文物基础数据集。</w:t>
            </w:r>
          </w:p>
        </w:tc>
      </w:tr>
      <w:tr w14:paraId="765DBC6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2F5E6B0">
            <w:pPr>
              <w:ind w:firstLine="0" w:firstLineChars="0"/>
              <w:rPr>
                <w:color w:val="auto"/>
              </w:rPr>
            </w:pPr>
            <w:r>
              <w:rPr>
                <w:rFonts w:hint="eastAsia"/>
                <w:color w:val="auto"/>
              </w:rPr>
              <w:t>107</w:t>
            </w:r>
          </w:p>
        </w:tc>
        <w:tc>
          <w:tcPr>
            <w:tcW w:w="1559" w:type="dxa"/>
            <w:tcBorders>
              <w:top w:val="single" w:color="auto" w:sz="4" w:space="0"/>
              <w:left w:val="nil"/>
              <w:bottom w:val="single" w:color="auto" w:sz="4" w:space="0"/>
              <w:right w:val="single" w:color="auto" w:sz="4" w:space="0"/>
            </w:tcBorders>
            <w:noWrap w:val="0"/>
            <w:vAlign w:val="center"/>
          </w:tcPr>
          <w:p w14:paraId="7618D204">
            <w:pPr>
              <w:ind w:firstLine="0" w:firstLineChars="0"/>
              <w:rPr>
                <w:color w:val="auto"/>
              </w:rPr>
            </w:pPr>
            <w:r>
              <w:rPr>
                <w:rFonts w:hint="eastAsia"/>
                <w:color w:val="auto"/>
              </w:rPr>
              <w:t>大模型数据集预处理-政策内容数据集预处理</w:t>
            </w:r>
          </w:p>
        </w:tc>
        <w:tc>
          <w:tcPr>
            <w:tcW w:w="6057" w:type="dxa"/>
            <w:tcBorders>
              <w:top w:val="single" w:color="auto" w:sz="4" w:space="0"/>
              <w:left w:val="nil"/>
              <w:bottom w:val="single" w:color="auto" w:sz="4" w:space="0"/>
              <w:right w:val="single" w:color="auto" w:sz="4" w:space="0"/>
            </w:tcBorders>
            <w:noWrap w:val="0"/>
            <w:vAlign w:val="center"/>
          </w:tcPr>
          <w:p w14:paraId="4ADB88D8">
            <w:pPr>
              <w:ind w:firstLine="0" w:firstLineChars="0"/>
              <w:rPr>
                <w:color w:val="auto"/>
              </w:rPr>
            </w:pPr>
            <w:r>
              <w:rPr>
                <w:rFonts w:hint="eastAsia"/>
                <w:color w:val="auto"/>
              </w:rPr>
              <w:t>依托现有基础数据，实施政务文本结构化处理。包括提取政策元数据（发布机构/时间的标准化），标注政策条款（申报条件/扶持力度的字段化）等工作，通过建立政策标签体系，形成可检索的政策知识原材料。</w:t>
            </w:r>
          </w:p>
        </w:tc>
      </w:tr>
      <w:tr w14:paraId="1A10298D">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049ADEA">
            <w:pPr>
              <w:ind w:firstLine="0" w:firstLineChars="0"/>
              <w:rPr>
                <w:color w:val="auto"/>
              </w:rPr>
            </w:pPr>
            <w:r>
              <w:rPr>
                <w:rFonts w:hint="eastAsia"/>
                <w:color w:val="auto"/>
              </w:rPr>
              <w:t>108</w:t>
            </w:r>
          </w:p>
        </w:tc>
        <w:tc>
          <w:tcPr>
            <w:tcW w:w="1559" w:type="dxa"/>
            <w:tcBorders>
              <w:top w:val="single" w:color="auto" w:sz="4" w:space="0"/>
              <w:left w:val="nil"/>
              <w:bottom w:val="single" w:color="auto" w:sz="4" w:space="0"/>
              <w:right w:val="single" w:color="auto" w:sz="4" w:space="0"/>
            </w:tcBorders>
            <w:noWrap w:val="0"/>
            <w:vAlign w:val="center"/>
          </w:tcPr>
          <w:p w14:paraId="6582A6C0">
            <w:pPr>
              <w:ind w:firstLine="0" w:firstLineChars="0"/>
              <w:rPr>
                <w:color w:val="auto"/>
              </w:rPr>
            </w:pPr>
            <w:r>
              <w:rPr>
                <w:rFonts w:hint="eastAsia"/>
                <w:color w:val="auto"/>
              </w:rPr>
              <w:t>大模型数据集预处理-旅游咨询数据集预处理</w:t>
            </w:r>
          </w:p>
        </w:tc>
        <w:tc>
          <w:tcPr>
            <w:tcW w:w="6057" w:type="dxa"/>
            <w:tcBorders>
              <w:top w:val="single" w:color="auto" w:sz="4" w:space="0"/>
              <w:left w:val="nil"/>
              <w:bottom w:val="single" w:color="auto" w:sz="4" w:space="0"/>
              <w:right w:val="single" w:color="auto" w:sz="4" w:space="0"/>
            </w:tcBorders>
            <w:noWrap w:val="0"/>
            <w:vAlign w:val="center"/>
          </w:tcPr>
          <w:p w14:paraId="42242AE7">
            <w:pPr>
              <w:ind w:firstLine="0" w:firstLineChars="0"/>
              <w:rPr>
                <w:color w:val="auto"/>
              </w:rPr>
            </w:pPr>
            <w:r>
              <w:rPr>
                <w:rFonts w:hint="eastAsia"/>
                <w:color w:val="auto"/>
              </w:rPr>
              <w:t>依托现有基础数据，开展多源信息整合，包括标准化资源描述字段（开放时间/票价的统一格式），结构化产品信息（路线天数等数值处理），规范活动报名数据（渠道/票务信息清洗），关联政策条款索引等。建立数据关联模型，为知识库构建准备跨领域数据集。</w:t>
            </w:r>
          </w:p>
        </w:tc>
      </w:tr>
      <w:tr w14:paraId="0048D4E7">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02959F5C">
            <w:pPr>
              <w:ind w:firstLine="0" w:firstLineChars="0"/>
              <w:rPr>
                <w:color w:val="auto"/>
              </w:rPr>
            </w:pPr>
            <w:r>
              <w:rPr>
                <w:rFonts w:hint="eastAsia"/>
                <w:color w:val="auto"/>
              </w:rPr>
              <w:t>17、文旅AI智能-工具建设</w:t>
            </w:r>
          </w:p>
        </w:tc>
      </w:tr>
      <w:tr w14:paraId="2EB4BD9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A9AA659">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2A0DFBCC">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484C6B50">
            <w:pPr>
              <w:ind w:firstLine="0" w:firstLineChars="0"/>
              <w:rPr>
                <w:color w:val="auto"/>
              </w:rPr>
            </w:pPr>
            <w:r>
              <w:rPr>
                <w:rFonts w:hint="eastAsia"/>
                <w:color w:val="auto"/>
              </w:rPr>
              <w:t>功能描述</w:t>
            </w:r>
          </w:p>
        </w:tc>
      </w:tr>
      <w:tr w14:paraId="64DFCD8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A02C6C3">
            <w:pPr>
              <w:ind w:firstLine="0" w:firstLineChars="0"/>
              <w:rPr>
                <w:color w:val="auto"/>
              </w:rPr>
            </w:pPr>
            <w:r>
              <w:rPr>
                <w:rFonts w:hint="eastAsia"/>
                <w:color w:val="auto"/>
              </w:rPr>
              <w:t>109</w:t>
            </w:r>
          </w:p>
        </w:tc>
        <w:tc>
          <w:tcPr>
            <w:tcW w:w="1559" w:type="dxa"/>
            <w:tcBorders>
              <w:top w:val="single" w:color="auto" w:sz="4" w:space="0"/>
              <w:left w:val="nil"/>
              <w:bottom w:val="single" w:color="auto" w:sz="4" w:space="0"/>
              <w:right w:val="single" w:color="auto" w:sz="4" w:space="0"/>
            </w:tcBorders>
            <w:noWrap w:val="0"/>
            <w:vAlign w:val="center"/>
          </w:tcPr>
          <w:p w14:paraId="5EFFA873">
            <w:pPr>
              <w:ind w:firstLine="0" w:firstLineChars="0"/>
              <w:rPr>
                <w:color w:val="auto"/>
              </w:rPr>
            </w:pPr>
            <w:r>
              <w:rPr>
                <w:rFonts w:hint="eastAsia"/>
                <w:color w:val="auto"/>
              </w:rPr>
              <w:t>文旅智能问数工具-自然语言交互</w:t>
            </w:r>
          </w:p>
        </w:tc>
        <w:tc>
          <w:tcPr>
            <w:tcW w:w="6057" w:type="dxa"/>
            <w:tcBorders>
              <w:top w:val="single" w:color="auto" w:sz="4" w:space="0"/>
              <w:left w:val="nil"/>
              <w:bottom w:val="single" w:color="auto" w:sz="4" w:space="0"/>
              <w:right w:val="single" w:color="auto" w:sz="4" w:space="0"/>
            </w:tcBorders>
            <w:noWrap w:val="0"/>
            <w:vAlign w:val="center"/>
          </w:tcPr>
          <w:p w14:paraId="60355192">
            <w:pPr>
              <w:ind w:firstLine="0" w:firstLineChars="0"/>
              <w:rPr>
                <w:color w:val="auto"/>
              </w:rPr>
            </w:pPr>
            <w:r>
              <w:rPr>
                <w:rFonts w:hint="eastAsia"/>
                <w:color w:val="auto"/>
              </w:rPr>
              <w:t>为用户提供对话交互式的文旅局各类数据咨询服务，可实现自然语言零门槛交互，支持模糊查询和多轮对话，引导用户细化问题，确保数据精准性。</w:t>
            </w:r>
          </w:p>
        </w:tc>
      </w:tr>
      <w:tr w14:paraId="024BEE2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B8726FF">
            <w:pPr>
              <w:ind w:firstLine="0" w:firstLineChars="0"/>
              <w:rPr>
                <w:color w:val="auto"/>
              </w:rPr>
            </w:pPr>
            <w:r>
              <w:rPr>
                <w:rFonts w:hint="eastAsia"/>
                <w:color w:val="auto"/>
              </w:rPr>
              <w:t>110</w:t>
            </w:r>
          </w:p>
        </w:tc>
        <w:tc>
          <w:tcPr>
            <w:tcW w:w="1559" w:type="dxa"/>
            <w:tcBorders>
              <w:top w:val="single" w:color="auto" w:sz="4" w:space="0"/>
              <w:left w:val="nil"/>
              <w:bottom w:val="single" w:color="auto" w:sz="4" w:space="0"/>
              <w:right w:val="single" w:color="auto" w:sz="4" w:space="0"/>
            </w:tcBorders>
            <w:noWrap w:val="0"/>
            <w:vAlign w:val="center"/>
          </w:tcPr>
          <w:p w14:paraId="63BEE8A9">
            <w:pPr>
              <w:ind w:firstLine="0" w:firstLineChars="0"/>
              <w:rPr>
                <w:color w:val="auto"/>
              </w:rPr>
            </w:pPr>
            <w:r>
              <w:rPr>
                <w:rFonts w:hint="eastAsia"/>
                <w:color w:val="auto"/>
              </w:rPr>
              <w:t>文旅智能问数工具-可视化图表生成</w:t>
            </w:r>
          </w:p>
        </w:tc>
        <w:tc>
          <w:tcPr>
            <w:tcW w:w="6057" w:type="dxa"/>
            <w:tcBorders>
              <w:top w:val="single" w:color="auto" w:sz="4" w:space="0"/>
              <w:left w:val="nil"/>
              <w:bottom w:val="single" w:color="auto" w:sz="4" w:space="0"/>
              <w:right w:val="single" w:color="auto" w:sz="4" w:space="0"/>
            </w:tcBorders>
            <w:noWrap w:val="0"/>
            <w:vAlign w:val="center"/>
          </w:tcPr>
          <w:p w14:paraId="4BE449F6">
            <w:pPr>
              <w:ind w:firstLine="0" w:firstLineChars="0"/>
              <w:rPr>
                <w:color w:val="auto"/>
              </w:rPr>
            </w:pPr>
            <w:r>
              <w:rPr>
                <w:rFonts w:hint="eastAsia"/>
                <w:color w:val="auto"/>
              </w:rPr>
              <w:t>提供准确的数据分析结果展示，按要求输出柱状图、折线图等可视化展示图表。预设部分图表模版，方便根据场景选择合适的图表。</w:t>
            </w:r>
          </w:p>
        </w:tc>
      </w:tr>
      <w:tr w14:paraId="5484EE8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8496E60">
            <w:pPr>
              <w:ind w:firstLine="0" w:firstLineChars="0"/>
              <w:rPr>
                <w:color w:val="auto"/>
              </w:rPr>
            </w:pPr>
            <w:r>
              <w:rPr>
                <w:rFonts w:hint="eastAsia"/>
                <w:color w:val="auto"/>
              </w:rPr>
              <w:t>111</w:t>
            </w:r>
          </w:p>
        </w:tc>
        <w:tc>
          <w:tcPr>
            <w:tcW w:w="1559" w:type="dxa"/>
            <w:tcBorders>
              <w:top w:val="single" w:color="auto" w:sz="4" w:space="0"/>
              <w:left w:val="nil"/>
              <w:bottom w:val="single" w:color="auto" w:sz="4" w:space="0"/>
              <w:right w:val="single" w:color="auto" w:sz="4" w:space="0"/>
            </w:tcBorders>
            <w:noWrap w:val="0"/>
            <w:vAlign w:val="center"/>
          </w:tcPr>
          <w:p w14:paraId="1D97EBA4">
            <w:pPr>
              <w:ind w:firstLine="0" w:firstLineChars="0"/>
              <w:rPr>
                <w:color w:val="auto"/>
              </w:rPr>
            </w:pPr>
            <w:r>
              <w:rPr>
                <w:rFonts w:hint="eastAsia"/>
                <w:color w:val="auto"/>
              </w:rPr>
              <w:t>文旅智能问数工具-语义化建模</w:t>
            </w:r>
          </w:p>
        </w:tc>
        <w:tc>
          <w:tcPr>
            <w:tcW w:w="6057" w:type="dxa"/>
            <w:tcBorders>
              <w:top w:val="single" w:color="auto" w:sz="4" w:space="0"/>
              <w:left w:val="nil"/>
              <w:bottom w:val="single" w:color="auto" w:sz="4" w:space="0"/>
              <w:right w:val="single" w:color="auto" w:sz="4" w:space="0"/>
            </w:tcBorders>
            <w:noWrap w:val="0"/>
            <w:vAlign w:val="center"/>
          </w:tcPr>
          <w:p w14:paraId="327EF5BE">
            <w:pPr>
              <w:ind w:firstLine="0" w:firstLineChars="0"/>
              <w:rPr>
                <w:color w:val="auto"/>
              </w:rPr>
            </w:pPr>
            <w:r>
              <w:rPr>
                <w:rFonts w:hint="eastAsia"/>
                <w:color w:val="auto"/>
              </w:rPr>
              <w:t>构建数据语义模型，通过理解用户意图并抽取语义信息，提高数据查询准确性。与现有文旅局数据库进行反复校验和联调，实现精准查询。</w:t>
            </w:r>
          </w:p>
        </w:tc>
      </w:tr>
      <w:tr w14:paraId="2DD1FC4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1C7C98E8">
            <w:pPr>
              <w:ind w:firstLine="0" w:firstLineChars="0"/>
              <w:rPr>
                <w:color w:val="auto"/>
              </w:rPr>
            </w:pPr>
            <w:r>
              <w:rPr>
                <w:rFonts w:hint="eastAsia"/>
                <w:color w:val="auto"/>
              </w:rPr>
              <w:t>112</w:t>
            </w:r>
          </w:p>
        </w:tc>
        <w:tc>
          <w:tcPr>
            <w:tcW w:w="1559" w:type="dxa"/>
            <w:tcBorders>
              <w:top w:val="single" w:color="auto" w:sz="4" w:space="0"/>
              <w:left w:val="nil"/>
              <w:bottom w:val="single" w:color="auto" w:sz="4" w:space="0"/>
              <w:right w:val="single" w:color="auto" w:sz="4" w:space="0"/>
            </w:tcBorders>
            <w:noWrap w:val="0"/>
            <w:vAlign w:val="center"/>
          </w:tcPr>
          <w:p w14:paraId="5B9E3ABF">
            <w:pPr>
              <w:ind w:firstLine="0" w:firstLineChars="0"/>
              <w:rPr>
                <w:color w:val="auto"/>
              </w:rPr>
            </w:pPr>
            <w:r>
              <w:rPr>
                <w:rFonts w:hint="eastAsia"/>
                <w:color w:val="auto"/>
              </w:rPr>
              <w:t>文旅智能问数工具-术语知识库</w:t>
            </w:r>
          </w:p>
        </w:tc>
        <w:tc>
          <w:tcPr>
            <w:tcW w:w="6057" w:type="dxa"/>
            <w:tcBorders>
              <w:top w:val="single" w:color="auto" w:sz="4" w:space="0"/>
              <w:left w:val="nil"/>
              <w:bottom w:val="single" w:color="auto" w:sz="4" w:space="0"/>
              <w:right w:val="single" w:color="auto" w:sz="4" w:space="0"/>
            </w:tcBorders>
            <w:noWrap w:val="0"/>
            <w:vAlign w:val="center"/>
          </w:tcPr>
          <w:p w14:paraId="15460E23">
            <w:pPr>
              <w:ind w:firstLine="0" w:firstLineChars="0"/>
              <w:rPr>
                <w:color w:val="auto"/>
              </w:rPr>
            </w:pPr>
            <w:r>
              <w:rPr>
                <w:rFonts w:hint="eastAsia"/>
                <w:color w:val="auto"/>
              </w:rPr>
              <w:t>提供文旅局私有化知识注入，便于更好的理解和应用业务知识，辅助问答。</w:t>
            </w:r>
          </w:p>
        </w:tc>
      </w:tr>
      <w:tr w14:paraId="13C6E696">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0455DF01">
            <w:pPr>
              <w:ind w:firstLine="0" w:firstLineChars="0"/>
              <w:rPr>
                <w:color w:val="auto"/>
              </w:rPr>
            </w:pPr>
            <w:r>
              <w:rPr>
                <w:rFonts w:hint="eastAsia"/>
                <w:color w:val="auto"/>
              </w:rPr>
              <w:t>113</w:t>
            </w:r>
          </w:p>
        </w:tc>
        <w:tc>
          <w:tcPr>
            <w:tcW w:w="1559" w:type="dxa"/>
            <w:tcBorders>
              <w:top w:val="single" w:color="auto" w:sz="4" w:space="0"/>
              <w:left w:val="nil"/>
              <w:bottom w:val="single" w:color="auto" w:sz="4" w:space="0"/>
              <w:right w:val="single" w:color="auto" w:sz="4" w:space="0"/>
            </w:tcBorders>
            <w:noWrap w:val="0"/>
            <w:vAlign w:val="center"/>
          </w:tcPr>
          <w:p w14:paraId="46F6C61F">
            <w:pPr>
              <w:ind w:firstLine="0" w:firstLineChars="0"/>
              <w:rPr>
                <w:color w:val="auto"/>
              </w:rPr>
            </w:pPr>
            <w:r>
              <w:rPr>
                <w:rFonts w:hint="eastAsia"/>
                <w:color w:val="auto"/>
              </w:rPr>
              <w:t>文旅智能问数工具-数据安全与权限管理</w:t>
            </w:r>
          </w:p>
        </w:tc>
        <w:tc>
          <w:tcPr>
            <w:tcW w:w="6057" w:type="dxa"/>
            <w:tcBorders>
              <w:top w:val="single" w:color="auto" w:sz="4" w:space="0"/>
              <w:left w:val="nil"/>
              <w:bottom w:val="single" w:color="auto" w:sz="4" w:space="0"/>
              <w:right w:val="single" w:color="auto" w:sz="4" w:space="0"/>
            </w:tcBorders>
            <w:noWrap w:val="0"/>
            <w:vAlign w:val="center"/>
          </w:tcPr>
          <w:p w14:paraId="5F6D585D">
            <w:pPr>
              <w:ind w:firstLine="0" w:firstLineChars="0"/>
              <w:rPr>
                <w:color w:val="auto"/>
              </w:rPr>
            </w:pPr>
            <w:r>
              <w:rPr>
                <w:rFonts w:hint="eastAsia"/>
                <w:color w:val="auto"/>
              </w:rPr>
              <w:t>提供多层级权限控制，确保敏感数据合规访问。</w:t>
            </w:r>
          </w:p>
        </w:tc>
      </w:tr>
      <w:tr w14:paraId="1F0CD4D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C0F0D32">
            <w:pPr>
              <w:ind w:firstLine="0" w:firstLineChars="0"/>
              <w:rPr>
                <w:color w:val="auto"/>
              </w:rPr>
            </w:pPr>
            <w:r>
              <w:rPr>
                <w:rFonts w:hint="eastAsia"/>
                <w:color w:val="auto"/>
              </w:rPr>
              <w:t>114</w:t>
            </w:r>
          </w:p>
        </w:tc>
        <w:tc>
          <w:tcPr>
            <w:tcW w:w="1559" w:type="dxa"/>
            <w:tcBorders>
              <w:top w:val="single" w:color="auto" w:sz="4" w:space="0"/>
              <w:left w:val="nil"/>
              <w:bottom w:val="single" w:color="auto" w:sz="4" w:space="0"/>
              <w:right w:val="single" w:color="auto" w:sz="4" w:space="0"/>
            </w:tcBorders>
            <w:noWrap w:val="0"/>
            <w:vAlign w:val="center"/>
          </w:tcPr>
          <w:p w14:paraId="2F62FDE9">
            <w:pPr>
              <w:ind w:firstLine="0" w:firstLineChars="0"/>
              <w:rPr>
                <w:color w:val="auto"/>
              </w:rPr>
            </w:pPr>
            <w:r>
              <w:rPr>
                <w:rFonts w:hint="eastAsia"/>
                <w:color w:val="auto"/>
              </w:rPr>
              <w:t>文旅智能问答工具-自然语言理解</w:t>
            </w:r>
          </w:p>
        </w:tc>
        <w:tc>
          <w:tcPr>
            <w:tcW w:w="6057" w:type="dxa"/>
            <w:tcBorders>
              <w:top w:val="single" w:color="auto" w:sz="4" w:space="0"/>
              <w:left w:val="nil"/>
              <w:bottom w:val="single" w:color="auto" w:sz="4" w:space="0"/>
              <w:right w:val="single" w:color="auto" w:sz="4" w:space="0"/>
            </w:tcBorders>
            <w:noWrap w:val="0"/>
            <w:vAlign w:val="center"/>
          </w:tcPr>
          <w:p w14:paraId="3F67DDD9">
            <w:pPr>
              <w:ind w:firstLine="0" w:firstLineChars="0"/>
              <w:rPr>
                <w:color w:val="auto"/>
              </w:rPr>
            </w:pPr>
            <w:r>
              <w:rPr>
                <w:rFonts w:hint="eastAsia"/>
                <w:color w:val="auto"/>
              </w:rPr>
              <w:t>解析用户输入的文本 / 语音，识别意图、提取实体、理解上下文逻辑，通过基础大模型结合RAG技术，整合文旅内部知识文档，实现基于自然语言的通用问答与私域知识检索，提升大模型对文旅内容的问答准确率。</w:t>
            </w:r>
          </w:p>
        </w:tc>
      </w:tr>
      <w:tr w14:paraId="4E4F26C4">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F9CFBB8">
            <w:pPr>
              <w:ind w:firstLine="0" w:firstLineChars="0"/>
              <w:rPr>
                <w:color w:val="auto"/>
              </w:rPr>
            </w:pPr>
            <w:r>
              <w:rPr>
                <w:rFonts w:hint="eastAsia"/>
                <w:color w:val="auto"/>
              </w:rPr>
              <w:t>115</w:t>
            </w:r>
          </w:p>
        </w:tc>
        <w:tc>
          <w:tcPr>
            <w:tcW w:w="1559" w:type="dxa"/>
            <w:tcBorders>
              <w:top w:val="single" w:color="auto" w:sz="4" w:space="0"/>
              <w:left w:val="nil"/>
              <w:bottom w:val="single" w:color="auto" w:sz="4" w:space="0"/>
              <w:right w:val="single" w:color="auto" w:sz="4" w:space="0"/>
            </w:tcBorders>
            <w:noWrap w:val="0"/>
            <w:vAlign w:val="center"/>
          </w:tcPr>
          <w:p w14:paraId="5B0400C6">
            <w:pPr>
              <w:ind w:firstLine="0" w:firstLineChars="0"/>
              <w:rPr>
                <w:color w:val="auto"/>
              </w:rPr>
            </w:pPr>
            <w:r>
              <w:rPr>
                <w:rFonts w:hint="eastAsia"/>
                <w:color w:val="auto"/>
              </w:rPr>
              <w:t>文旅智能问答工具-知识检索与推理</w:t>
            </w:r>
          </w:p>
        </w:tc>
        <w:tc>
          <w:tcPr>
            <w:tcW w:w="6057" w:type="dxa"/>
            <w:tcBorders>
              <w:top w:val="single" w:color="auto" w:sz="4" w:space="0"/>
              <w:left w:val="nil"/>
              <w:bottom w:val="single" w:color="auto" w:sz="4" w:space="0"/>
              <w:right w:val="single" w:color="auto" w:sz="4" w:space="0"/>
            </w:tcBorders>
            <w:noWrap w:val="0"/>
            <w:vAlign w:val="center"/>
          </w:tcPr>
          <w:p w14:paraId="4B199250">
            <w:pPr>
              <w:ind w:firstLine="0" w:firstLineChars="0"/>
              <w:rPr>
                <w:color w:val="auto"/>
              </w:rPr>
            </w:pPr>
            <w:r>
              <w:rPr>
                <w:rFonts w:hint="eastAsia"/>
                <w:color w:val="auto"/>
              </w:rPr>
              <w:t>从知识库、数据库中快速定位答案，并支持逻辑推理。</w:t>
            </w:r>
          </w:p>
        </w:tc>
      </w:tr>
      <w:tr w14:paraId="4E026E4E">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2E3C35DF">
            <w:pPr>
              <w:ind w:firstLine="0" w:firstLineChars="0"/>
              <w:rPr>
                <w:color w:val="auto"/>
              </w:rPr>
            </w:pPr>
            <w:r>
              <w:rPr>
                <w:rFonts w:hint="eastAsia"/>
                <w:color w:val="auto"/>
              </w:rPr>
              <w:t>116</w:t>
            </w:r>
          </w:p>
        </w:tc>
        <w:tc>
          <w:tcPr>
            <w:tcW w:w="1559" w:type="dxa"/>
            <w:tcBorders>
              <w:top w:val="single" w:color="auto" w:sz="4" w:space="0"/>
              <w:left w:val="nil"/>
              <w:bottom w:val="single" w:color="auto" w:sz="4" w:space="0"/>
              <w:right w:val="single" w:color="auto" w:sz="4" w:space="0"/>
            </w:tcBorders>
            <w:noWrap w:val="0"/>
            <w:vAlign w:val="center"/>
          </w:tcPr>
          <w:p w14:paraId="1042CE21">
            <w:pPr>
              <w:ind w:firstLine="0" w:firstLineChars="0"/>
              <w:rPr>
                <w:color w:val="auto"/>
              </w:rPr>
            </w:pPr>
            <w:r>
              <w:rPr>
                <w:rFonts w:hint="eastAsia"/>
                <w:color w:val="auto"/>
              </w:rPr>
              <w:t>文旅智能问答工具-多轮对话与上下文管理</w:t>
            </w:r>
          </w:p>
        </w:tc>
        <w:tc>
          <w:tcPr>
            <w:tcW w:w="6057" w:type="dxa"/>
            <w:tcBorders>
              <w:top w:val="single" w:color="auto" w:sz="4" w:space="0"/>
              <w:left w:val="nil"/>
              <w:bottom w:val="single" w:color="auto" w:sz="4" w:space="0"/>
              <w:right w:val="single" w:color="auto" w:sz="4" w:space="0"/>
            </w:tcBorders>
            <w:noWrap w:val="0"/>
            <w:vAlign w:val="center"/>
          </w:tcPr>
          <w:p w14:paraId="538B295A">
            <w:pPr>
              <w:ind w:firstLine="0" w:firstLineChars="0"/>
              <w:rPr>
                <w:color w:val="auto"/>
              </w:rPr>
            </w:pPr>
            <w:r>
              <w:rPr>
                <w:rFonts w:hint="eastAsia"/>
                <w:color w:val="auto"/>
              </w:rPr>
              <w:t>维护对话历史，理解上下文依赖关系，实现连贯交互。</w:t>
            </w:r>
          </w:p>
        </w:tc>
      </w:tr>
      <w:tr w14:paraId="7F4A53A1">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5EC1266">
            <w:pPr>
              <w:ind w:firstLine="0" w:firstLineChars="0"/>
              <w:rPr>
                <w:color w:val="auto"/>
              </w:rPr>
            </w:pPr>
            <w:r>
              <w:rPr>
                <w:rFonts w:hint="eastAsia"/>
                <w:color w:val="auto"/>
              </w:rPr>
              <w:t>117</w:t>
            </w:r>
          </w:p>
        </w:tc>
        <w:tc>
          <w:tcPr>
            <w:tcW w:w="1559" w:type="dxa"/>
            <w:tcBorders>
              <w:top w:val="single" w:color="auto" w:sz="4" w:space="0"/>
              <w:left w:val="nil"/>
              <w:bottom w:val="single" w:color="auto" w:sz="4" w:space="0"/>
              <w:right w:val="single" w:color="auto" w:sz="4" w:space="0"/>
            </w:tcBorders>
            <w:noWrap w:val="0"/>
            <w:vAlign w:val="center"/>
          </w:tcPr>
          <w:p w14:paraId="18BBDF43">
            <w:pPr>
              <w:ind w:firstLine="0" w:firstLineChars="0"/>
              <w:rPr>
                <w:color w:val="auto"/>
              </w:rPr>
            </w:pPr>
            <w:r>
              <w:rPr>
                <w:rFonts w:hint="eastAsia"/>
                <w:color w:val="auto"/>
              </w:rPr>
              <w:t>文旅智能问答工具-智能体构建及知识库关联</w:t>
            </w:r>
          </w:p>
        </w:tc>
        <w:tc>
          <w:tcPr>
            <w:tcW w:w="6057" w:type="dxa"/>
            <w:tcBorders>
              <w:top w:val="single" w:color="auto" w:sz="4" w:space="0"/>
              <w:left w:val="nil"/>
              <w:bottom w:val="single" w:color="auto" w:sz="4" w:space="0"/>
              <w:right w:val="single" w:color="auto" w:sz="4" w:space="0"/>
            </w:tcBorders>
            <w:noWrap w:val="0"/>
            <w:vAlign w:val="center"/>
          </w:tcPr>
          <w:p w14:paraId="59CDC845">
            <w:pPr>
              <w:ind w:firstLine="0" w:firstLineChars="0"/>
              <w:rPr>
                <w:color w:val="auto"/>
              </w:rPr>
            </w:pPr>
            <w:r>
              <w:rPr>
                <w:rFonts w:hint="eastAsia"/>
                <w:color w:val="auto"/>
              </w:rPr>
              <w:t>可自定义智能体开场白和设置预置问题，支持智能体可以关联一个或多个知识库内容，智能体会以知识库解析后的分段内容作为回复依据，与用户进行问答交互。</w:t>
            </w:r>
          </w:p>
        </w:tc>
      </w:tr>
      <w:tr w14:paraId="741073D0">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4AFE704B">
            <w:pPr>
              <w:ind w:firstLine="0" w:firstLineChars="0"/>
              <w:rPr>
                <w:color w:val="auto"/>
              </w:rPr>
            </w:pPr>
            <w:r>
              <w:rPr>
                <w:rFonts w:hint="eastAsia"/>
                <w:color w:val="auto"/>
              </w:rPr>
              <w:t>118</w:t>
            </w:r>
          </w:p>
        </w:tc>
        <w:tc>
          <w:tcPr>
            <w:tcW w:w="1559" w:type="dxa"/>
            <w:tcBorders>
              <w:top w:val="single" w:color="auto" w:sz="4" w:space="0"/>
              <w:left w:val="nil"/>
              <w:bottom w:val="single" w:color="auto" w:sz="4" w:space="0"/>
              <w:right w:val="single" w:color="auto" w:sz="4" w:space="0"/>
            </w:tcBorders>
            <w:noWrap w:val="0"/>
            <w:vAlign w:val="center"/>
          </w:tcPr>
          <w:p w14:paraId="435F1CB7">
            <w:pPr>
              <w:ind w:firstLine="0" w:firstLineChars="0"/>
              <w:rPr>
                <w:color w:val="auto"/>
              </w:rPr>
            </w:pPr>
            <w:r>
              <w:rPr>
                <w:rFonts w:hint="eastAsia"/>
                <w:color w:val="auto"/>
              </w:rPr>
              <w:t>文旅智能问答工具-智能对话</w:t>
            </w:r>
          </w:p>
        </w:tc>
        <w:tc>
          <w:tcPr>
            <w:tcW w:w="6057" w:type="dxa"/>
            <w:tcBorders>
              <w:top w:val="single" w:color="auto" w:sz="4" w:space="0"/>
              <w:left w:val="nil"/>
              <w:bottom w:val="single" w:color="auto" w:sz="4" w:space="0"/>
              <w:right w:val="single" w:color="auto" w:sz="4" w:space="0"/>
            </w:tcBorders>
            <w:noWrap w:val="0"/>
            <w:vAlign w:val="center"/>
          </w:tcPr>
          <w:p w14:paraId="090C29E2">
            <w:pPr>
              <w:ind w:firstLine="0" w:firstLineChars="0"/>
              <w:rPr>
                <w:color w:val="auto"/>
              </w:rPr>
            </w:pPr>
            <w:r>
              <w:rPr>
                <w:rFonts w:hint="eastAsia"/>
                <w:color w:val="auto"/>
              </w:rPr>
              <w:t>展示与智能体交互的所有对话日志，查看每轮对话用户问题与智能体的回复内容，对于有价值的对话内容，可以反向保存到对应的知识库分段中。</w:t>
            </w:r>
          </w:p>
        </w:tc>
      </w:tr>
      <w:tr w14:paraId="1B4D1177">
        <w:tblPrEx>
          <w:tblCellMar>
            <w:top w:w="0" w:type="dxa"/>
            <w:left w:w="108" w:type="dxa"/>
            <w:bottom w:w="0" w:type="dxa"/>
            <w:right w:w="108" w:type="dxa"/>
          </w:tblCellMar>
        </w:tblPrEx>
        <w:trPr>
          <w:trHeight w:val="320" w:hRule="atLeast"/>
        </w:trPr>
        <w:tc>
          <w:tcPr>
            <w:tcW w:w="8320" w:type="dxa"/>
            <w:gridSpan w:val="3"/>
            <w:tcBorders>
              <w:top w:val="single" w:color="auto" w:sz="4" w:space="0"/>
              <w:left w:val="single" w:color="auto" w:sz="4" w:space="0"/>
              <w:bottom w:val="single" w:color="auto" w:sz="4" w:space="0"/>
              <w:right w:val="single" w:color="auto" w:sz="4" w:space="0"/>
            </w:tcBorders>
            <w:noWrap w:val="0"/>
            <w:vAlign w:val="center"/>
          </w:tcPr>
          <w:p w14:paraId="7A43CB67">
            <w:pPr>
              <w:ind w:firstLine="0" w:firstLineChars="0"/>
              <w:rPr>
                <w:color w:val="auto"/>
              </w:rPr>
            </w:pPr>
            <w:r>
              <w:rPr>
                <w:rFonts w:hint="eastAsia"/>
                <w:color w:val="auto"/>
              </w:rPr>
              <w:t>18、系统数据对接</w:t>
            </w:r>
          </w:p>
        </w:tc>
      </w:tr>
      <w:tr w14:paraId="0926C1F9">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C5FB64E">
            <w:pPr>
              <w:ind w:firstLine="0" w:firstLineChars="0"/>
              <w:rPr>
                <w:color w:val="auto"/>
              </w:rPr>
            </w:pPr>
            <w:r>
              <w:rPr>
                <w:rFonts w:hint="eastAsia"/>
                <w:color w:val="auto"/>
              </w:rPr>
              <w:t>序号</w:t>
            </w:r>
          </w:p>
        </w:tc>
        <w:tc>
          <w:tcPr>
            <w:tcW w:w="1559" w:type="dxa"/>
            <w:tcBorders>
              <w:top w:val="single" w:color="auto" w:sz="4" w:space="0"/>
              <w:left w:val="nil"/>
              <w:bottom w:val="single" w:color="auto" w:sz="4" w:space="0"/>
              <w:right w:val="single" w:color="auto" w:sz="4" w:space="0"/>
            </w:tcBorders>
            <w:noWrap w:val="0"/>
            <w:vAlign w:val="center"/>
          </w:tcPr>
          <w:p w14:paraId="051DFA14">
            <w:pPr>
              <w:ind w:firstLine="0" w:firstLineChars="0"/>
              <w:rPr>
                <w:color w:val="auto"/>
              </w:rPr>
            </w:pPr>
            <w:r>
              <w:rPr>
                <w:rFonts w:hint="eastAsia"/>
                <w:color w:val="auto"/>
              </w:rPr>
              <w:t>功能名称</w:t>
            </w:r>
          </w:p>
        </w:tc>
        <w:tc>
          <w:tcPr>
            <w:tcW w:w="6057" w:type="dxa"/>
            <w:tcBorders>
              <w:top w:val="single" w:color="auto" w:sz="4" w:space="0"/>
              <w:left w:val="nil"/>
              <w:bottom w:val="single" w:color="auto" w:sz="4" w:space="0"/>
              <w:right w:val="single" w:color="auto" w:sz="4" w:space="0"/>
            </w:tcBorders>
            <w:noWrap w:val="0"/>
            <w:vAlign w:val="center"/>
          </w:tcPr>
          <w:p w14:paraId="2AD36D3E">
            <w:pPr>
              <w:ind w:firstLine="0" w:firstLineChars="0"/>
              <w:rPr>
                <w:color w:val="auto"/>
              </w:rPr>
            </w:pPr>
            <w:r>
              <w:rPr>
                <w:rFonts w:hint="eastAsia"/>
                <w:color w:val="auto"/>
              </w:rPr>
              <w:t>功能描述</w:t>
            </w:r>
          </w:p>
        </w:tc>
      </w:tr>
      <w:tr w14:paraId="0133CF3C">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38BC12B0">
            <w:pPr>
              <w:ind w:firstLine="0" w:firstLineChars="0"/>
              <w:rPr>
                <w:color w:val="auto"/>
              </w:rPr>
            </w:pPr>
            <w:r>
              <w:rPr>
                <w:rFonts w:hint="eastAsia"/>
                <w:color w:val="auto"/>
              </w:rPr>
              <w:t>119</w:t>
            </w:r>
          </w:p>
        </w:tc>
        <w:tc>
          <w:tcPr>
            <w:tcW w:w="1559" w:type="dxa"/>
            <w:tcBorders>
              <w:top w:val="single" w:color="auto" w:sz="4" w:space="0"/>
              <w:left w:val="nil"/>
              <w:bottom w:val="single" w:color="auto" w:sz="4" w:space="0"/>
              <w:right w:val="single" w:color="auto" w:sz="4" w:space="0"/>
            </w:tcBorders>
            <w:noWrap w:val="0"/>
            <w:vAlign w:val="center"/>
          </w:tcPr>
          <w:p w14:paraId="45604F7E">
            <w:pPr>
              <w:ind w:firstLine="0" w:firstLineChars="0"/>
              <w:rPr>
                <w:color w:val="auto"/>
              </w:rPr>
            </w:pPr>
            <w:r>
              <w:rPr>
                <w:rFonts w:hint="eastAsia"/>
                <w:color w:val="auto"/>
              </w:rPr>
              <w:t>对接上海文化和旅游咨询业务管理平台系统</w:t>
            </w:r>
          </w:p>
        </w:tc>
        <w:tc>
          <w:tcPr>
            <w:tcW w:w="6057" w:type="dxa"/>
            <w:tcBorders>
              <w:top w:val="single" w:color="auto" w:sz="4" w:space="0"/>
              <w:left w:val="nil"/>
              <w:bottom w:val="single" w:color="auto" w:sz="4" w:space="0"/>
              <w:right w:val="single" w:color="auto" w:sz="4" w:space="0"/>
            </w:tcBorders>
            <w:noWrap w:val="0"/>
            <w:vAlign w:val="center"/>
          </w:tcPr>
          <w:p w14:paraId="22C8F991">
            <w:pPr>
              <w:ind w:firstLine="0" w:firstLineChars="0"/>
              <w:rPr>
                <w:color w:val="auto"/>
              </w:rPr>
            </w:pPr>
            <w:r>
              <w:rPr>
                <w:rFonts w:hint="eastAsia"/>
                <w:color w:val="auto"/>
              </w:rPr>
              <w:t>接入上海文化和旅游咨询业务管理平台系统数据。</w:t>
            </w:r>
          </w:p>
        </w:tc>
      </w:tr>
      <w:tr w14:paraId="40F64247">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63C8375">
            <w:pPr>
              <w:ind w:firstLine="0" w:firstLineChars="0"/>
              <w:rPr>
                <w:color w:val="auto"/>
              </w:rPr>
            </w:pPr>
            <w:r>
              <w:rPr>
                <w:rFonts w:hint="eastAsia"/>
                <w:color w:val="auto"/>
              </w:rPr>
              <w:t>120</w:t>
            </w:r>
          </w:p>
        </w:tc>
        <w:tc>
          <w:tcPr>
            <w:tcW w:w="1559" w:type="dxa"/>
            <w:tcBorders>
              <w:top w:val="single" w:color="auto" w:sz="4" w:space="0"/>
              <w:left w:val="nil"/>
              <w:bottom w:val="single" w:color="auto" w:sz="4" w:space="0"/>
              <w:right w:val="single" w:color="auto" w:sz="4" w:space="0"/>
            </w:tcBorders>
            <w:noWrap w:val="0"/>
            <w:vAlign w:val="center"/>
          </w:tcPr>
          <w:p w14:paraId="532FF49C">
            <w:pPr>
              <w:ind w:firstLine="0" w:firstLineChars="0"/>
              <w:rPr>
                <w:color w:val="auto"/>
              </w:rPr>
            </w:pPr>
            <w:r>
              <w:rPr>
                <w:rFonts w:hint="eastAsia"/>
                <w:color w:val="auto"/>
              </w:rPr>
              <w:t>对接上海市宾馆旅游多媒体触摸屏系统</w:t>
            </w:r>
          </w:p>
        </w:tc>
        <w:tc>
          <w:tcPr>
            <w:tcW w:w="6057" w:type="dxa"/>
            <w:tcBorders>
              <w:top w:val="single" w:color="auto" w:sz="4" w:space="0"/>
              <w:left w:val="nil"/>
              <w:bottom w:val="single" w:color="auto" w:sz="4" w:space="0"/>
              <w:right w:val="single" w:color="auto" w:sz="4" w:space="0"/>
            </w:tcBorders>
            <w:noWrap w:val="0"/>
            <w:vAlign w:val="center"/>
          </w:tcPr>
          <w:p w14:paraId="4D41CE9D">
            <w:pPr>
              <w:ind w:firstLine="0" w:firstLineChars="0"/>
              <w:rPr>
                <w:color w:val="auto"/>
              </w:rPr>
            </w:pPr>
            <w:r>
              <w:rPr>
                <w:rFonts w:hint="eastAsia"/>
                <w:color w:val="auto"/>
              </w:rPr>
              <w:t>接入上海市宾馆旅游多媒体触摸屏系统数据。</w:t>
            </w:r>
          </w:p>
        </w:tc>
      </w:tr>
      <w:tr w14:paraId="092A445D">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5820C042">
            <w:pPr>
              <w:ind w:firstLine="0" w:firstLineChars="0"/>
              <w:rPr>
                <w:color w:val="auto"/>
              </w:rPr>
            </w:pPr>
            <w:r>
              <w:rPr>
                <w:rFonts w:hint="eastAsia"/>
                <w:color w:val="auto"/>
              </w:rPr>
              <w:t>121</w:t>
            </w:r>
          </w:p>
        </w:tc>
        <w:tc>
          <w:tcPr>
            <w:tcW w:w="1559" w:type="dxa"/>
            <w:tcBorders>
              <w:top w:val="single" w:color="auto" w:sz="4" w:space="0"/>
              <w:left w:val="nil"/>
              <w:bottom w:val="single" w:color="auto" w:sz="4" w:space="0"/>
              <w:right w:val="single" w:color="auto" w:sz="4" w:space="0"/>
            </w:tcBorders>
            <w:noWrap w:val="0"/>
            <w:vAlign w:val="center"/>
          </w:tcPr>
          <w:p w14:paraId="50719636">
            <w:pPr>
              <w:ind w:firstLine="0" w:firstLineChars="0"/>
              <w:rPr>
                <w:color w:val="auto"/>
              </w:rPr>
            </w:pPr>
            <w:r>
              <w:rPr>
                <w:rFonts w:hint="eastAsia"/>
                <w:color w:val="auto"/>
              </w:rPr>
              <w:t>对接数字文旅长三角一体化服务子系统</w:t>
            </w:r>
          </w:p>
        </w:tc>
        <w:tc>
          <w:tcPr>
            <w:tcW w:w="6057" w:type="dxa"/>
            <w:tcBorders>
              <w:top w:val="single" w:color="auto" w:sz="4" w:space="0"/>
              <w:left w:val="nil"/>
              <w:bottom w:val="single" w:color="auto" w:sz="4" w:space="0"/>
              <w:right w:val="single" w:color="auto" w:sz="4" w:space="0"/>
            </w:tcBorders>
            <w:noWrap w:val="0"/>
            <w:vAlign w:val="center"/>
          </w:tcPr>
          <w:p w14:paraId="5276E7C2">
            <w:pPr>
              <w:ind w:firstLine="0" w:firstLineChars="0"/>
              <w:rPr>
                <w:color w:val="auto"/>
              </w:rPr>
            </w:pPr>
            <w:r>
              <w:rPr>
                <w:rFonts w:hint="eastAsia"/>
                <w:color w:val="auto"/>
              </w:rPr>
              <w:t>接入数字文旅长三角一体化服务子系统数据。</w:t>
            </w:r>
          </w:p>
        </w:tc>
      </w:tr>
      <w:tr w14:paraId="11B5E6B3">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716D775C">
            <w:pPr>
              <w:ind w:firstLine="0" w:firstLineChars="0"/>
              <w:rPr>
                <w:color w:val="auto"/>
              </w:rPr>
            </w:pPr>
            <w:r>
              <w:rPr>
                <w:rFonts w:hint="eastAsia"/>
                <w:color w:val="auto"/>
              </w:rPr>
              <w:t>122</w:t>
            </w:r>
          </w:p>
        </w:tc>
        <w:tc>
          <w:tcPr>
            <w:tcW w:w="1559" w:type="dxa"/>
            <w:tcBorders>
              <w:top w:val="single" w:color="auto" w:sz="4" w:space="0"/>
              <w:left w:val="nil"/>
              <w:bottom w:val="single" w:color="auto" w:sz="4" w:space="0"/>
              <w:right w:val="single" w:color="auto" w:sz="4" w:space="0"/>
            </w:tcBorders>
            <w:noWrap w:val="0"/>
            <w:vAlign w:val="center"/>
          </w:tcPr>
          <w:p w14:paraId="5710C3B2">
            <w:pPr>
              <w:ind w:firstLine="0" w:firstLineChars="0"/>
              <w:rPr>
                <w:color w:val="auto"/>
              </w:rPr>
            </w:pPr>
            <w:r>
              <w:rPr>
                <w:rFonts w:hint="eastAsia"/>
                <w:color w:val="auto"/>
              </w:rPr>
              <w:t>对接企业法人库数据</w:t>
            </w:r>
          </w:p>
        </w:tc>
        <w:tc>
          <w:tcPr>
            <w:tcW w:w="6057" w:type="dxa"/>
            <w:tcBorders>
              <w:top w:val="single" w:color="auto" w:sz="4" w:space="0"/>
              <w:left w:val="nil"/>
              <w:bottom w:val="single" w:color="auto" w:sz="4" w:space="0"/>
              <w:right w:val="single" w:color="auto" w:sz="4" w:space="0"/>
            </w:tcBorders>
            <w:noWrap w:val="0"/>
            <w:vAlign w:val="center"/>
          </w:tcPr>
          <w:p w14:paraId="58FBC9D3">
            <w:pPr>
              <w:ind w:firstLine="0" w:firstLineChars="0"/>
              <w:rPr>
                <w:color w:val="auto"/>
              </w:rPr>
            </w:pPr>
            <w:r>
              <w:rPr>
                <w:rFonts w:hint="eastAsia"/>
                <w:color w:val="auto"/>
              </w:rPr>
              <w:t>需接入企业法人库数据。</w:t>
            </w:r>
          </w:p>
        </w:tc>
      </w:tr>
      <w:tr w14:paraId="265B1666">
        <w:tblPrEx>
          <w:tblCellMar>
            <w:top w:w="0" w:type="dxa"/>
            <w:left w:w="108" w:type="dxa"/>
            <w:bottom w:w="0" w:type="dxa"/>
            <w:right w:w="108" w:type="dxa"/>
          </w:tblCellMar>
        </w:tblPrEx>
        <w:trPr>
          <w:trHeight w:val="320" w:hRule="atLeast"/>
        </w:trPr>
        <w:tc>
          <w:tcPr>
            <w:tcW w:w="704" w:type="dxa"/>
            <w:tcBorders>
              <w:top w:val="nil"/>
              <w:left w:val="single" w:color="auto" w:sz="4" w:space="0"/>
              <w:bottom w:val="nil"/>
              <w:right w:val="single" w:color="auto" w:sz="4" w:space="0"/>
            </w:tcBorders>
            <w:noWrap w:val="0"/>
            <w:vAlign w:val="center"/>
          </w:tcPr>
          <w:p w14:paraId="5C148C16">
            <w:pPr>
              <w:ind w:firstLine="0" w:firstLineChars="0"/>
              <w:rPr>
                <w:color w:val="auto"/>
              </w:rPr>
            </w:pPr>
            <w:r>
              <w:rPr>
                <w:rFonts w:hint="eastAsia"/>
                <w:color w:val="auto"/>
              </w:rPr>
              <w:t>123</w:t>
            </w:r>
          </w:p>
        </w:tc>
        <w:tc>
          <w:tcPr>
            <w:tcW w:w="1559" w:type="dxa"/>
            <w:tcBorders>
              <w:top w:val="single" w:color="auto" w:sz="4" w:space="0"/>
              <w:left w:val="nil"/>
              <w:bottom w:val="single" w:color="auto" w:sz="4" w:space="0"/>
              <w:right w:val="single" w:color="auto" w:sz="4" w:space="0"/>
            </w:tcBorders>
            <w:noWrap w:val="0"/>
            <w:vAlign w:val="center"/>
          </w:tcPr>
          <w:p w14:paraId="54FF93DD">
            <w:pPr>
              <w:ind w:firstLine="0" w:firstLineChars="0"/>
              <w:rPr>
                <w:color w:val="auto"/>
              </w:rPr>
            </w:pPr>
            <w:r>
              <w:rPr>
                <w:rFonts w:hint="eastAsia"/>
                <w:color w:val="auto"/>
              </w:rPr>
              <w:t>对接一张图</w:t>
            </w:r>
          </w:p>
        </w:tc>
        <w:tc>
          <w:tcPr>
            <w:tcW w:w="6057" w:type="dxa"/>
            <w:tcBorders>
              <w:top w:val="single" w:color="auto" w:sz="4" w:space="0"/>
              <w:left w:val="nil"/>
              <w:bottom w:val="single" w:color="auto" w:sz="4" w:space="0"/>
              <w:right w:val="single" w:color="auto" w:sz="4" w:space="0"/>
            </w:tcBorders>
            <w:noWrap w:val="0"/>
            <w:vAlign w:val="center"/>
          </w:tcPr>
          <w:p w14:paraId="1734E944">
            <w:pPr>
              <w:ind w:firstLine="0" w:firstLineChars="0"/>
              <w:rPr>
                <w:color w:val="auto"/>
              </w:rPr>
            </w:pPr>
            <w:r>
              <w:rPr>
                <w:rFonts w:hint="eastAsia"/>
                <w:color w:val="auto"/>
              </w:rPr>
              <w:t>接入上海市“一张图”底图和数据。</w:t>
            </w:r>
          </w:p>
        </w:tc>
      </w:tr>
      <w:tr w14:paraId="263C066A">
        <w:tblPrEx>
          <w:tblCellMar>
            <w:top w:w="0" w:type="dxa"/>
            <w:left w:w="108" w:type="dxa"/>
            <w:bottom w:w="0" w:type="dxa"/>
            <w:right w:w="108" w:type="dxa"/>
          </w:tblCellMar>
        </w:tblPrEx>
        <w:trPr>
          <w:trHeight w:val="320" w:hRule="atLeast"/>
        </w:trPr>
        <w:tc>
          <w:tcPr>
            <w:tcW w:w="704" w:type="dxa"/>
            <w:tcBorders>
              <w:top w:val="nil"/>
              <w:left w:val="single" w:color="auto" w:sz="4" w:space="0"/>
              <w:bottom w:val="single" w:color="auto" w:sz="4" w:space="0"/>
              <w:right w:val="single" w:color="auto" w:sz="4" w:space="0"/>
            </w:tcBorders>
            <w:noWrap w:val="0"/>
            <w:vAlign w:val="center"/>
          </w:tcPr>
          <w:p w14:paraId="678304F1">
            <w:pPr>
              <w:ind w:firstLine="0" w:firstLineChars="0"/>
              <w:rPr>
                <w:rFonts w:hint="default" w:eastAsia="宋体"/>
                <w:color w:val="auto"/>
                <w:lang w:val="en-US" w:eastAsia="zh-CN"/>
              </w:rPr>
            </w:pPr>
            <w:r>
              <w:rPr>
                <w:rFonts w:hint="eastAsia"/>
                <w:color w:val="auto"/>
                <w:lang w:val="en-US" w:eastAsia="zh-CN"/>
              </w:rPr>
              <w:t>124</w:t>
            </w:r>
          </w:p>
        </w:tc>
        <w:tc>
          <w:tcPr>
            <w:tcW w:w="1559" w:type="dxa"/>
            <w:tcBorders>
              <w:top w:val="single" w:color="auto" w:sz="4" w:space="0"/>
              <w:left w:val="nil"/>
              <w:bottom w:val="single" w:color="auto" w:sz="4" w:space="0"/>
              <w:right w:val="single" w:color="auto" w:sz="4" w:space="0"/>
            </w:tcBorders>
            <w:noWrap w:val="0"/>
            <w:vAlign w:val="center"/>
          </w:tcPr>
          <w:p w14:paraId="37E78A8B">
            <w:pPr>
              <w:ind w:firstLine="0" w:firstLineChars="0"/>
              <w:rPr>
                <w:rFonts w:hint="default" w:eastAsia="宋体"/>
                <w:color w:val="auto"/>
                <w:lang w:val="en-US" w:eastAsia="zh-CN"/>
              </w:rPr>
            </w:pPr>
            <w:r>
              <w:rPr>
                <w:rFonts w:hint="eastAsia"/>
                <w:color w:val="auto"/>
                <w:lang w:val="en-US" w:eastAsia="zh-CN"/>
              </w:rPr>
              <w:t>对接政务云MAP</w:t>
            </w:r>
          </w:p>
        </w:tc>
        <w:tc>
          <w:tcPr>
            <w:tcW w:w="6057" w:type="dxa"/>
            <w:tcBorders>
              <w:top w:val="single" w:color="auto" w:sz="4" w:space="0"/>
              <w:left w:val="nil"/>
              <w:bottom w:val="single" w:color="auto" w:sz="4" w:space="0"/>
              <w:right w:val="single" w:color="auto" w:sz="4" w:space="0"/>
            </w:tcBorders>
            <w:noWrap w:val="0"/>
            <w:vAlign w:val="center"/>
          </w:tcPr>
          <w:p w14:paraId="1F251814">
            <w:pPr>
              <w:ind w:firstLine="0" w:firstLineChars="0"/>
              <w:rPr>
                <w:rFonts w:hint="default" w:eastAsia="宋体"/>
                <w:color w:val="auto"/>
                <w:lang w:val="en-US" w:eastAsia="zh-CN"/>
              </w:rPr>
            </w:pPr>
            <w:r>
              <w:rPr>
                <w:rFonts w:hint="eastAsia"/>
                <w:color w:val="auto"/>
                <w:lang w:val="en-US" w:eastAsia="zh-CN"/>
              </w:rPr>
              <w:t>对接MAP平台，开发智能体。</w:t>
            </w:r>
          </w:p>
        </w:tc>
      </w:tr>
    </w:tbl>
    <w:p w14:paraId="7A0EBA47">
      <w:pPr>
        <w:ind w:firstLine="0" w:firstLineChars="0"/>
        <w:rPr>
          <w:b/>
          <w:color w:val="auto"/>
        </w:rPr>
      </w:pPr>
      <w:bookmarkStart w:id="27" w:name="_GoBack"/>
      <w:bookmarkEnd w:id="27"/>
    </w:p>
    <w:p w14:paraId="01AFEB2F">
      <w:pPr>
        <w:pStyle w:val="2"/>
        <w:rPr>
          <w:rFonts w:hint="eastAsia"/>
          <w:color w:val="auto"/>
        </w:rPr>
      </w:pPr>
      <w:bookmarkStart w:id="17" w:name="_Toc63785502"/>
      <w:r>
        <w:rPr>
          <w:rFonts w:hint="eastAsia"/>
          <w:color w:val="auto"/>
        </w:rPr>
        <w:t>电子政务云资源需求</w:t>
      </w:r>
      <w:bookmarkEnd w:id="17"/>
    </w:p>
    <w:p w14:paraId="74040839">
      <w:pPr>
        <w:rPr>
          <w:rFonts w:hint="eastAsia"/>
          <w:color w:val="auto"/>
        </w:rPr>
      </w:pPr>
      <w:r>
        <w:rPr>
          <w:rFonts w:hint="eastAsia"/>
          <w:color w:val="auto"/>
        </w:rPr>
        <w:t>本项目所需IaaS主机资源（CPU、内存、存储）、基础软件（操作系统、数据库、中间件）及PaaS服务均使用电子政务云。项目实施过程中可按照上海市电子政务云平台实际分配的资源情况作动态调整，同时可整合利用原有系统主机资源。</w:t>
      </w:r>
    </w:p>
    <w:p w14:paraId="2881EB4F">
      <w:pPr>
        <w:pStyle w:val="2"/>
        <w:rPr>
          <w:color w:val="auto"/>
        </w:rPr>
      </w:pPr>
      <w:bookmarkStart w:id="18" w:name="_Toc63785503"/>
      <w:r>
        <w:rPr>
          <w:rFonts w:hint="eastAsia"/>
          <w:color w:val="auto"/>
        </w:rPr>
        <w:t>其他工作要求</w:t>
      </w:r>
      <w:bookmarkEnd w:id="18"/>
    </w:p>
    <w:p w14:paraId="73F4BB7D">
      <w:pPr>
        <w:ind w:firstLine="482"/>
        <w:outlineLvl w:val="1"/>
        <w:rPr>
          <w:rFonts w:hint="eastAsia"/>
          <w:b/>
          <w:color w:val="auto"/>
          <w:lang w:val="en-US" w:eastAsia="zh-CN"/>
        </w:rPr>
      </w:pPr>
      <w:bookmarkStart w:id="19" w:name="_Toc63785505"/>
      <w:r>
        <w:rPr>
          <w:rFonts w:hint="eastAsia"/>
          <w:b/>
          <w:color w:val="auto"/>
          <w:lang w:val="en-US" w:eastAsia="zh-CN"/>
        </w:rPr>
        <w:t>1、售后服务要求</w:t>
      </w:r>
      <w:bookmarkEnd w:id="19"/>
    </w:p>
    <w:p w14:paraId="726E94F7">
      <w:pPr>
        <w:rPr>
          <w:rFonts w:hint="eastAsia"/>
          <w:color w:val="auto"/>
        </w:rPr>
      </w:pPr>
      <w:r>
        <w:rPr>
          <w:rFonts w:hint="eastAsia"/>
          <w:color w:val="auto"/>
        </w:rPr>
        <w:t>本项目从系统验收通过之日起</w:t>
      </w:r>
      <w:r>
        <w:rPr>
          <w:rFonts w:hint="eastAsia"/>
          <w:color w:val="auto"/>
          <w:lang w:eastAsia="zh-CN"/>
        </w:rPr>
        <w:t>提供不少于</w:t>
      </w:r>
      <w:r>
        <w:rPr>
          <w:rFonts w:hint="eastAsia"/>
          <w:color w:val="auto"/>
        </w:rPr>
        <w:t>1年</w:t>
      </w:r>
      <w:r>
        <w:rPr>
          <w:rFonts w:hint="eastAsia"/>
          <w:color w:val="auto"/>
          <w:lang w:eastAsia="zh-CN"/>
        </w:rPr>
        <w:t>的</w:t>
      </w:r>
      <w:r>
        <w:rPr>
          <w:rFonts w:hint="eastAsia"/>
          <w:color w:val="auto"/>
        </w:rPr>
        <w:t>7*24小时免费技术支持和售后服务。在质量保证期内，供应商</w:t>
      </w:r>
      <w:r>
        <w:rPr>
          <w:rFonts w:hint="eastAsia"/>
          <w:color w:val="auto"/>
          <w:lang w:eastAsia="zh-CN"/>
        </w:rPr>
        <w:t>需</w:t>
      </w:r>
      <w:r>
        <w:rPr>
          <w:rFonts w:hint="eastAsia"/>
          <w:color w:val="auto"/>
        </w:rPr>
        <w:t>按照售后服务的承诺提供保修和运行维护服务。</w:t>
      </w:r>
    </w:p>
    <w:p w14:paraId="36F2DF35">
      <w:pPr>
        <w:rPr>
          <w:rFonts w:hint="eastAsia"/>
          <w:color w:val="auto"/>
        </w:rPr>
      </w:pPr>
      <w:r>
        <w:rPr>
          <w:rFonts w:hint="eastAsia"/>
          <w:color w:val="auto"/>
        </w:rPr>
        <w:t>在质量保证期内，供应商负责信息系统的运行维护工作，确保信息系统安全、稳定、可靠地运行。本项目涉及的运行维护工作范围为：</w:t>
      </w:r>
    </w:p>
    <w:p w14:paraId="6E8C8616">
      <w:pPr>
        <w:rPr>
          <w:rFonts w:hint="eastAsia"/>
          <w:color w:val="auto"/>
        </w:rPr>
      </w:pPr>
      <w:r>
        <w:rPr>
          <w:rFonts w:hint="eastAsia"/>
          <w:color w:val="auto"/>
        </w:rPr>
        <w:t>（1）远程技术支持：采购方联系供应商指定的维护工程师，由供应商工程师通过电话支持、电子邮件等方式进行远程技术支持；</w:t>
      </w:r>
    </w:p>
    <w:p w14:paraId="35AFDC12">
      <w:pPr>
        <w:rPr>
          <w:rFonts w:hint="eastAsia"/>
          <w:color w:val="auto"/>
        </w:rPr>
      </w:pPr>
      <w:r>
        <w:rPr>
          <w:rFonts w:hint="eastAsia"/>
          <w:color w:val="auto"/>
        </w:rPr>
        <w:t>（2）现场技术支持：如果通过远程技术支持方式不能解决信息系统故障，在采购方提出现场支持应急响应要求后的约定时间内，供应商应派遣工程师赶赴现场分析故障原因，制定故障排除方案，提供故障排除服务。</w:t>
      </w:r>
    </w:p>
    <w:p w14:paraId="40A92CB2">
      <w:pPr>
        <w:ind w:firstLine="482"/>
        <w:outlineLvl w:val="1"/>
        <w:rPr>
          <w:rFonts w:hint="eastAsia"/>
          <w:b/>
          <w:color w:val="auto"/>
          <w:lang w:val="en-US" w:eastAsia="zh-CN"/>
        </w:rPr>
      </w:pPr>
      <w:bookmarkStart w:id="20" w:name="_Toc63785506"/>
      <w:r>
        <w:rPr>
          <w:rFonts w:hint="eastAsia"/>
          <w:b/>
          <w:color w:val="auto"/>
          <w:lang w:val="en-US" w:eastAsia="zh-CN"/>
        </w:rPr>
        <w:t>2、应急响应要求</w:t>
      </w:r>
      <w:bookmarkEnd w:id="20"/>
    </w:p>
    <w:p w14:paraId="66D3C4A2">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供应商对系统故障应能够实时响应，若系统发生故障，接到通知后</w:t>
      </w:r>
      <w:r>
        <w:rPr>
          <w:rFonts w:ascii="宋体" w:hAnsi="宋体"/>
          <w:color w:val="auto"/>
          <w:sz w:val="24"/>
          <w:szCs w:val="24"/>
        </w:rPr>
        <w:t>30分钟之内响应，专业工程师2小时内到达现场</w:t>
      </w:r>
      <w:r>
        <w:rPr>
          <w:rFonts w:hint="eastAsia" w:ascii="宋体" w:hAnsi="宋体"/>
          <w:color w:val="auto"/>
          <w:sz w:val="24"/>
          <w:szCs w:val="24"/>
        </w:rPr>
        <w:t>。特殊故障与客户沟通协商后，按照协商的方式制定解决方案并进行处理。</w:t>
      </w:r>
    </w:p>
    <w:p w14:paraId="0E691E63">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具体故障级别及对应的应急响应要求如下：</w:t>
      </w:r>
    </w:p>
    <w:p w14:paraId="1FC21C26">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一级故障：在</w:t>
      </w:r>
      <w:r>
        <w:rPr>
          <w:rFonts w:ascii="宋体" w:hAnsi="宋体"/>
          <w:color w:val="auto"/>
          <w:sz w:val="24"/>
          <w:szCs w:val="24"/>
        </w:rPr>
        <w:t>1小时内确诊，总故障解决时间不超过4小时。</w:t>
      </w:r>
    </w:p>
    <w:p w14:paraId="04780235">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二级故障：在</w:t>
      </w:r>
      <w:r>
        <w:rPr>
          <w:rFonts w:ascii="宋体" w:hAnsi="宋体"/>
          <w:color w:val="auto"/>
          <w:sz w:val="24"/>
          <w:szCs w:val="24"/>
        </w:rPr>
        <w:t>2小时内确诊，并在4小时内由专家到达现场确诊并解决，总故障解决时间不超过8小时；</w:t>
      </w:r>
    </w:p>
    <w:p w14:paraId="16D39A85">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三、四级故障：在</w:t>
      </w:r>
      <w:r>
        <w:rPr>
          <w:rFonts w:ascii="宋体" w:hAnsi="宋体"/>
          <w:color w:val="auto"/>
          <w:sz w:val="24"/>
          <w:szCs w:val="24"/>
        </w:rPr>
        <w:t>4小时内确诊故障，总故障解决时间不超过16小时。</w:t>
      </w:r>
    </w:p>
    <w:p w14:paraId="550F8409">
      <w:pPr>
        <w:ind w:firstLine="482"/>
        <w:outlineLvl w:val="1"/>
        <w:rPr>
          <w:rFonts w:hint="eastAsia"/>
          <w:b/>
          <w:color w:val="auto"/>
          <w:lang w:val="en-US" w:eastAsia="zh-CN"/>
        </w:rPr>
      </w:pPr>
      <w:bookmarkStart w:id="21" w:name="_Toc63785507"/>
      <w:r>
        <w:rPr>
          <w:rFonts w:hint="eastAsia"/>
          <w:b/>
          <w:color w:val="auto"/>
          <w:lang w:val="en-US" w:eastAsia="zh-CN"/>
        </w:rPr>
        <w:t>3、培训要求</w:t>
      </w:r>
      <w:bookmarkEnd w:id="21"/>
    </w:p>
    <w:p w14:paraId="0D1AF564">
      <w:pPr>
        <w:rPr>
          <w:color w:val="auto"/>
        </w:rPr>
      </w:pPr>
      <w:r>
        <w:rPr>
          <w:rFonts w:hint="eastAsia"/>
          <w:color w:val="auto"/>
        </w:rPr>
        <w:t>对系统使用单位提供业务操作培训，应提供详细培训方案。</w:t>
      </w:r>
    </w:p>
    <w:p w14:paraId="1EC4E490">
      <w:pPr>
        <w:rPr>
          <w:color w:val="auto"/>
        </w:rPr>
      </w:pPr>
      <w:r>
        <w:rPr>
          <w:rFonts w:hint="eastAsia"/>
          <w:color w:val="auto"/>
        </w:rPr>
        <w:t>(1)在</w:t>
      </w:r>
      <w:r>
        <w:rPr>
          <w:rFonts w:hint="eastAsia"/>
          <w:color w:val="auto"/>
          <w:lang w:eastAsia="zh-CN"/>
        </w:rPr>
        <w:t>一年</w:t>
      </w:r>
      <w:r>
        <w:rPr>
          <w:rFonts w:hint="eastAsia"/>
          <w:color w:val="auto"/>
        </w:rPr>
        <w:t>的质量保证期内，提供</w:t>
      </w:r>
      <w:r>
        <w:rPr>
          <w:rFonts w:hint="eastAsia"/>
          <w:color w:val="auto"/>
          <w:lang w:eastAsia="zh-CN"/>
        </w:rPr>
        <w:t>不少于</w:t>
      </w:r>
      <w:r>
        <w:rPr>
          <w:rFonts w:hint="eastAsia"/>
          <w:color w:val="auto"/>
        </w:rPr>
        <w:t>2次与项目相关的必要培训。</w:t>
      </w:r>
    </w:p>
    <w:p w14:paraId="708E7817">
      <w:pPr>
        <w:rPr>
          <w:color w:val="auto"/>
        </w:rPr>
      </w:pPr>
      <w:r>
        <w:rPr>
          <w:rFonts w:hint="eastAsia"/>
          <w:color w:val="auto"/>
        </w:rPr>
        <w:t>(2)供应商需要开展分层次的人员培训工作，每次培训后应对参加培训人员进行测试，评估培训成果。培训应具有培训教材、培训环境和高水平的培训讲师。</w:t>
      </w:r>
    </w:p>
    <w:p w14:paraId="620A5D57">
      <w:pPr>
        <w:rPr>
          <w:color w:val="auto"/>
        </w:rPr>
      </w:pPr>
      <w:r>
        <w:rPr>
          <w:rFonts w:hint="eastAsia"/>
          <w:color w:val="auto"/>
        </w:rPr>
        <w:t>(3)供应商应提供一般用户的基础操作培训和部门信息管理员的日常应用维护的培训，确保用户对象能够掌握对应的操作技能。</w:t>
      </w:r>
    </w:p>
    <w:p w14:paraId="5FA767BD">
      <w:pPr>
        <w:ind w:firstLine="482"/>
        <w:outlineLvl w:val="1"/>
        <w:rPr>
          <w:rFonts w:hint="eastAsia"/>
          <w:b/>
          <w:color w:val="auto"/>
          <w:lang w:val="en-US" w:eastAsia="zh-CN"/>
        </w:rPr>
      </w:pPr>
      <w:bookmarkStart w:id="22" w:name="_Toc63785508"/>
      <w:r>
        <w:rPr>
          <w:rFonts w:hint="eastAsia"/>
          <w:b/>
          <w:color w:val="auto"/>
          <w:lang w:val="en-US" w:eastAsia="zh-CN"/>
        </w:rPr>
        <w:t>4、验收要求</w:t>
      </w:r>
      <w:bookmarkEnd w:id="22"/>
    </w:p>
    <w:p w14:paraId="40B385FE">
      <w:pPr>
        <w:rPr>
          <w:color w:val="auto"/>
          <w:szCs w:val="21"/>
        </w:rPr>
      </w:pPr>
      <w:r>
        <w:rPr>
          <w:rFonts w:hint="eastAsia"/>
          <w:color w:val="auto"/>
          <w:szCs w:val="21"/>
        </w:rPr>
        <w:t>信息系统试运行期已经达到本项目约定的时间，经供应商确认信息系统具备正常运行条件，且信息系统通过运行测试，供应商应以书面形式通知</w:t>
      </w:r>
      <w:r>
        <w:rPr>
          <w:rFonts w:hint="eastAsia"/>
          <w:color w:val="auto"/>
          <w:szCs w:val="21"/>
          <w:lang w:eastAsia="zh-CN"/>
        </w:rPr>
        <w:t>采购人</w:t>
      </w:r>
      <w:r>
        <w:rPr>
          <w:rFonts w:hint="eastAsia"/>
          <w:color w:val="auto"/>
          <w:szCs w:val="21"/>
        </w:rPr>
        <w:t>信息系统已准备就绪等待终验。</w:t>
      </w:r>
      <w:r>
        <w:rPr>
          <w:rFonts w:hint="eastAsia"/>
          <w:color w:val="auto"/>
          <w:szCs w:val="21"/>
          <w:lang w:eastAsia="zh-CN"/>
        </w:rPr>
        <w:t>采购人</w:t>
      </w:r>
      <w:r>
        <w:rPr>
          <w:rFonts w:hint="eastAsia"/>
          <w:color w:val="auto"/>
          <w:szCs w:val="21"/>
        </w:rPr>
        <w:t>在收到终验通知后的15个工作日内发起组织专家验收会。</w:t>
      </w:r>
    </w:p>
    <w:p w14:paraId="63322CC7">
      <w:pPr>
        <w:rPr>
          <w:color w:val="auto"/>
          <w:szCs w:val="21"/>
        </w:rPr>
      </w:pPr>
      <w:r>
        <w:rPr>
          <w:rFonts w:hint="eastAsia"/>
          <w:color w:val="auto"/>
          <w:szCs w:val="21"/>
        </w:rPr>
        <w:t>（1）本项目采用现场运行、测试验收方式验收。供应商完成的开发项目应达到的质量标准应符合国家、地方及相关政府管理部门和行业与本项目有关的各项技术标准、规范要求，并满足采购人实际需求，前述标准、规范等不一致的，以要求高(严格)的为准。</w:t>
      </w:r>
    </w:p>
    <w:p w14:paraId="6E5CA134">
      <w:pPr>
        <w:rPr>
          <w:color w:val="auto"/>
          <w:szCs w:val="21"/>
        </w:rPr>
      </w:pPr>
      <w:r>
        <w:rPr>
          <w:rFonts w:hint="eastAsia"/>
          <w:color w:val="auto"/>
          <w:szCs w:val="21"/>
        </w:rPr>
        <w:t>（2）如果属于供应商原因致使本项目未能通过终验，供应商应当排除缺陷，直至本项目完全符合验收标准，由上述情形而产生的相关费用应由供应商自行承担。</w:t>
      </w:r>
    </w:p>
    <w:p w14:paraId="1C8C7772">
      <w:pPr>
        <w:rPr>
          <w:color w:val="auto"/>
          <w:szCs w:val="21"/>
        </w:rPr>
      </w:pPr>
      <w:r>
        <w:rPr>
          <w:rFonts w:hint="eastAsia"/>
          <w:color w:val="auto"/>
          <w:szCs w:val="21"/>
        </w:rPr>
        <w:t>（3）如果由于</w:t>
      </w:r>
      <w:r>
        <w:rPr>
          <w:rFonts w:hint="eastAsia"/>
          <w:color w:val="auto"/>
          <w:szCs w:val="21"/>
          <w:lang w:eastAsia="zh-CN"/>
        </w:rPr>
        <w:t>采购人</w:t>
      </w:r>
      <w:r>
        <w:rPr>
          <w:rFonts w:hint="eastAsia"/>
          <w:color w:val="auto"/>
          <w:szCs w:val="21"/>
        </w:rPr>
        <w:t>原因导致本项目在终验通过前出现故障或问题，供应商应及时配合排除该方面的故障或问题。</w:t>
      </w:r>
    </w:p>
    <w:p w14:paraId="789587D1">
      <w:pPr>
        <w:rPr>
          <w:color w:val="auto"/>
          <w:szCs w:val="21"/>
        </w:rPr>
      </w:pPr>
      <w:r>
        <w:rPr>
          <w:rFonts w:hint="eastAsia"/>
          <w:color w:val="auto"/>
          <w:szCs w:val="21"/>
        </w:rPr>
        <w:t>（4）如本项目连续3次验收未通过，</w:t>
      </w:r>
      <w:r>
        <w:rPr>
          <w:rFonts w:hint="eastAsia"/>
          <w:color w:val="auto"/>
          <w:szCs w:val="21"/>
          <w:lang w:eastAsia="zh-CN"/>
        </w:rPr>
        <w:t>采购人</w:t>
      </w:r>
      <w:r>
        <w:rPr>
          <w:rFonts w:hint="eastAsia"/>
          <w:color w:val="auto"/>
          <w:szCs w:val="21"/>
        </w:rPr>
        <w:t>有权解除项目</w:t>
      </w:r>
      <w:r>
        <w:rPr>
          <w:rFonts w:hint="eastAsia"/>
          <w:color w:val="auto"/>
          <w:szCs w:val="21"/>
          <w:lang w:eastAsia="zh-CN"/>
        </w:rPr>
        <w:t>合同</w:t>
      </w:r>
      <w:r>
        <w:rPr>
          <w:rFonts w:hint="eastAsia"/>
          <w:color w:val="auto"/>
          <w:szCs w:val="21"/>
        </w:rPr>
        <w:t>，并有权依照本项目约定的违约条款追究供应商的违约责任。</w:t>
      </w:r>
    </w:p>
    <w:p w14:paraId="637EDB98">
      <w:pPr>
        <w:ind w:firstLine="482"/>
        <w:outlineLvl w:val="1"/>
        <w:rPr>
          <w:rFonts w:hint="eastAsia"/>
          <w:b/>
          <w:color w:val="auto"/>
          <w:lang w:val="en-US" w:eastAsia="zh-CN"/>
        </w:rPr>
      </w:pPr>
      <w:bookmarkStart w:id="23" w:name="_Toc63785509"/>
      <w:r>
        <w:rPr>
          <w:rFonts w:hint="eastAsia"/>
          <w:b/>
          <w:color w:val="auto"/>
          <w:lang w:val="en-US" w:eastAsia="zh-CN"/>
        </w:rPr>
        <w:t>5、进度要求</w:t>
      </w:r>
      <w:bookmarkEnd w:id="23"/>
    </w:p>
    <w:p w14:paraId="573DF2BE">
      <w:pPr>
        <w:rPr>
          <w:color w:val="auto"/>
        </w:rPr>
      </w:pPr>
      <w:r>
        <w:rPr>
          <w:rFonts w:hint="eastAsia"/>
          <w:color w:val="auto"/>
        </w:rPr>
        <w:t>本项目总建设周期为自合同签订之日起7个月，分为3个阶段。</w:t>
      </w:r>
    </w:p>
    <w:p w14:paraId="247C61F7">
      <w:pPr>
        <w:rPr>
          <w:color w:val="auto"/>
        </w:rPr>
      </w:pPr>
      <w:r>
        <w:rPr>
          <w:rFonts w:hint="eastAsia"/>
          <w:color w:val="auto"/>
        </w:rPr>
        <w:t>第一阶段为1个月，完成项目启动和整体规划；</w:t>
      </w:r>
    </w:p>
    <w:p w14:paraId="62593A87">
      <w:pPr>
        <w:rPr>
          <w:color w:val="auto"/>
        </w:rPr>
      </w:pPr>
      <w:r>
        <w:rPr>
          <w:rFonts w:hint="eastAsia"/>
          <w:color w:val="auto"/>
        </w:rPr>
        <w:t>第二阶段为5个月，完成数据归集整合及上链工作、资源申请，各模块的功能设计和开发建设，系统联调、部署和试运行；</w:t>
      </w:r>
    </w:p>
    <w:p w14:paraId="48994E27">
      <w:pPr>
        <w:rPr>
          <w:color w:val="auto"/>
        </w:rPr>
      </w:pPr>
      <w:r>
        <w:rPr>
          <w:rFonts w:hint="eastAsia"/>
          <w:color w:val="auto"/>
        </w:rPr>
        <w:t>第三阶段为1个月，完成第三方项目测评、功能优化等工作，通过项目验收。</w:t>
      </w:r>
    </w:p>
    <w:p w14:paraId="07168A0E">
      <w:pPr>
        <w:ind w:firstLine="482"/>
        <w:outlineLvl w:val="1"/>
        <w:rPr>
          <w:rFonts w:hint="eastAsia"/>
          <w:b/>
          <w:color w:val="auto"/>
          <w:lang w:val="en-US" w:eastAsia="zh-CN"/>
        </w:rPr>
      </w:pPr>
      <w:bookmarkStart w:id="24" w:name="_Toc63785510"/>
      <w:r>
        <w:rPr>
          <w:rFonts w:hint="eastAsia"/>
          <w:b/>
          <w:color w:val="auto"/>
          <w:lang w:val="en-US" w:eastAsia="zh-CN"/>
        </w:rPr>
        <w:t>6、项目团队及驻场人员要求</w:t>
      </w:r>
      <w:bookmarkEnd w:id="24"/>
    </w:p>
    <w:p w14:paraId="3CC18808">
      <w:pPr>
        <w:rPr>
          <w:color w:val="auto"/>
        </w:rPr>
      </w:pPr>
      <w:r>
        <w:rPr>
          <w:color w:val="auto"/>
        </w:rPr>
        <w:t>1）投标人须具有稳定的在职技术保障力量，能够提供及时的技术支援或服务，应针对本项目提供不少于</w:t>
      </w:r>
      <w:r>
        <w:rPr>
          <w:rFonts w:hint="eastAsia"/>
          <w:color w:val="auto"/>
        </w:rPr>
        <w:t>20</w:t>
      </w:r>
      <w:r>
        <w:rPr>
          <w:color w:val="auto"/>
        </w:rPr>
        <w:t>人的项目服务团队（包括项目经理、</w:t>
      </w:r>
      <w:r>
        <w:rPr>
          <w:rFonts w:hint="eastAsia"/>
          <w:color w:val="auto"/>
        </w:rPr>
        <w:t>交付经理、技术负责人</w:t>
      </w:r>
      <w:r>
        <w:rPr>
          <w:color w:val="auto"/>
        </w:rPr>
        <w:t>、研发等），投标单位的相关服务人员需具备相应的服务能力，需提供相关证明。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840"/>
        <w:gridCol w:w="850"/>
        <w:gridCol w:w="3016"/>
        <w:gridCol w:w="1180"/>
      </w:tblGrid>
      <w:tr w14:paraId="277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5A863F76">
            <w:pPr>
              <w:widowControl/>
              <w:spacing w:line="240" w:lineRule="auto"/>
              <w:ind w:firstLine="0" w:firstLineChars="0"/>
              <w:jc w:val="center"/>
              <w:rPr>
                <w:b/>
                <w:color w:val="auto"/>
              </w:rPr>
            </w:pPr>
            <w:r>
              <w:rPr>
                <w:rFonts w:hint="eastAsia"/>
                <w:b/>
                <w:color w:val="auto"/>
              </w:rPr>
              <w:t>角色</w:t>
            </w:r>
          </w:p>
        </w:tc>
        <w:tc>
          <w:tcPr>
            <w:tcW w:w="1840" w:type="dxa"/>
            <w:noWrap/>
            <w:vAlign w:val="center"/>
          </w:tcPr>
          <w:p w14:paraId="6E996195">
            <w:pPr>
              <w:widowControl/>
              <w:spacing w:line="240" w:lineRule="auto"/>
              <w:ind w:firstLine="0" w:firstLineChars="0"/>
              <w:jc w:val="center"/>
              <w:rPr>
                <w:b/>
                <w:color w:val="auto"/>
              </w:rPr>
            </w:pPr>
            <w:r>
              <w:rPr>
                <w:rFonts w:hint="eastAsia"/>
                <w:b/>
                <w:color w:val="auto"/>
              </w:rPr>
              <w:t>主要职责</w:t>
            </w:r>
          </w:p>
        </w:tc>
        <w:tc>
          <w:tcPr>
            <w:tcW w:w="850" w:type="dxa"/>
            <w:noWrap/>
            <w:vAlign w:val="center"/>
          </w:tcPr>
          <w:p w14:paraId="4C1A0F07">
            <w:pPr>
              <w:widowControl/>
              <w:spacing w:line="240" w:lineRule="auto"/>
              <w:ind w:firstLine="0" w:firstLineChars="0"/>
              <w:jc w:val="center"/>
              <w:rPr>
                <w:b/>
                <w:color w:val="auto"/>
              </w:rPr>
            </w:pPr>
            <w:r>
              <w:rPr>
                <w:rFonts w:hint="eastAsia"/>
                <w:b/>
                <w:color w:val="auto"/>
              </w:rPr>
              <w:t>人员数量</w:t>
            </w:r>
          </w:p>
        </w:tc>
        <w:tc>
          <w:tcPr>
            <w:tcW w:w="3016" w:type="dxa"/>
            <w:noWrap w:val="0"/>
            <w:vAlign w:val="center"/>
          </w:tcPr>
          <w:p w14:paraId="28D78A1B">
            <w:pPr>
              <w:widowControl/>
              <w:spacing w:line="240" w:lineRule="auto"/>
              <w:ind w:firstLine="0" w:firstLineChars="0"/>
              <w:jc w:val="center"/>
              <w:rPr>
                <w:b/>
                <w:color w:val="auto"/>
              </w:rPr>
            </w:pPr>
            <w:r>
              <w:rPr>
                <w:rFonts w:hint="eastAsia"/>
                <w:b/>
                <w:color w:val="auto"/>
              </w:rPr>
              <w:t>人员要求</w:t>
            </w:r>
          </w:p>
        </w:tc>
        <w:tc>
          <w:tcPr>
            <w:tcW w:w="1180" w:type="dxa"/>
            <w:noWrap/>
            <w:vAlign w:val="center"/>
          </w:tcPr>
          <w:p w14:paraId="06A11F81">
            <w:pPr>
              <w:widowControl/>
              <w:spacing w:line="240" w:lineRule="auto"/>
              <w:ind w:firstLine="0" w:firstLineChars="0"/>
              <w:jc w:val="center"/>
              <w:rPr>
                <w:b/>
                <w:color w:val="auto"/>
              </w:rPr>
            </w:pPr>
            <w:r>
              <w:rPr>
                <w:rFonts w:hint="eastAsia"/>
                <w:b/>
                <w:color w:val="auto"/>
              </w:rPr>
              <w:t>驻场要求</w:t>
            </w:r>
          </w:p>
        </w:tc>
      </w:tr>
      <w:tr w14:paraId="0CE3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2F5493C1">
            <w:pPr>
              <w:widowControl/>
              <w:spacing w:line="240" w:lineRule="auto"/>
              <w:ind w:firstLine="0" w:firstLineChars="0"/>
              <w:jc w:val="center"/>
              <w:rPr>
                <w:color w:val="auto"/>
              </w:rPr>
            </w:pPr>
            <w:r>
              <w:rPr>
                <w:rFonts w:hint="eastAsia"/>
                <w:color w:val="auto"/>
              </w:rPr>
              <w:t>项目经理</w:t>
            </w:r>
          </w:p>
        </w:tc>
        <w:tc>
          <w:tcPr>
            <w:tcW w:w="1840" w:type="dxa"/>
            <w:noWrap w:val="0"/>
            <w:vAlign w:val="center"/>
          </w:tcPr>
          <w:p w14:paraId="7D697872">
            <w:pPr>
              <w:widowControl/>
              <w:spacing w:line="240" w:lineRule="auto"/>
              <w:ind w:firstLine="0" w:firstLineChars="0"/>
              <w:jc w:val="center"/>
              <w:rPr>
                <w:color w:val="auto"/>
              </w:rPr>
            </w:pPr>
            <w:r>
              <w:rPr>
                <w:rFonts w:hint="eastAsia"/>
                <w:color w:val="auto"/>
              </w:rPr>
              <w:t>负责项目质量和进度控制</w:t>
            </w:r>
          </w:p>
        </w:tc>
        <w:tc>
          <w:tcPr>
            <w:tcW w:w="850" w:type="dxa"/>
            <w:noWrap/>
            <w:vAlign w:val="center"/>
          </w:tcPr>
          <w:p w14:paraId="4894B1E6">
            <w:pPr>
              <w:widowControl/>
              <w:spacing w:line="240" w:lineRule="auto"/>
              <w:ind w:firstLine="0" w:firstLineChars="0"/>
              <w:jc w:val="center"/>
              <w:rPr>
                <w:color w:val="auto"/>
              </w:rPr>
            </w:pPr>
            <w:r>
              <w:rPr>
                <w:rFonts w:hint="eastAsia"/>
                <w:color w:val="auto"/>
              </w:rPr>
              <w:t>1人</w:t>
            </w:r>
          </w:p>
        </w:tc>
        <w:tc>
          <w:tcPr>
            <w:tcW w:w="3016" w:type="dxa"/>
            <w:noWrap w:val="0"/>
            <w:vAlign w:val="center"/>
          </w:tcPr>
          <w:p w14:paraId="42B23D5E">
            <w:pPr>
              <w:widowControl/>
              <w:spacing w:line="240" w:lineRule="auto"/>
              <w:ind w:firstLine="0" w:firstLineChars="0"/>
              <w:jc w:val="left"/>
              <w:rPr>
                <w:color w:val="auto"/>
              </w:rPr>
            </w:pPr>
            <w:r>
              <w:rPr>
                <w:rFonts w:hint="eastAsia"/>
                <w:color w:val="auto"/>
              </w:rPr>
              <w:t>本科及以上学历，要求项目经理需具备计算机技术与软件专业技术资格-信息系统项目管理师资质证书、</w:t>
            </w:r>
            <w:r>
              <w:rPr>
                <w:rFonts w:hint="eastAsia" w:cs="宋体"/>
                <w:color w:val="auto"/>
                <w:kern w:val="0"/>
              </w:rPr>
              <w:t>人工智能</w:t>
            </w:r>
            <w:r>
              <w:rPr>
                <w:rFonts w:hint="eastAsia" w:cs="宋体"/>
                <w:color w:val="auto"/>
                <w:kern w:val="0"/>
                <w:lang w:eastAsia="zh-CN"/>
              </w:rPr>
              <w:t>相关专业</w:t>
            </w:r>
            <w:r>
              <w:rPr>
                <w:rFonts w:hint="eastAsia" w:cs="宋体"/>
                <w:color w:val="auto"/>
                <w:kern w:val="0"/>
              </w:rPr>
              <w:t>中级</w:t>
            </w:r>
            <w:r>
              <w:rPr>
                <w:rFonts w:hint="eastAsia" w:cs="宋体"/>
                <w:color w:val="auto"/>
                <w:kern w:val="0"/>
                <w:lang w:eastAsia="zh-CN"/>
              </w:rPr>
              <w:t>工程师</w:t>
            </w:r>
            <w:r>
              <w:rPr>
                <w:rFonts w:hint="eastAsia" w:cs="宋体"/>
                <w:color w:val="auto"/>
                <w:kern w:val="0"/>
              </w:rPr>
              <w:t>及以上职称证书</w:t>
            </w:r>
            <w:r>
              <w:rPr>
                <w:rFonts w:hint="eastAsia"/>
                <w:color w:val="auto"/>
              </w:rPr>
              <w:t>、</w:t>
            </w:r>
            <w:r>
              <w:rPr>
                <w:rFonts w:hint="eastAsia"/>
                <w:color w:val="auto"/>
                <w:lang w:eastAsia="zh-CN"/>
              </w:rPr>
              <w:t>相关</w:t>
            </w:r>
            <w:r>
              <w:rPr>
                <w:rFonts w:hint="eastAsia"/>
                <w:color w:val="auto"/>
              </w:rPr>
              <w:t>信息安全证书。</w:t>
            </w:r>
          </w:p>
        </w:tc>
        <w:tc>
          <w:tcPr>
            <w:tcW w:w="1180" w:type="dxa"/>
            <w:noWrap/>
            <w:vAlign w:val="center"/>
          </w:tcPr>
          <w:p w14:paraId="6DAE5A4A">
            <w:pPr>
              <w:widowControl/>
              <w:spacing w:line="240" w:lineRule="auto"/>
              <w:ind w:firstLine="0" w:firstLineChars="0"/>
              <w:jc w:val="center"/>
              <w:rPr>
                <w:color w:val="auto"/>
              </w:rPr>
            </w:pPr>
            <w:r>
              <w:rPr>
                <w:rFonts w:hint="eastAsia"/>
                <w:color w:val="auto"/>
              </w:rPr>
              <w:t>不驻场</w:t>
            </w:r>
          </w:p>
        </w:tc>
      </w:tr>
      <w:tr w14:paraId="35FE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65356A0D">
            <w:pPr>
              <w:widowControl/>
              <w:spacing w:line="240" w:lineRule="auto"/>
              <w:ind w:firstLine="0" w:firstLineChars="0"/>
              <w:jc w:val="center"/>
              <w:rPr>
                <w:color w:val="auto"/>
              </w:rPr>
            </w:pPr>
            <w:r>
              <w:rPr>
                <w:rFonts w:hint="eastAsia"/>
                <w:color w:val="auto"/>
              </w:rPr>
              <w:t>交付经理</w:t>
            </w:r>
          </w:p>
        </w:tc>
        <w:tc>
          <w:tcPr>
            <w:tcW w:w="1840" w:type="dxa"/>
            <w:noWrap w:val="0"/>
            <w:vAlign w:val="center"/>
          </w:tcPr>
          <w:p w14:paraId="53B02F94">
            <w:pPr>
              <w:widowControl/>
              <w:spacing w:line="240" w:lineRule="auto"/>
              <w:ind w:firstLine="0" w:firstLineChars="0"/>
              <w:jc w:val="center"/>
              <w:rPr>
                <w:color w:val="auto"/>
              </w:rPr>
            </w:pPr>
            <w:r>
              <w:rPr>
                <w:rFonts w:hint="eastAsia"/>
                <w:color w:val="auto"/>
              </w:rPr>
              <w:t>负责跟进项目各阶段交付</w:t>
            </w:r>
          </w:p>
        </w:tc>
        <w:tc>
          <w:tcPr>
            <w:tcW w:w="850" w:type="dxa"/>
            <w:noWrap/>
            <w:vAlign w:val="center"/>
          </w:tcPr>
          <w:p w14:paraId="2E0C39DF">
            <w:pPr>
              <w:widowControl/>
              <w:spacing w:line="240" w:lineRule="auto"/>
              <w:ind w:firstLine="0" w:firstLineChars="0"/>
              <w:jc w:val="center"/>
              <w:rPr>
                <w:color w:val="auto"/>
              </w:rPr>
            </w:pPr>
            <w:r>
              <w:rPr>
                <w:rFonts w:hint="eastAsia"/>
                <w:color w:val="auto"/>
              </w:rPr>
              <w:t>1人</w:t>
            </w:r>
          </w:p>
        </w:tc>
        <w:tc>
          <w:tcPr>
            <w:tcW w:w="3016" w:type="dxa"/>
            <w:noWrap w:val="0"/>
            <w:vAlign w:val="center"/>
          </w:tcPr>
          <w:p w14:paraId="50ECC239">
            <w:pPr>
              <w:widowControl/>
              <w:spacing w:line="240" w:lineRule="auto"/>
              <w:ind w:firstLine="0" w:firstLineChars="0"/>
              <w:jc w:val="left"/>
              <w:rPr>
                <w:color w:val="auto"/>
              </w:rPr>
            </w:pPr>
            <w:r>
              <w:rPr>
                <w:rFonts w:hint="eastAsia"/>
                <w:color w:val="auto"/>
              </w:rPr>
              <w:t>本科及以上学历，要求交付经理具备</w:t>
            </w:r>
            <w:r>
              <w:rPr>
                <w:rFonts w:hint="eastAsia" w:ascii="宋体" w:hAnsi="宋体" w:eastAsia="宋体" w:cs="宋体"/>
                <w:i w:val="0"/>
                <w:iCs w:val="0"/>
                <w:color w:val="auto"/>
                <w:kern w:val="0"/>
                <w:sz w:val="24"/>
                <w:szCs w:val="24"/>
                <w:u w:val="none"/>
                <w:lang w:val="en-US" w:eastAsia="zh-CN" w:bidi="ar"/>
              </w:rPr>
              <w:t>计算机技术与软件专业技术资格</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系统集成项目管理工程师</w:t>
            </w:r>
            <w:r>
              <w:rPr>
                <w:rFonts w:hint="eastAsia"/>
                <w:color w:val="auto"/>
              </w:rPr>
              <w:t>资质证书。</w:t>
            </w:r>
          </w:p>
        </w:tc>
        <w:tc>
          <w:tcPr>
            <w:tcW w:w="1180" w:type="dxa"/>
            <w:noWrap/>
            <w:vAlign w:val="center"/>
          </w:tcPr>
          <w:p w14:paraId="35BC117A">
            <w:pPr>
              <w:widowControl/>
              <w:spacing w:line="240" w:lineRule="auto"/>
              <w:ind w:firstLine="0" w:firstLineChars="0"/>
              <w:jc w:val="center"/>
              <w:rPr>
                <w:color w:val="auto"/>
              </w:rPr>
            </w:pPr>
            <w:r>
              <w:rPr>
                <w:rFonts w:hint="eastAsia"/>
                <w:color w:val="auto"/>
              </w:rPr>
              <w:t>不驻场</w:t>
            </w:r>
          </w:p>
        </w:tc>
      </w:tr>
      <w:tr w14:paraId="6FFA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171096AA">
            <w:pPr>
              <w:widowControl/>
              <w:spacing w:line="240" w:lineRule="auto"/>
              <w:ind w:firstLine="0" w:firstLineChars="0"/>
              <w:jc w:val="center"/>
              <w:rPr>
                <w:color w:val="auto"/>
              </w:rPr>
            </w:pPr>
            <w:r>
              <w:rPr>
                <w:rFonts w:hint="eastAsia"/>
                <w:color w:val="auto"/>
              </w:rPr>
              <w:t>技术负责人</w:t>
            </w:r>
          </w:p>
        </w:tc>
        <w:tc>
          <w:tcPr>
            <w:tcW w:w="1840" w:type="dxa"/>
            <w:noWrap w:val="0"/>
            <w:vAlign w:val="center"/>
          </w:tcPr>
          <w:p w14:paraId="3D637C86">
            <w:pPr>
              <w:widowControl/>
              <w:spacing w:line="240" w:lineRule="auto"/>
              <w:ind w:firstLine="0" w:firstLineChars="0"/>
              <w:jc w:val="center"/>
              <w:rPr>
                <w:color w:val="auto"/>
              </w:rPr>
            </w:pPr>
            <w:r>
              <w:rPr>
                <w:rFonts w:hint="eastAsia"/>
                <w:color w:val="auto"/>
              </w:rPr>
              <w:t>负责项目技术评估与设计</w:t>
            </w:r>
          </w:p>
        </w:tc>
        <w:tc>
          <w:tcPr>
            <w:tcW w:w="850" w:type="dxa"/>
            <w:noWrap/>
            <w:vAlign w:val="center"/>
          </w:tcPr>
          <w:p w14:paraId="73D03A25">
            <w:pPr>
              <w:widowControl/>
              <w:spacing w:line="240" w:lineRule="auto"/>
              <w:ind w:firstLine="0" w:firstLineChars="0"/>
              <w:jc w:val="center"/>
              <w:rPr>
                <w:color w:val="auto"/>
              </w:rPr>
            </w:pPr>
            <w:r>
              <w:rPr>
                <w:rFonts w:hint="eastAsia"/>
                <w:color w:val="auto"/>
              </w:rPr>
              <w:t>1人</w:t>
            </w:r>
          </w:p>
        </w:tc>
        <w:tc>
          <w:tcPr>
            <w:tcW w:w="3016" w:type="dxa"/>
            <w:noWrap w:val="0"/>
            <w:vAlign w:val="center"/>
          </w:tcPr>
          <w:p w14:paraId="0F9C1AA9">
            <w:pPr>
              <w:widowControl/>
              <w:spacing w:line="240" w:lineRule="auto"/>
              <w:ind w:firstLine="0" w:firstLineChars="0"/>
              <w:jc w:val="left"/>
              <w:rPr>
                <w:color w:val="auto"/>
              </w:rPr>
            </w:pPr>
            <w:r>
              <w:rPr>
                <w:rFonts w:hint="eastAsia"/>
                <w:color w:val="auto"/>
              </w:rPr>
              <w:t>本科及以上学历，要求技术负责人具备</w:t>
            </w:r>
            <w:r>
              <w:rPr>
                <w:rFonts w:hint="eastAsia"/>
                <w:color w:val="auto"/>
                <w:lang w:val="en-US" w:eastAsia="zh-CN"/>
              </w:rPr>
              <w:t>计算机类</w:t>
            </w:r>
            <w:r>
              <w:rPr>
                <w:rFonts w:hint="eastAsia"/>
                <w:color w:val="auto"/>
              </w:rPr>
              <w:t>高级工程师职称。</w:t>
            </w:r>
          </w:p>
        </w:tc>
        <w:tc>
          <w:tcPr>
            <w:tcW w:w="1180" w:type="dxa"/>
            <w:noWrap/>
            <w:vAlign w:val="center"/>
          </w:tcPr>
          <w:p w14:paraId="3083C2C3">
            <w:pPr>
              <w:widowControl/>
              <w:spacing w:line="240" w:lineRule="auto"/>
              <w:ind w:firstLine="0" w:firstLineChars="0"/>
              <w:jc w:val="center"/>
              <w:rPr>
                <w:color w:val="auto"/>
              </w:rPr>
            </w:pPr>
            <w:r>
              <w:rPr>
                <w:rFonts w:hint="eastAsia"/>
                <w:color w:val="auto"/>
              </w:rPr>
              <w:t>不驻场</w:t>
            </w:r>
          </w:p>
        </w:tc>
      </w:tr>
      <w:tr w14:paraId="56D1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2780A961">
            <w:pPr>
              <w:widowControl/>
              <w:spacing w:line="240" w:lineRule="auto"/>
              <w:ind w:firstLine="0" w:firstLineChars="0"/>
              <w:jc w:val="center"/>
              <w:rPr>
                <w:color w:val="auto"/>
              </w:rPr>
            </w:pPr>
            <w:r>
              <w:rPr>
                <w:rFonts w:hint="eastAsia"/>
                <w:color w:val="auto"/>
              </w:rPr>
              <w:t>架构设计人员</w:t>
            </w:r>
          </w:p>
        </w:tc>
        <w:tc>
          <w:tcPr>
            <w:tcW w:w="1840" w:type="dxa"/>
            <w:noWrap/>
            <w:vAlign w:val="center"/>
          </w:tcPr>
          <w:p w14:paraId="4EFB3463">
            <w:pPr>
              <w:widowControl/>
              <w:spacing w:line="240" w:lineRule="auto"/>
              <w:ind w:firstLine="0" w:firstLineChars="0"/>
              <w:jc w:val="center"/>
              <w:rPr>
                <w:color w:val="auto"/>
              </w:rPr>
            </w:pPr>
            <w:r>
              <w:rPr>
                <w:rFonts w:hint="eastAsia"/>
                <w:color w:val="auto"/>
              </w:rPr>
              <w:t>负责整体系统架构设计</w:t>
            </w:r>
          </w:p>
        </w:tc>
        <w:tc>
          <w:tcPr>
            <w:tcW w:w="850" w:type="dxa"/>
            <w:noWrap/>
            <w:vAlign w:val="center"/>
          </w:tcPr>
          <w:p w14:paraId="2E257906">
            <w:pPr>
              <w:widowControl/>
              <w:spacing w:line="240" w:lineRule="auto"/>
              <w:ind w:firstLine="0" w:firstLineChars="0"/>
              <w:jc w:val="center"/>
              <w:rPr>
                <w:color w:val="auto"/>
              </w:rPr>
            </w:pPr>
            <w:r>
              <w:rPr>
                <w:rFonts w:hint="eastAsia"/>
                <w:color w:val="auto"/>
              </w:rPr>
              <w:t>2人</w:t>
            </w:r>
          </w:p>
        </w:tc>
        <w:tc>
          <w:tcPr>
            <w:tcW w:w="3016" w:type="dxa"/>
            <w:noWrap w:val="0"/>
            <w:vAlign w:val="center"/>
          </w:tcPr>
          <w:p w14:paraId="2FB77AB4">
            <w:pPr>
              <w:widowControl/>
              <w:spacing w:line="240" w:lineRule="auto"/>
              <w:ind w:firstLine="0" w:firstLineChars="0"/>
              <w:jc w:val="left"/>
              <w:rPr>
                <w:color w:val="auto"/>
              </w:rPr>
            </w:pPr>
            <w:r>
              <w:rPr>
                <w:rFonts w:hint="eastAsia"/>
                <w:color w:val="auto"/>
              </w:rPr>
              <w:t>本科及以上学历，要求架构设计人员具备计算机技术与软件专业技术资格-系统架构设计师证书。</w:t>
            </w:r>
          </w:p>
        </w:tc>
        <w:tc>
          <w:tcPr>
            <w:tcW w:w="1180" w:type="dxa"/>
            <w:noWrap/>
            <w:vAlign w:val="center"/>
          </w:tcPr>
          <w:p w14:paraId="7FC4C6F2">
            <w:pPr>
              <w:widowControl/>
              <w:spacing w:line="240" w:lineRule="auto"/>
              <w:ind w:firstLine="0" w:firstLineChars="0"/>
              <w:jc w:val="center"/>
              <w:rPr>
                <w:color w:val="auto"/>
              </w:rPr>
            </w:pPr>
            <w:r>
              <w:rPr>
                <w:rFonts w:hint="eastAsia"/>
                <w:color w:val="auto"/>
              </w:rPr>
              <w:t>不驻场</w:t>
            </w:r>
          </w:p>
        </w:tc>
      </w:tr>
      <w:tr w14:paraId="6DD7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5F35ECC2">
            <w:pPr>
              <w:widowControl/>
              <w:spacing w:line="240" w:lineRule="auto"/>
              <w:ind w:firstLine="0" w:firstLineChars="0"/>
              <w:jc w:val="center"/>
              <w:rPr>
                <w:color w:val="auto"/>
              </w:rPr>
            </w:pPr>
            <w:r>
              <w:rPr>
                <w:rFonts w:hint="eastAsia"/>
                <w:color w:val="auto"/>
              </w:rPr>
              <w:t>软件开发人员</w:t>
            </w:r>
          </w:p>
        </w:tc>
        <w:tc>
          <w:tcPr>
            <w:tcW w:w="1840" w:type="dxa"/>
            <w:noWrap/>
            <w:vAlign w:val="center"/>
          </w:tcPr>
          <w:p w14:paraId="2E0743DC">
            <w:pPr>
              <w:widowControl/>
              <w:spacing w:line="240" w:lineRule="auto"/>
              <w:ind w:firstLine="0" w:firstLineChars="0"/>
              <w:jc w:val="center"/>
              <w:rPr>
                <w:color w:val="auto"/>
              </w:rPr>
            </w:pPr>
            <w:r>
              <w:rPr>
                <w:rFonts w:hint="eastAsia"/>
                <w:color w:val="auto"/>
              </w:rPr>
              <w:t>负责软件功能模块的开发</w:t>
            </w:r>
          </w:p>
        </w:tc>
        <w:tc>
          <w:tcPr>
            <w:tcW w:w="850" w:type="dxa"/>
            <w:noWrap/>
            <w:vAlign w:val="center"/>
          </w:tcPr>
          <w:p w14:paraId="32E1B309">
            <w:pPr>
              <w:widowControl/>
              <w:spacing w:line="240" w:lineRule="auto"/>
              <w:ind w:firstLine="0" w:firstLineChars="0"/>
              <w:jc w:val="center"/>
              <w:rPr>
                <w:color w:val="auto"/>
              </w:rPr>
            </w:pPr>
            <w:r>
              <w:rPr>
                <w:rFonts w:hint="eastAsia"/>
                <w:color w:val="auto"/>
                <w:lang w:val="en-US" w:eastAsia="zh-CN"/>
              </w:rPr>
              <w:t>11</w:t>
            </w:r>
            <w:r>
              <w:rPr>
                <w:rFonts w:hint="eastAsia"/>
                <w:color w:val="auto"/>
              </w:rPr>
              <w:t>人</w:t>
            </w:r>
          </w:p>
        </w:tc>
        <w:tc>
          <w:tcPr>
            <w:tcW w:w="3016" w:type="dxa"/>
            <w:noWrap w:val="0"/>
            <w:vAlign w:val="center"/>
          </w:tcPr>
          <w:p w14:paraId="5D043FAB">
            <w:pPr>
              <w:widowControl/>
              <w:spacing w:line="240" w:lineRule="auto"/>
              <w:ind w:firstLine="0" w:firstLineChars="0"/>
              <w:jc w:val="left"/>
              <w:rPr>
                <w:color w:val="auto"/>
              </w:rPr>
            </w:pPr>
            <w:r>
              <w:rPr>
                <w:rFonts w:hint="eastAsia"/>
                <w:color w:val="auto"/>
              </w:rPr>
              <w:t>本科及以上学历，要求软件</w:t>
            </w:r>
            <w:r>
              <w:rPr>
                <w:rFonts w:hint="eastAsia" w:ascii="宋体" w:hAnsi="宋体" w:eastAsia="宋体"/>
                <w:color w:val="auto"/>
              </w:rPr>
              <w:t>开发人员每个人至少具备1个以下资质：①</w:t>
            </w:r>
            <w:r>
              <w:rPr>
                <w:rFonts w:hint="eastAsia"/>
                <w:color w:val="auto"/>
                <w:lang w:eastAsia="zh-CN"/>
              </w:rPr>
              <w:t>信息化</w:t>
            </w:r>
            <w:r>
              <w:rPr>
                <w:rFonts w:hint="eastAsia"/>
                <w:color w:val="auto"/>
                <w:lang w:val="en-US" w:eastAsia="zh-CN"/>
              </w:rPr>
              <w:t xml:space="preserve">技术相关的中级工程师及以上职称 </w:t>
            </w:r>
            <w:r>
              <w:rPr>
                <w:rFonts w:hint="eastAsia" w:ascii="宋体" w:hAnsi="宋体" w:eastAsia="宋体"/>
                <w:color w:val="auto"/>
              </w:rPr>
              <w:t>②计算机技术与软件专业技术资格-软件设计师</w:t>
            </w:r>
            <w:r>
              <w:rPr>
                <w:rFonts w:hint="eastAsia"/>
                <w:color w:val="auto"/>
                <w:lang w:val="en-US" w:eastAsia="zh-CN"/>
              </w:rPr>
              <w:t xml:space="preserve"> </w:t>
            </w:r>
          </w:p>
        </w:tc>
        <w:tc>
          <w:tcPr>
            <w:tcW w:w="1180" w:type="dxa"/>
            <w:noWrap/>
            <w:vAlign w:val="center"/>
          </w:tcPr>
          <w:p w14:paraId="129B98E6">
            <w:pPr>
              <w:widowControl/>
              <w:spacing w:line="240" w:lineRule="auto"/>
              <w:ind w:firstLine="0" w:firstLineChars="0"/>
              <w:jc w:val="center"/>
              <w:rPr>
                <w:color w:val="auto"/>
              </w:rPr>
            </w:pPr>
            <w:r>
              <w:rPr>
                <w:rFonts w:hint="eastAsia"/>
                <w:color w:val="auto"/>
              </w:rPr>
              <w:t>不驻场</w:t>
            </w:r>
          </w:p>
        </w:tc>
      </w:tr>
      <w:tr w14:paraId="3900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2BF5E64B">
            <w:pPr>
              <w:widowControl/>
              <w:spacing w:line="240" w:lineRule="auto"/>
              <w:ind w:firstLine="0" w:firstLineChars="0"/>
              <w:jc w:val="center"/>
              <w:rPr>
                <w:color w:val="auto"/>
              </w:rPr>
            </w:pPr>
            <w:r>
              <w:rPr>
                <w:rFonts w:hint="eastAsia"/>
                <w:color w:val="auto"/>
              </w:rPr>
              <w:t>信息安全人员</w:t>
            </w:r>
          </w:p>
        </w:tc>
        <w:tc>
          <w:tcPr>
            <w:tcW w:w="1840" w:type="dxa"/>
            <w:noWrap/>
            <w:vAlign w:val="center"/>
          </w:tcPr>
          <w:p w14:paraId="1B203D3E">
            <w:pPr>
              <w:widowControl/>
              <w:spacing w:line="240" w:lineRule="auto"/>
              <w:ind w:firstLine="0" w:firstLineChars="0"/>
              <w:jc w:val="center"/>
              <w:rPr>
                <w:color w:val="auto"/>
              </w:rPr>
            </w:pPr>
            <w:r>
              <w:rPr>
                <w:rFonts w:hint="eastAsia"/>
                <w:color w:val="auto"/>
              </w:rPr>
              <w:t>推动信息安全体系建设</w:t>
            </w:r>
          </w:p>
        </w:tc>
        <w:tc>
          <w:tcPr>
            <w:tcW w:w="850" w:type="dxa"/>
            <w:noWrap/>
            <w:vAlign w:val="center"/>
          </w:tcPr>
          <w:p w14:paraId="1AFC7AB1">
            <w:pPr>
              <w:widowControl/>
              <w:spacing w:line="240" w:lineRule="auto"/>
              <w:ind w:firstLine="0" w:firstLineChars="0"/>
              <w:jc w:val="center"/>
              <w:rPr>
                <w:color w:val="auto"/>
              </w:rPr>
            </w:pPr>
            <w:r>
              <w:rPr>
                <w:rFonts w:hint="eastAsia"/>
                <w:color w:val="auto"/>
              </w:rPr>
              <w:t>2人</w:t>
            </w:r>
          </w:p>
        </w:tc>
        <w:tc>
          <w:tcPr>
            <w:tcW w:w="3016" w:type="dxa"/>
            <w:noWrap w:val="0"/>
            <w:vAlign w:val="center"/>
          </w:tcPr>
          <w:p w14:paraId="53BD681C">
            <w:pPr>
              <w:widowControl/>
              <w:spacing w:line="240" w:lineRule="auto"/>
              <w:ind w:firstLine="0" w:firstLineChars="0"/>
              <w:jc w:val="left"/>
              <w:rPr>
                <w:color w:val="auto"/>
              </w:rPr>
            </w:pPr>
            <w:r>
              <w:rPr>
                <w:rFonts w:hint="eastAsia"/>
                <w:color w:val="auto"/>
              </w:rPr>
              <w:t>本科及以上学历，要求</w:t>
            </w:r>
            <w:r>
              <w:rPr>
                <w:rFonts w:hint="eastAsia"/>
                <w:color w:val="auto"/>
                <w:lang w:val="en-US" w:eastAsia="zh-CN"/>
              </w:rPr>
              <w:t>信息安全</w:t>
            </w:r>
            <w:r>
              <w:rPr>
                <w:rFonts w:hint="eastAsia"/>
                <w:color w:val="auto"/>
              </w:rPr>
              <w:t>人员具备计算机技术与软件专业技术资格-信息安全工程师资质证书</w:t>
            </w:r>
          </w:p>
        </w:tc>
        <w:tc>
          <w:tcPr>
            <w:tcW w:w="1180" w:type="dxa"/>
            <w:noWrap/>
            <w:vAlign w:val="center"/>
          </w:tcPr>
          <w:p w14:paraId="56AC5539">
            <w:pPr>
              <w:widowControl/>
              <w:spacing w:line="240" w:lineRule="auto"/>
              <w:ind w:firstLine="0" w:firstLineChars="0"/>
              <w:jc w:val="center"/>
              <w:rPr>
                <w:color w:val="auto"/>
              </w:rPr>
            </w:pPr>
            <w:r>
              <w:rPr>
                <w:rFonts w:hint="eastAsia"/>
                <w:color w:val="auto"/>
              </w:rPr>
              <w:t>不驻场</w:t>
            </w:r>
          </w:p>
        </w:tc>
      </w:tr>
      <w:tr w14:paraId="7679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37EFE9B5">
            <w:pPr>
              <w:widowControl/>
              <w:spacing w:line="240" w:lineRule="auto"/>
              <w:ind w:firstLine="0" w:firstLineChars="0"/>
              <w:jc w:val="center"/>
              <w:rPr>
                <w:color w:val="auto"/>
              </w:rPr>
            </w:pPr>
            <w:r>
              <w:rPr>
                <w:rFonts w:hint="eastAsia"/>
                <w:color w:val="auto"/>
              </w:rPr>
              <w:t>功能测试人员</w:t>
            </w:r>
          </w:p>
        </w:tc>
        <w:tc>
          <w:tcPr>
            <w:tcW w:w="1840" w:type="dxa"/>
            <w:noWrap/>
            <w:vAlign w:val="center"/>
          </w:tcPr>
          <w:p w14:paraId="2D657E93">
            <w:pPr>
              <w:widowControl/>
              <w:spacing w:line="240" w:lineRule="auto"/>
              <w:ind w:firstLine="0" w:firstLineChars="0"/>
              <w:jc w:val="center"/>
              <w:rPr>
                <w:color w:val="auto"/>
              </w:rPr>
            </w:pPr>
            <w:r>
              <w:rPr>
                <w:rFonts w:hint="eastAsia"/>
                <w:color w:val="auto"/>
              </w:rPr>
              <w:t>负责功能测试流程</w:t>
            </w:r>
          </w:p>
        </w:tc>
        <w:tc>
          <w:tcPr>
            <w:tcW w:w="850" w:type="dxa"/>
            <w:noWrap/>
            <w:vAlign w:val="center"/>
          </w:tcPr>
          <w:p w14:paraId="52CC9B26">
            <w:pPr>
              <w:widowControl/>
              <w:spacing w:line="240" w:lineRule="auto"/>
              <w:ind w:firstLine="0" w:firstLineChars="0"/>
              <w:jc w:val="center"/>
              <w:rPr>
                <w:color w:val="auto"/>
              </w:rPr>
            </w:pPr>
            <w:r>
              <w:rPr>
                <w:rFonts w:hint="eastAsia"/>
                <w:color w:val="auto"/>
              </w:rPr>
              <w:t>2人</w:t>
            </w:r>
          </w:p>
        </w:tc>
        <w:tc>
          <w:tcPr>
            <w:tcW w:w="3016" w:type="dxa"/>
            <w:noWrap w:val="0"/>
            <w:vAlign w:val="center"/>
          </w:tcPr>
          <w:p w14:paraId="6547F463">
            <w:pPr>
              <w:widowControl/>
              <w:spacing w:line="240" w:lineRule="auto"/>
              <w:ind w:firstLine="0" w:firstLineChars="0"/>
              <w:jc w:val="left"/>
              <w:rPr>
                <w:rFonts w:hint="eastAsia" w:eastAsia="宋体"/>
                <w:color w:val="auto"/>
                <w:lang w:eastAsia="zh-CN"/>
              </w:rPr>
            </w:pPr>
            <w:r>
              <w:rPr>
                <w:rFonts w:hint="eastAsia"/>
                <w:color w:val="auto"/>
              </w:rPr>
              <w:t>本科及以上学历，要求功能测试人员具备注册信息安全专业人员资质证书</w:t>
            </w:r>
            <w:r>
              <w:rPr>
                <w:rFonts w:hint="eastAsia"/>
                <w:color w:val="auto"/>
                <w:lang w:eastAsia="zh-CN"/>
              </w:rPr>
              <w:t>（</w:t>
            </w:r>
            <w:r>
              <w:rPr>
                <w:rFonts w:hint="eastAsia"/>
                <w:color w:val="auto"/>
              </w:rPr>
              <w:t>CISP</w:t>
            </w:r>
            <w:r>
              <w:rPr>
                <w:rFonts w:hint="eastAsia"/>
                <w:color w:val="auto"/>
                <w:lang w:eastAsia="zh-CN"/>
              </w:rPr>
              <w:t>）</w:t>
            </w:r>
          </w:p>
        </w:tc>
        <w:tc>
          <w:tcPr>
            <w:tcW w:w="1180" w:type="dxa"/>
            <w:noWrap/>
            <w:vAlign w:val="center"/>
          </w:tcPr>
          <w:p w14:paraId="16072E6F">
            <w:pPr>
              <w:widowControl/>
              <w:spacing w:line="240" w:lineRule="auto"/>
              <w:ind w:firstLine="0" w:firstLineChars="0"/>
              <w:jc w:val="center"/>
              <w:rPr>
                <w:color w:val="auto"/>
              </w:rPr>
            </w:pPr>
            <w:r>
              <w:rPr>
                <w:rFonts w:hint="eastAsia"/>
                <w:color w:val="auto"/>
              </w:rPr>
              <w:t>不驻场</w:t>
            </w:r>
          </w:p>
        </w:tc>
      </w:tr>
    </w:tbl>
    <w:p w14:paraId="4D963168">
      <w:pPr>
        <w:rPr>
          <w:color w:val="auto"/>
        </w:rPr>
      </w:pPr>
      <w:r>
        <w:rPr>
          <w:color w:val="auto"/>
        </w:rPr>
        <w:t>2）投标人应针对本项目提供不少于</w:t>
      </w:r>
      <w:r>
        <w:rPr>
          <w:rFonts w:hint="eastAsia"/>
          <w:color w:val="auto"/>
        </w:rPr>
        <w:t>3</w:t>
      </w:r>
      <w:r>
        <w:rPr>
          <w:color w:val="auto"/>
        </w:rPr>
        <w:t>人的质保期间支撑团队（其中</w:t>
      </w:r>
      <w:r>
        <w:rPr>
          <w:rFonts w:hint="eastAsia"/>
          <w:color w:val="auto"/>
        </w:rPr>
        <w:t>项目</w:t>
      </w:r>
      <w:r>
        <w:rPr>
          <w:color w:val="auto"/>
        </w:rPr>
        <w:t>经理</w:t>
      </w:r>
      <w:r>
        <w:rPr>
          <w:rFonts w:hint="eastAsia"/>
          <w:color w:val="auto"/>
        </w:rPr>
        <w:t>1</w:t>
      </w:r>
      <w:r>
        <w:rPr>
          <w:color w:val="auto"/>
        </w:rPr>
        <w:t>人，</w:t>
      </w:r>
      <w:r>
        <w:rPr>
          <w:rFonts w:hint="eastAsia"/>
          <w:color w:val="auto"/>
        </w:rPr>
        <w:t>运维人员</w:t>
      </w:r>
      <w:r>
        <w:rPr>
          <w:color w:val="auto"/>
        </w:rPr>
        <w:t>不少于</w:t>
      </w:r>
      <w:r>
        <w:rPr>
          <w:rFonts w:hint="eastAsia"/>
          <w:color w:val="auto"/>
        </w:rPr>
        <w:t>2</w:t>
      </w:r>
      <w:r>
        <w:rPr>
          <w:color w:val="auto"/>
        </w:rPr>
        <w:t>人）；投标人的相关服务人员需具备相应的服务能力，需提供相关证明（最近一个季度</w:t>
      </w:r>
      <w:r>
        <w:rPr>
          <w:rFonts w:hint="eastAsia"/>
          <w:color w:val="auto"/>
        </w:rPr>
        <w:t>任一个月</w:t>
      </w:r>
      <w:r>
        <w:rPr>
          <w:color w:val="auto"/>
        </w:rPr>
        <w:t>依法缴纳社保费的证明）。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33"/>
        <w:gridCol w:w="1180"/>
        <w:gridCol w:w="1919"/>
        <w:gridCol w:w="1180"/>
      </w:tblGrid>
      <w:tr w14:paraId="6A90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D0D2E6C">
            <w:pPr>
              <w:widowControl/>
              <w:spacing w:line="240" w:lineRule="auto"/>
              <w:ind w:firstLine="0" w:firstLineChars="0"/>
              <w:jc w:val="center"/>
              <w:rPr>
                <w:b/>
                <w:color w:val="auto"/>
              </w:rPr>
            </w:pPr>
            <w:r>
              <w:rPr>
                <w:rFonts w:hint="eastAsia"/>
                <w:b/>
                <w:color w:val="auto"/>
              </w:rPr>
              <w:t>角色</w:t>
            </w:r>
          </w:p>
        </w:tc>
        <w:tc>
          <w:tcPr>
            <w:tcW w:w="0" w:type="auto"/>
            <w:noWrap/>
            <w:vAlign w:val="center"/>
          </w:tcPr>
          <w:p w14:paraId="6595707D">
            <w:pPr>
              <w:widowControl/>
              <w:spacing w:line="240" w:lineRule="auto"/>
              <w:ind w:firstLine="0" w:firstLineChars="0"/>
              <w:jc w:val="center"/>
              <w:rPr>
                <w:b/>
                <w:color w:val="auto"/>
              </w:rPr>
            </w:pPr>
            <w:r>
              <w:rPr>
                <w:rFonts w:hint="eastAsia"/>
                <w:b/>
                <w:color w:val="auto"/>
              </w:rPr>
              <w:t>主要职责</w:t>
            </w:r>
          </w:p>
        </w:tc>
        <w:tc>
          <w:tcPr>
            <w:tcW w:w="0" w:type="auto"/>
            <w:noWrap/>
            <w:vAlign w:val="center"/>
          </w:tcPr>
          <w:p w14:paraId="3A6151CF">
            <w:pPr>
              <w:widowControl/>
              <w:spacing w:line="240" w:lineRule="auto"/>
              <w:ind w:firstLine="0" w:firstLineChars="0"/>
              <w:jc w:val="center"/>
              <w:rPr>
                <w:b/>
                <w:color w:val="auto"/>
              </w:rPr>
            </w:pPr>
            <w:r>
              <w:rPr>
                <w:rFonts w:hint="eastAsia"/>
                <w:b/>
                <w:color w:val="auto"/>
              </w:rPr>
              <w:t>人员数量</w:t>
            </w:r>
          </w:p>
        </w:tc>
        <w:tc>
          <w:tcPr>
            <w:tcW w:w="1919" w:type="dxa"/>
            <w:noWrap w:val="0"/>
            <w:vAlign w:val="center"/>
          </w:tcPr>
          <w:p w14:paraId="716B0CD2">
            <w:pPr>
              <w:widowControl/>
              <w:spacing w:line="240" w:lineRule="auto"/>
              <w:ind w:firstLine="0" w:firstLineChars="0"/>
              <w:jc w:val="center"/>
              <w:rPr>
                <w:b/>
                <w:color w:val="auto"/>
              </w:rPr>
            </w:pPr>
            <w:r>
              <w:rPr>
                <w:rFonts w:hint="eastAsia"/>
                <w:b/>
                <w:color w:val="auto"/>
              </w:rPr>
              <w:t>人员要求</w:t>
            </w:r>
          </w:p>
        </w:tc>
        <w:tc>
          <w:tcPr>
            <w:tcW w:w="1180" w:type="dxa"/>
            <w:noWrap/>
            <w:vAlign w:val="center"/>
          </w:tcPr>
          <w:p w14:paraId="207EEF77">
            <w:pPr>
              <w:widowControl/>
              <w:spacing w:line="240" w:lineRule="auto"/>
              <w:ind w:firstLine="0" w:firstLineChars="0"/>
              <w:jc w:val="center"/>
              <w:rPr>
                <w:b/>
                <w:color w:val="auto"/>
              </w:rPr>
            </w:pPr>
            <w:r>
              <w:rPr>
                <w:rFonts w:hint="eastAsia"/>
                <w:b/>
                <w:color w:val="auto"/>
              </w:rPr>
              <w:t>驻场要求</w:t>
            </w:r>
          </w:p>
        </w:tc>
      </w:tr>
      <w:tr w14:paraId="1D06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1AE27DC">
            <w:pPr>
              <w:widowControl/>
              <w:spacing w:line="240" w:lineRule="auto"/>
              <w:ind w:firstLine="0" w:firstLineChars="0"/>
              <w:jc w:val="center"/>
              <w:rPr>
                <w:color w:val="auto"/>
              </w:rPr>
            </w:pPr>
            <w:r>
              <w:rPr>
                <w:rFonts w:hint="eastAsia"/>
                <w:color w:val="auto"/>
              </w:rPr>
              <w:t>运维负责人</w:t>
            </w:r>
          </w:p>
        </w:tc>
        <w:tc>
          <w:tcPr>
            <w:tcW w:w="0" w:type="auto"/>
            <w:noWrap w:val="0"/>
            <w:vAlign w:val="center"/>
          </w:tcPr>
          <w:p w14:paraId="0D6CB435">
            <w:pPr>
              <w:widowControl/>
              <w:spacing w:line="240" w:lineRule="auto"/>
              <w:ind w:firstLine="0" w:firstLineChars="0"/>
              <w:jc w:val="center"/>
              <w:rPr>
                <w:color w:val="auto"/>
              </w:rPr>
            </w:pPr>
            <w:r>
              <w:rPr>
                <w:rFonts w:hint="eastAsia"/>
                <w:color w:val="auto"/>
              </w:rPr>
              <w:t>负责运维质量和进度控制</w:t>
            </w:r>
          </w:p>
        </w:tc>
        <w:tc>
          <w:tcPr>
            <w:tcW w:w="0" w:type="auto"/>
            <w:noWrap/>
            <w:vAlign w:val="center"/>
          </w:tcPr>
          <w:p w14:paraId="1C5DBFCD">
            <w:pPr>
              <w:widowControl/>
              <w:spacing w:line="240" w:lineRule="auto"/>
              <w:ind w:firstLine="0" w:firstLineChars="0"/>
              <w:jc w:val="center"/>
              <w:rPr>
                <w:color w:val="auto"/>
              </w:rPr>
            </w:pPr>
            <w:r>
              <w:rPr>
                <w:rFonts w:hint="eastAsia"/>
                <w:color w:val="auto"/>
              </w:rPr>
              <w:t>1人</w:t>
            </w:r>
          </w:p>
        </w:tc>
        <w:tc>
          <w:tcPr>
            <w:tcW w:w="1919" w:type="dxa"/>
            <w:noWrap w:val="0"/>
            <w:vAlign w:val="center"/>
          </w:tcPr>
          <w:p w14:paraId="387F3488">
            <w:pPr>
              <w:widowControl/>
              <w:spacing w:line="240" w:lineRule="auto"/>
              <w:ind w:firstLine="0" w:firstLineChars="0"/>
              <w:jc w:val="left"/>
              <w:rPr>
                <w:color w:val="auto"/>
              </w:rPr>
            </w:pPr>
            <w:r>
              <w:rPr>
                <w:rFonts w:hint="eastAsia"/>
                <w:color w:val="auto"/>
              </w:rPr>
              <w:t>本科及以上学历，运维负责人具备计算机技术与软件专业技术资格-系统集成项目管理工程师资质证书</w:t>
            </w:r>
          </w:p>
        </w:tc>
        <w:tc>
          <w:tcPr>
            <w:tcW w:w="1180" w:type="dxa"/>
            <w:noWrap/>
            <w:vAlign w:val="center"/>
          </w:tcPr>
          <w:p w14:paraId="3FC02E97">
            <w:pPr>
              <w:widowControl/>
              <w:spacing w:line="240" w:lineRule="auto"/>
              <w:ind w:firstLine="0" w:firstLineChars="0"/>
              <w:jc w:val="center"/>
              <w:rPr>
                <w:color w:val="auto"/>
              </w:rPr>
            </w:pPr>
            <w:r>
              <w:rPr>
                <w:rFonts w:hint="eastAsia"/>
                <w:color w:val="auto"/>
              </w:rPr>
              <w:t>不驻场</w:t>
            </w:r>
          </w:p>
        </w:tc>
      </w:tr>
      <w:tr w14:paraId="5364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2D74ED4">
            <w:pPr>
              <w:widowControl/>
              <w:spacing w:line="240" w:lineRule="auto"/>
              <w:ind w:firstLine="0" w:firstLineChars="0"/>
              <w:jc w:val="center"/>
              <w:rPr>
                <w:color w:val="auto"/>
              </w:rPr>
            </w:pPr>
            <w:r>
              <w:rPr>
                <w:rFonts w:hint="eastAsia"/>
                <w:color w:val="auto"/>
              </w:rPr>
              <w:t>运维人员</w:t>
            </w:r>
          </w:p>
        </w:tc>
        <w:tc>
          <w:tcPr>
            <w:tcW w:w="0" w:type="auto"/>
            <w:noWrap/>
            <w:vAlign w:val="center"/>
          </w:tcPr>
          <w:p w14:paraId="66B251DD">
            <w:pPr>
              <w:widowControl/>
              <w:spacing w:line="240" w:lineRule="auto"/>
              <w:ind w:firstLine="0" w:firstLineChars="0"/>
              <w:jc w:val="center"/>
              <w:rPr>
                <w:color w:val="auto"/>
              </w:rPr>
            </w:pPr>
            <w:r>
              <w:rPr>
                <w:rFonts w:hint="eastAsia"/>
                <w:color w:val="auto"/>
              </w:rPr>
              <w:t>负责项目运行维护</w:t>
            </w:r>
          </w:p>
        </w:tc>
        <w:tc>
          <w:tcPr>
            <w:tcW w:w="0" w:type="auto"/>
            <w:noWrap/>
            <w:vAlign w:val="center"/>
          </w:tcPr>
          <w:p w14:paraId="06BB634A">
            <w:pPr>
              <w:widowControl/>
              <w:spacing w:line="240" w:lineRule="auto"/>
              <w:ind w:firstLine="0" w:firstLineChars="0"/>
              <w:jc w:val="center"/>
              <w:rPr>
                <w:color w:val="auto"/>
              </w:rPr>
            </w:pPr>
            <w:r>
              <w:rPr>
                <w:rFonts w:hint="eastAsia"/>
                <w:color w:val="auto"/>
              </w:rPr>
              <w:t>2人</w:t>
            </w:r>
          </w:p>
        </w:tc>
        <w:tc>
          <w:tcPr>
            <w:tcW w:w="1919" w:type="dxa"/>
            <w:noWrap w:val="0"/>
            <w:vAlign w:val="center"/>
          </w:tcPr>
          <w:p w14:paraId="37F4DA5A">
            <w:pPr>
              <w:widowControl/>
              <w:spacing w:line="240" w:lineRule="auto"/>
              <w:ind w:firstLine="0" w:firstLineChars="0"/>
              <w:jc w:val="left"/>
              <w:rPr>
                <w:color w:val="auto"/>
              </w:rPr>
            </w:pPr>
            <w:r>
              <w:rPr>
                <w:rFonts w:hint="eastAsia"/>
                <w:color w:val="auto"/>
              </w:rPr>
              <w:t>本科及以上学历，运维人员具备注册信息安全专业人员资质证书</w:t>
            </w:r>
            <w:r>
              <w:rPr>
                <w:rFonts w:hint="eastAsia"/>
                <w:color w:val="auto"/>
                <w:lang w:eastAsia="zh-CN"/>
              </w:rPr>
              <w:t>（</w:t>
            </w:r>
            <w:r>
              <w:rPr>
                <w:rFonts w:hint="eastAsia"/>
                <w:color w:val="auto"/>
              </w:rPr>
              <w:t>CISP</w:t>
            </w:r>
            <w:r>
              <w:rPr>
                <w:rFonts w:hint="eastAsia"/>
                <w:color w:val="auto"/>
                <w:lang w:eastAsia="zh-CN"/>
              </w:rPr>
              <w:t>）</w:t>
            </w:r>
          </w:p>
        </w:tc>
        <w:tc>
          <w:tcPr>
            <w:tcW w:w="1180" w:type="dxa"/>
            <w:noWrap/>
            <w:vAlign w:val="center"/>
          </w:tcPr>
          <w:p w14:paraId="5E51A446">
            <w:pPr>
              <w:widowControl/>
              <w:spacing w:line="240" w:lineRule="auto"/>
              <w:ind w:firstLine="0" w:firstLineChars="0"/>
              <w:jc w:val="center"/>
              <w:rPr>
                <w:color w:val="auto"/>
              </w:rPr>
            </w:pPr>
            <w:r>
              <w:rPr>
                <w:rFonts w:hint="eastAsia"/>
                <w:color w:val="auto"/>
              </w:rPr>
              <w:t>不驻场</w:t>
            </w:r>
          </w:p>
        </w:tc>
      </w:tr>
    </w:tbl>
    <w:p w14:paraId="48A8811D">
      <w:pPr>
        <w:ind w:firstLine="482"/>
        <w:outlineLvl w:val="1"/>
        <w:rPr>
          <w:rFonts w:hint="eastAsia"/>
          <w:b/>
          <w:color w:val="auto"/>
          <w:lang w:val="en-US" w:eastAsia="zh-CN"/>
        </w:rPr>
      </w:pPr>
      <w:bookmarkStart w:id="25" w:name="_Toc63785511"/>
      <w:r>
        <w:rPr>
          <w:rFonts w:hint="eastAsia"/>
          <w:b/>
          <w:color w:val="auto"/>
          <w:lang w:val="en-US" w:eastAsia="zh-CN"/>
        </w:rPr>
        <w:t>等级保护要求</w:t>
      </w:r>
      <w:bookmarkEnd w:id="25"/>
    </w:p>
    <w:p w14:paraId="1BF1140A">
      <w:pPr>
        <w:rPr>
          <w:color w:val="auto"/>
        </w:rPr>
      </w:pPr>
      <w:r>
        <w:rPr>
          <w:rFonts w:hint="eastAsia"/>
          <w:color w:val="auto"/>
        </w:rPr>
        <w:t>本项目网络安全等级保护级别定为三级。供应商须承诺配合采购人完成相关测评工作。</w:t>
      </w:r>
    </w:p>
    <w:p w14:paraId="780C3D4D">
      <w:pPr>
        <w:ind w:firstLine="482"/>
        <w:outlineLvl w:val="1"/>
        <w:rPr>
          <w:rFonts w:hint="eastAsia"/>
          <w:b/>
          <w:color w:val="auto"/>
          <w:lang w:val="en-US" w:eastAsia="zh-CN"/>
        </w:rPr>
      </w:pPr>
      <w:r>
        <w:rPr>
          <w:rFonts w:hint="eastAsia"/>
          <w:b/>
          <w:color w:val="auto"/>
          <w:lang w:val="en-US" w:eastAsia="zh-CN"/>
        </w:rPr>
        <w:t>商用密码应用需求</w:t>
      </w:r>
    </w:p>
    <w:p w14:paraId="0829BA95">
      <w:pPr>
        <w:rPr>
          <w:rFonts w:hint="eastAsia"/>
          <w:color w:val="auto"/>
        </w:rPr>
      </w:pPr>
      <w:r>
        <w:rPr>
          <w:rFonts w:hint="eastAsia"/>
          <w:color w:val="auto"/>
        </w:rPr>
        <w:t>本系统的商用密码应用安全性评估级别参照等保定级为三级。本项目商用密码应用需求可根据项目最新要求、信息系统密码应用与评测相关要求、实际情况等进行相应调整。供应商须确保本项目通过商用密码应用安全性评估。</w:t>
      </w:r>
    </w:p>
    <w:p w14:paraId="1E68E4DF">
      <w:pPr>
        <w:numPr>
          <w:ilvl w:val="0"/>
          <w:numId w:val="3"/>
        </w:numPr>
        <w:ind w:firstLine="482"/>
        <w:rPr>
          <w:rFonts w:hint="eastAsia"/>
          <w:b/>
          <w:color w:val="auto"/>
          <w:lang w:val="en-US" w:eastAsia="zh-CN"/>
        </w:rPr>
      </w:pPr>
      <w:r>
        <w:rPr>
          <w:rFonts w:hint="eastAsia"/>
          <w:b/>
          <w:color w:val="auto"/>
          <w:lang w:val="en-US" w:eastAsia="zh-CN"/>
        </w:rPr>
        <w:t>企业综合实力要求</w:t>
      </w:r>
    </w:p>
    <w:p w14:paraId="027B26E8">
      <w:pPr>
        <w:numPr>
          <w:ilvl w:val="0"/>
          <w:numId w:val="4"/>
        </w:numPr>
        <w:ind w:firstLine="480" w:firstLineChars="200"/>
        <w:rPr>
          <w:rFonts w:hint="eastAsia"/>
          <w:color w:val="auto"/>
          <w:vertAlign w:val="baseline"/>
          <w:lang w:eastAsia="zh-CN"/>
        </w:rPr>
      </w:pPr>
      <w:r>
        <w:rPr>
          <w:rFonts w:hint="eastAsia"/>
          <w:color w:val="auto"/>
          <w:vertAlign w:val="baseline"/>
          <w:lang w:eastAsia="zh-CN"/>
        </w:rPr>
        <w:t>投标人具有信息安全管理体系认证、信息技术服务管理体系认证、隐私信息管理体系认证、DCMM数据管理能力成熟度证书的优先考虑</w:t>
      </w:r>
    </w:p>
    <w:p w14:paraId="42AED262">
      <w:pPr>
        <w:numPr>
          <w:ilvl w:val="0"/>
          <w:numId w:val="4"/>
        </w:numPr>
        <w:ind w:firstLine="480" w:firstLineChars="200"/>
        <w:rPr>
          <w:rFonts w:hint="eastAsia" w:eastAsia="宋体"/>
          <w:b w:val="0"/>
          <w:color w:val="auto"/>
          <w:lang w:val="en-US" w:eastAsia="zh-CN"/>
        </w:rPr>
      </w:pPr>
      <w:r>
        <w:rPr>
          <w:rFonts w:hint="eastAsia"/>
          <w:color w:val="auto"/>
          <w:vertAlign w:val="baseline"/>
          <w:lang w:eastAsia="zh-CN"/>
        </w:rPr>
        <w:t>供应商具有与本项目需求相关的软件著作权证书，包括人工智能类，数据处理/模型预处理类的优先考虑。</w:t>
      </w:r>
    </w:p>
    <w:p w14:paraId="20F48630">
      <w:pPr>
        <w:ind w:firstLine="482"/>
        <w:rPr>
          <w:rFonts w:hint="eastAsia"/>
          <w:b/>
          <w:color w:val="auto"/>
        </w:rPr>
      </w:pPr>
      <w:bookmarkStart w:id="26" w:name="_Toc63785512"/>
      <w:r>
        <w:rPr>
          <w:rFonts w:hint="eastAsia"/>
          <w:b/>
          <w:color w:val="auto"/>
          <w:lang w:val="en-US" w:eastAsia="zh-CN"/>
        </w:rPr>
        <w:t>8、</w:t>
      </w:r>
      <w:r>
        <w:rPr>
          <w:rFonts w:hint="eastAsia"/>
          <w:b/>
          <w:color w:val="auto"/>
        </w:rPr>
        <w:t>技术文件要求</w:t>
      </w:r>
    </w:p>
    <w:p w14:paraId="7506F81B">
      <w:pPr>
        <w:rPr>
          <w:color w:val="auto"/>
        </w:rPr>
      </w:pPr>
      <w:r>
        <w:rPr>
          <w:rFonts w:hint="eastAsia"/>
          <w:color w:val="auto"/>
        </w:rPr>
        <w:t>供应商在项目验收时应提供符合市级数字化预算项目验收操作规程和上海市大数据中心的项目管理要求的项目文档。技术文件应完整、准确、详细。供应商提供的技术文件至少应包括（不限于）：</w:t>
      </w:r>
    </w:p>
    <w:p w14:paraId="51E7C7A3">
      <w:pPr>
        <w:rPr>
          <w:color w:val="auto"/>
        </w:rPr>
      </w:pPr>
      <w:r>
        <w:rPr>
          <w:rFonts w:hint="eastAsia"/>
          <w:color w:val="auto"/>
        </w:rPr>
        <w:t xml:space="preserve">－ 系统说明文件（用户操作手册）； </w:t>
      </w:r>
    </w:p>
    <w:p w14:paraId="44BFF3EC">
      <w:pPr>
        <w:rPr>
          <w:color w:val="auto"/>
        </w:rPr>
      </w:pPr>
      <w:r>
        <w:rPr>
          <w:rFonts w:hint="eastAsia"/>
          <w:color w:val="auto"/>
        </w:rPr>
        <w:t xml:space="preserve">－ 技术手册（安装、测试、部署、操作、维护、故障排除等）； </w:t>
      </w:r>
    </w:p>
    <w:p w14:paraId="6357A070">
      <w:pPr>
        <w:rPr>
          <w:color w:val="auto"/>
        </w:rPr>
      </w:pPr>
      <w:r>
        <w:rPr>
          <w:rFonts w:hint="eastAsia"/>
          <w:color w:val="auto"/>
        </w:rPr>
        <w:t>－ 技术文档，应该包括但不限于：</w:t>
      </w:r>
    </w:p>
    <w:p w14:paraId="38A67161">
      <w:pPr>
        <w:rPr>
          <w:color w:val="auto"/>
        </w:rPr>
      </w:pPr>
      <w:r>
        <w:rPr>
          <w:rFonts w:hint="eastAsia"/>
          <w:color w:val="auto"/>
        </w:rPr>
        <w:t>（1）软件需求规格说明书</w:t>
      </w:r>
    </w:p>
    <w:p w14:paraId="0092442D">
      <w:pPr>
        <w:rPr>
          <w:color w:val="auto"/>
        </w:rPr>
      </w:pPr>
      <w:r>
        <w:rPr>
          <w:rFonts w:hint="eastAsia"/>
          <w:color w:val="auto"/>
        </w:rPr>
        <w:t>（2）系统概要设计说明书</w:t>
      </w:r>
    </w:p>
    <w:p w14:paraId="44A4F043">
      <w:pPr>
        <w:rPr>
          <w:color w:val="auto"/>
        </w:rPr>
      </w:pPr>
      <w:r>
        <w:rPr>
          <w:rFonts w:hint="eastAsia"/>
          <w:color w:val="auto"/>
        </w:rPr>
        <w:t>（3）系统详细设计说明书</w:t>
      </w:r>
    </w:p>
    <w:p w14:paraId="61BBC607">
      <w:pPr>
        <w:rPr>
          <w:color w:val="auto"/>
        </w:rPr>
      </w:pPr>
      <w:r>
        <w:rPr>
          <w:rFonts w:hint="eastAsia"/>
          <w:color w:val="auto"/>
        </w:rPr>
        <w:t>（4）系统数据库设计说明书</w:t>
      </w:r>
    </w:p>
    <w:p w14:paraId="3F1994F6">
      <w:pPr>
        <w:rPr>
          <w:color w:val="auto"/>
        </w:rPr>
      </w:pPr>
      <w:r>
        <w:rPr>
          <w:rFonts w:hint="eastAsia"/>
          <w:color w:val="auto"/>
        </w:rPr>
        <w:t>（5）数字化项目批复建设情况对照表；</w:t>
      </w:r>
    </w:p>
    <w:p w14:paraId="7DC1B17D">
      <w:pPr>
        <w:rPr>
          <w:color w:val="auto"/>
        </w:rPr>
      </w:pPr>
      <w:r>
        <w:rPr>
          <w:rFonts w:hint="eastAsia"/>
          <w:color w:val="auto"/>
        </w:rPr>
        <w:t>（6）三方功能需求确认单</w:t>
      </w:r>
    </w:p>
    <w:p w14:paraId="7240BDF8">
      <w:pPr>
        <w:rPr>
          <w:color w:val="auto"/>
        </w:rPr>
      </w:pPr>
      <w:r>
        <w:rPr>
          <w:rFonts w:hint="eastAsia"/>
          <w:color w:val="auto"/>
        </w:rPr>
        <w:t>（7）测试计划、测试报告</w:t>
      </w:r>
    </w:p>
    <w:p w14:paraId="0625C284">
      <w:pPr>
        <w:rPr>
          <w:color w:val="auto"/>
        </w:rPr>
      </w:pPr>
      <w:r>
        <w:rPr>
          <w:rFonts w:hint="eastAsia"/>
          <w:color w:val="auto"/>
        </w:rPr>
        <w:t>（8）免维期运维计划</w:t>
      </w:r>
    </w:p>
    <w:p w14:paraId="23A62871">
      <w:pPr>
        <w:rPr>
          <w:color w:val="auto"/>
        </w:rPr>
      </w:pPr>
      <w:r>
        <w:rPr>
          <w:rFonts w:hint="eastAsia"/>
          <w:color w:val="auto"/>
        </w:rPr>
        <w:t>－ 项目通过的软件测评、安全测评、商业密码应用测评报告，并针对遗留中低风险项提供整改计划或说明。</w:t>
      </w:r>
    </w:p>
    <w:p w14:paraId="2373033C">
      <w:pPr>
        <w:rPr>
          <w:color w:val="auto"/>
        </w:rPr>
      </w:pPr>
      <w:r>
        <w:rPr>
          <w:rFonts w:hint="eastAsia"/>
          <w:color w:val="auto"/>
        </w:rPr>
        <w:t>提供全套技术文件纸介质3套以及电子文件1套。</w:t>
      </w:r>
    </w:p>
    <w:bookmarkEnd w:id="26"/>
    <w:p w14:paraId="4E619941">
      <w:pPr>
        <w:pStyle w:val="95"/>
        <w:ind w:firstLine="480"/>
        <w:rPr>
          <w:b/>
          <w:color w:val="auto"/>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方正小标宋简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9436">
    <w:pPr>
      <w:ind w:firstLine="0" w:firstLineChars="0"/>
      <w:jc w:val="center"/>
    </w:pPr>
    <w:r>
      <w:fldChar w:fldCharType="begin"/>
    </w:r>
    <w:r>
      <w:instrText xml:space="preserve">PAGE   \* MERGEFORMAT</w:instrText>
    </w:r>
    <w:r>
      <w:fldChar w:fldCharType="separate"/>
    </w:r>
    <w:r>
      <w:rPr>
        <w:lang w:val="zh-CN"/>
      </w:rPr>
      <w:t>39</w:t>
    </w:r>
    <w:r>
      <w:rPr>
        <w:lang w:val="zh-CN"/>
      </w:rPr>
      <w:fldChar w:fldCharType="end"/>
    </w:r>
  </w:p>
  <w:p w14:paraId="28B91A5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8309"/>
  <w:p w14:paraId="44327B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8B8A">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5792">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110B0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64EE">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AEA7"/>
  <w:p w14:paraId="3374C5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93072">
    <w:pPr>
      <w:pStyle w:val="2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50864"/>
    <w:multiLevelType w:val="singleLevel"/>
    <w:tmpl w:val="FD950864"/>
    <w:lvl w:ilvl="0" w:tentative="0">
      <w:start w:val="1"/>
      <w:numFmt w:val="decimal"/>
      <w:lvlText w:val="%1."/>
      <w:lvlJc w:val="left"/>
      <w:pPr>
        <w:tabs>
          <w:tab w:val="left" w:pos="312"/>
        </w:tabs>
      </w:pPr>
    </w:lvl>
  </w:abstractNum>
  <w:abstractNum w:abstractNumId="1">
    <w:nsid w:val="5DFEA0FD"/>
    <w:multiLevelType w:val="singleLevel"/>
    <w:tmpl w:val="5DFEA0FD"/>
    <w:lvl w:ilvl="0" w:tentative="0">
      <w:start w:val="7"/>
      <w:numFmt w:val="decimal"/>
      <w:suff w:val="nothing"/>
      <w:lvlText w:val="%1、"/>
      <w:lvlJc w:val="left"/>
    </w:lvl>
  </w:abstractNum>
  <w:abstractNum w:abstractNumId="2">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5A"/>
    <w:rsid w:val="00000AED"/>
    <w:rsid w:val="00002DBA"/>
    <w:rsid w:val="00003516"/>
    <w:rsid w:val="0000380E"/>
    <w:rsid w:val="00005AFD"/>
    <w:rsid w:val="00006563"/>
    <w:rsid w:val="000074F1"/>
    <w:rsid w:val="00007A41"/>
    <w:rsid w:val="00007DA7"/>
    <w:rsid w:val="00011A95"/>
    <w:rsid w:val="00012EF0"/>
    <w:rsid w:val="000156DE"/>
    <w:rsid w:val="000165AD"/>
    <w:rsid w:val="000179E9"/>
    <w:rsid w:val="00020C18"/>
    <w:rsid w:val="00021EE6"/>
    <w:rsid w:val="0002280E"/>
    <w:rsid w:val="00022C74"/>
    <w:rsid w:val="00025122"/>
    <w:rsid w:val="000252D5"/>
    <w:rsid w:val="0002568F"/>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53C2"/>
    <w:rsid w:val="0006794B"/>
    <w:rsid w:val="00067DCA"/>
    <w:rsid w:val="00070063"/>
    <w:rsid w:val="0007087A"/>
    <w:rsid w:val="000710EC"/>
    <w:rsid w:val="00072237"/>
    <w:rsid w:val="0007249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56A"/>
    <w:rsid w:val="00122A7F"/>
    <w:rsid w:val="00123F98"/>
    <w:rsid w:val="001242A5"/>
    <w:rsid w:val="00124531"/>
    <w:rsid w:val="00126EDF"/>
    <w:rsid w:val="00127BBE"/>
    <w:rsid w:val="00131D52"/>
    <w:rsid w:val="001329C1"/>
    <w:rsid w:val="00132C16"/>
    <w:rsid w:val="00136320"/>
    <w:rsid w:val="00136FFA"/>
    <w:rsid w:val="00137AC6"/>
    <w:rsid w:val="001430A1"/>
    <w:rsid w:val="00145512"/>
    <w:rsid w:val="001465BD"/>
    <w:rsid w:val="00147B45"/>
    <w:rsid w:val="00150803"/>
    <w:rsid w:val="00151D83"/>
    <w:rsid w:val="001546C9"/>
    <w:rsid w:val="00154FAE"/>
    <w:rsid w:val="00155E77"/>
    <w:rsid w:val="00156A70"/>
    <w:rsid w:val="0016014B"/>
    <w:rsid w:val="00160A61"/>
    <w:rsid w:val="00160FC0"/>
    <w:rsid w:val="0016429B"/>
    <w:rsid w:val="00164525"/>
    <w:rsid w:val="00164C50"/>
    <w:rsid w:val="00165CB2"/>
    <w:rsid w:val="00166203"/>
    <w:rsid w:val="00166767"/>
    <w:rsid w:val="001707CB"/>
    <w:rsid w:val="00170C54"/>
    <w:rsid w:val="00171477"/>
    <w:rsid w:val="00172A1A"/>
    <w:rsid w:val="00172A27"/>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631E"/>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788"/>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6BE1"/>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B6152"/>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38C0"/>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60C"/>
    <w:rsid w:val="00345897"/>
    <w:rsid w:val="00351BFC"/>
    <w:rsid w:val="0035575E"/>
    <w:rsid w:val="003565B4"/>
    <w:rsid w:val="00362E75"/>
    <w:rsid w:val="003631AA"/>
    <w:rsid w:val="003632D5"/>
    <w:rsid w:val="00363575"/>
    <w:rsid w:val="00364EF9"/>
    <w:rsid w:val="00367579"/>
    <w:rsid w:val="0036795B"/>
    <w:rsid w:val="00370382"/>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C34BB"/>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3776F"/>
    <w:rsid w:val="00444307"/>
    <w:rsid w:val="0044436F"/>
    <w:rsid w:val="004443EB"/>
    <w:rsid w:val="00444432"/>
    <w:rsid w:val="00444673"/>
    <w:rsid w:val="0044621E"/>
    <w:rsid w:val="00447BF1"/>
    <w:rsid w:val="00450BA4"/>
    <w:rsid w:val="004511FC"/>
    <w:rsid w:val="00456784"/>
    <w:rsid w:val="00456DCA"/>
    <w:rsid w:val="00457761"/>
    <w:rsid w:val="0046096B"/>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2F0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A14"/>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2C85"/>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5CF8"/>
    <w:rsid w:val="00596D98"/>
    <w:rsid w:val="005979A5"/>
    <w:rsid w:val="005A0021"/>
    <w:rsid w:val="005A017B"/>
    <w:rsid w:val="005A2AEC"/>
    <w:rsid w:val="005A412D"/>
    <w:rsid w:val="005A5212"/>
    <w:rsid w:val="005A6237"/>
    <w:rsid w:val="005B002D"/>
    <w:rsid w:val="005B0FFF"/>
    <w:rsid w:val="005B19AF"/>
    <w:rsid w:val="005B258C"/>
    <w:rsid w:val="005B4D33"/>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A7C"/>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75B"/>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3C73"/>
    <w:rsid w:val="006C5760"/>
    <w:rsid w:val="006C6D6F"/>
    <w:rsid w:val="006D0D78"/>
    <w:rsid w:val="006D1128"/>
    <w:rsid w:val="006D2848"/>
    <w:rsid w:val="006D30E0"/>
    <w:rsid w:val="006D5521"/>
    <w:rsid w:val="006D5FE9"/>
    <w:rsid w:val="006D6CBB"/>
    <w:rsid w:val="006D76A9"/>
    <w:rsid w:val="006D77F4"/>
    <w:rsid w:val="006E0898"/>
    <w:rsid w:val="006E41CD"/>
    <w:rsid w:val="006F3BEC"/>
    <w:rsid w:val="006F6481"/>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63A55"/>
    <w:rsid w:val="0077182A"/>
    <w:rsid w:val="00771913"/>
    <w:rsid w:val="00772718"/>
    <w:rsid w:val="00775435"/>
    <w:rsid w:val="00775BCF"/>
    <w:rsid w:val="007818AA"/>
    <w:rsid w:val="00783140"/>
    <w:rsid w:val="007838B6"/>
    <w:rsid w:val="00783E77"/>
    <w:rsid w:val="007906F1"/>
    <w:rsid w:val="0079243D"/>
    <w:rsid w:val="00794A9B"/>
    <w:rsid w:val="0079583B"/>
    <w:rsid w:val="00796602"/>
    <w:rsid w:val="00797185"/>
    <w:rsid w:val="007976B7"/>
    <w:rsid w:val="00797A7E"/>
    <w:rsid w:val="00797CD6"/>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16D50"/>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397"/>
    <w:rsid w:val="00863DA1"/>
    <w:rsid w:val="008654A6"/>
    <w:rsid w:val="00865D86"/>
    <w:rsid w:val="00870495"/>
    <w:rsid w:val="00870EA1"/>
    <w:rsid w:val="008710C5"/>
    <w:rsid w:val="00874438"/>
    <w:rsid w:val="00874E75"/>
    <w:rsid w:val="008751F6"/>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6C37"/>
    <w:rsid w:val="008A7DBF"/>
    <w:rsid w:val="008B136C"/>
    <w:rsid w:val="008B55EF"/>
    <w:rsid w:val="008B6910"/>
    <w:rsid w:val="008C0B5C"/>
    <w:rsid w:val="008C1343"/>
    <w:rsid w:val="008C3912"/>
    <w:rsid w:val="008C3A06"/>
    <w:rsid w:val="008C5598"/>
    <w:rsid w:val="008C69EA"/>
    <w:rsid w:val="008C6F8B"/>
    <w:rsid w:val="008C7AB7"/>
    <w:rsid w:val="008C7FB4"/>
    <w:rsid w:val="008D23C9"/>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371B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77AE6"/>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5F5"/>
    <w:rsid w:val="009B5859"/>
    <w:rsid w:val="009C53B5"/>
    <w:rsid w:val="009C6D07"/>
    <w:rsid w:val="009C7CEC"/>
    <w:rsid w:val="009D154D"/>
    <w:rsid w:val="009D18EF"/>
    <w:rsid w:val="009D3BE8"/>
    <w:rsid w:val="009D44E0"/>
    <w:rsid w:val="009D573B"/>
    <w:rsid w:val="009D57A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3BC7"/>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1591"/>
    <w:rsid w:val="00A755B6"/>
    <w:rsid w:val="00A75B1A"/>
    <w:rsid w:val="00A80ED4"/>
    <w:rsid w:val="00A816C4"/>
    <w:rsid w:val="00A82981"/>
    <w:rsid w:val="00A85C2C"/>
    <w:rsid w:val="00A86F10"/>
    <w:rsid w:val="00A87AF2"/>
    <w:rsid w:val="00A90B23"/>
    <w:rsid w:val="00A93193"/>
    <w:rsid w:val="00A93C2B"/>
    <w:rsid w:val="00A94556"/>
    <w:rsid w:val="00A974CB"/>
    <w:rsid w:val="00AA1EAC"/>
    <w:rsid w:val="00AA2B2D"/>
    <w:rsid w:val="00AA45E2"/>
    <w:rsid w:val="00AA7AC1"/>
    <w:rsid w:val="00AB6327"/>
    <w:rsid w:val="00AB6B8F"/>
    <w:rsid w:val="00AC0C65"/>
    <w:rsid w:val="00AC0FB2"/>
    <w:rsid w:val="00AC1267"/>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2F84"/>
    <w:rsid w:val="00B05401"/>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16F"/>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373D"/>
    <w:rsid w:val="00BD4C95"/>
    <w:rsid w:val="00BD65FC"/>
    <w:rsid w:val="00BD7660"/>
    <w:rsid w:val="00BE0666"/>
    <w:rsid w:val="00BE24B9"/>
    <w:rsid w:val="00BE2AE8"/>
    <w:rsid w:val="00BE2D55"/>
    <w:rsid w:val="00BE38DD"/>
    <w:rsid w:val="00BE4480"/>
    <w:rsid w:val="00BE4AB1"/>
    <w:rsid w:val="00BF16C3"/>
    <w:rsid w:val="00BF38E0"/>
    <w:rsid w:val="00BF44FA"/>
    <w:rsid w:val="00BF57E1"/>
    <w:rsid w:val="00C003B4"/>
    <w:rsid w:val="00C00A5F"/>
    <w:rsid w:val="00C042E0"/>
    <w:rsid w:val="00C051D9"/>
    <w:rsid w:val="00C06333"/>
    <w:rsid w:val="00C06F68"/>
    <w:rsid w:val="00C0737C"/>
    <w:rsid w:val="00C075BA"/>
    <w:rsid w:val="00C10A3A"/>
    <w:rsid w:val="00C11E20"/>
    <w:rsid w:val="00C15D16"/>
    <w:rsid w:val="00C16AB5"/>
    <w:rsid w:val="00C20015"/>
    <w:rsid w:val="00C21E21"/>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6781"/>
    <w:rsid w:val="00C4756A"/>
    <w:rsid w:val="00C47C39"/>
    <w:rsid w:val="00C47DAB"/>
    <w:rsid w:val="00C50649"/>
    <w:rsid w:val="00C50E1F"/>
    <w:rsid w:val="00C51C09"/>
    <w:rsid w:val="00C52BB6"/>
    <w:rsid w:val="00C53471"/>
    <w:rsid w:val="00C5512B"/>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87DFD"/>
    <w:rsid w:val="00C91517"/>
    <w:rsid w:val="00C929BD"/>
    <w:rsid w:val="00C931A2"/>
    <w:rsid w:val="00CA02E1"/>
    <w:rsid w:val="00CA15DA"/>
    <w:rsid w:val="00CA224E"/>
    <w:rsid w:val="00CA41C5"/>
    <w:rsid w:val="00CA42B7"/>
    <w:rsid w:val="00CA4A53"/>
    <w:rsid w:val="00CA4ADA"/>
    <w:rsid w:val="00CA51F5"/>
    <w:rsid w:val="00CA5A78"/>
    <w:rsid w:val="00CB218A"/>
    <w:rsid w:val="00CB225A"/>
    <w:rsid w:val="00CB69E6"/>
    <w:rsid w:val="00CB761B"/>
    <w:rsid w:val="00CB7E33"/>
    <w:rsid w:val="00CC127A"/>
    <w:rsid w:val="00CC13DF"/>
    <w:rsid w:val="00CC1EEE"/>
    <w:rsid w:val="00CC562B"/>
    <w:rsid w:val="00CC6C15"/>
    <w:rsid w:val="00CC7FCF"/>
    <w:rsid w:val="00CD1717"/>
    <w:rsid w:val="00CD1F04"/>
    <w:rsid w:val="00CD2749"/>
    <w:rsid w:val="00CD2A60"/>
    <w:rsid w:val="00CD306F"/>
    <w:rsid w:val="00CD3971"/>
    <w:rsid w:val="00CD3DAB"/>
    <w:rsid w:val="00CD4A76"/>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1F98"/>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4E9"/>
    <w:rsid w:val="00D83E66"/>
    <w:rsid w:val="00D84D5F"/>
    <w:rsid w:val="00D851E2"/>
    <w:rsid w:val="00D87FFA"/>
    <w:rsid w:val="00D91419"/>
    <w:rsid w:val="00D92A09"/>
    <w:rsid w:val="00D92D2A"/>
    <w:rsid w:val="00D92EEC"/>
    <w:rsid w:val="00D93470"/>
    <w:rsid w:val="00D9395F"/>
    <w:rsid w:val="00D93D55"/>
    <w:rsid w:val="00D93E3D"/>
    <w:rsid w:val="00D941FA"/>
    <w:rsid w:val="00D94B59"/>
    <w:rsid w:val="00D95315"/>
    <w:rsid w:val="00D95EAB"/>
    <w:rsid w:val="00D97B33"/>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527E"/>
    <w:rsid w:val="00E16857"/>
    <w:rsid w:val="00E16C3A"/>
    <w:rsid w:val="00E20651"/>
    <w:rsid w:val="00E2107C"/>
    <w:rsid w:val="00E21E70"/>
    <w:rsid w:val="00E224DE"/>
    <w:rsid w:val="00E23DCE"/>
    <w:rsid w:val="00E23EA9"/>
    <w:rsid w:val="00E26363"/>
    <w:rsid w:val="00E272A4"/>
    <w:rsid w:val="00E27CF9"/>
    <w:rsid w:val="00E305F9"/>
    <w:rsid w:val="00E306AC"/>
    <w:rsid w:val="00E31FD3"/>
    <w:rsid w:val="00E33723"/>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2644"/>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705"/>
    <w:rsid w:val="00EB0DC9"/>
    <w:rsid w:val="00EB1383"/>
    <w:rsid w:val="00EB252D"/>
    <w:rsid w:val="00EB29FA"/>
    <w:rsid w:val="00EB2CCE"/>
    <w:rsid w:val="00EB385F"/>
    <w:rsid w:val="00EB3E49"/>
    <w:rsid w:val="00EB517A"/>
    <w:rsid w:val="00EB5FC3"/>
    <w:rsid w:val="00EB6DA9"/>
    <w:rsid w:val="00EB716D"/>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4E8E"/>
    <w:rsid w:val="00F450BA"/>
    <w:rsid w:val="00F456B5"/>
    <w:rsid w:val="00F4684B"/>
    <w:rsid w:val="00F46BE9"/>
    <w:rsid w:val="00F47C3B"/>
    <w:rsid w:val="00F506CA"/>
    <w:rsid w:val="00F53A7A"/>
    <w:rsid w:val="00F54FCD"/>
    <w:rsid w:val="00F550ED"/>
    <w:rsid w:val="00F5785C"/>
    <w:rsid w:val="00F65E3C"/>
    <w:rsid w:val="00F67076"/>
    <w:rsid w:val="00F677FA"/>
    <w:rsid w:val="00F7115A"/>
    <w:rsid w:val="00F717AA"/>
    <w:rsid w:val="00F72714"/>
    <w:rsid w:val="00F742AE"/>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28EE"/>
    <w:rsid w:val="00FA0109"/>
    <w:rsid w:val="00FA458B"/>
    <w:rsid w:val="00FA5EC5"/>
    <w:rsid w:val="00FA7016"/>
    <w:rsid w:val="00FA7174"/>
    <w:rsid w:val="00FA793D"/>
    <w:rsid w:val="00FB020E"/>
    <w:rsid w:val="00FB0F17"/>
    <w:rsid w:val="00FB4B9D"/>
    <w:rsid w:val="00FB50ED"/>
    <w:rsid w:val="00FB6E18"/>
    <w:rsid w:val="00FC144B"/>
    <w:rsid w:val="00FC1A60"/>
    <w:rsid w:val="00FC2169"/>
    <w:rsid w:val="00FC28E2"/>
    <w:rsid w:val="00FC3BF6"/>
    <w:rsid w:val="00FC3D22"/>
    <w:rsid w:val="00FC6FE1"/>
    <w:rsid w:val="00FD0C3D"/>
    <w:rsid w:val="00FD2F6B"/>
    <w:rsid w:val="00FD3BF6"/>
    <w:rsid w:val="00FE064A"/>
    <w:rsid w:val="00FE0B55"/>
    <w:rsid w:val="00FE1E98"/>
    <w:rsid w:val="00FE2452"/>
    <w:rsid w:val="00FE5469"/>
    <w:rsid w:val="00FE66C2"/>
    <w:rsid w:val="00FE684A"/>
    <w:rsid w:val="00FE6F23"/>
    <w:rsid w:val="00FF0F8C"/>
    <w:rsid w:val="00FF408B"/>
    <w:rsid w:val="00FF43E1"/>
    <w:rsid w:val="00FF6750"/>
    <w:rsid w:val="01AA6A0A"/>
    <w:rsid w:val="01C91701"/>
    <w:rsid w:val="01F178E1"/>
    <w:rsid w:val="03430854"/>
    <w:rsid w:val="039F5FA6"/>
    <w:rsid w:val="05083806"/>
    <w:rsid w:val="0541366C"/>
    <w:rsid w:val="06F65593"/>
    <w:rsid w:val="077B0C8D"/>
    <w:rsid w:val="07F86296"/>
    <w:rsid w:val="0829510E"/>
    <w:rsid w:val="08800B84"/>
    <w:rsid w:val="0881546F"/>
    <w:rsid w:val="09305ADA"/>
    <w:rsid w:val="0A432BC4"/>
    <w:rsid w:val="0A68434F"/>
    <w:rsid w:val="0ACC16C4"/>
    <w:rsid w:val="0AE5045F"/>
    <w:rsid w:val="0B90367C"/>
    <w:rsid w:val="0D2301F1"/>
    <w:rsid w:val="0E8013B7"/>
    <w:rsid w:val="0ECF3AA7"/>
    <w:rsid w:val="10D604C6"/>
    <w:rsid w:val="11342AB5"/>
    <w:rsid w:val="11622FEF"/>
    <w:rsid w:val="11B515E0"/>
    <w:rsid w:val="12083BA1"/>
    <w:rsid w:val="13A53267"/>
    <w:rsid w:val="13DF2E29"/>
    <w:rsid w:val="13F476C7"/>
    <w:rsid w:val="13F970D2"/>
    <w:rsid w:val="14124830"/>
    <w:rsid w:val="146B4253"/>
    <w:rsid w:val="14AA4136"/>
    <w:rsid w:val="163A420B"/>
    <w:rsid w:val="16D41320"/>
    <w:rsid w:val="17DE65C8"/>
    <w:rsid w:val="189611EA"/>
    <w:rsid w:val="19413B26"/>
    <w:rsid w:val="19504DF9"/>
    <w:rsid w:val="19535282"/>
    <w:rsid w:val="199B1FF5"/>
    <w:rsid w:val="1AB65028"/>
    <w:rsid w:val="1BA16FF9"/>
    <w:rsid w:val="1C145583"/>
    <w:rsid w:val="1C6D3688"/>
    <w:rsid w:val="1C974DF7"/>
    <w:rsid w:val="1CC63D0A"/>
    <w:rsid w:val="1DC2081A"/>
    <w:rsid w:val="1DD94266"/>
    <w:rsid w:val="1F9D0947"/>
    <w:rsid w:val="1FCB5D77"/>
    <w:rsid w:val="1FFB29C6"/>
    <w:rsid w:val="20BA16B0"/>
    <w:rsid w:val="229D06EB"/>
    <w:rsid w:val="22AF3620"/>
    <w:rsid w:val="22E70AD4"/>
    <w:rsid w:val="23846E83"/>
    <w:rsid w:val="24942E1C"/>
    <w:rsid w:val="24F1508D"/>
    <w:rsid w:val="2544426C"/>
    <w:rsid w:val="256C23F4"/>
    <w:rsid w:val="266F634F"/>
    <w:rsid w:val="276FBB5A"/>
    <w:rsid w:val="27C06F02"/>
    <w:rsid w:val="288305BF"/>
    <w:rsid w:val="291059EA"/>
    <w:rsid w:val="2A2002A3"/>
    <w:rsid w:val="2B327AAA"/>
    <w:rsid w:val="2BBF12EC"/>
    <w:rsid w:val="2BC649D9"/>
    <w:rsid w:val="2CAB63A9"/>
    <w:rsid w:val="2DB24153"/>
    <w:rsid w:val="2F056265"/>
    <w:rsid w:val="2F142ABA"/>
    <w:rsid w:val="2F8F4020"/>
    <w:rsid w:val="2F92637B"/>
    <w:rsid w:val="2FB7D682"/>
    <w:rsid w:val="306E6C84"/>
    <w:rsid w:val="30CD0E88"/>
    <w:rsid w:val="32DA670A"/>
    <w:rsid w:val="33D72EED"/>
    <w:rsid w:val="33DA2374"/>
    <w:rsid w:val="33F64657"/>
    <w:rsid w:val="34C92770"/>
    <w:rsid w:val="3515160D"/>
    <w:rsid w:val="35330E90"/>
    <w:rsid w:val="368D09BB"/>
    <w:rsid w:val="36C6556E"/>
    <w:rsid w:val="373D8EBA"/>
    <w:rsid w:val="38B243A3"/>
    <w:rsid w:val="38C025D2"/>
    <w:rsid w:val="39600B43"/>
    <w:rsid w:val="39CC0671"/>
    <w:rsid w:val="3A381630"/>
    <w:rsid w:val="3A492FA7"/>
    <w:rsid w:val="3A7416B0"/>
    <w:rsid w:val="3AB81051"/>
    <w:rsid w:val="3B252996"/>
    <w:rsid w:val="3B551709"/>
    <w:rsid w:val="3B8D099A"/>
    <w:rsid w:val="3C116F5B"/>
    <w:rsid w:val="3C7D00D8"/>
    <w:rsid w:val="3CA06C0C"/>
    <w:rsid w:val="3D1E0365"/>
    <w:rsid w:val="3D6A7DDF"/>
    <w:rsid w:val="3D8726E3"/>
    <w:rsid w:val="3E37EFE1"/>
    <w:rsid w:val="3EA25851"/>
    <w:rsid w:val="3F6C3757"/>
    <w:rsid w:val="3F706FA2"/>
    <w:rsid w:val="3FDE33D3"/>
    <w:rsid w:val="3FFE2CC8"/>
    <w:rsid w:val="40193D86"/>
    <w:rsid w:val="405D6A10"/>
    <w:rsid w:val="41023C7B"/>
    <w:rsid w:val="419560F8"/>
    <w:rsid w:val="41DA6594"/>
    <w:rsid w:val="4204585E"/>
    <w:rsid w:val="421523D2"/>
    <w:rsid w:val="43F61A58"/>
    <w:rsid w:val="444C1A75"/>
    <w:rsid w:val="44A3526F"/>
    <w:rsid w:val="44B032F4"/>
    <w:rsid w:val="45641F27"/>
    <w:rsid w:val="457D25F7"/>
    <w:rsid w:val="460E5B39"/>
    <w:rsid w:val="468341CD"/>
    <w:rsid w:val="46AA24DA"/>
    <w:rsid w:val="46B739B0"/>
    <w:rsid w:val="46EF52B1"/>
    <w:rsid w:val="46FC7C9E"/>
    <w:rsid w:val="46FD3AE3"/>
    <w:rsid w:val="47271074"/>
    <w:rsid w:val="472C2589"/>
    <w:rsid w:val="47310E91"/>
    <w:rsid w:val="478430E5"/>
    <w:rsid w:val="48404FB4"/>
    <w:rsid w:val="48DE09A5"/>
    <w:rsid w:val="491D798B"/>
    <w:rsid w:val="49B36408"/>
    <w:rsid w:val="49ED7F9F"/>
    <w:rsid w:val="4A760AEB"/>
    <w:rsid w:val="4ADB7BCB"/>
    <w:rsid w:val="4B37721C"/>
    <w:rsid w:val="4BD77A01"/>
    <w:rsid w:val="4CDD7C84"/>
    <w:rsid w:val="4D8D3E23"/>
    <w:rsid w:val="4DC60C68"/>
    <w:rsid w:val="4DF32E55"/>
    <w:rsid w:val="4E57145A"/>
    <w:rsid w:val="4EBF8F80"/>
    <w:rsid w:val="4F3162CA"/>
    <w:rsid w:val="4FA92BCB"/>
    <w:rsid w:val="50D95873"/>
    <w:rsid w:val="51BA13AC"/>
    <w:rsid w:val="526102AF"/>
    <w:rsid w:val="528444DA"/>
    <w:rsid w:val="53284452"/>
    <w:rsid w:val="537745D5"/>
    <w:rsid w:val="544607AB"/>
    <w:rsid w:val="54607A4D"/>
    <w:rsid w:val="547212B4"/>
    <w:rsid w:val="552306F6"/>
    <w:rsid w:val="55372098"/>
    <w:rsid w:val="56E352D5"/>
    <w:rsid w:val="57E435FE"/>
    <w:rsid w:val="582D0655"/>
    <w:rsid w:val="58350D3F"/>
    <w:rsid w:val="58EC0B7F"/>
    <w:rsid w:val="5951205C"/>
    <w:rsid w:val="59D079E8"/>
    <w:rsid w:val="59D40847"/>
    <w:rsid w:val="5A4A2AA6"/>
    <w:rsid w:val="5AE37F25"/>
    <w:rsid w:val="5B16746E"/>
    <w:rsid w:val="5B553F32"/>
    <w:rsid w:val="5BF036D8"/>
    <w:rsid w:val="5BF208C1"/>
    <w:rsid w:val="5C0748B8"/>
    <w:rsid w:val="5C420D1B"/>
    <w:rsid w:val="5CB23D47"/>
    <w:rsid w:val="5D9F4A9B"/>
    <w:rsid w:val="5DDFB9F0"/>
    <w:rsid w:val="5E2452AA"/>
    <w:rsid w:val="5E9BB044"/>
    <w:rsid w:val="5F121E02"/>
    <w:rsid w:val="5F6F11D3"/>
    <w:rsid w:val="5F832683"/>
    <w:rsid w:val="5FAF09C4"/>
    <w:rsid w:val="5FDB4522"/>
    <w:rsid w:val="5FE92E6B"/>
    <w:rsid w:val="5FF70ACC"/>
    <w:rsid w:val="608C4642"/>
    <w:rsid w:val="60B65AC4"/>
    <w:rsid w:val="61DB4148"/>
    <w:rsid w:val="61EA1F6A"/>
    <w:rsid w:val="61EE6D2A"/>
    <w:rsid w:val="62541343"/>
    <w:rsid w:val="62795572"/>
    <w:rsid w:val="630A5AB5"/>
    <w:rsid w:val="63133D1C"/>
    <w:rsid w:val="64DD6417"/>
    <w:rsid w:val="658847D9"/>
    <w:rsid w:val="65975689"/>
    <w:rsid w:val="66004745"/>
    <w:rsid w:val="6673060D"/>
    <w:rsid w:val="67B84D8A"/>
    <w:rsid w:val="67EF3A31"/>
    <w:rsid w:val="69BB518F"/>
    <w:rsid w:val="69E03CAD"/>
    <w:rsid w:val="6A243776"/>
    <w:rsid w:val="6A567F20"/>
    <w:rsid w:val="6B500F91"/>
    <w:rsid w:val="6C0E7320"/>
    <w:rsid w:val="6C41779A"/>
    <w:rsid w:val="6CD97953"/>
    <w:rsid w:val="6D683A44"/>
    <w:rsid w:val="6DDE6FAA"/>
    <w:rsid w:val="6ED30FD7"/>
    <w:rsid w:val="6F5D5508"/>
    <w:rsid w:val="6F6413DF"/>
    <w:rsid w:val="6FBDD597"/>
    <w:rsid w:val="6FBF9158"/>
    <w:rsid w:val="7015403C"/>
    <w:rsid w:val="727D78FD"/>
    <w:rsid w:val="729511A9"/>
    <w:rsid w:val="73272BE7"/>
    <w:rsid w:val="73CC655F"/>
    <w:rsid w:val="74187CF4"/>
    <w:rsid w:val="74E57755"/>
    <w:rsid w:val="750827EB"/>
    <w:rsid w:val="75957445"/>
    <w:rsid w:val="75D01AE1"/>
    <w:rsid w:val="75E63170"/>
    <w:rsid w:val="77524363"/>
    <w:rsid w:val="77B917B5"/>
    <w:rsid w:val="77DC56BC"/>
    <w:rsid w:val="77FDA119"/>
    <w:rsid w:val="782253F7"/>
    <w:rsid w:val="78703975"/>
    <w:rsid w:val="79BC5818"/>
    <w:rsid w:val="79E1032F"/>
    <w:rsid w:val="7AEC4F31"/>
    <w:rsid w:val="7B380F3E"/>
    <w:rsid w:val="7BD98D45"/>
    <w:rsid w:val="7BDDCD02"/>
    <w:rsid w:val="7BE420FD"/>
    <w:rsid w:val="7BFF407B"/>
    <w:rsid w:val="7C266648"/>
    <w:rsid w:val="7D0D296B"/>
    <w:rsid w:val="7D4E0B54"/>
    <w:rsid w:val="7D503E78"/>
    <w:rsid w:val="7E0160D4"/>
    <w:rsid w:val="7E131FC0"/>
    <w:rsid w:val="7E7F3DB2"/>
    <w:rsid w:val="7EAA3BD1"/>
    <w:rsid w:val="7F1E0E96"/>
    <w:rsid w:val="7F402894"/>
    <w:rsid w:val="7F986D1F"/>
    <w:rsid w:val="7F9E6CEC"/>
    <w:rsid w:val="7FD6EAC6"/>
    <w:rsid w:val="7FDE066E"/>
    <w:rsid w:val="7FDE49A4"/>
    <w:rsid w:val="7FFF5578"/>
    <w:rsid w:val="A5FE3500"/>
    <w:rsid w:val="ABFB7424"/>
    <w:rsid w:val="B0FFE8F2"/>
    <w:rsid w:val="BAD7520C"/>
    <w:rsid w:val="BBDF0CAB"/>
    <w:rsid w:val="BDFF273B"/>
    <w:rsid w:val="BE7F82E9"/>
    <w:rsid w:val="BEF2074C"/>
    <w:rsid w:val="BFB74786"/>
    <w:rsid w:val="D17E10C7"/>
    <w:rsid w:val="D39D3772"/>
    <w:rsid w:val="D7EF1786"/>
    <w:rsid w:val="DBFA4CFE"/>
    <w:rsid w:val="DBFD10D1"/>
    <w:rsid w:val="DCFFC7B1"/>
    <w:rsid w:val="DD7B1625"/>
    <w:rsid w:val="DEF7592D"/>
    <w:rsid w:val="E7EBB705"/>
    <w:rsid w:val="ECFDE043"/>
    <w:rsid w:val="ED1FC512"/>
    <w:rsid w:val="ED3EF78B"/>
    <w:rsid w:val="EE7F8A01"/>
    <w:rsid w:val="EF7723E6"/>
    <w:rsid w:val="EF7F18B3"/>
    <w:rsid w:val="EFDD8F7D"/>
    <w:rsid w:val="EFFE7D78"/>
    <w:rsid w:val="F69FF99B"/>
    <w:rsid w:val="F6AFBB97"/>
    <w:rsid w:val="F72FF738"/>
    <w:rsid w:val="F777100D"/>
    <w:rsid w:val="F7DB4408"/>
    <w:rsid w:val="F7DFE974"/>
    <w:rsid w:val="FB3FF264"/>
    <w:rsid w:val="FBE680CE"/>
    <w:rsid w:val="FD3ADC44"/>
    <w:rsid w:val="FDAF4646"/>
    <w:rsid w:val="FDFE32EB"/>
    <w:rsid w:val="FE97B7FC"/>
    <w:rsid w:val="FF2F4487"/>
    <w:rsid w:val="FFEBA744"/>
    <w:rsid w:val="FFF98A89"/>
    <w:rsid w:val="FFFD1615"/>
    <w:rsid w:val="FFFF0FBC"/>
    <w:rsid w:val="FFFF24B1"/>
    <w:rsid w:val="FFFFC9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44"/>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45"/>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46"/>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7"/>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48"/>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4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50"/>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51"/>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2"/>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3"/>
    <w:qFormat/>
    <w:uiPriority w:val="0"/>
    <w:pPr>
      <w:spacing w:afterLines="50"/>
      <w:ind w:firstLine="200"/>
    </w:pPr>
    <w:rPr>
      <w:rFonts w:ascii="Arial" w:hAnsi="Arial" w:eastAsia="黑体"/>
      <w:sz w:val="20"/>
      <w:szCs w:val="20"/>
    </w:rPr>
  </w:style>
  <w:style w:type="paragraph" w:styleId="14">
    <w:name w:val="Document Map"/>
    <w:basedOn w:val="1"/>
    <w:link w:val="54"/>
    <w:qFormat/>
    <w:uiPriority w:val="0"/>
    <w:rPr>
      <w:rFonts w:hAnsi="Times New Roman"/>
      <w:sz w:val="18"/>
      <w:szCs w:val="18"/>
    </w:rPr>
  </w:style>
  <w:style w:type="paragraph" w:styleId="15">
    <w:name w:val="annotation text"/>
    <w:basedOn w:val="1"/>
    <w:link w:val="55"/>
    <w:qFormat/>
    <w:uiPriority w:val="99"/>
    <w:pPr>
      <w:jc w:val="left"/>
    </w:pPr>
    <w:rPr>
      <w:rFonts w:ascii="Times New Roman" w:hAnsi="Times New Roman" w:eastAsia="仿宋"/>
      <w:sz w:val="28"/>
    </w:rPr>
  </w:style>
  <w:style w:type="paragraph" w:styleId="16">
    <w:name w:val="Body Text"/>
    <w:basedOn w:val="1"/>
    <w:next w:val="17"/>
    <w:link w:val="56"/>
    <w:unhideWhenUsed/>
    <w:qFormat/>
    <w:uiPriority w:val="0"/>
    <w:pPr>
      <w:spacing w:after="120" w:line="240" w:lineRule="auto"/>
      <w:ind w:firstLine="0" w:firstLineChars="0"/>
    </w:pPr>
    <w:rPr>
      <w:rFonts w:ascii="Times New Roman" w:hAnsi="Times New Roman"/>
      <w:sz w:val="21"/>
    </w:rPr>
  </w:style>
  <w:style w:type="paragraph" w:styleId="17">
    <w:name w:val="Body Text First Indent"/>
    <w:basedOn w:val="16"/>
    <w:qFormat/>
    <w:uiPriority w:val="0"/>
    <w:pPr>
      <w:ind w:firstLine="420" w:firstLineChars="100"/>
    </w:pPr>
  </w:style>
  <w:style w:type="paragraph" w:styleId="18">
    <w:name w:val="Body Text Indent"/>
    <w:basedOn w:val="1"/>
    <w:link w:val="57"/>
    <w:qFormat/>
    <w:uiPriority w:val="0"/>
    <w:pPr>
      <w:spacing w:after="120"/>
      <w:ind w:firstLine="200"/>
    </w:pPr>
    <w:rPr>
      <w:rFonts w:ascii="Times New Roman" w:hAnsi="Times New Roman"/>
      <w:sz w:val="21"/>
      <w:szCs w:val="20"/>
    </w:rPr>
  </w:style>
  <w:style w:type="paragraph" w:styleId="19">
    <w:name w:val="toc 5"/>
    <w:basedOn w:val="1"/>
    <w:next w:val="1"/>
    <w:unhideWhenUsed/>
    <w:qFormat/>
    <w:uiPriority w:val="39"/>
    <w:pPr>
      <w:ind w:left="1680" w:leftChars="800"/>
    </w:pPr>
    <w:rPr>
      <w:rFonts w:ascii="等线" w:hAnsi="等线" w:eastAsia="等线"/>
      <w:szCs w:val="22"/>
    </w:rPr>
  </w:style>
  <w:style w:type="paragraph" w:styleId="20">
    <w:name w:val="toc 3"/>
    <w:basedOn w:val="1"/>
    <w:next w:val="1"/>
    <w:qFormat/>
    <w:uiPriority w:val="39"/>
    <w:pPr>
      <w:tabs>
        <w:tab w:val="right" w:leader="dot" w:pos="8302"/>
      </w:tabs>
      <w:ind w:left="840" w:leftChars="400"/>
    </w:pPr>
  </w:style>
  <w:style w:type="paragraph" w:styleId="21">
    <w:name w:val="Plain Text"/>
    <w:basedOn w:val="1"/>
    <w:link w:val="58"/>
    <w:qFormat/>
    <w:uiPriority w:val="0"/>
    <w:pPr>
      <w:spacing w:line="240" w:lineRule="auto"/>
      <w:ind w:firstLine="0" w:firstLineChars="0"/>
    </w:pPr>
    <w:rPr>
      <w:rFonts w:hAnsi="Courier New"/>
      <w:sz w:val="21"/>
      <w:szCs w:val="20"/>
    </w:rPr>
  </w:style>
  <w:style w:type="paragraph" w:styleId="22">
    <w:name w:val="toc 8"/>
    <w:basedOn w:val="1"/>
    <w:next w:val="1"/>
    <w:unhideWhenUsed/>
    <w:qFormat/>
    <w:uiPriority w:val="39"/>
    <w:pPr>
      <w:ind w:left="2940" w:leftChars="1400"/>
    </w:pPr>
    <w:rPr>
      <w:rFonts w:ascii="等线" w:hAnsi="等线" w:eastAsia="等线"/>
      <w:szCs w:val="22"/>
    </w:rPr>
  </w:style>
  <w:style w:type="paragraph" w:styleId="23">
    <w:name w:val="Date"/>
    <w:basedOn w:val="1"/>
    <w:next w:val="1"/>
    <w:link w:val="59"/>
    <w:qFormat/>
    <w:uiPriority w:val="0"/>
    <w:pPr>
      <w:ind w:left="100" w:leftChars="2500"/>
    </w:pPr>
    <w:rPr>
      <w:rFonts w:ascii="Times New Roman" w:hAnsi="Times New Roman"/>
      <w:sz w:val="21"/>
    </w:rPr>
  </w:style>
  <w:style w:type="paragraph" w:styleId="24">
    <w:name w:val="Balloon Text"/>
    <w:basedOn w:val="1"/>
    <w:link w:val="60"/>
    <w:qFormat/>
    <w:uiPriority w:val="0"/>
    <w:rPr>
      <w:rFonts w:ascii="Times New Roman" w:hAnsi="Times New Roman"/>
      <w:sz w:val="18"/>
      <w:szCs w:val="18"/>
    </w:rPr>
  </w:style>
  <w:style w:type="paragraph" w:styleId="25">
    <w:name w:val="footer"/>
    <w:basedOn w:val="1"/>
    <w:link w:val="61"/>
    <w:qFormat/>
    <w:uiPriority w:val="99"/>
    <w:pPr>
      <w:tabs>
        <w:tab w:val="center" w:pos="4153"/>
        <w:tab w:val="right" w:pos="8306"/>
      </w:tabs>
      <w:snapToGrid w:val="0"/>
      <w:jc w:val="center"/>
    </w:pPr>
    <w:rPr>
      <w:rFonts w:ascii="Times New Roman" w:hAnsi="Times New Roman"/>
      <w:sz w:val="18"/>
      <w:szCs w:val="18"/>
    </w:rPr>
  </w:style>
  <w:style w:type="paragraph" w:styleId="26">
    <w:name w:val="header"/>
    <w:basedOn w:val="1"/>
    <w:link w:val="62"/>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等线" w:hAnsi="等线" w:eastAsia="等线"/>
      <w:szCs w:val="22"/>
    </w:rPr>
  </w:style>
  <w:style w:type="paragraph" w:styleId="29">
    <w:name w:val="Subtitle"/>
    <w:basedOn w:val="1"/>
    <w:next w:val="1"/>
    <w:link w:val="63"/>
    <w:qFormat/>
    <w:uiPriority w:val="0"/>
    <w:pPr>
      <w:spacing w:before="240" w:after="60" w:line="312" w:lineRule="auto"/>
      <w:jc w:val="center"/>
      <w:outlineLvl w:val="1"/>
    </w:pPr>
    <w:rPr>
      <w:rFonts w:ascii="Calibri Light" w:hAnsi="Calibri Light"/>
      <w:b/>
      <w:bCs/>
      <w:kern w:val="28"/>
      <w:sz w:val="32"/>
      <w:szCs w:val="32"/>
    </w:rPr>
  </w:style>
  <w:style w:type="paragraph" w:styleId="30">
    <w:name w:val="toc 6"/>
    <w:basedOn w:val="1"/>
    <w:next w:val="1"/>
    <w:unhideWhenUsed/>
    <w:qFormat/>
    <w:uiPriority w:val="39"/>
    <w:pPr>
      <w:ind w:left="2100" w:leftChars="1000"/>
    </w:pPr>
    <w:rPr>
      <w:rFonts w:ascii="等线" w:hAnsi="等线" w:eastAsia="等线"/>
      <w:szCs w:val="22"/>
    </w:rPr>
  </w:style>
  <w:style w:type="paragraph" w:styleId="31">
    <w:name w:val="toc 2"/>
    <w:basedOn w:val="1"/>
    <w:next w:val="1"/>
    <w:qFormat/>
    <w:uiPriority w:val="39"/>
    <w:pPr>
      <w:tabs>
        <w:tab w:val="right" w:leader="dot" w:pos="8302"/>
      </w:tabs>
      <w:ind w:left="420" w:leftChars="200"/>
    </w:pPr>
  </w:style>
  <w:style w:type="paragraph" w:styleId="32">
    <w:name w:val="toc 9"/>
    <w:basedOn w:val="1"/>
    <w:next w:val="1"/>
    <w:unhideWhenUsed/>
    <w:qFormat/>
    <w:uiPriority w:val="39"/>
    <w:pPr>
      <w:ind w:left="3360" w:leftChars="1600"/>
    </w:pPr>
    <w:rPr>
      <w:rFonts w:ascii="等线" w:hAnsi="等线" w:eastAsia="等线"/>
      <w:szCs w:val="22"/>
    </w:rPr>
  </w:style>
  <w:style w:type="paragraph" w:styleId="33">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64"/>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5"/>
    <w:next w:val="15"/>
    <w:link w:val="65"/>
    <w:qFormat/>
    <w:uiPriority w:val="0"/>
    <w:rPr>
      <w:b/>
      <w:bCs/>
      <w:sz w:val="21"/>
    </w:rPr>
  </w:style>
  <w:style w:type="table" w:styleId="37">
    <w:name w:val="Table Grid"/>
    <w:basedOn w:val="3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标题 1 Char1"/>
    <w:link w:val="2"/>
    <w:qFormat/>
    <w:uiPriority w:val="0"/>
    <w:rPr>
      <w:rFonts w:ascii="宋体" w:hAnsi="宋体" w:eastAsia="黑体"/>
      <w:b/>
      <w:bCs/>
      <w:kern w:val="44"/>
      <w:sz w:val="32"/>
      <w:szCs w:val="28"/>
    </w:rPr>
  </w:style>
  <w:style w:type="character" w:customStyle="1" w:styleId="45">
    <w:name w:val="标题 2 Char"/>
    <w:link w:val="3"/>
    <w:qFormat/>
    <w:uiPriority w:val="9"/>
    <w:rPr>
      <w:rFonts w:ascii="宋体" w:hAnsi="宋体"/>
      <w:b/>
      <w:bCs/>
      <w:kern w:val="2"/>
      <w:sz w:val="30"/>
      <w:szCs w:val="32"/>
    </w:rPr>
  </w:style>
  <w:style w:type="character" w:customStyle="1" w:styleId="46">
    <w:name w:val="标题 3 Char"/>
    <w:link w:val="4"/>
    <w:qFormat/>
    <w:uiPriority w:val="0"/>
    <w:rPr>
      <w:rFonts w:ascii="宋体" w:hAnsi="宋体"/>
      <w:b/>
      <w:bCs/>
      <w:kern w:val="2"/>
      <w:sz w:val="28"/>
      <w:szCs w:val="28"/>
    </w:rPr>
  </w:style>
  <w:style w:type="character" w:customStyle="1" w:styleId="47">
    <w:name w:val="标题 4 Char"/>
    <w:link w:val="5"/>
    <w:qFormat/>
    <w:uiPriority w:val="0"/>
    <w:rPr>
      <w:rFonts w:ascii="宋体" w:hAnsi="宋体"/>
      <w:b/>
      <w:bCs/>
      <w:kern w:val="2"/>
      <w:sz w:val="30"/>
      <w:szCs w:val="30"/>
    </w:rPr>
  </w:style>
  <w:style w:type="character" w:customStyle="1" w:styleId="48">
    <w:name w:val="标题 5 Char"/>
    <w:link w:val="6"/>
    <w:qFormat/>
    <w:uiPriority w:val="0"/>
    <w:rPr>
      <w:rFonts w:ascii="宋体" w:hAnsi="宋体"/>
      <w:b/>
      <w:bCs/>
      <w:kern w:val="2"/>
      <w:sz w:val="24"/>
      <w:szCs w:val="28"/>
    </w:rPr>
  </w:style>
  <w:style w:type="character" w:customStyle="1" w:styleId="49">
    <w:name w:val="标题 6 Char"/>
    <w:link w:val="7"/>
    <w:qFormat/>
    <w:uiPriority w:val="0"/>
    <w:rPr>
      <w:rFonts w:ascii="Cambria" w:hAnsi="Cambria"/>
      <w:b/>
      <w:bCs/>
      <w:kern w:val="2"/>
      <w:sz w:val="24"/>
      <w:szCs w:val="24"/>
    </w:rPr>
  </w:style>
  <w:style w:type="character" w:customStyle="1" w:styleId="50">
    <w:name w:val="标题 7 Char"/>
    <w:link w:val="8"/>
    <w:qFormat/>
    <w:uiPriority w:val="9"/>
    <w:rPr>
      <w:b/>
      <w:bCs/>
      <w:kern w:val="2"/>
      <w:sz w:val="21"/>
      <w:szCs w:val="24"/>
    </w:rPr>
  </w:style>
  <w:style w:type="character" w:customStyle="1" w:styleId="51">
    <w:name w:val="标题 8 Char"/>
    <w:link w:val="9"/>
    <w:qFormat/>
    <w:uiPriority w:val="9"/>
    <w:rPr>
      <w:rFonts w:ascii="Cambria" w:hAnsi="Cambria"/>
      <w:kern w:val="2"/>
      <w:sz w:val="21"/>
      <w:szCs w:val="24"/>
    </w:rPr>
  </w:style>
  <w:style w:type="character" w:customStyle="1" w:styleId="52">
    <w:name w:val="标题 9 Char"/>
    <w:link w:val="10"/>
    <w:qFormat/>
    <w:uiPriority w:val="9"/>
    <w:rPr>
      <w:rFonts w:ascii="Cambria" w:hAnsi="Cambria"/>
      <w:kern w:val="2"/>
      <w:sz w:val="21"/>
      <w:szCs w:val="21"/>
    </w:rPr>
  </w:style>
  <w:style w:type="character" w:customStyle="1" w:styleId="53">
    <w:name w:val="题注 Char"/>
    <w:link w:val="13"/>
    <w:qFormat/>
    <w:locked/>
    <w:uiPriority w:val="0"/>
    <w:rPr>
      <w:rFonts w:ascii="Arial" w:hAnsi="Arial" w:eastAsia="黑体"/>
      <w:kern w:val="2"/>
    </w:rPr>
  </w:style>
  <w:style w:type="character" w:customStyle="1" w:styleId="54">
    <w:name w:val="文档结构图 Char"/>
    <w:link w:val="14"/>
    <w:qFormat/>
    <w:uiPriority w:val="0"/>
    <w:rPr>
      <w:rFonts w:ascii="宋体"/>
      <w:kern w:val="2"/>
      <w:sz w:val="18"/>
      <w:szCs w:val="18"/>
    </w:rPr>
  </w:style>
  <w:style w:type="character" w:customStyle="1" w:styleId="55">
    <w:name w:val="批注文字 Char"/>
    <w:link w:val="15"/>
    <w:qFormat/>
    <w:uiPriority w:val="99"/>
    <w:rPr>
      <w:rFonts w:eastAsia="仿宋"/>
      <w:kern w:val="2"/>
      <w:sz w:val="28"/>
      <w:szCs w:val="24"/>
    </w:rPr>
  </w:style>
  <w:style w:type="character" w:customStyle="1" w:styleId="56">
    <w:name w:val="正文文本 Char"/>
    <w:link w:val="16"/>
    <w:qFormat/>
    <w:uiPriority w:val="0"/>
    <w:rPr>
      <w:kern w:val="2"/>
      <w:sz w:val="21"/>
      <w:szCs w:val="24"/>
    </w:rPr>
  </w:style>
  <w:style w:type="character" w:customStyle="1" w:styleId="57">
    <w:name w:val="正文文本缩进 Char"/>
    <w:link w:val="18"/>
    <w:qFormat/>
    <w:uiPriority w:val="0"/>
    <w:rPr>
      <w:kern w:val="2"/>
      <w:sz w:val="21"/>
    </w:rPr>
  </w:style>
  <w:style w:type="character" w:customStyle="1" w:styleId="58">
    <w:name w:val="纯文本 Char"/>
    <w:link w:val="21"/>
    <w:qFormat/>
    <w:locked/>
    <w:uiPriority w:val="0"/>
    <w:rPr>
      <w:rFonts w:ascii="宋体" w:hAnsi="Courier New"/>
      <w:kern w:val="2"/>
      <w:sz w:val="21"/>
    </w:rPr>
  </w:style>
  <w:style w:type="character" w:customStyle="1" w:styleId="59">
    <w:name w:val="日期 Char"/>
    <w:link w:val="23"/>
    <w:qFormat/>
    <w:uiPriority w:val="0"/>
    <w:rPr>
      <w:kern w:val="2"/>
      <w:sz w:val="21"/>
      <w:szCs w:val="24"/>
    </w:rPr>
  </w:style>
  <w:style w:type="character" w:customStyle="1" w:styleId="60">
    <w:name w:val="批注框文本 Char"/>
    <w:link w:val="24"/>
    <w:qFormat/>
    <w:uiPriority w:val="0"/>
    <w:rPr>
      <w:kern w:val="2"/>
      <w:sz w:val="18"/>
      <w:szCs w:val="18"/>
    </w:rPr>
  </w:style>
  <w:style w:type="character" w:customStyle="1" w:styleId="61">
    <w:name w:val="页脚 Char"/>
    <w:link w:val="25"/>
    <w:qFormat/>
    <w:uiPriority w:val="99"/>
    <w:rPr>
      <w:kern w:val="2"/>
      <w:sz w:val="18"/>
      <w:szCs w:val="18"/>
    </w:rPr>
  </w:style>
  <w:style w:type="character" w:customStyle="1" w:styleId="62">
    <w:name w:val="页眉 Char"/>
    <w:link w:val="26"/>
    <w:qFormat/>
    <w:uiPriority w:val="99"/>
    <w:rPr>
      <w:kern w:val="2"/>
      <w:sz w:val="18"/>
      <w:szCs w:val="18"/>
    </w:rPr>
  </w:style>
  <w:style w:type="character" w:customStyle="1" w:styleId="63">
    <w:name w:val="副标题 Char"/>
    <w:link w:val="29"/>
    <w:qFormat/>
    <w:uiPriority w:val="0"/>
    <w:rPr>
      <w:rFonts w:ascii="Calibri Light" w:hAnsi="Calibri Light"/>
      <w:b/>
      <w:bCs/>
      <w:kern w:val="28"/>
      <w:sz w:val="32"/>
      <w:szCs w:val="32"/>
    </w:rPr>
  </w:style>
  <w:style w:type="character" w:customStyle="1" w:styleId="64">
    <w:name w:val="标题 Char"/>
    <w:link w:val="34"/>
    <w:qFormat/>
    <w:uiPriority w:val="0"/>
    <w:rPr>
      <w:rFonts w:ascii="Cambria" w:hAnsi="Cambria" w:eastAsia="黑体"/>
      <w:b/>
      <w:bCs/>
      <w:kern w:val="2"/>
      <w:sz w:val="52"/>
      <w:szCs w:val="32"/>
    </w:rPr>
  </w:style>
  <w:style w:type="character" w:customStyle="1" w:styleId="65">
    <w:name w:val="批注主题 Char"/>
    <w:link w:val="35"/>
    <w:qFormat/>
    <w:uiPriority w:val="0"/>
    <w:rPr>
      <w:rFonts w:eastAsia="仿宋"/>
      <w:b/>
      <w:bCs/>
      <w:kern w:val="2"/>
      <w:sz w:val="21"/>
      <w:szCs w:val="24"/>
    </w:rPr>
  </w:style>
  <w:style w:type="character" w:customStyle="1" w:styleId="66">
    <w:name w:val="标题 3 字符1"/>
    <w:qFormat/>
    <w:uiPriority w:val="0"/>
    <w:rPr>
      <w:rFonts w:ascii="宋体" w:hAnsi="宋体"/>
      <w:b/>
      <w:bCs/>
      <w:kern w:val="2"/>
      <w:sz w:val="28"/>
      <w:szCs w:val="28"/>
    </w:rPr>
  </w:style>
  <w:style w:type="character" w:customStyle="1" w:styleId="67">
    <w:name w:val="首行缩进正文 Char"/>
    <w:link w:val="68"/>
    <w:qFormat/>
    <w:uiPriority w:val="0"/>
    <w:rPr>
      <w:kern w:val="2"/>
      <w:sz w:val="24"/>
    </w:rPr>
  </w:style>
  <w:style w:type="paragraph" w:customStyle="1" w:styleId="68">
    <w:name w:val="首行缩进正文"/>
    <w:basedOn w:val="1"/>
    <w:link w:val="67"/>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69">
    <w:name w:val="日期 字符"/>
    <w:semiHidden/>
    <w:qFormat/>
    <w:uiPriority w:val="99"/>
    <w:rPr>
      <w:rFonts w:ascii="宋体" w:hAnsi="宋体"/>
      <w:kern w:val="2"/>
      <w:sz w:val="24"/>
      <w:szCs w:val="24"/>
    </w:rPr>
  </w:style>
  <w:style w:type="character" w:customStyle="1" w:styleId="70">
    <w:name w:val="未处理的提及1"/>
    <w:unhideWhenUsed/>
    <w:qFormat/>
    <w:uiPriority w:val="99"/>
    <w:rPr>
      <w:color w:val="605E5C"/>
      <w:shd w:val="clear" w:color="auto" w:fill="E1DFDD"/>
    </w:rPr>
  </w:style>
  <w:style w:type="character" w:customStyle="1" w:styleId="71">
    <w:name w:val="标题 1 字符"/>
    <w:qFormat/>
    <w:uiPriority w:val="9"/>
    <w:rPr>
      <w:rFonts w:ascii="宋体" w:hAnsi="宋体"/>
      <w:b/>
      <w:bCs/>
      <w:kern w:val="44"/>
      <w:sz w:val="44"/>
      <w:szCs w:val="44"/>
    </w:rPr>
  </w:style>
  <w:style w:type="character" w:customStyle="1" w:styleId="72">
    <w:name w:val="标题 3 字符"/>
    <w:semiHidden/>
    <w:qFormat/>
    <w:uiPriority w:val="9"/>
    <w:rPr>
      <w:rFonts w:ascii="宋体" w:hAnsi="宋体"/>
      <w:b/>
      <w:bCs/>
      <w:kern w:val="2"/>
      <w:sz w:val="32"/>
      <w:szCs w:val="32"/>
    </w:rPr>
  </w:style>
  <w:style w:type="character" w:customStyle="1" w:styleId="73">
    <w:name w:val="页脚 字符"/>
    <w:qFormat/>
    <w:uiPriority w:val="99"/>
  </w:style>
  <w:style w:type="character" w:customStyle="1" w:styleId="74">
    <w:name w:val="标题 5 字符"/>
    <w:semiHidden/>
    <w:qFormat/>
    <w:uiPriority w:val="9"/>
    <w:rPr>
      <w:rFonts w:ascii="宋体" w:hAnsi="宋体"/>
      <w:b/>
      <w:bCs/>
      <w:kern w:val="2"/>
      <w:sz w:val="28"/>
      <w:szCs w:val="28"/>
    </w:rPr>
  </w:style>
  <w:style w:type="character" w:customStyle="1" w:styleId="75">
    <w:name w:val="标题 2 字符"/>
    <w:semiHidden/>
    <w:qFormat/>
    <w:uiPriority w:val="9"/>
    <w:rPr>
      <w:rFonts w:ascii="等线 Light" w:hAnsi="等线 Light" w:eastAsia="等线 Light" w:cs="Times New Roman"/>
      <w:b/>
      <w:bCs/>
      <w:kern w:val="2"/>
      <w:sz w:val="32"/>
      <w:szCs w:val="32"/>
    </w:rPr>
  </w:style>
  <w:style w:type="character" w:customStyle="1" w:styleId="76">
    <w:name w:val="纯文本 字符"/>
    <w:qFormat/>
    <w:uiPriority w:val="0"/>
    <w:rPr>
      <w:rFonts w:ascii="宋体" w:hAnsi="Courier New" w:cs="Courier New"/>
      <w:kern w:val="2"/>
      <w:sz w:val="21"/>
      <w:szCs w:val="21"/>
    </w:rPr>
  </w:style>
  <w:style w:type="character" w:customStyle="1" w:styleId="77">
    <w:name w:val="列表段落 字符"/>
    <w:qFormat/>
    <w:uiPriority w:val="34"/>
    <w:rPr>
      <w:kern w:val="2"/>
      <w:sz w:val="21"/>
      <w:szCs w:val="22"/>
    </w:rPr>
  </w:style>
  <w:style w:type="character" w:customStyle="1" w:styleId="78">
    <w:name w:val="列出段落 Char"/>
    <w:link w:val="79"/>
    <w:qFormat/>
    <w:uiPriority w:val="34"/>
    <w:rPr>
      <w:kern w:val="2"/>
      <w:sz w:val="21"/>
      <w:szCs w:val="24"/>
    </w:rPr>
  </w:style>
  <w:style w:type="paragraph" w:styleId="79">
    <w:name w:val="List Paragraph"/>
    <w:basedOn w:val="1"/>
    <w:link w:val="78"/>
    <w:qFormat/>
    <w:uiPriority w:val="34"/>
    <w:pPr>
      <w:ind w:firstLine="420"/>
    </w:pPr>
    <w:rPr>
      <w:rFonts w:ascii="Times New Roman" w:hAnsi="Times New Roman"/>
      <w:sz w:val="21"/>
    </w:rPr>
  </w:style>
  <w:style w:type="character" w:customStyle="1" w:styleId="80">
    <w:name w:val="font21"/>
    <w:qFormat/>
    <w:uiPriority w:val="0"/>
    <w:rPr>
      <w:rFonts w:ascii="Calibri" w:hAnsi="Calibri" w:cs="Calibri"/>
      <w:color w:val="000000"/>
      <w:sz w:val="21"/>
      <w:szCs w:val="21"/>
      <w:u w:val="none"/>
    </w:rPr>
  </w:style>
  <w:style w:type="character" w:customStyle="1" w:styleId="81">
    <w:name w:val="*正文 Char"/>
    <w:link w:val="82"/>
    <w:qFormat/>
    <w:uiPriority w:val="0"/>
    <w:rPr>
      <w:rFonts w:ascii="time" w:hAnsi="time"/>
      <w:sz w:val="24"/>
      <w:szCs w:val="24"/>
      <w:lang w:bidi="en-US"/>
    </w:rPr>
  </w:style>
  <w:style w:type="paragraph" w:customStyle="1" w:styleId="82">
    <w:name w:val="*正文"/>
    <w:basedOn w:val="1"/>
    <w:link w:val="81"/>
    <w:qFormat/>
    <w:uiPriority w:val="0"/>
    <w:pPr>
      <w:widowControl/>
      <w:ind w:firstLine="200"/>
      <w:contextualSpacing/>
    </w:pPr>
    <w:rPr>
      <w:rFonts w:ascii="time" w:hAnsi="time"/>
      <w:kern w:val="0"/>
      <w:lang w:bidi="en-US"/>
    </w:rPr>
  </w:style>
  <w:style w:type="character" w:customStyle="1" w:styleId="83">
    <w:name w:val="正文文本缩进 字符"/>
    <w:semiHidden/>
    <w:qFormat/>
    <w:uiPriority w:val="99"/>
    <w:rPr>
      <w:rFonts w:ascii="宋体" w:hAnsi="宋体"/>
      <w:kern w:val="2"/>
      <w:sz w:val="24"/>
      <w:szCs w:val="24"/>
    </w:rPr>
  </w:style>
  <w:style w:type="character" w:customStyle="1" w:styleId="84">
    <w:name w:val="my正文 Char"/>
    <w:link w:val="85"/>
    <w:qFormat/>
    <w:uiPriority w:val="0"/>
    <w:rPr>
      <w:kern w:val="2"/>
      <w:sz w:val="21"/>
      <w:szCs w:val="24"/>
    </w:rPr>
  </w:style>
  <w:style w:type="paragraph" w:customStyle="1" w:styleId="85">
    <w:name w:val="my正文"/>
    <w:basedOn w:val="1"/>
    <w:link w:val="84"/>
    <w:qFormat/>
    <w:uiPriority w:val="0"/>
    <w:pPr>
      <w:spacing w:line="240" w:lineRule="auto"/>
      <w:ind w:firstLine="0" w:firstLineChars="0"/>
    </w:pPr>
    <w:rPr>
      <w:rFonts w:ascii="Times New Roman" w:hAnsi="Times New Roman"/>
      <w:sz w:val="21"/>
    </w:rPr>
  </w:style>
  <w:style w:type="character" w:customStyle="1" w:styleId="86">
    <w:name w:val="正文2 字符"/>
    <w:link w:val="87"/>
    <w:qFormat/>
    <w:uiPriority w:val="0"/>
    <w:rPr>
      <w:kern w:val="2"/>
      <w:sz w:val="21"/>
      <w:szCs w:val="24"/>
    </w:rPr>
  </w:style>
  <w:style w:type="paragraph" w:customStyle="1" w:styleId="87">
    <w:name w:val="正文2"/>
    <w:basedOn w:val="1"/>
    <w:link w:val="86"/>
    <w:qFormat/>
    <w:uiPriority w:val="0"/>
    <w:pPr>
      <w:ind w:firstLine="420"/>
    </w:pPr>
    <w:rPr>
      <w:rFonts w:ascii="Times New Roman" w:hAnsi="Times New Roman"/>
      <w:sz w:val="21"/>
    </w:rPr>
  </w:style>
  <w:style w:type="character" w:customStyle="1" w:styleId="88">
    <w:name w:val="font41"/>
    <w:qFormat/>
    <w:uiPriority w:val="0"/>
    <w:rPr>
      <w:rFonts w:hint="eastAsia" w:ascii="宋体" w:hAnsi="宋体" w:eastAsia="宋体" w:cs="宋体"/>
      <w:color w:val="000000"/>
      <w:sz w:val="21"/>
      <w:szCs w:val="21"/>
      <w:u w:val="none"/>
    </w:rPr>
  </w:style>
  <w:style w:type="character" w:customStyle="1" w:styleId="89">
    <w:name w:val="批注框文本 字符"/>
    <w:semiHidden/>
    <w:qFormat/>
    <w:uiPriority w:val="99"/>
    <w:rPr>
      <w:rFonts w:ascii="宋体" w:hAnsi="宋体"/>
      <w:kern w:val="2"/>
      <w:sz w:val="18"/>
      <w:szCs w:val="18"/>
    </w:rPr>
  </w:style>
  <w:style w:type="character" w:customStyle="1" w:styleId="90">
    <w:name w:val="副标题 Char1"/>
    <w:qFormat/>
    <w:uiPriority w:val="0"/>
    <w:rPr>
      <w:rFonts w:ascii="Calibri Light" w:hAnsi="Calibri Light" w:cs="Times New Roman"/>
      <w:b/>
      <w:bCs/>
      <w:kern w:val="28"/>
      <w:sz w:val="32"/>
      <w:szCs w:val="32"/>
    </w:rPr>
  </w:style>
  <w:style w:type="character" w:customStyle="1" w:styleId="91">
    <w:name w:val="批注文字 字符"/>
    <w:qFormat/>
    <w:uiPriority w:val="99"/>
    <w:rPr>
      <w:rFonts w:ascii="宋体" w:hAnsi="宋体"/>
      <w:kern w:val="2"/>
      <w:sz w:val="24"/>
      <w:szCs w:val="24"/>
    </w:rPr>
  </w:style>
  <w:style w:type="character" w:customStyle="1" w:styleId="92">
    <w:name w:val="文档结构图 字符"/>
    <w:semiHidden/>
    <w:qFormat/>
    <w:uiPriority w:val="99"/>
    <w:rPr>
      <w:rFonts w:ascii="Microsoft YaHei UI" w:hAnsi="宋体" w:eastAsia="Microsoft YaHei UI"/>
      <w:kern w:val="2"/>
      <w:sz w:val="18"/>
      <w:szCs w:val="18"/>
    </w:rPr>
  </w:style>
  <w:style w:type="character" w:customStyle="1" w:styleId="93">
    <w:name w:val="标题 6 字符"/>
    <w:semiHidden/>
    <w:qFormat/>
    <w:uiPriority w:val="9"/>
    <w:rPr>
      <w:rFonts w:ascii="等线 Light" w:hAnsi="等线 Light" w:eastAsia="等线 Light" w:cs="Times New Roman"/>
      <w:b/>
      <w:bCs/>
      <w:kern w:val="2"/>
      <w:sz w:val="24"/>
      <w:szCs w:val="24"/>
    </w:rPr>
  </w:style>
  <w:style w:type="character" w:customStyle="1" w:styleId="94">
    <w:name w:val="正文正文2 Char"/>
    <w:link w:val="95"/>
    <w:qFormat/>
    <w:uiPriority w:val="0"/>
    <w:rPr>
      <w:rFonts w:ascii="宋体" w:hAnsi="宋体"/>
      <w:kern w:val="2"/>
      <w:sz w:val="21"/>
      <w:szCs w:val="21"/>
    </w:rPr>
  </w:style>
  <w:style w:type="paragraph" w:customStyle="1" w:styleId="95">
    <w:name w:val="正文正文2"/>
    <w:basedOn w:val="1"/>
    <w:link w:val="94"/>
    <w:qFormat/>
    <w:uiPriority w:val="0"/>
    <w:pPr>
      <w:ind w:firstLine="460"/>
    </w:pPr>
    <w:rPr>
      <w:sz w:val="21"/>
      <w:szCs w:val="21"/>
    </w:rPr>
  </w:style>
  <w:style w:type="character" w:customStyle="1" w:styleId="96">
    <w:name w:val="标题 4 字符"/>
    <w:semiHidden/>
    <w:qFormat/>
    <w:uiPriority w:val="9"/>
    <w:rPr>
      <w:rFonts w:ascii="等线 Light" w:hAnsi="等线 Light" w:eastAsia="等线 Light" w:cs="Times New Roman"/>
      <w:b/>
      <w:bCs/>
      <w:kern w:val="2"/>
      <w:sz w:val="28"/>
      <w:szCs w:val="28"/>
    </w:rPr>
  </w:style>
  <w:style w:type="character" w:customStyle="1" w:styleId="97">
    <w:name w:val="页眉 字符"/>
    <w:semiHidden/>
    <w:qFormat/>
    <w:uiPriority w:val="99"/>
    <w:rPr>
      <w:rFonts w:ascii="宋体" w:hAnsi="宋体"/>
      <w:kern w:val="2"/>
      <w:sz w:val="18"/>
      <w:szCs w:val="18"/>
    </w:rPr>
  </w:style>
  <w:style w:type="character" w:customStyle="1" w:styleId="98">
    <w:name w:val="批注主题 字符"/>
    <w:semiHidden/>
    <w:qFormat/>
    <w:uiPriority w:val="99"/>
    <w:rPr>
      <w:rFonts w:ascii="宋体" w:hAnsi="宋体"/>
      <w:b/>
      <w:bCs/>
      <w:kern w:val="2"/>
      <w:sz w:val="24"/>
      <w:szCs w:val="24"/>
    </w:rPr>
  </w:style>
  <w:style w:type="character" w:customStyle="1" w:styleId="99">
    <w:name w:val="font31"/>
    <w:qFormat/>
    <w:uiPriority w:val="0"/>
    <w:rPr>
      <w:rFonts w:hint="eastAsia" w:ascii="宋体" w:hAnsi="宋体" w:eastAsia="宋体" w:cs="宋体"/>
      <w:color w:val="000000"/>
      <w:sz w:val="21"/>
      <w:szCs w:val="21"/>
      <w:u w:val="none"/>
    </w:rPr>
  </w:style>
  <w:style w:type="character" w:customStyle="1" w:styleId="100">
    <w:name w:val="标准正文 Char"/>
    <w:link w:val="101"/>
    <w:qFormat/>
    <w:uiPriority w:val="0"/>
    <w:rPr>
      <w:rFonts w:ascii="Arial" w:hAnsi="Arial"/>
      <w:kern w:val="2"/>
      <w:sz w:val="24"/>
    </w:rPr>
  </w:style>
  <w:style w:type="paragraph" w:customStyle="1" w:styleId="101">
    <w:name w:val="标准正文"/>
    <w:basedOn w:val="18"/>
    <w:link w:val="100"/>
    <w:qFormat/>
    <w:uiPriority w:val="0"/>
    <w:pPr>
      <w:spacing w:before="60" w:after="60"/>
      <w:ind w:firstLine="482" w:firstLineChars="0"/>
    </w:pPr>
    <w:rPr>
      <w:rFonts w:ascii="Arial" w:hAnsi="Arial"/>
      <w:sz w:val="24"/>
    </w:rPr>
  </w:style>
  <w:style w:type="character" w:customStyle="1" w:styleId="102">
    <w:name w:val="标题 字符"/>
    <w:qFormat/>
    <w:uiPriority w:val="10"/>
    <w:rPr>
      <w:rFonts w:ascii="等线 Light" w:hAnsi="等线 Light" w:eastAsia="等线 Light" w:cs="Times New Roman"/>
      <w:b/>
      <w:bCs/>
      <w:kern w:val="2"/>
      <w:sz w:val="32"/>
      <w:szCs w:val="32"/>
    </w:rPr>
  </w:style>
  <w:style w:type="character" w:customStyle="1" w:styleId="103">
    <w:name w:val="副标题 字符"/>
    <w:qFormat/>
    <w:uiPriority w:val="11"/>
    <w:rPr>
      <w:rFonts w:ascii="等线" w:hAnsi="等线" w:eastAsia="等线" w:cs="Times New Roman"/>
      <w:b/>
      <w:bCs/>
      <w:kern w:val="28"/>
      <w:sz w:val="32"/>
      <w:szCs w:val="32"/>
    </w:rPr>
  </w:style>
  <w:style w:type="paragraph" w:customStyle="1" w:styleId="104">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5">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6">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7">
    <w:name w:val="_Style 2"/>
    <w:basedOn w:val="2"/>
    <w:next w:val="1"/>
    <w:qFormat/>
    <w:uiPriority w:val="39"/>
    <w:pPr>
      <w:widowControl/>
      <w:numPr>
        <w:ilvl w:val="0"/>
        <w:numId w:val="0"/>
      </w:numPr>
      <w:spacing w:before="480" w:after="0" w:line="276" w:lineRule="auto"/>
      <w:jc w:val="left"/>
      <w:outlineLvl w:val="9"/>
    </w:pPr>
    <w:rPr>
      <w:rFonts w:ascii="Cambria" w:hAnsi="Cambria" w:eastAsia="宋体"/>
      <w:color w:val="365F91"/>
      <w:kern w:val="0"/>
      <w:sz w:val="28"/>
    </w:rPr>
  </w:style>
  <w:style w:type="paragraph" w:customStyle="1" w:styleId="108">
    <w:name w:val="正文缩进1"/>
    <w:basedOn w:val="1"/>
    <w:qFormat/>
    <w:uiPriority w:val="0"/>
    <w:pPr>
      <w:spacing w:line="240" w:lineRule="auto"/>
      <w:ind w:firstLine="420"/>
    </w:pPr>
    <w:rPr>
      <w:rFonts w:ascii="Times New Roman" w:hAnsi="Times New Roman"/>
      <w:sz w:val="21"/>
      <w:szCs w:val="20"/>
    </w:rPr>
  </w:style>
  <w:style w:type="paragraph" w:customStyle="1" w:styleId="109">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0">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1">
    <w:name w:val="Indent Normal"/>
    <w:basedOn w:val="1"/>
    <w:qFormat/>
    <w:uiPriority w:val="0"/>
    <w:pPr>
      <w:ind w:firstLine="150" w:firstLineChars="150"/>
    </w:pPr>
  </w:style>
  <w:style w:type="paragraph" w:customStyle="1" w:styleId="112">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3">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4">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5">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7">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9">
    <w:name w:val="Char Char Char Char Char Char1 Char"/>
    <w:basedOn w:val="1"/>
    <w:qFormat/>
    <w:uiPriority w:val="0"/>
    <w:pPr>
      <w:widowControl/>
      <w:spacing w:after="160" w:line="240" w:lineRule="exact"/>
      <w:jc w:val="left"/>
    </w:pPr>
  </w:style>
  <w:style w:type="paragraph" w:customStyle="1" w:styleId="120">
    <w:name w:val="PM_Body"/>
    <w:basedOn w:val="1"/>
    <w:qFormat/>
    <w:locked/>
    <w:uiPriority w:val="0"/>
    <w:rPr>
      <w:szCs w:val="21"/>
    </w:rPr>
  </w:style>
  <w:style w:type="paragraph" w:customStyle="1" w:styleId="121">
    <w:name w:val="Char Char1"/>
    <w:basedOn w:val="1"/>
    <w:qFormat/>
    <w:uiPriority w:val="0"/>
    <w:pPr>
      <w:widowControl/>
      <w:spacing w:before="120" w:after="120"/>
    </w:pPr>
    <w:rPr>
      <w:rFonts w:ascii="Times New Roman" w:hAnsi="Times New Roman" w:cs="宋体"/>
    </w:rPr>
  </w:style>
  <w:style w:type="paragraph" w:customStyle="1" w:styleId="122">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3">
    <w:name w:val="修订1"/>
    <w:unhideWhenUsed/>
    <w:qFormat/>
    <w:uiPriority w:val="99"/>
    <w:rPr>
      <w:rFonts w:ascii="宋体" w:hAnsi="宋体" w:eastAsia="宋体" w:cs="Times New Roman"/>
      <w:kern w:val="2"/>
      <w:sz w:val="24"/>
      <w:szCs w:val="24"/>
      <w:lang w:val="en-US" w:eastAsia="zh-CN" w:bidi="ar-SA"/>
    </w:rPr>
  </w:style>
  <w:style w:type="paragraph" w:customStyle="1" w:styleId="124">
    <w:name w:val="列出段落2"/>
    <w:basedOn w:val="1"/>
    <w:qFormat/>
    <w:uiPriority w:val="0"/>
    <w:pPr>
      <w:spacing w:line="240" w:lineRule="auto"/>
      <w:ind w:firstLine="420"/>
    </w:pPr>
    <w:rPr>
      <w:rFonts w:ascii="等线" w:hAnsi="等线" w:eastAsia="等线" w:cs="等线"/>
      <w:sz w:val="21"/>
      <w:szCs w:val="21"/>
    </w:rPr>
  </w:style>
  <w:style w:type="paragraph" w:customStyle="1" w:styleId="125">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7">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8">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9">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0">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1">
    <w:name w:val="TOC 标题1"/>
    <w:basedOn w:val="2"/>
    <w:next w:val="1"/>
    <w:qFormat/>
    <w:uiPriority w:val="39"/>
    <w:pPr>
      <w:widowControl/>
      <w:numPr>
        <w:ilvl w:val="0"/>
        <w:numId w:val="0"/>
      </w:numPr>
      <w:spacing w:before="480" w:after="0" w:line="276" w:lineRule="auto"/>
      <w:jc w:val="left"/>
      <w:outlineLvl w:val="9"/>
    </w:pPr>
    <w:rPr>
      <w:rFonts w:ascii="Cambria" w:hAnsi="Cambria" w:eastAsia="宋体"/>
      <w:color w:val="365F91"/>
      <w:kern w:val="0"/>
      <w:sz w:val="28"/>
    </w:rPr>
  </w:style>
  <w:style w:type="table" w:customStyle="1" w:styleId="132">
    <w:name w:val="!我的表格1"/>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
    <w:basedOn w:val="36"/>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1 Char"/>
    <w:qFormat/>
    <w:uiPriority w:val="0"/>
    <w:rPr>
      <w:rFonts w:ascii="宋体" w:hAnsi="宋体" w:eastAsia="黑体"/>
      <w:b/>
      <w:bCs/>
      <w:kern w:val="44"/>
      <w:sz w:val="32"/>
      <w:szCs w:val="28"/>
    </w:rPr>
  </w:style>
  <w:style w:type="character" w:customStyle="1" w:styleId="135">
    <w:name w:val="纯文本 Char2"/>
    <w:qFormat/>
    <w:uiPriority w:val="0"/>
    <w:rPr>
      <w:rFonts w:ascii="宋体" w:hAnsi="宋体" w:eastAsia="宋体" w:cs="Times New Roman"/>
      <w:color w:val="000000"/>
      <w:kern w:val="0"/>
      <w:sz w:val="24"/>
      <w:szCs w:val="24"/>
    </w:rPr>
  </w:style>
  <w:style w:type="paragraph" w:customStyle="1" w:styleId="136">
    <w:name w:val="列出段落1"/>
    <w:basedOn w:val="1"/>
    <w:qFormat/>
    <w:uiPriority w:val="34"/>
    <w:pPr>
      <w:spacing w:line="240" w:lineRule="auto"/>
      <w:ind w:firstLine="420"/>
    </w:pPr>
    <w:rPr>
      <w:rFonts w:ascii="Calibri" w:hAnsi="Calibri"/>
      <w:sz w:val="21"/>
      <w:szCs w:val="22"/>
    </w:rPr>
  </w:style>
  <w:style w:type="paragraph" w:customStyle="1" w:styleId="137">
    <w:name w:val="修订2"/>
    <w:unhideWhenUsed/>
    <w:qFormat/>
    <w:uiPriority w:val="99"/>
    <w:rPr>
      <w:rFonts w:ascii="宋体" w:hAnsi="宋体" w:eastAsia="宋体" w:cs="Times New Roman"/>
      <w:kern w:val="2"/>
      <w:sz w:val="24"/>
      <w:szCs w:val="24"/>
      <w:lang w:val="en-US" w:eastAsia="zh-CN" w:bidi="ar-SA"/>
    </w:rPr>
  </w:style>
  <w:style w:type="character" w:styleId="138">
    <w:name w:val="Placeholder Text"/>
    <w:basedOn w:val="38"/>
    <w:unhideWhenUsed/>
    <w:qFormat/>
    <w:uiPriority w:val="99"/>
    <w:rPr>
      <w:color w:val="666666"/>
    </w:rPr>
  </w:style>
  <w:style w:type="paragraph" w:customStyle="1" w:styleId="139">
    <w:name w:val="修订3"/>
    <w:unhideWhenUsed/>
    <w:qFormat/>
    <w:uiPriority w:val="99"/>
    <w:rPr>
      <w:rFonts w:ascii="宋体" w:hAnsi="宋体" w:eastAsia="宋体" w:cs="Times New Roman"/>
      <w:kern w:val="2"/>
      <w:sz w:val="24"/>
      <w:szCs w:val="24"/>
      <w:lang w:val="en-US" w:eastAsia="zh-CN" w:bidi="ar-SA"/>
    </w:rPr>
  </w:style>
  <w:style w:type="paragraph" w:customStyle="1" w:styleId="140">
    <w:name w:val="修订4"/>
    <w:unhideWhenUsed/>
    <w:qFormat/>
    <w:uiPriority w:val="99"/>
    <w:rPr>
      <w:rFonts w:ascii="宋体" w:hAnsi="宋体" w:eastAsia="宋体" w:cs="Times New Roman"/>
      <w:kern w:val="2"/>
      <w:sz w:val="24"/>
      <w:szCs w:val="24"/>
      <w:lang w:val="en-US" w:eastAsia="zh-CN" w:bidi="ar-SA"/>
    </w:rPr>
  </w:style>
  <w:style w:type="paragraph" w:customStyle="1" w:styleId="141">
    <w:name w:val="样式2"/>
    <w:basedOn w:val="1"/>
    <w:qFormat/>
    <w:uiPriority w:val="0"/>
    <w:pPr>
      <w:widowControl/>
      <w:adjustRightInd w:val="0"/>
    </w:pPr>
    <w:rPr>
      <w:kern w:val="0"/>
      <w:lang w:eastAsia="en-US"/>
    </w:rPr>
  </w:style>
  <w:style w:type="paragraph" w:customStyle="1" w:styleId="142">
    <w:name w:val="修订5"/>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2.emf"/><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1948</Words>
  <Characters>2025</Characters>
  <Lines>186</Lines>
  <Paragraphs>52</Paragraphs>
  <TotalTime>0</TotalTime>
  <ScaleCrop>false</ScaleCrop>
  <LinksUpToDate>false</LinksUpToDate>
  <CharactersWithSpaces>2033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2025-12-15T14:20:00Z</dcterms:created>
  <dc:creator>gtig_tzb</dc:creator>
  <cp:lastModifiedBy>魏允晗</cp:lastModifiedBy>
  <cp:lastPrinted>2020-08-13T12:08:00Z</cp:lastPrinted>
  <dcterms:modified xsi:type="dcterms:W3CDTF">2026-01-14T09:57:33Z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B165C73CB95936B5C8AC656911F7E6B6_43</vt:lpwstr>
  </property>
  <property fmtid="{D5CDD505-2E9C-101B-9397-08002B2CF9AE}" pid="4" name="KSOTemplateDocerSaveRecord">
    <vt:lpwstr>eyJoZGlkIjoiN2YzNjBkOTgyNWQ1YTMxYzM3MzMwNWFiODNmOWIzYWMiLCJ1c2VySWQiOiI1NTA2MTExMDQifQ==</vt:lpwstr>
  </property>
</Properties>
</file>