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7AC37">
      <w:pPr>
        <w:ind w:firstLine="0" w:firstLineChars="0"/>
        <w:jc w:val="center"/>
        <w:rPr>
          <w:rFonts w:ascii="黑体" w:hAnsi="黑体" w:eastAsia="黑体"/>
          <w:sz w:val="48"/>
          <w:szCs w:val="48"/>
        </w:rPr>
      </w:pPr>
    </w:p>
    <w:p w14:paraId="09B5BCAC">
      <w:pPr>
        <w:ind w:firstLine="0" w:firstLineChars="0"/>
        <w:jc w:val="center"/>
        <w:rPr>
          <w:rFonts w:ascii="黑体" w:hAnsi="黑体" w:eastAsia="黑体"/>
          <w:sz w:val="48"/>
          <w:szCs w:val="48"/>
        </w:rPr>
      </w:pPr>
    </w:p>
    <w:p w14:paraId="345A3B36">
      <w:pPr>
        <w:ind w:firstLine="0" w:firstLineChars="0"/>
        <w:jc w:val="center"/>
        <w:rPr>
          <w:rFonts w:hint="default" w:ascii="黑体" w:hAnsi="黑体" w:eastAsia="黑体"/>
          <w:b/>
          <w:bCs/>
          <w:sz w:val="52"/>
          <w:szCs w:val="52"/>
          <w:lang w:val="en-US" w:eastAsia="zh-CN"/>
        </w:rPr>
      </w:pPr>
      <w:r>
        <w:rPr>
          <w:rFonts w:hint="eastAsia" w:ascii="黑体" w:hAnsi="黑体" w:eastAsia="黑体"/>
          <w:b/>
          <w:bCs/>
          <w:sz w:val="52"/>
          <w:szCs w:val="52"/>
          <w:lang w:val="en-US" w:eastAsia="zh-CN"/>
        </w:rPr>
        <w:t>申农服大系统建设</w:t>
      </w:r>
      <w:r>
        <w:rPr>
          <w:rFonts w:hint="eastAsia" w:ascii="黑体" w:hAnsi="黑体" w:eastAsia="黑体"/>
          <w:b/>
          <w:bCs/>
          <w:sz w:val="52"/>
          <w:szCs w:val="52"/>
        </w:rPr>
        <w:t>项目</w:t>
      </w:r>
    </w:p>
    <w:p w14:paraId="781A4520">
      <w:pPr>
        <w:ind w:firstLine="0" w:firstLineChars="0"/>
        <w:jc w:val="center"/>
        <w:rPr>
          <w:rFonts w:hint="eastAsia" w:ascii="黑体" w:hAnsi="黑体" w:eastAsia="黑体"/>
          <w:b/>
          <w:bCs/>
          <w:sz w:val="52"/>
          <w:szCs w:val="52"/>
          <w:lang w:val="en-US" w:eastAsia="zh-CN"/>
        </w:rPr>
      </w:pPr>
      <w:r>
        <w:rPr>
          <w:rFonts w:hint="eastAsia" w:ascii="黑体" w:hAnsi="黑体" w:eastAsia="黑体"/>
          <w:b/>
          <w:bCs/>
          <w:sz w:val="52"/>
          <w:szCs w:val="52"/>
          <w:lang w:val="en-US" w:eastAsia="zh-CN"/>
        </w:rPr>
        <w:t>采购需求</w:t>
      </w:r>
    </w:p>
    <w:p w14:paraId="73BA24B8">
      <w:pPr>
        <w:ind w:firstLine="0" w:firstLineChars="0"/>
        <w:jc w:val="center"/>
        <w:rPr>
          <w:rFonts w:ascii="黑体" w:hAnsi="黑体" w:eastAsia="黑体"/>
          <w:sz w:val="48"/>
          <w:szCs w:val="48"/>
        </w:rPr>
      </w:pPr>
    </w:p>
    <w:p w14:paraId="4B534054">
      <w:pPr>
        <w:ind w:firstLine="0" w:firstLineChars="0"/>
        <w:jc w:val="center"/>
        <w:rPr>
          <w:rFonts w:ascii="黑体" w:hAnsi="黑体" w:eastAsia="黑体"/>
          <w:sz w:val="52"/>
          <w:szCs w:val="52"/>
        </w:rPr>
      </w:pPr>
    </w:p>
    <w:p w14:paraId="60285B22">
      <w:pPr>
        <w:ind w:firstLine="1040"/>
        <w:rPr>
          <w:rFonts w:ascii="黑体" w:hAnsi="黑体" w:eastAsia="黑体"/>
          <w:sz w:val="52"/>
          <w:szCs w:val="52"/>
        </w:rPr>
      </w:pPr>
    </w:p>
    <w:p w14:paraId="7678EE81"/>
    <w:p w14:paraId="1B44F769"/>
    <w:p w14:paraId="199999A2"/>
    <w:p w14:paraId="1D9C49C8"/>
    <w:p w14:paraId="741E5291"/>
    <w:p w14:paraId="280BB8CA">
      <w:pPr>
        <w:ind w:firstLine="1040"/>
        <w:rPr>
          <w:rFonts w:ascii="黑体" w:hAnsi="黑体" w:eastAsia="黑体"/>
          <w:sz w:val="52"/>
          <w:szCs w:val="52"/>
        </w:rPr>
      </w:pPr>
    </w:p>
    <w:p w14:paraId="425D8F8A">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3B3EC568">
      <w:pPr>
        <w:pStyle w:val="2"/>
        <w:bidi w:val="0"/>
        <w:ind w:left="425" w:leftChars="0" w:hanging="425" w:firstLineChars="0"/>
      </w:pPr>
      <w:bookmarkStart w:id="0" w:name="_Toc63785461"/>
      <w:r>
        <w:rPr>
          <w:rFonts w:hint="eastAsia"/>
          <w:lang w:val="en-US" w:eastAsia="zh-CN"/>
        </w:rPr>
        <w:t xml:space="preserve"> </w:t>
      </w:r>
      <w:r>
        <w:rPr>
          <w:rFonts w:hint="eastAsia"/>
        </w:rPr>
        <w:t>项目概况</w:t>
      </w:r>
      <w:bookmarkEnd w:id="0"/>
    </w:p>
    <w:p w14:paraId="261FCBED">
      <w:pPr>
        <w:spacing w:line="560" w:lineRule="exact"/>
        <w:rPr>
          <w:rFonts w:hint="eastAsia"/>
        </w:rPr>
      </w:pPr>
      <w:r>
        <w:rPr>
          <w:rFonts w:hint="eastAsia"/>
        </w:rPr>
        <w:t>项目背景&amp;</w:t>
      </w:r>
      <w:bookmarkStart w:id="37" w:name="_GoBack"/>
      <w:bookmarkEnd w:id="37"/>
      <w:r>
        <w:rPr>
          <w:rFonts w:hint="eastAsia"/>
        </w:rPr>
        <w:t>现状：</w:t>
      </w:r>
    </w:p>
    <w:p w14:paraId="6035D84C">
      <w:pPr>
        <w:spacing w:line="360" w:lineRule="auto"/>
        <w:ind w:firstLine="480" w:firstLineChars="200"/>
        <w:rPr>
          <w:rFonts w:ascii="宋体" w:hAnsi="宋体" w:eastAsia="宋体" w:cs="宋体"/>
          <w:sz w:val="24"/>
          <w:szCs w:val="24"/>
        </w:rPr>
      </w:pPr>
      <w:r>
        <w:rPr>
          <w:rFonts w:ascii="宋体" w:hAnsi="宋体" w:eastAsia="宋体" w:cs="宋体"/>
          <w:sz w:val="24"/>
          <w:szCs w:val="24"/>
        </w:rPr>
        <w:t>近年来，国家与上海市层面持续加大智慧农业政策支持力度，为农业数字化转型与现代化服务体系建设提供了有力支撑。国家先后发布《加快建设农业强国规划（2024—2035年）》和《全国智慧农业行动计划（2024—2028年）》等文件，强调以科技创新引领先进生产要素集聚，推动数字技术与农业全领域深度融合。在此背景下，上海市出台《上海市发展智慧农业实施方案（2025-2030年）》，明确提出到2030年底建立健全农业数据分级分类体系，构建“1+3”数字化大系统</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“1”为农业农村数字底座；“3”为</w:t>
      </w:r>
      <w:r>
        <w:rPr>
          <w:rFonts w:hint="eastAsia" w:ascii="宋体" w:hAnsi="宋体" w:eastAsia="宋体" w:cs="宋体"/>
          <w:sz w:val="24"/>
          <w:szCs w:val="24"/>
          <w:lang w:eastAsia="zh-CN"/>
        </w:rPr>
        <w:t>统一数据采集的“申农服”、统一管理应用的“申农办”以及统一对外发布信息的“申农达”等3大系统</w:t>
      </w:r>
      <w:r>
        <w:rPr>
          <w:rFonts w:hint="eastAsia" w:ascii="宋体" w:hAnsi="宋体" w:eastAsia="宋体" w:cs="宋体"/>
          <w:sz w:val="24"/>
          <w:szCs w:val="24"/>
          <w:lang w:val="en-US" w:eastAsia="zh-CN"/>
        </w:rPr>
        <w:t>）</w:t>
      </w:r>
      <w:r>
        <w:rPr>
          <w:rFonts w:ascii="宋体" w:hAnsi="宋体" w:eastAsia="宋体" w:cs="宋体"/>
          <w:sz w:val="24"/>
          <w:szCs w:val="24"/>
        </w:rPr>
        <w:t>，推动数据资源整合与智慧服务能力提升。当前，上海在农业和畜牧业</w:t>
      </w:r>
      <w:r>
        <w:rPr>
          <w:rFonts w:hint="eastAsia" w:ascii="宋体" w:hAnsi="宋体" w:eastAsia="宋体" w:cs="宋体"/>
          <w:sz w:val="24"/>
          <w:szCs w:val="24"/>
          <w:lang w:val="en-US" w:eastAsia="zh-CN"/>
        </w:rPr>
        <w:t>管理过程</w:t>
      </w:r>
      <w:r>
        <w:rPr>
          <w:rFonts w:ascii="宋体" w:hAnsi="宋体" w:eastAsia="宋体" w:cs="宋体"/>
          <w:sz w:val="24"/>
          <w:szCs w:val="24"/>
        </w:rPr>
        <w:t>中仍面临数字化水平不高、信息割裂等现实问题，亟需通过深化数字化转型，构建覆盖生产、管理与服务的现代化三农服务体系，全面助力智慧农业高质量发展。</w:t>
      </w:r>
    </w:p>
    <w:p w14:paraId="4C128911">
      <w:pPr>
        <w:spacing w:line="560" w:lineRule="exact"/>
        <w:rPr>
          <w:highlight w:val="none"/>
        </w:rPr>
      </w:pPr>
      <w:r>
        <w:rPr>
          <w:rFonts w:hint="eastAsia"/>
          <w:highlight w:val="none"/>
        </w:rPr>
        <w:t>建设期限：</w:t>
      </w:r>
      <w:r>
        <w:rPr>
          <w:rFonts w:hint="eastAsia"/>
          <w:highlight w:val="none"/>
          <w:lang w:val="en-US" w:eastAsia="zh-CN"/>
        </w:rPr>
        <w:t>自合同签订之日起12个月</w:t>
      </w:r>
    </w:p>
    <w:p w14:paraId="3DDFCC86">
      <w:pPr>
        <w:spacing w:line="560" w:lineRule="exact"/>
        <w:rPr>
          <w:rFonts w:hint="eastAsia" w:eastAsia="宋体"/>
          <w:lang w:val="en-US" w:eastAsia="zh-CN"/>
        </w:rPr>
      </w:pPr>
      <w:r>
        <w:rPr>
          <w:rFonts w:hint="eastAsia"/>
        </w:rPr>
        <w:t>建设地点：</w:t>
      </w:r>
      <w:r>
        <w:rPr>
          <w:rFonts w:hint="eastAsia"/>
          <w:lang w:val="en-US" w:eastAsia="zh-CN"/>
        </w:rPr>
        <w:t>上海市</w:t>
      </w:r>
    </w:p>
    <w:p w14:paraId="04D77524">
      <w:pPr>
        <w:spacing w:line="560" w:lineRule="exact"/>
      </w:pPr>
      <w:r>
        <w:rPr>
          <w:rFonts w:hint="eastAsia"/>
        </w:rPr>
        <w:t>预算金额：4</w:t>
      </w:r>
      <w:r>
        <w:rPr>
          <w:rFonts w:hint="eastAsia"/>
          <w:lang w:val="en-US" w:eastAsia="zh-CN"/>
        </w:rPr>
        <w:t>,</w:t>
      </w:r>
      <w:r>
        <w:rPr>
          <w:rFonts w:hint="eastAsia"/>
        </w:rPr>
        <w:t>775</w:t>
      </w:r>
      <w:r>
        <w:rPr>
          <w:rFonts w:hint="eastAsia"/>
          <w:lang w:val="en-US" w:eastAsia="zh-CN"/>
        </w:rPr>
        <w:t>,</w:t>
      </w:r>
      <w:r>
        <w:rPr>
          <w:rFonts w:hint="eastAsia"/>
        </w:rPr>
        <w:t>000</w:t>
      </w:r>
      <w:r>
        <w:rPr>
          <w:rFonts w:hint="eastAsia"/>
          <w:lang w:val="en-US" w:eastAsia="zh-CN"/>
        </w:rPr>
        <w:t>.00</w:t>
      </w:r>
      <w:r>
        <w:rPr>
          <w:rFonts w:hint="eastAsia"/>
        </w:rPr>
        <w:t>元</w:t>
      </w:r>
    </w:p>
    <w:p w14:paraId="40242D8A">
      <w:pPr>
        <w:spacing w:line="560" w:lineRule="exact"/>
      </w:pPr>
      <w:r>
        <w:rPr>
          <w:rFonts w:hint="eastAsia"/>
        </w:rPr>
        <w:t>采购金额（最高限价）：4</w:t>
      </w:r>
      <w:r>
        <w:rPr>
          <w:rFonts w:hint="eastAsia"/>
          <w:lang w:val="en-US" w:eastAsia="zh-CN"/>
        </w:rPr>
        <w:t>,</w:t>
      </w:r>
      <w:r>
        <w:rPr>
          <w:rFonts w:hint="eastAsia"/>
        </w:rPr>
        <w:t>775</w:t>
      </w:r>
      <w:r>
        <w:rPr>
          <w:rFonts w:hint="eastAsia"/>
          <w:lang w:val="en-US" w:eastAsia="zh-CN"/>
        </w:rPr>
        <w:t>,</w:t>
      </w:r>
      <w:r>
        <w:rPr>
          <w:rFonts w:hint="eastAsia"/>
        </w:rPr>
        <w:t>000</w:t>
      </w:r>
      <w:r>
        <w:rPr>
          <w:rFonts w:hint="eastAsia"/>
          <w:lang w:val="en-US" w:eastAsia="zh-CN"/>
        </w:rPr>
        <w:t>.00</w:t>
      </w:r>
      <w:r>
        <w:rPr>
          <w:rFonts w:hint="eastAsia"/>
        </w:rPr>
        <w:t>元</w:t>
      </w:r>
    </w:p>
    <w:p w14:paraId="29732814">
      <w:r>
        <w:rPr>
          <w:rFonts w:hint="eastAsia"/>
        </w:rPr>
        <w:t>组织形式：集中采购</w:t>
      </w:r>
    </w:p>
    <w:p w14:paraId="1B44662F">
      <w:r>
        <w:rPr>
          <w:rFonts w:hint="eastAsia"/>
        </w:rPr>
        <w:t>采购方式：公开招标</w:t>
      </w:r>
    </w:p>
    <w:p w14:paraId="7FFFCFC1">
      <w:r>
        <w:rPr>
          <w:rFonts w:hint="eastAsia"/>
        </w:rPr>
        <w:t>是否接受联合体投标：否</w:t>
      </w:r>
    </w:p>
    <w:p w14:paraId="5B74A6F3">
      <w:r>
        <w:t>是否按</w:t>
      </w:r>
      <w:r>
        <w:rPr>
          <w:rFonts w:hint="eastAsia"/>
          <w:lang w:eastAsia="zh-CN"/>
        </w:rPr>
        <w:t>XC</w:t>
      </w:r>
      <w:r>
        <w:t>要求建设：是</w:t>
      </w:r>
    </w:p>
    <w:p w14:paraId="51990657">
      <w:r>
        <w:rPr>
          <w:rFonts w:hint="eastAsia"/>
        </w:rPr>
        <w:t>运维后所属大系统：</w:t>
      </w:r>
      <w:r>
        <w:rPr>
          <w:rFonts w:hint="eastAsia"/>
          <w:lang w:val="en-US" w:eastAsia="zh-CN"/>
        </w:rPr>
        <w:t>申农服大系统</w:t>
      </w:r>
    </w:p>
    <w:p w14:paraId="732B0384">
      <w:pPr>
        <w:pStyle w:val="2"/>
        <w:bidi w:val="0"/>
        <w:ind w:left="425" w:leftChars="0" w:hanging="425" w:firstLineChars="0"/>
      </w:pPr>
      <w:bookmarkStart w:id="1" w:name="_Toc47539070"/>
      <w:bookmarkEnd w:id="1"/>
      <w:bookmarkStart w:id="2" w:name="_Toc47536644"/>
      <w:bookmarkEnd w:id="2"/>
      <w:bookmarkStart w:id="3" w:name="_Toc47533256"/>
      <w:bookmarkEnd w:id="3"/>
      <w:bookmarkStart w:id="4" w:name="_Toc47537134"/>
      <w:bookmarkEnd w:id="4"/>
      <w:bookmarkStart w:id="5" w:name="_Toc47532255"/>
      <w:bookmarkEnd w:id="5"/>
      <w:bookmarkStart w:id="6" w:name="_Toc47532891"/>
      <w:bookmarkEnd w:id="6"/>
      <w:bookmarkStart w:id="7" w:name="_Toc47536272"/>
      <w:bookmarkEnd w:id="7"/>
      <w:bookmarkStart w:id="8" w:name="_Toc47531634"/>
      <w:bookmarkEnd w:id="8"/>
      <w:bookmarkStart w:id="9" w:name="_Toc48223882"/>
      <w:bookmarkStart w:id="10" w:name="_Toc63785463"/>
      <w:r>
        <w:rPr>
          <w:rFonts w:hint="eastAsia"/>
        </w:rPr>
        <w:t>建设目标</w:t>
      </w:r>
      <w:bookmarkEnd w:id="9"/>
      <w:bookmarkEnd w:id="10"/>
    </w:p>
    <w:p w14:paraId="7F66D849">
      <w:pPr>
        <w:pStyle w:val="3"/>
        <w:bidi w:val="0"/>
        <w:ind w:left="1135" w:leftChars="0" w:hanging="567" w:firstLineChars="0"/>
        <w:rPr>
          <w:rFonts w:hint="eastAsia"/>
          <w:lang w:val="en-US" w:eastAsia="zh-CN"/>
        </w:rPr>
      </w:pPr>
      <w:r>
        <w:rPr>
          <w:rFonts w:hint="eastAsia"/>
          <w:lang w:val="en-US" w:eastAsia="zh-CN"/>
        </w:rPr>
        <w:t>总体目标</w:t>
      </w:r>
    </w:p>
    <w:p w14:paraId="689FC793">
      <w:pPr>
        <w:spacing w:line="360" w:lineRule="auto"/>
        <w:ind w:firstLine="480" w:firstLineChars="20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申农服大系统的建设目标为基于申农服主题库数字底座，搭建申农服统一门户，对下属子系统进行统一纳管；构建</w:t>
      </w:r>
      <w:r>
        <w:rPr>
          <w:rFonts w:hint="eastAsia" w:asciiTheme="minorEastAsia" w:hAnsiTheme="minorEastAsia" w:eastAsiaTheme="minorEastAsia" w:cstheme="minorEastAsia"/>
          <w:color w:val="auto"/>
          <w:sz w:val="24"/>
          <w:szCs w:val="24"/>
        </w:rPr>
        <w:t>农业数字化生产管理服务、涉农政务服务、农业农村人才服务、</w:t>
      </w:r>
      <w:r>
        <w:rPr>
          <w:rFonts w:hint="eastAsia" w:asciiTheme="minorEastAsia" w:hAnsiTheme="minorEastAsia" w:eastAsiaTheme="minorEastAsia" w:cstheme="minorEastAsia"/>
          <w:color w:val="auto"/>
          <w:sz w:val="24"/>
          <w:szCs w:val="24"/>
          <w:lang w:eastAsia="zh-CN"/>
        </w:rPr>
        <w:t>农业社会化</w:t>
      </w:r>
      <w:r>
        <w:rPr>
          <w:rFonts w:hint="eastAsia" w:asciiTheme="minorEastAsia" w:hAnsiTheme="minorEastAsia" w:eastAsiaTheme="minorEastAsia" w:cstheme="minorEastAsia"/>
          <w:color w:val="auto"/>
          <w:sz w:val="24"/>
          <w:szCs w:val="24"/>
        </w:rPr>
        <w:t>服务四大服务体系，</w:t>
      </w:r>
      <w:r>
        <w:rPr>
          <w:rFonts w:hint="eastAsia" w:asciiTheme="minorEastAsia" w:hAnsiTheme="minorEastAsia" w:eastAsiaTheme="minorEastAsia" w:cstheme="minorEastAsia"/>
          <w:color w:val="auto"/>
          <w:sz w:val="24"/>
          <w:szCs w:val="24"/>
          <w:lang w:val="en-US" w:eastAsia="zh-CN"/>
        </w:rPr>
        <w:t>本期是申农服大系统建设一期，一期建设目标如下：</w:t>
      </w:r>
    </w:p>
    <w:p w14:paraId="28E1F280">
      <w:pPr>
        <w:numPr>
          <w:ilvl w:val="0"/>
          <w:numId w:val="3"/>
        </w:numPr>
        <w:spacing w:line="360" w:lineRule="auto"/>
        <w:ind w:firstLine="56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建成</w:t>
      </w:r>
      <w:r>
        <w:rPr>
          <w:rFonts w:hint="eastAsia" w:asciiTheme="minorEastAsia" w:hAnsiTheme="minorEastAsia" w:eastAsiaTheme="minorEastAsia" w:cstheme="minorEastAsia"/>
          <w:color w:val="auto"/>
          <w:sz w:val="24"/>
          <w:szCs w:val="24"/>
          <w:lang w:eastAsia="zh-CN"/>
        </w:rPr>
        <w:t>农业数字化生产管理服务</w:t>
      </w:r>
      <w:r>
        <w:rPr>
          <w:rFonts w:hint="eastAsia" w:asciiTheme="minorEastAsia" w:hAnsiTheme="minorEastAsia" w:eastAsiaTheme="minorEastAsia" w:cstheme="minorEastAsia"/>
          <w:color w:val="auto"/>
          <w:sz w:val="24"/>
          <w:szCs w:val="24"/>
          <w:lang w:val="en-US" w:eastAsia="zh-CN"/>
        </w:rPr>
        <w:t>体系</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包含</w:t>
      </w:r>
      <w:r>
        <w:rPr>
          <w:rFonts w:hint="eastAsia" w:asciiTheme="minorEastAsia" w:hAnsiTheme="minorEastAsia" w:eastAsiaTheme="minorEastAsia" w:cstheme="minorEastAsia"/>
          <w:color w:val="auto"/>
          <w:sz w:val="24"/>
          <w:szCs w:val="24"/>
        </w:rPr>
        <w:t>农事作业直报管理</w:t>
      </w:r>
      <w:r>
        <w:rPr>
          <w:rFonts w:hint="eastAsia" w:asciiTheme="minorEastAsia" w:hAnsiTheme="minorEastAsia" w:eastAsiaTheme="minorEastAsia" w:cstheme="minorEastAsia"/>
          <w:color w:val="auto"/>
          <w:sz w:val="24"/>
          <w:szCs w:val="24"/>
          <w:lang w:val="en-US" w:eastAsia="zh-CN"/>
        </w:rPr>
        <w:t>子系统、畜牧业管理子系统</w:t>
      </w:r>
      <w:r>
        <w:rPr>
          <w:rFonts w:hint="eastAsia" w:asciiTheme="minorEastAsia" w:hAnsiTheme="minorEastAsia" w:eastAsiaTheme="minorEastAsia" w:cstheme="minorEastAsia"/>
          <w:color w:val="auto"/>
          <w:sz w:val="24"/>
          <w:szCs w:val="24"/>
          <w:lang w:eastAsia="zh-CN"/>
        </w:rPr>
        <w:t>；</w:t>
      </w:r>
    </w:p>
    <w:p w14:paraId="5FB02EDA">
      <w:pPr>
        <w:numPr>
          <w:ilvl w:val="0"/>
          <w:numId w:val="3"/>
        </w:numPr>
        <w:spacing w:line="360" w:lineRule="auto"/>
        <w:ind w:firstLine="560" w:firstLine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整合</w:t>
      </w:r>
      <w:r>
        <w:rPr>
          <w:rFonts w:hint="eastAsia" w:asciiTheme="minorEastAsia" w:hAnsiTheme="minorEastAsia" w:eastAsiaTheme="minorEastAsia" w:cstheme="minorEastAsia"/>
          <w:color w:val="auto"/>
          <w:sz w:val="24"/>
          <w:szCs w:val="24"/>
          <w:lang w:val="en-US" w:eastAsia="zh-CN"/>
        </w:rPr>
        <w:t>建设</w:t>
      </w:r>
      <w:r>
        <w:rPr>
          <w:rFonts w:hint="eastAsia" w:asciiTheme="minorEastAsia" w:hAnsiTheme="minorEastAsia" w:eastAsiaTheme="minorEastAsia" w:cstheme="minorEastAsia"/>
          <w:color w:val="auto"/>
          <w:sz w:val="24"/>
          <w:szCs w:val="24"/>
          <w:lang w:eastAsia="zh-CN"/>
        </w:rPr>
        <w:t>农业农村人才服务系统</w:t>
      </w:r>
      <w:r>
        <w:rPr>
          <w:rFonts w:hint="eastAsia" w:asciiTheme="minorEastAsia" w:hAnsiTheme="minorEastAsia" w:eastAsiaTheme="minorEastAsia" w:cstheme="minorEastAsia"/>
          <w:color w:val="auto"/>
          <w:sz w:val="24"/>
          <w:szCs w:val="24"/>
        </w:rPr>
        <w:t>，实现</w:t>
      </w:r>
      <w:r>
        <w:rPr>
          <w:rFonts w:hint="eastAsia" w:asciiTheme="minorEastAsia" w:hAnsiTheme="minorEastAsia" w:eastAsiaTheme="minorEastAsia" w:cstheme="minorEastAsia"/>
          <w:color w:val="auto"/>
          <w:sz w:val="24"/>
          <w:szCs w:val="24"/>
          <w:lang w:val="en-US" w:eastAsia="zh-CN"/>
        </w:rPr>
        <w:t>对</w:t>
      </w:r>
      <w:r>
        <w:rPr>
          <w:rFonts w:hint="eastAsia" w:asciiTheme="minorEastAsia" w:hAnsiTheme="minorEastAsia" w:eastAsiaTheme="minorEastAsia" w:cstheme="minorEastAsia"/>
          <w:color w:val="auto"/>
          <w:sz w:val="24"/>
          <w:szCs w:val="24"/>
        </w:rPr>
        <w:t>上海市农村实用人才综合调查子系统</w:t>
      </w:r>
      <w:r>
        <w:rPr>
          <w:rFonts w:hint="eastAsia" w:asciiTheme="minorEastAsia" w:hAnsiTheme="minorEastAsia" w:eastAsiaTheme="minorEastAsia" w:cstheme="minorEastAsia"/>
          <w:color w:val="auto"/>
          <w:sz w:val="24"/>
          <w:szCs w:val="24"/>
          <w:lang w:val="en-US" w:eastAsia="zh-CN"/>
        </w:rPr>
        <w:t>的整合目标，新建农业行业专业继续教育模块，满足市农业农村委干部人事处的业务管理要求。</w:t>
      </w:r>
    </w:p>
    <w:p w14:paraId="29DFF12E">
      <w:pPr>
        <w:numPr>
          <w:ilvl w:val="0"/>
          <w:numId w:val="3"/>
        </w:numPr>
        <w:spacing w:line="360" w:lineRule="auto"/>
        <w:ind w:firstLine="56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构建统一规范的数据底座</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通过元数据标准建设和管理，实现农业生产档案数字化和标准化；搭建</w:t>
      </w:r>
      <w:r>
        <w:rPr>
          <w:rFonts w:hint="eastAsia" w:asciiTheme="minorEastAsia" w:hAnsiTheme="minorEastAsia" w:eastAsiaTheme="minorEastAsia" w:cstheme="minorEastAsia"/>
          <w:color w:val="auto"/>
          <w:sz w:val="24"/>
          <w:szCs w:val="24"/>
        </w:rPr>
        <w:t>农事作业直报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畜牧业管理</w:t>
      </w:r>
      <w:r>
        <w:rPr>
          <w:rFonts w:hint="eastAsia" w:asciiTheme="minorEastAsia" w:hAnsiTheme="minorEastAsia" w:eastAsiaTheme="minorEastAsia" w:cstheme="minorEastAsia"/>
          <w:color w:val="auto"/>
          <w:sz w:val="24"/>
          <w:szCs w:val="24"/>
          <w:lang w:val="en-US" w:eastAsia="zh-CN"/>
        </w:rPr>
        <w:t>等主题库，提升农业数字基础能力。</w:t>
      </w:r>
    </w:p>
    <w:p w14:paraId="391170F6">
      <w:pPr>
        <w:numPr>
          <w:ilvl w:val="0"/>
          <w:numId w:val="3"/>
        </w:numPr>
        <w:spacing w:line="360" w:lineRule="auto"/>
        <w:ind w:firstLine="56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建成申农服统一门户，按市级层面“六统一”要求实现对本项目所建系统的统一用户管理、统一权限管理、统一身份认证、统一消息序列、统一工作流引擎、统一应用管理等，并为后续接入系统提供基础能力。</w:t>
      </w:r>
    </w:p>
    <w:p w14:paraId="708973AC">
      <w:pPr>
        <w:pStyle w:val="3"/>
        <w:bidi w:val="0"/>
        <w:ind w:left="1135" w:leftChars="0" w:hanging="567" w:firstLineChars="0"/>
        <w:rPr>
          <w:rFonts w:hint="eastAsia"/>
          <w:lang w:val="en-US" w:eastAsia="zh-CN"/>
        </w:rPr>
      </w:pPr>
      <w:r>
        <w:rPr>
          <w:rFonts w:hint="eastAsia"/>
          <w:lang w:val="en-US" w:eastAsia="zh-CN"/>
        </w:rPr>
        <w:t>技术指标</w:t>
      </w:r>
    </w:p>
    <w:p w14:paraId="469317FF">
      <w:pPr>
        <w:numPr>
          <w:ilvl w:val="0"/>
          <w:numId w:val="4"/>
        </w:numPr>
        <w:spacing w:line="360" w:lineRule="auto"/>
        <w:ind w:firstLine="56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本项目采用技术需要符合XC要求。</w:t>
      </w:r>
    </w:p>
    <w:p w14:paraId="364ACF1E">
      <w:pPr>
        <w:numPr>
          <w:ilvl w:val="0"/>
          <w:numId w:val="4"/>
        </w:numPr>
        <w:spacing w:line="360" w:lineRule="auto"/>
        <w:ind w:firstLine="56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支持用户并发数不低于700。</w:t>
      </w:r>
    </w:p>
    <w:p w14:paraId="1DFE655A">
      <w:pPr>
        <w:numPr>
          <w:ilvl w:val="0"/>
          <w:numId w:val="4"/>
        </w:numPr>
        <w:spacing w:line="360" w:lineRule="auto"/>
        <w:ind w:firstLine="56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支持系统总用户数36000个以上。</w:t>
      </w:r>
    </w:p>
    <w:p w14:paraId="1B4903DC">
      <w:pPr>
        <w:numPr>
          <w:ilvl w:val="0"/>
          <w:numId w:val="4"/>
        </w:numPr>
        <w:spacing w:line="360" w:lineRule="auto"/>
        <w:ind w:firstLine="56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在正常网络条件下，业务普通查询响应时间不超过3秒，跨多表综合查询响应时间不超过5秒。</w:t>
      </w:r>
    </w:p>
    <w:p w14:paraId="3336F295">
      <w:pPr>
        <w:numPr>
          <w:ilvl w:val="0"/>
          <w:numId w:val="4"/>
        </w:numPr>
        <w:spacing w:line="360" w:lineRule="auto"/>
        <w:ind w:firstLine="560" w:firstLineChars="0"/>
        <w:rPr>
          <w:rFonts w:hint="default" w:asciiTheme="minorEastAsia" w:hAnsiTheme="minorEastAsia" w:eastAsiaTheme="minorEastAsia" w:cstheme="minorEastAsia"/>
          <w:color w:val="auto"/>
          <w:sz w:val="24"/>
          <w:szCs w:val="24"/>
          <w:lang w:val="en-US" w:eastAsia="zh-CN"/>
        </w:rPr>
      </w:pPr>
      <w:r>
        <w:rPr>
          <w:rFonts w:hint="default" w:asciiTheme="minorEastAsia" w:hAnsiTheme="minorEastAsia" w:eastAsiaTheme="minorEastAsia" w:cstheme="minorEastAsia"/>
          <w:color w:val="auto"/>
          <w:sz w:val="24"/>
          <w:szCs w:val="24"/>
          <w:lang w:val="en-US" w:eastAsia="zh-CN"/>
        </w:rPr>
        <w:t>可靠性指标:系统需具备7*24小时连续服务的能力。在连续正常负荷运行过程中，系统不会出现响应性能和响应能力下降、资源占用显著增加等现象</w:t>
      </w:r>
      <w:r>
        <w:rPr>
          <w:rFonts w:hint="eastAsia" w:asciiTheme="minorEastAsia" w:hAnsiTheme="minorEastAsia" w:eastAsiaTheme="minorEastAsia" w:cstheme="minorEastAsia"/>
          <w:color w:val="auto"/>
          <w:sz w:val="24"/>
          <w:szCs w:val="24"/>
          <w:lang w:val="en-US" w:eastAsia="zh-CN"/>
        </w:rPr>
        <w:t>。</w:t>
      </w:r>
    </w:p>
    <w:p w14:paraId="3AD48A01">
      <w:pPr>
        <w:pStyle w:val="3"/>
        <w:bidi w:val="0"/>
        <w:ind w:left="1135" w:leftChars="0" w:hanging="567" w:firstLineChars="0"/>
        <w:rPr>
          <w:rFonts w:hint="eastAsia"/>
          <w:lang w:val="en-US" w:eastAsia="zh-CN"/>
        </w:rPr>
      </w:pPr>
      <w:r>
        <w:rPr>
          <w:rFonts w:hint="eastAsia"/>
          <w:lang w:val="en-US" w:eastAsia="zh-CN"/>
        </w:rPr>
        <w:t>应用指标</w:t>
      </w:r>
    </w:p>
    <w:p w14:paraId="65EC1728">
      <w:pPr>
        <w:numPr>
          <w:ilvl w:val="0"/>
          <w:numId w:val="5"/>
        </w:numPr>
        <w:spacing w:line="360" w:lineRule="auto"/>
        <w:ind w:firstLine="560" w:firstLineChars="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完成申农服大系统建设，建设完成申农服统一门户、申农服主题库、农事作业直报管理子系统、畜牧业管理子系统、农业农村人才服务系统等系统建设和密码应用。</w:t>
      </w:r>
    </w:p>
    <w:p w14:paraId="39968749">
      <w:pPr>
        <w:numPr>
          <w:ilvl w:val="0"/>
          <w:numId w:val="5"/>
        </w:numPr>
        <w:spacing w:line="360" w:lineRule="auto"/>
        <w:ind w:firstLine="560" w:firstLineChars="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完成上海市农村实用人才综合调查系统的整合和密码应用改造。</w:t>
      </w:r>
    </w:p>
    <w:p w14:paraId="3E467A16">
      <w:pPr>
        <w:pStyle w:val="3"/>
        <w:bidi w:val="0"/>
        <w:ind w:left="1135" w:leftChars="0" w:hanging="567" w:firstLineChars="0"/>
        <w:rPr>
          <w:rFonts w:hint="eastAsia"/>
          <w:lang w:val="en-US" w:eastAsia="zh-CN"/>
        </w:rPr>
      </w:pPr>
      <w:r>
        <w:rPr>
          <w:rFonts w:hint="eastAsia"/>
          <w:lang w:val="en-US" w:eastAsia="zh-CN"/>
        </w:rPr>
        <w:t>绩效目标</w:t>
      </w:r>
    </w:p>
    <w:tbl>
      <w:tblPr>
        <w:tblStyle w:val="36"/>
        <w:tblW w:w="86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8"/>
        <w:gridCol w:w="1189"/>
        <w:gridCol w:w="2189"/>
        <w:gridCol w:w="2411"/>
        <w:gridCol w:w="1789"/>
      </w:tblGrid>
      <w:tr w14:paraId="5746F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978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一级指标</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217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二级指标</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168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三级指标</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188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四级指标</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7FB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目标值</w:t>
            </w:r>
          </w:p>
        </w:tc>
      </w:tr>
      <w:tr w14:paraId="10F9F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9A93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通用指标</w:t>
            </w: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2DC46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产出指标</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2FA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产出数量</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76D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软件开发完成率</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A74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r>
      <w:tr w14:paraId="07D24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22CE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DDA04">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CC01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产出质量</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F69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一次性验收合格率</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5EF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r>
      <w:tr w14:paraId="7DAFC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50B1D">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619E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105C3">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5EC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系统可靠性</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00E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≥99.9%</w:t>
            </w:r>
          </w:p>
        </w:tc>
      </w:tr>
      <w:tr w14:paraId="19EE4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AF06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0497C">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D3DB1">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974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安全测试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817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通过</w:t>
            </w:r>
          </w:p>
        </w:tc>
      </w:tr>
      <w:tr w14:paraId="7BAD6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4FB8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F1162">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07682">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DDC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密码测试</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661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通过</w:t>
            </w:r>
          </w:p>
        </w:tc>
      </w:tr>
      <w:tr w14:paraId="148EA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D7B07">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54556">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8441D">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625E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软件测评</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900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通过</w:t>
            </w:r>
          </w:p>
        </w:tc>
      </w:tr>
      <w:tr w14:paraId="637C0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23A8F">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E4044">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F4F59">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2D6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网络安全等级保护</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328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三级</w:t>
            </w:r>
          </w:p>
        </w:tc>
      </w:tr>
      <w:tr w14:paraId="69711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D418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78AC6">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D02AF">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B29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安全事件发生次数</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0BF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0次</w:t>
            </w:r>
          </w:p>
        </w:tc>
      </w:tr>
      <w:tr w14:paraId="515D6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875DD">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F05F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30B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产出时效</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7A2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项目建设周期</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237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r>
              <w:rPr>
                <w:rStyle w:val="136"/>
                <w:rFonts w:hint="eastAsia" w:ascii="仿宋" w:hAnsi="仿宋" w:eastAsia="仿宋" w:cs="仿宋"/>
                <w:sz w:val="21"/>
                <w:szCs w:val="21"/>
                <w:lang w:val="en-US" w:eastAsia="zh-CN" w:bidi="ar"/>
              </w:rPr>
              <w:t>12个月</w:t>
            </w:r>
          </w:p>
        </w:tc>
      </w:tr>
      <w:tr w14:paraId="14D2D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002E3">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5A103">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1C8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产出成本</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226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标准化内容支出比例</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820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≥1.57%</w:t>
            </w:r>
          </w:p>
        </w:tc>
      </w:tr>
      <w:tr w14:paraId="7D8D3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F29FF">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72F6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效益指标</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DB9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系统与业务融合能力</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562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线上业务流程数</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894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≥20个</w:t>
            </w:r>
          </w:p>
        </w:tc>
      </w:tr>
      <w:tr w14:paraId="765CE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CB979">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85B27">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71C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共性平台</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A4E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跨部门数据共享程度</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76E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r>
      <w:tr w14:paraId="41F55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75973">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B0508">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BE2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C61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核心数据缺失率</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659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r>
      <w:tr w14:paraId="068F1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22793">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FD1A8">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7FC4">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2D7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覆盖部门数量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878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≥8个</w:t>
            </w:r>
          </w:p>
        </w:tc>
      </w:tr>
      <w:tr w14:paraId="3903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C5750">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66F91">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0C91">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981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统筹对接系统数量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0BD3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≥5个</w:t>
            </w:r>
          </w:p>
        </w:tc>
      </w:tr>
      <w:tr w14:paraId="6561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52C8A">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2A91F">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5BA7F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用户使用情况</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54C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系统用户量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99A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≥36000人</w:t>
            </w:r>
          </w:p>
        </w:tc>
      </w:tr>
      <w:tr w14:paraId="00F96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E5609">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D013D">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E9C3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26F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月活跃用户量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B5A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≥30000人次/月</w:t>
            </w:r>
          </w:p>
        </w:tc>
      </w:tr>
      <w:tr w14:paraId="29481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0CD19">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1472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D8B5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后台数据存储及交换服务水平</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307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平均每月数据存储量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3BB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≥100GB/月</w:t>
            </w:r>
          </w:p>
        </w:tc>
      </w:tr>
      <w:tr w14:paraId="04F6A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0CE2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1ECEC">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BB0D9">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22F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平均每月数据交换量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096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≥150GB/月</w:t>
            </w:r>
          </w:p>
        </w:tc>
      </w:tr>
      <w:tr w14:paraId="4AF28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C120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830BC">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6B2D3">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175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平均每月数据调用量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9377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≥50GB/月</w:t>
            </w:r>
          </w:p>
        </w:tc>
      </w:tr>
      <w:tr w14:paraId="3528C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6950A">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1B561">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B2D9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对外发布网站水平</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991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网页查询平均响应时间</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4CC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w:t>
            </w:r>
            <w:r>
              <w:rPr>
                <w:rStyle w:val="137"/>
                <w:rFonts w:hint="eastAsia" w:ascii="仿宋" w:hAnsi="仿宋" w:eastAsia="仿宋" w:cs="仿宋"/>
                <w:sz w:val="21"/>
                <w:szCs w:val="21"/>
                <w:lang w:val="en-US" w:eastAsia="zh-CN" w:bidi="ar"/>
              </w:rPr>
              <w:t>3秒</w:t>
            </w:r>
          </w:p>
        </w:tc>
      </w:tr>
      <w:tr w14:paraId="20784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58202">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A47A7">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75D58">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234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网页访问量（次/月)</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066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≥20000人次/月</w:t>
            </w:r>
          </w:p>
        </w:tc>
      </w:tr>
      <w:tr w14:paraId="18F8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B8547">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CF4C9">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346E8">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A1A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公众投诉数</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762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r>
              <w:rPr>
                <w:rStyle w:val="138"/>
                <w:rFonts w:hint="eastAsia" w:ascii="仿宋" w:hAnsi="仿宋" w:eastAsia="仿宋" w:cs="仿宋"/>
                <w:sz w:val="21"/>
                <w:szCs w:val="21"/>
                <w:lang w:val="en-US" w:eastAsia="zh-CN" w:bidi="ar"/>
              </w:rPr>
              <w:t>次</w:t>
            </w:r>
            <w:r>
              <w:rPr>
                <w:rStyle w:val="137"/>
                <w:rFonts w:hint="eastAsia" w:ascii="仿宋" w:hAnsi="仿宋" w:eastAsia="仿宋" w:cs="仿宋"/>
                <w:sz w:val="21"/>
                <w:szCs w:val="21"/>
                <w:lang w:val="en-US" w:eastAsia="zh-CN" w:bidi="ar"/>
              </w:rPr>
              <w:t>/月</w:t>
            </w:r>
          </w:p>
        </w:tc>
      </w:tr>
      <w:tr w14:paraId="13013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1B027">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94B0F">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AEB70">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206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内容更新及时率</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55B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r>
      <w:tr w14:paraId="4958E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13E16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业务指标</w:t>
            </w: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58C5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产出指标</w:t>
            </w:r>
          </w:p>
        </w:tc>
        <w:tc>
          <w:tcPr>
            <w:tcW w:w="2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88C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产出数量</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F70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建立主题库数量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E2B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≥10个</w:t>
            </w:r>
          </w:p>
        </w:tc>
      </w:tr>
      <w:tr w14:paraId="08B8A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FBC4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8768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09FB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产出质量</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C5B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数据查询响应时间</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A6B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&lt;5秒</w:t>
            </w:r>
          </w:p>
        </w:tc>
      </w:tr>
      <w:tr w14:paraId="2D976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0368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802E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10CBB">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02C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数据推送成功率</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3AC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≥99.99%</w:t>
            </w:r>
          </w:p>
        </w:tc>
      </w:tr>
      <w:tr w14:paraId="6D12F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042F6">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CFAB4">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EE7D3">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8D7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系统支持同时在线人数</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091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≥2000人</w:t>
            </w:r>
          </w:p>
        </w:tc>
      </w:tr>
      <w:tr w14:paraId="08CE2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72D30">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B7508">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287D2">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987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系统并发量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029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≥700个</w:t>
            </w:r>
          </w:p>
        </w:tc>
      </w:tr>
      <w:tr w14:paraId="781C2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9FCF9">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F5AF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效益指标</w:t>
            </w:r>
          </w:p>
        </w:tc>
        <w:tc>
          <w:tcPr>
            <w:tcW w:w="21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C509A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社会效益</w:t>
            </w: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2B4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管理农药经营主体数量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9EE4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≥500个</w:t>
            </w:r>
          </w:p>
        </w:tc>
      </w:tr>
      <w:tr w14:paraId="6261C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FFBA7">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F874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DC8D0">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16D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管理农业地块数量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CFE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≥300000个</w:t>
            </w:r>
          </w:p>
        </w:tc>
      </w:tr>
      <w:tr w14:paraId="2B4FB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AF43F">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5370F">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25A9">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7F9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管理设施大棚数量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AB9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≥150000个</w:t>
            </w:r>
          </w:p>
        </w:tc>
      </w:tr>
      <w:tr w14:paraId="4E257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5236C">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D81B5">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05030">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EBD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统计农业信息条目数</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C1A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≥360000个</w:t>
            </w:r>
          </w:p>
        </w:tc>
      </w:tr>
      <w:tr w14:paraId="29A24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1F770">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970F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A752B">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476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管理畜种数量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BE2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≥3种</w:t>
            </w:r>
          </w:p>
        </w:tc>
      </w:tr>
      <w:tr w14:paraId="2C8F8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9801E">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1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FE966">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1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02E0C">
            <w:pPr>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24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1E3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管理农业人才数量</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020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≥30000人</w:t>
            </w:r>
          </w:p>
        </w:tc>
      </w:tr>
    </w:tbl>
    <w:p w14:paraId="70C5230C">
      <w:pPr>
        <w:pStyle w:val="2"/>
        <w:bidi w:val="0"/>
        <w:ind w:left="425" w:leftChars="0" w:hanging="425" w:firstLineChars="0"/>
      </w:pPr>
      <w:bookmarkStart w:id="11" w:name="_Toc47536676"/>
      <w:bookmarkEnd w:id="11"/>
      <w:bookmarkStart w:id="12" w:name="_Toc47536304"/>
      <w:bookmarkEnd w:id="12"/>
      <w:bookmarkStart w:id="13" w:name="_Toc47532923"/>
      <w:bookmarkEnd w:id="13"/>
      <w:bookmarkStart w:id="14" w:name="_Toc47533288"/>
      <w:bookmarkEnd w:id="14"/>
      <w:bookmarkStart w:id="15" w:name="_Toc47537166"/>
      <w:bookmarkEnd w:id="15"/>
      <w:bookmarkStart w:id="16" w:name="_Toc47539102"/>
      <w:bookmarkEnd w:id="16"/>
      <w:r>
        <w:rPr>
          <w:rFonts w:hint="eastAsia"/>
        </w:rPr>
        <w:t>项目建设内容</w:t>
      </w:r>
    </w:p>
    <w:p w14:paraId="06ABF48E">
      <w:pPr>
        <w:pStyle w:val="3"/>
        <w:bidi w:val="0"/>
        <w:ind w:left="1135" w:leftChars="0" w:hanging="567" w:firstLineChars="0"/>
        <w:rPr>
          <w:rFonts w:hint="eastAsia"/>
        </w:rPr>
      </w:pPr>
      <w:r>
        <w:rPr>
          <w:rFonts w:hint="eastAsia"/>
          <w:lang w:val="en-US" w:eastAsia="zh-CN"/>
        </w:rPr>
        <w:t>技术路线</w:t>
      </w:r>
    </w:p>
    <w:p w14:paraId="0E42B643">
      <w:pPr>
        <w:rPr>
          <w:rFonts w:hint="eastAsia" w:cs="Times New Roman"/>
          <w:sz w:val="24"/>
          <w:szCs w:val="24"/>
        </w:rPr>
      </w:pPr>
      <w:r>
        <w:rPr>
          <w:rFonts w:hint="eastAsia" w:cs="Times New Roman"/>
          <w:sz w:val="24"/>
          <w:szCs w:val="24"/>
        </w:rPr>
        <w:t>本项目技术路线需采用JAVA主流技术架构，采用前后端分离模式，前后端通过接口方式进行数据交互和通信。</w:t>
      </w:r>
    </w:p>
    <w:p w14:paraId="7D5535CD">
      <w:pPr>
        <w:rPr>
          <w:rFonts w:hint="eastAsia" w:cs="Times New Roman"/>
          <w:sz w:val="24"/>
          <w:szCs w:val="24"/>
        </w:rPr>
      </w:pPr>
      <w:r>
        <w:rPr>
          <w:rFonts w:hint="eastAsia" w:cs="Times New Roman"/>
          <w:sz w:val="24"/>
          <w:szCs w:val="24"/>
        </w:rPr>
        <w:t>使用国产操作系统</w:t>
      </w:r>
      <w:r>
        <w:rPr>
          <w:rFonts w:hint="eastAsia" w:cs="Times New Roman"/>
          <w:sz w:val="24"/>
          <w:szCs w:val="24"/>
          <w:lang w:eastAsia="zh-CN"/>
        </w:rPr>
        <w:t>、</w:t>
      </w:r>
      <w:r>
        <w:rPr>
          <w:rFonts w:hint="eastAsia" w:cs="Times New Roman"/>
          <w:sz w:val="24"/>
          <w:szCs w:val="24"/>
          <w:lang w:val="en-US" w:eastAsia="zh-CN"/>
        </w:rPr>
        <w:t>数据库</w:t>
      </w:r>
      <w:r>
        <w:rPr>
          <w:rFonts w:hint="eastAsia" w:cs="Times New Roman"/>
          <w:sz w:val="24"/>
          <w:szCs w:val="24"/>
          <w:lang w:eastAsia="zh-CN"/>
        </w:rPr>
        <w:t>、</w:t>
      </w:r>
      <w:r>
        <w:rPr>
          <w:rFonts w:hint="eastAsia" w:cs="Times New Roman"/>
          <w:sz w:val="24"/>
          <w:szCs w:val="24"/>
        </w:rPr>
        <w:t>主流中间件。</w:t>
      </w:r>
    </w:p>
    <w:p w14:paraId="1F1E6079">
      <w:pPr>
        <w:rPr>
          <w:rFonts w:hint="eastAsia" w:cs="Times New Roman"/>
          <w:sz w:val="24"/>
          <w:szCs w:val="24"/>
        </w:rPr>
      </w:pPr>
      <w:r>
        <w:rPr>
          <w:rFonts w:hint="eastAsia" w:cs="Times New Roman"/>
          <w:sz w:val="24"/>
          <w:szCs w:val="24"/>
        </w:rPr>
        <w:t>加密技术：依托上海市政务云的安全认证网关建立基于国密算法的GMSSL 安全信道，保护数据传输的保密性和完整性。</w:t>
      </w:r>
    </w:p>
    <w:p w14:paraId="2CE6B35C">
      <w:pPr>
        <w:rPr>
          <w:rFonts w:hint="eastAsia" w:cs="Times New Roman"/>
          <w:sz w:val="24"/>
          <w:szCs w:val="24"/>
        </w:rPr>
      </w:pPr>
      <w:r>
        <w:rPr>
          <w:rFonts w:hint="eastAsia" w:cs="Times New Roman"/>
          <w:sz w:val="24"/>
          <w:szCs w:val="24"/>
        </w:rPr>
        <w:t>安全要求：系统应通过第三方测评机构的软件测试、安全测评和密码应用测评，</w:t>
      </w:r>
      <w:r>
        <w:rPr>
          <w:rFonts w:hint="eastAsia" w:cs="Times New Roman"/>
          <w:sz w:val="24"/>
          <w:szCs w:val="24"/>
          <w:lang w:val="en-US" w:eastAsia="zh-CN"/>
        </w:rPr>
        <w:t>并满足市大数据中心验收标准，</w:t>
      </w:r>
      <w:r>
        <w:rPr>
          <w:rFonts w:hint="eastAsia" w:cs="Times New Roman"/>
          <w:sz w:val="24"/>
          <w:szCs w:val="24"/>
        </w:rPr>
        <w:t>供应商应配合完成安全相关整改工作。</w:t>
      </w:r>
    </w:p>
    <w:p w14:paraId="4159C6F6">
      <w:pPr>
        <w:pStyle w:val="3"/>
        <w:bidi w:val="0"/>
        <w:ind w:left="1135" w:leftChars="0" w:hanging="567" w:firstLineChars="0"/>
        <w:rPr>
          <w:rFonts w:hint="eastAsia"/>
        </w:rPr>
      </w:pPr>
      <w:r>
        <w:rPr>
          <w:rFonts w:hint="eastAsia"/>
          <w:lang w:val="en-US" w:eastAsia="zh-CN"/>
        </w:rPr>
        <w:t>部署环境</w:t>
      </w:r>
    </w:p>
    <w:p w14:paraId="282F587A">
      <w:pPr>
        <w:rPr>
          <w:rFonts w:hint="eastAsia" w:cs="Times New Roman"/>
          <w:sz w:val="24"/>
          <w:szCs w:val="24"/>
        </w:rPr>
      </w:pPr>
      <w:r>
        <w:rPr>
          <w:rFonts w:hint="eastAsia" w:cs="Times New Roman"/>
          <w:sz w:val="24"/>
          <w:szCs w:val="24"/>
        </w:rPr>
        <w:t>本项目应部署于上海市电子政务云</w:t>
      </w:r>
      <w:r>
        <w:rPr>
          <w:rFonts w:hint="eastAsia" w:cs="Times New Roman"/>
          <w:sz w:val="24"/>
          <w:szCs w:val="24"/>
          <w:lang w:eastAsia="zh-CN"/>
        </w:rPr>
        <w:t>XC</w:t>
      </w:r>
      <w:r>
        <w:rPr>
          <w:rFonts w:hint="eastAsia" w:cs="Times New Roman"/>
          <w:sz w:val="24"/>
          <w:szCs w:val="24"/>
        </w:rPr>
        <w:t>环境，根据安全管理要求和用户类型分别部署于政务外网和互联网。</w:t>
      </w:r>
    </w:p>
    <w:p w14:paraId="2F10CC4C">
      <w:pPr>
        <w:pStyle w:val="16"/>
        <w:rPr>
          <w:rFonts w:hint="eastAsia"/>
        </w:rPr>
      </w:pPr>
      <w:r>
        <w:drawing>
          <wp:inline distT="0" distB="0" distL="114300" distR="114300">
            <wp:extent cx="5274310" cy="3804920"/>
            <wp:effectExtent l="0" t="0" r="8890" b="5080"/>
            <wp:docPr id="2" name="图片 2" descr="739cdd1b5e3a152d88ea9924a92d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39cdd1b5e3a152d88ea9924a92dfcb"/>
                    <pic:cNvPicPr>
                      <a:picLocks noChangeAspect="1"/>
                    </pic:cNvPicPr>
                  </pic:nvPicPr>
                  <pic:blipFill>
                    <a:blip r:embed="rId13"/>
                    <a:stretch>
                      <a:fillRect/>
                    </a:stretch>
                  </pic:blipFill>
                  <pic:spPr>
                    <a:xfrm>
                      <a:off x="0" y="0"/>
                      <a:ext cx="5274310" cy="3804920"/>
                    </a:xfrm>
                    <a:prstGeom prst="rect">
                      <a:avLst/>
                    </a:prstGeom>
                  </pic:spPr>
                </pic:pic>
              </a:graphicData>
            </a:graphic>
          </wp:inline>
        </w:drawing>
      </w:r>
    </w:p>
    <w:p w14:paraId="399A06A5">
      <w:pPr>
        <w:pStyle w:val="3"/>
        <w:bidi w:val="0"/>
        <w:ind w:left="1135" w:leftChars="0" w:hanging="567" w:firstLineChars="0"/>
        <w:rPr>
          <w:rFonts w:hint="eastAsia"/>
        </w:rPr>
      </w:pPr>
      <w:r>
        <w:rPr>
          <w:rFonts w:hint="eastAsia"/>
          <w:lang w:val="en-US" w:eastAsia="zh-CN"/>
        </w:rPr>
        <w:t>数据要求</w:t>
      </w:r>
    </w:p>
    <w:p w14:paraId="16498D68">
      <w:pPr>
        <w:rPr>
          <w:rFonts w:hint="eastAsia"/>
          <w:sz w:val="24"/>
          <w:szCs w:val="24"/>
        </w:rPr>
      </w:pPr>
      <w:r>
        <w:rPr>
          <w:rFonts w:hint="eastAsia"/>
          <w:sz w:val="24"/>
          <w:szCs w:val="24"/>
        </w:rPr>
        <w:t>1、数据库设计文档中，原则上应包括所有二级功能模块对应的数据库表。</w:t>
      </w:r>
    </w:p>
    <w:p w14:paraId="3887164D">
      <w:pPr>
        <w:rPr>
          <w:rFonts w:hint="eastAsia"/>
          <w:sz w:val="24"/>
          <w:szCs w:val="24"/>
        </w:rPr>
      </w:pPr>
      <w:r>
        <w:rPr>
          <w:rFonts w:hint="eastAsia"/>
          <w:sz w:val="24"/>
          <w:szCs w:val="24"/>
        </w:rPr>
        <w:t>2、业务功能模块涉及的业务对象、业务结果的数据库表应完成数据编目上链。</w:t>
      </w:r>
    </w:p>
    <w:p w14:paraId="6BEA84BA">
      <w:pPr>
        <w:rPr>
          <w:rFonts w:hint="eastAsia"/>
          <w:sz w:val="24"/>
          <w:szCs w:val="24"/>
        </w:rPr>
      </w:pPr>
      <w:r>
        <w:rPr>
          <w:rFonts w:hint="eastAsia"/>
          <w:sz w:val="24"/>
          <w:szCs w:val="24"/>
        </w:rPr>
        <w:t>3、数据目录名称应符合上海市《公共数据上链实施指南》数据资源命名规范。数据目录中的数据项应包含数据库表的核心数据项，其核心数据项应包含业务主体（人、企、事、产品、地址）、主体唯一标识、时间等关键信息。</w:t>
      </w:r>
    </w:p>
    <w:p w14:paraId="570AF6AA">
      <w:pPr>
        <w:rPr>
          <w:rFonts w:hint="eastAsia"/>
          <w:sz w:val="24"/>
          <w:szCs w:val="24"/>
        </w:rPr>
      </w:pPr>
      <w:r>
        <w:rPr>
          <w:rFonts w:hint="eastAsia"/>
          <w:sz w:val="24"/>
          <w:szCs w:val="24"/>
        </w:rPr>
        <w:t>4、新建系统应具备与</w:t>
      </w:r>
      <w:r>
        <w:rPr>
          <w:rFonts w:hint="eastAsia"/>
          <w:sz w:val="24"/>
          <w:szCs w:val="24"/>
          <w:lang w:val="en-US" w:eastAsia="zh-CN"/>
        </w:rPr>
        <w:t>市大数据中心信息化服务第二</w:t>
      </w:r>
      <w:r>
        <w:rPr>
          <w:rFonts w:hint="eastAsia"/>
          <w:sz w:val="24"/>
          <w:szCs w:val="24"/>
        </w:rPr>
        <w:t>分中心指定的数据中台对接并实现数据归集和共享的能力。</w:t>
      </w:r>
    </w:p>
    <w:p w14:paraId="7AA6D57F">
      <w:pPr>
        <w:rPr>
          <w:rFonts w:hint="eastAsia"/>
          <w:sz w:val="24"/>
          <w:szCs w:val="24"/>
        </w:rPr>
      </w:pPr>
      <w:r>
        <w:rPr>
          <w:rFonts w:hint="eastAsia"/>
          <w:sz w:val="24"/>
          <w:szCs w:val="24"/>
        </w:rPr>
        <w:t>5、配合完成业务数据标准编制，并按照相关管理规则和技术规范完成数据归集。</w:t>
      </w:r>
    </w:p>
    <w:p w14:paraId="75B063DA">
      <w:pPr>
        <w:rPr>
          <w:rFonts w:hint="eastAsia" w:eastAsia="宋体"/>
          <w:sz w:val="24"/>
          <w:szCs w:val="24"/>
          <w:lang w:val="en-US" w:eastAsia="zh-CN"/>
        </w:rPr>
      </w:pPr>
      <w:r>
        <w:rPr>
          <w:rFonts w:hint="eastAsia"/>
          <w:sz w:val="24"/>
          <w:szCs w:val="24"/>
        </w:rPr>
        <w:t>6、按照《上海市大数据中心数字化项目验收公共数据上链评估规范（暂行）》要求做好公共数据上链工作。</w:t>
      </w:r>
    </w:p>
    <w:p w14:paraId="4BD6F5F4">
      <w:pPr>
        <w:pStyle w:val="3"/>
        <w:bidi w:val="0"/>
        <w:ind w:left="1135" w:leftChars="0" w:hanging="567" w:firstLineChars="0"/>
        <w:rPr>
          <w:rFonts w:hint="eastAsia"/>
        </w:rPr>
      </w:pPr>
      <w:r>
        <w:rPr>
          <w:rFonts w:hint="eastAsia"/>
          <w:lang w:val="en-US" w:eastAsia="zh-CN"/>
        </w:rPr>
        <w:t>软件开发清单</w:t>
      </w:r>
    </w:p>
    <w:p w14:paraId="60988EE5">
      <w:pPr>
        <w:pStyle w:val="4"/>
        <w:bidi w:val="0"/>
        <w:ind w:left="1133" w:leftChars="0" w:hanging="566" w:firstLineChars="0"/>
      </w:pPr>
      <w:r>
        <w:rPr>
          <w:rFonts w:hint="eastAsia"/>
        </w:rPr>
        <w:t>农事作业直报管理</w:t>
      </w:r>
      <w:r>
        <w:rPr>
          <w:rFonts w:hint="eastAsia"/>
          <w:lang w:val="en-US" w:eastAsia="zh-CN"/>
        </w:rPr>
        <w:t>子系统</w:t>
      </w:r>
    </w:p>
    <w:p w14:paraId="05C1E0C6">
      <w:pPr>
        <w:rPr>
          <w:rFonts w:hint="eastAsia" w:cs="Times New Roman"/>
          <w:sz w:val="24"/>
          <w:szCs w:val="24"/>
          <w:lang w:val="en-US"/>
        </w:rPr>
      </w:pPr>
      <w:r>
        <w:rPr>
          <w:rFonts w:hint="eastAsia" w:cs="Times New Roman"/>
          <w:sz w:val="24"/>
          <w:szCs w:val="24"/>
          <w:lang w:val="en-US"/>
        </w:rPr>
        <w:t>以地块为基本管理维度，聚焦农场对象，实现地块上种养品种、施肥/用药等农事操作、采收记录及销售记录的全流程管理，为每一地块上每一批次种养品种生成完整的生长档案。同时，集成</w:t>
      </w:r>
      <w:r>
        <w:rPr>
          <w:rFonts w:hint="eastAsia" w:cs="Times New Roman"/>
          <w:sz w:val="24"/>
          <w:szCs w:val="24"/>
          <w:lang w:val="en-US" w:eastAsia="zh-CN"/>
        </w:rPr>
        <w:t>标准作业指导、过程监测与数据上报、农产品承诺达标合格证管理、农业智屏</w:t>
      </w:r>
      <w:r>
        <w:rPr>
          <w:rFonts w:hint="eastAsia" w:cs="Times New Roman"/>
          <w:sz w:val="24"/>
          <w:szCs w:val="24"/>
          <w:lang w:val="en-US"/>
        </w:rPr>
        <w:t>等功能，全方位满足农产品生产型经营主体的日常生产与管理需求。通过主体直连、信息直报、服务直通、共享共用机制，平台为经营主体提供点对点的生产作业、库存、</w:t>
      </w:r>
      <w:r>
        <w:rPr>
          <w:rFonts w:hint="eastAsia" w:cs="Times New Roman"/>
          <w:sz w:val="24"/>
          <w:szCs w:val="24"/>
          <w:lang w:val="en-US" w:eastAsia="zh-CN"/>
        </w:rPr>
        <w:t>承诺达标</w:t>
      </w:r>
      <w:r>
        <w:rPr>
          <w:rFonts w:hint="eastAsia" w:cs="Times New Roman"/>
          <w:sz w:val="24"/>
          <w:szCs w:val="24"/>
          <w:lang w:val="en-US"/>
        </w:rPr>
        <w:t>合格证及大棚管理等服务。助力政府动态精准掌握农业生产经营全貌，实现对政策落实情况的在线直接监管，推动农业管理理念和治理方式的重大创新。</w:t>
      </w:r>
    </w:p>
    <w:p w14:paraId="1930C771">
      <w:pPr>
        <w:pStyle w:val="4"/>
        <w:bidi w:val="0"/>
        <w:ind w:left="1133" w:leftChars="0" w:hanging="566"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畜牧业管理</w:t>
      </w:r>
      <w:r>
        <w:rPr>
          <w:rFonts w:hint="eastAsia" w:asciiTheme="minorEastAsia" w:hAnsiTheme="minorEastAsia" w:eastAsiaTheme="minorEastAsia" w:cstheme="minorEastAsia"/>
          <w:lang w:val="en-US" w:eastAsia="zh-CN"/>
        </w:rPr>
        <w:t>子系统</w:t>
      </w:r>
    </w:p>
    <w:p w14:paraId="287A4A3E">
      <w:pPr>
        <w:rPr>
          <w:rFonts w:hint="eastAsia" w:cs="Times New Roman"/>
          <w:sz w:val="24"/>
          <w:szCs w:val="24"/>
          <w:lang w:val="en-US"/>
        </w:rPr>
      </w:pPr>
      <w:r>
        <w:rPr>
          <w:rFonts w:hint="eastAsia" w:cs="Times New Roman"/>
          <w:sz w:val="24"/>
          <w:szCs w:val="24"/>
          <w:lang w:val="en-US"/>
        </w:rPr>
        <w:t>根据畜牧业高质量发展要求，建设养殖管理、动物防疫、先打后补、动物检疫（产地检疫及屠宰检疫、无纸化出证）、道口管理、综合事务管理、兽药投入品管理、业务关键指标分析等功能模块，并进一步强化与农业农村部及上海市相关系统数据对接。</w:t>
      </w:r>
    </w:p>
    <w:p w14:paraId="490418C0">
      <w:pPr>
        <w:rPr>
          <w:rFonts w:hint="eastAsia" w:cs="Times New Roman"/>
          <w:sz w:val="24"/>
          <w:szCs w:val="24"/>
          <w:lang w:val="en-US"/>
        </w:rPr>
      </w:pPr>
      <w:r>
        <w:rPr>
          <w:rFonts w:hint="eastAsia" w:cs="Times New Roman"/>
          <w:sz w:val="24"/>
          <w:szCs w:val="24"/>
          <w:lang w:val="en-US"/>
        </w:rPr>
        <w:t>通过数字化手段，整合现有畜牧产业的信息化资源，贯通养殖、防疫、检疫、屠宰、道口调运、无害化处理等全环节的业务流和数据流，实现畜牧全周期全流程的服务管理，并实现全市畜牧业生产过程的实时感知、动态监测和智能预警。</w:t>
      </w:r>
    </w:p>
    <w:p w14:paraId="6A605B4A">
      <w:pPr>
        <w:pStyle w:val="4"/>
        <w:bidi w:val="0"/>
        <w:ind w:left="1133" w:leftChars="0" w:hanging="566" w:firstLineChars="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农业农村人才服务系统</w:t>
      </w:r>
    </w:p>
    <w:p w14:paraId="77398D72">
      <w:pPr>
        <w:rPr>
          <w:rFonts w:hint="eastAsia" w:cs="Times New Roman"/>
          <w:color w:val="auto"/>
          <w:sz w:val="24"/>
          <w:szCs w:val="24"/>
          <w:lang w:val="en-US"/>
        </w:rPr>
      </w:pPr>
      <w:r>
        <w:rPr>
          <w:rFonts w:hint="eastAsia" w:cs="Times New Roman"/>
          <w:color w:val="auto"/>
          <w:sz w:val="24"/>
          <w:szCs w:val="24"/>
          <w:lang w:val="en-US"/>
        </w:rPr>
        <w:t>整合上海市农村实用人才综合调查系统</w:t>
      </w:r>
      <w:r>
        <w:rPr>
          <w:rFonts w:hint="eastAsia" w:cs="Times New Roman"/>
          <w:color w:val="auto"/>
          <w:sz w:val="24"/>
          <w:szCs w:val="24"/>
          <w:lang w:val="en-US" w:eastAsia="zh-CN"/>
        </w:rPr>
        <w:t>，新建农业农村人才服务系统，实现农业实用人才的数据采集和统计分析。</w:t>
      </w:r>
    </w:p>
    <w:p w14:paraId="014A1490">
      <w:pPr>
        <w:rPr>
          <w:rFonts w:hint="eastAsia" w:cs="Times New Roman"/>
          <w:color w:val="auto"/>
          <w:sz w:val="24"/>
          <w:szCs w:val="24"/>
          <w:lang w:val="en-US"/>
        </w:rPr>
      </w:pPr>
      <w:r>
        <w:rPr>
          <w:rFonts w:hint="eastAsia" w:cs="Times New Roman"/>
          <w:color w:val="auto"/>
          <w:sz w:val="24"/>
          <w:szCs w:val="24"/>
          <w:lang w:val="en-US" w:eastAsia="zh-CN"/>
        </w:rPr>
        <w:t>新建农业行业专业继续教育模块，</w:t>
      </w:r>
      <w:r>
        <w:rPr>
          <w:rFonts w:hint="eastAsia" w:cs="Times New Roman"/>
          <w:color w:val="auto"/>
          <w:sz w:val="24"/>
          <w:szCs w:val="24"/>
          <w:lang w:val="en-US"/>
        </w:rPr>
        <w:t>支持接入线上农业技术培训平台，提升人才的专业能力</w:t>
      </w:r>
      <w:r>
        <w:rPr>
          <w:rFonts w:hint="eastAsia" w:cs="Times New Roman"/>
          <w:color w:val="auto"/>
          <w:sz w:val="24"/>
          <w:szCs w:val="24"/>
          <w:lang w:val="en-US" w:eastAsia="zh-CN"/>
        </w:rPr>
        <w:t>；</w:t>
      </w:r>
      <w:r>
        <w:rPr>
          <w:rFonts w:hint="eastAsia" w:cs="Times New Roman"/>
          <w:color w:val="auto"/>
          <w:sz w:val="24"/>
          <w:szCs w:val="24"/>
          <w:lang w:val="en-US"/>
        </w:rPr>
        <w:t>设立农业人才交流平台，促进人才之间的经验分享与合作，激发创新活力</w:t>
      </w:r>
      <w:r>
        <w:rPr>
          <w:rFonts w:hint="eastAsia" w:cs="Times New Roman"/>
          <w:color w:val="auto"/>
          <w:sz w:val="24"/>
          <w:szCs w:val="24"/>
          <w:lang w:val="en-US" w:eastAsia="zh-CN"/>
        </w:rPr>
        <w:t>；</w:t>
      </w:r>
      <w:r>
        <w:rPr>
          <w:rFonts w:hint="eastAsia" w:cs="Times New Roman"/>
          <w:color w:val="auto"/>
          <w:sz w:val="24"/>
          <w:szCs w:val="24"/>
          <w:lang w:val="en-US"/>
        </w:rPr>
        <w:t>提供职业发展咨询和就业指导服务，帮助农业人才规划职业路径，拓宽就业渠道。</w:t>
      </w:r>
    </w:p>
    <w:p w14:paraId="39484E5F">
      <w:pPr>
        <w:pStyle w:val="4"/>
        <w:bidi w:val="0"/>
        <w:ind w:left="1133" w:leftChars="0" w:hanging="566"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申农服主题库</w:t>
      </w:r>
    </w:p>
    <w:p w14:paraId="5355D407">
      <w:pPr>
        <w:rPr>
          <w:rFonts w:hint="eastAsia" w:cs="Times New Roman"/>
          <w:sz w:val="24"/>
          <w:szCs w:val="24"/>
          <w:lang w:val="en-US" w:eastAsia="zh-CN"/>
        </w:rPr>
      </w:pPr>
      <w:r>
        <w:rPr>
          <w:rFonts w:hint="eastAsia" w:cs="Times New Roman"/>
          <w:sz w:val="24"/>
          <w:szCs w:val="24"/>
          <w:lang w:val="en-US" w:eastAsia="zh-CN"/>
        </w:rPr>
        <w:t>构建统一规范的数据底座，主题库建设以“元数据库”和“归集数据库”为基础，夯实数据标准和规范。</w:t>
      </w:r>
    </w:p>
    <w:p w14:paraId="2FE6592A">
      <w:pPr>
        <w:rPr>
          <w:rFonts w:hint="eastAsia" w:cs="Times New Roman"/>
          <w:sz w:val="24"/>
          <w:szCs w:val="24"/>
          <w:lang w:val="en-US" w:eastAsia="zh-CN"/>
        </w:rPr>
      </w:pPr>
      <w:r>
        <w:rPr>
          <w:rFonts w:hint="eastAsia" w:cs="Times New Roman"/>
          <w:sz w:val="24"/>
          <w:szCs w:val="24"/>
          <w:lang w:val="en-US" w:eastAsia="zh-CN"/>
        </w:rPr>
        <w:t>建设农事作业直报、畜牧业管理、人才服务三大核心业务主题库，汇集农事种养、畜牧种养防疫、农业人才信息等核心要素，形成覆盖农事生产全过程、畜牧业监管与产品追溯及农业实用人才管理的全链条数据底座。</w:t>
      </w:r>
    </w:p>
    <w:p w14:paraId="33ECDE3E">
      <w:pPr>
        <w:pStyle w:val="4"/>
        <w:bidi w:val="0"/>
        <w:ind w:left="1133" w:leftChars="0" w:hanging="566"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申农服统一门户</w:t>
      </w:r>
    </w:p>
    <w:p w14:paraId="163C237C">
      <w:pPr>
        <w:rPr>
          <w:rFonts w:hint="eastAsia" w:cs="Times New Roman"/>
          <w:sz w:val="24"/>
          <w:szCs w:val="24"/>
          <w:lang w:val="en-US" w:eastAsia="zh-CN"/>
        </w:rPr>
      </w:pPr>
      <w:r>
        <w:rPr>
          <w:rFonts w:hint="eastAsia" w:cs="Times New Roman"/>
          <w:sz w:val="24"/>
          <w:szCs w:val="24"/>
          <w:lang w:val="en-US" w:eastAsia="zh-CN"/>
        </w:rPr>
        <w:t>围绕“系统整合协同、配置灵活可控”建设申农服统一门户。按市级层面“六统一”要求实现对本项目所建系统的统一用户管理、统一权限管理、统一身份认证、统一消息序列、统一工作流引擎、统一应用管理等，并为后续接入系统提供基础能力。</w:t>
      </w:r>
    </w:p>
    <w:p w14:paraId="24929D0F">
      <w:pPr>
        <w:numPr>
          <w:ilvl w:val="0"/>
          <w:numId w:val="6"/>
        </w:numPr>
        <w:ind w:firstLine="482"/>
        <w:rPr>
          <w:rFonts w:hint="eastAsia"/>
          <w:b/>
        </w:rPr>
      </w:pPr>
      <w:r>
        <w:rPr>
          <w:rFonts w:hint="eastAsia"/>
          <w:b/>
        </w:rPr>
        <w:t>软件开发清单：</w:t>
      </w:r>
    </w:p>
    <w:tbl>
      <w:tblPr>
        <w:tblStyle w:val="36"/>
        <w:tblW w:w="93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7"/>
        <w:gridCol w:w="1150"/>
        <w:gridCol w:w="2833"/>
        <w:gridCol w:w="4663"/>
      </w:tblGrid>
      <w:tr w14:paraId="7272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747"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3523493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150" w:type="dxa"/>
            <w:tcBorders>
              <w:top w:val="single" w:color="000000" w:sz="8" w:space="0"/>
              <w:left w:val="nil"/>
              <w:bottom w:val="single" w:color="000000" w:sz="8" w:space="0"/>
              <w:right w:val="single" w:color="000000" w:sz="8" w:space="0"/>
            </w:tcBorders>
            <w:shd w:val="clear" w:color="auto" w:fill="DBEEF3" w:themeFill="accent5" w:themeFillTint="32"/>
            <w:vAlign w:val="center"/>
          </w:tcPr>
          <w:p w14:paraId="004B733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模块名称</w:t>
            </w:r>
          </w:p>
        </w:tc>
        <w:tc>
          <w:tcPr>
            <w:tcW w:w="2833"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0F88392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功能名称</w:t>
            </w:r>
          </w:p>
        </w:tc>
        <w:tc>
          <w:tcPr>
            <w:tcW w:w="4663" w:type="dxa"/>
            <w:tcBorders>
              <w:top w:val="single" w:color="000000" w:sz="4" w:space="0"/>
              <w:left w:val="single" w:color="000000" w:sz="4" w:space="0"/>
              <w:bottom w:val="single" w:color="000000" w:sz="4" w:space="0"/>
              <w:right w:val="single" w:color="000000" w:sz="4" w:space="0"/>
            </w:tcBorders>
            <w:shd w:val="clear" w:color="auto" w:fill="DBEEF3" w:themeFill="accent5" w:themeFillTint="32"/>
            <w:vAlign w:val="center"/>
          </w:tcPr>
          <w:p w14:paraId="085128F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功能描述</w:t>
            </w:r>
          </w:p>
        </w:tc>
      </w:tr>
      <w:tr w14:paraId="437C0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49F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8D40F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农事作业直报管理子系统</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055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种植业经营主体基础管理-种植业经营主体概况-种植业经营主体首页概览</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A9D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展示种植业经营主体概况，包括当前农场地块使用率、地块总面积、当前种养面积、和当前种养品种数量。以列表形式展示相关功能的入口</w:t>
            </w:r>
          </w:p>
        </w:tc>
      </w:tr>
      <w:tr w14:paraId="7A5FB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9B2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06287">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0FF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种植业经营主体基础管理-种植业经营主体概况-种植业经营主体地图</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7D1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在web端和移动端完成农业地图功能开发，以地图形式展示该农场下所有的地块所有信息，支持在地图模式下进行地块编组，快速查看编组下的地块位置。</w:t>
            </w:r>
          </w:p>
        </w:tc>
      </w:tr>
      <w:tr w14:paraId="3232B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4E4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2CF3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7A9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种植业经营主体基础管理-种植业经营主体概况-种植业经营主体地块列表</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A3D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在web端和移动端完成地块列表功能开发，以可视化方式实现基地所有地块的管理，支持对单个地块的编辑、删除操作。</w:t>
            </w:r>
          </w:p>
        </w:tc>
      </w:tr>
      <w:tr w14:paraId="06298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761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9B74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955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种植业经营主体基础管理-种植业经营主体概况-当前种养品种</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D37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当前种养品种功能开发，支持以卡片式形式汇总展示该农场下当前在种养的所有品种，包括品种图片，品种名称、种植面积等数据，支持一键跳转采收、结束档案记录页面，或查看生产档案界面</w:t>
            </w:r>
          </w:p>
        </w:tc>
      </w:tr>
      <w:tr w14:paraId="66A8F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821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383D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4CE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种植业经营主体基础管理-种植业经营主体概况-待办提示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0CA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待办提示功能开发，支持结合农事档案和农事指导，为系统用户发送农事操作等的待办提醒。如针对长时间空闲的地块提示进行播种操作，针对长时间未采收或结束档案的地块，提示应进行采收等操作。</w:t>
            </w:r>
          </w:p>
        </w:tc>
      </w:tr>
      <w:tr w14:paraId="7F8D6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932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58F0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9F2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种植业经营主体基础管理-种植业经营主体概况-主体码申码</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EB0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对农业主体提供便捷的主体码申请入口，申码时关联农业主体基础信息。</w:t>
            </w:r>
          </w:p>
        </w:tc>
      </w:tr>
      <w:tr w14:paraId="10B9B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55D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8575A">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8BF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种植业经营主体基础管理-种植业经营主体概况-扫码看主体信息</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828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支持农户扫主体码查看主体详细数据</w:t>
            </w:r>
          </w:p>
        </w:tc>
      </w:tr>
      <w:tr w14:paraId="4C19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D00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A682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792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种植业经营主体基础管理-种植业经营主体概况-图片视频等的上传与导入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3B6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图片视频等的上传与导入功能开发，支持对农场基础信息、两品一标信息、检测报告信息、金融信息维护、产品认证信息进行创建，对已创建信息和已导入的证书图片和视频进行新增、删除和修改。支持对已填报表单和导入的图片等内容进行列表查看</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支持上传农场环境照片、农产品照片，上传农场各类证书图片</w:t>
            </w:r>
          </w:p>
        </w:tc>
      </w:tr>
      <w:tr w14:paraId="42C83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583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3634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A99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种植业经营主体基础管理-种植业经营主体概况-种植业经营主体多级管理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E93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种植业经营主体的多级管理，一方面针对有多个生产基地的管理员，支持进行不同农场的切换，进行多个农场的数据查看和操作；另一方面支持市、区两级管理人员对所属区域的经营主体进行农事数据的查看和管理。</w:t>
            </w:r>
          </w:p>
        </w:tc>
      </w:tr>
      <w:tr w14:paraId="46305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0AA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90B21">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7B0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种植业经营主体基础管理-设施大棚管理-设施菜田数据图层展示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A3B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对现有设施菜田和设施大棚的基础信息进行地图模式和地块列表展示。农户可以在自己的农场查看所有设施菜田的地块分布及地块轮廓.</w:t>
            </w:r>
          </w:p>
        </w:tc>
      </w:tr>
      <w:tr w14:paraId="7CA89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AC5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91A4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E2A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种植业经营主体基础管理-设施大棚管理-设施菜田数据统计报表</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EB1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完成设施菜田数据统计报表功能开发，统计主体下所有设施菜田播种、在田、采收、销售和预计产量和上市时间等数据，形成统计报表。支持按照时间维度、作物等进行高级筛选。</w:t>
            </w:r>
          </w:p>
        </w:tc>
      </w:tr>
      <w:tr w14:paraId="658F2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2F5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D5FE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532D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种植业经营主体基础管理-设施大棚管理-设施大棚信息填报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EB7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支持主体进行基地能设施大棚的添加、编辑、删除等操作</w:t>
            </w:r>
          </w:p>
        </w:tc>
      </w:tr>
      <w:tr w14:paraId="4EB54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168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E6573">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687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种植业经营主体基础管理-设施大棚管理-设施大棚统计查询</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6F3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提供设施大棚统计、查询功能，以设施大棚为维度统计该主体下设施大棚内播种、在田和采收的数据，形成统计报表，并支持设施大棚的详细信息查看和管理。</w:t>
            </w:r>
          </w:p>
        </w:tc>
      </w:tr>
      <w:tr w14:paraId="47C5B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E58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D4F3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C54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种植业经营主体基础管理-设施大棚管理-大棚码申码</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9FD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若农户自行新建大棚，支持进行大棚码的申请发码，通过填写设施大棚的信息，绑定地块，提交申请</w:t>
            </w:r>
          </w:p>
        </w:tc>
      </w:tr>
      <w:tr w14:paraId="14EBF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274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536E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CEC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种植业经营主体基础管理-设施大棚管理-扫码查看大棚信息</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9E3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支持农户通过扫大棚码，查看该设施大棚的详细数据</w:t>
            </w:r>
          </w:p>
        </w:tc>
      </w:tr>
      <w:tr w14:paraId="19CC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175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F3C2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A81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种植业经营主体基础管理-设施大棚管理-扫码上报农事</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F97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农户通过本系统扫码自动跳转农事填报页面，可自动定位大棚内的地块，并通过勾选预设的农事模板，快速完成相应农事记录的批量上报</w:t>
            </w:r>
          </w:p>
        </w:tc>
      </w:tr>
      <w:tr w14:paraId="567EB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820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87F6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9EA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作业指导与执行-标准农事指导-管理阶段指导</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0FF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建立与维护不同作物的生命周期阶段模型，实现农事指导的阶段化、精细化管理。</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针对不同作物和地域特征，灵活配置各管理阶段的关键参数与管理动作，为后续农事指导提供基础支撑。</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建立科学的阶段作业规则体系，明确每个阶段应执行的农事行为与触发条件，实现标准化作业。</w:t>
            </w:r>
          </w:p>
        </w:tc>
      </w:tr>
      <w:tr w14:paraId="21DF0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9B8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B436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918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作业指导与执行-标准农事指导-适宜温度指导</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137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根据作物生长的温度适应性，实现全过程温度管理，辅助农户及时调整温控策略，保障作物健康生长。</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构建标准化的温度适宜性配置体系，确保不同作物和生长阶段具备科学的温度阈值定义，支撑自动判断与预警。</w:t>
            </w:r>
          </w:p>
        </w:tc>
      </w:tr>
      <w:tr w14:paraId="77A0E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119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9F4C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7F8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作业指导与执行-标准农事指导-主要农事指导</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5B2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对种植全过程中各个关键农事活动进行识别、拆解与归类，实现标准化、精细化管理。</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配置标准化农事流程模板，为多种作物和区域复制推广提供基础，提高系统适配效率。</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配置用于农事数据采集与上报的标准输入模板，便于系统化记录、统计与监管。</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建立农事活动的执行规范和监管机制，确保作业标准统一、安全合规。</w:t>
            </w:r>
          </w:p>
        </w:tc>
      </w:tr>
      <w:tr w14:paraId="2A9AD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D73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2C9C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AAC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作业指导与执行-标准农事指导-农药指导</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2DE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构建标准化病虫害知识库，便于快速识别、对比、检索与决策支持。</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实现对不同季节不同管理阶段的病虫害防治提前发布预警信息提升响应效率和防控水平。</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建立统一、完整的农药信息库，方便管理者规范选择与使用农药，避免重复采购或违规用药。</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提供全面的农药使用记录、追踪与控制，保障食品安全和农业生产合规。</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通过建立科学的用药规则体系，实现农业安全用药的标准化和可控化。</w:t>
            </w:r>
          </w:p>
        </w:tc>
      </w:tr>
      <w:tr w14:paraId="28E36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67C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C1A3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444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作业指导与执行-标准农事指导-肥料指导</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8F8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建立系统化的肥料信息档案，支撑精细化施肥管理与养分平衡调控。</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规范施肥计划的编制与执行过程，提高肥料利用效率，避免浪费和土壤污染。</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建立科学施肥的规则体系，引导精准施肥，保障产量与品质。</w:t>
            </w:r>
          </w:p>
        </w:tc>
      </w:tr>
      <w:tr w14:paraId="17503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127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66F1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CF3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作业指导与执行-标准农事指导-规则模型</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091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统一管理所有农事规则模型，实现数据驱动下的智能决策与过程控制。支持编辑、启用/停用各类规则模型（如温度-阶段规则、施肥-产量预测模型等）；提供图形化建模工具，便于农业人员可视化配置逻辑；支持规则的层级结构与关联关系配置（如：温度不适宜 → 推迟播种 → 调整灌溉）。</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基于科学数据、专家知识与农技经验，制定适用于实际操作的农业指导规则体系。</w:t>
            </w:r>
          </w:p>
        </w:tc>
      </w:tr>
      <w:tr w14:paraId="38429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85B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1BA7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8C2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作业指导与执行-预警提示服务-病虫害提示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C39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通过与农场当前所在区域和在田作物品种进行匹配，推送相应的病虫害预警服务，农户可查看预警详情和用药防治建议</w:t>
            </w:r>
          </w:p>
        </w:tc>
      </w:tr>
      <w:tr w14:paraId="3BF57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E27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D3D6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FE1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作业指导与执行-预警提示服务-用药数据预警</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6D3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当系统自动校验发现填报的用药量超过最大阈值时，触发数据异常预警机制，系统将即时向用户发出提示，提示信息包括：超出用药量数值、所属作物、参考标准等，辅助用户及时调整数据或重新核对使用情况，确保数据的真实性与合规性。</w:t>
            </w:r>
          </w:p>
        </w:tc>
      </w:tr>
      <w:tr w14:paraId="784AA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323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758BD">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F8A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过程监测与数据上报-种养周期管理-种源信息库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7AE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基于市农业农村数据资源库获取种源信息并进行个性化信息的补充填报。</w:t>
            </w:r>
          </w:p>
        </w:tc>
      </w:tr>
      <w:tr w14:paraId="769C3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0D14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E02D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168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过程监测与数据上报-种养周期管理-种养品种填报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134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基于地块信息实现种养品种的添加，支持通过种养品种模糊搜索、自动识别、校验等功能，通过系统自动校验，完成农事记录的添加和删减。</w:t>
            </w:r>
          </w:p>
        </w:tc>
      </w:tr>
      <w:tr w14:paraId="2303F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AB0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467A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AF4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过程监测与数据上报-种养周期管理-采收/捕捞填报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651D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在添加采收/捕捞记录时，首先系统将根据所选择的在田种养品种，自动判定是生成“采收记录”还是“捕捞记录”，支持进行多次采收，即已经添加采收/捕捞记录的地块，支持再次勾选相应信息添加相应记录</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可通过勾选的地块和品种，自动计算该品种在单位面积下的最大产量，若农户填写的产量数据超过该最大值，则进行提醒，农户在添加采收/捕捞记录时，系统通过添加种养品种的起始时间来自动校验判定该地块上作物的生长周期，若生长周期小于系统预设的时间范围，则无法添加采收/捕捞记录</w:t>
            </w:r>
          </w:p>
        </w:tc>
      </w:tr>
      <w:tr w14:paraId="7163C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A82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C0C87">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2E1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过程监测与数据上报-种养周期管理-结束种植/养殖填报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838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勾选多个地块档案记录，点击“结束”，选择结束时间，即可对当前种养档案进行结束操作，添加结束种植记录后，地块恢复空闲状态，可继续进行种养品种添加；可以通过对地块名称或编组的输入，模糊筛选需要添加结束记录的农事档案，也支持跳转到农场地图，进行地块勾选</w:t>
            </w:r>
          </w:p>
        </w:tc>
      </w:tr>
      <w:tr w14:paraId="04D00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171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8E78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5B1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过程监测与数据上报-种养周期管理-囤塘量填报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D13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支持水产用户填写囤塘量信息，勾选养殖品种，填写当前可向市场销售的水产库存量作为囤塘量数据，汇总展示主体的囤塘列表，支持进行筛选查看</w:t>
            </w:r>
          </w:p>
        </w:tc>
      </w:tr>
      <w:tr w14:paraId="1C112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3F8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F0DE">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092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过程监测与数据上报-种养周期管理-农事管理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3D2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添加农事任务，选择农事类型、地块、作业方式、农事操作时间、操作人，添加完成后自动形成一条农事记录，支持上传农事照片。添加农事时选择地块，支持以列表形式和地图模式批量勾选地块，完成单一农事记录和批量农事记录的添加；农事类型选择施肥/用药/追肥/药水浸种/拌种/用渔药时，需要从已出库农资列表中选择农资信息。</w:t>
            </w:r>
          </w:p>
        </w:tc>
      </w:tr>
      <w:tr w14:paraId="59C8F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901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BBF3E">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1B5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过程监测与数据上报-种养周期管理-用药数据自动校验</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F7C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用药记录填报过程中，系统将自动对用户填写的数据进行校验。校验逻辑基于作物品种对应的“单位面积最大允许用药量”标准，系统自动计算该记录下的最大用药阈值，并对填写的实际用药量进行比对，判断是否合规。</w:t>
            </w:r>
          </w:p>
        </w:tc>
      </w:tr>
      <w:tr w14:paraId="664E5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AFB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FB6D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B11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过程监测与数据上报-种养周期管理-农事类型及填报数据自动校验</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682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根据农户种养过的品种，系统进行自动校验和筛选，显示对应的农事类型</w:t>
            </w:r>
          </w:p>
        </w:tc>
      </w:tr>
      <w:tr w14:paraId="15447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E20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A6D6A">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968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过程监测与数据上报-种养周期管理-档案查阅</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31F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按照种养品种、农事记录、采收/捕捞记录、销售记录、农资使用记录、合格证开具记录、配货记录，分别展示生产档案记录列表</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支持对种养品种和农事记录的批量删除和编辑操作，支持对所有生产档案记录的导出</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支持针对单个地块和单个种养品种生成单个生产档案，支持单个生产档案的预览、打印、导出功能</w:t>
            </w:r>
          </w:p>
        </w:tc>
      </w:tr>
      <w:tr w14:paraId="3AA56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E14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A3EBE">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CA9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过程监测与数据上报-种养周期管理-病虫害监测数据展示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D8C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展示当前发生病虫害的区域、对应作物品种、病虫害类型等数据</w:t>
            </w:r>
          </w:p>
        </w:tc>
      </w:tr>
      <w:tr w14:paraId="18B78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748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9E8E1">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C71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过程监测与数据上报-种养周期管理-病虫害处理记录</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0B3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对病虫害处理过程进行填报，形成处理过程记录</w:t>
            </w:r>
          </w:p>
        </w:tc>
      </w:tr>
      <w:tr w14:paraId="3D9C1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DF07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E9F1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A8B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过程监测与数据上报-种养周期管理-病虫害库信息查询</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8E1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支持对病虫害库案例信息筛选与查看</w:t>
            </w:r>
          </w:p>
        </w:tc>
      </w:tr>
      <w:tr w14:paraId="3E097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974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CC3C3">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D87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过程监测与数据上报-种养周期管理-病虫害信息上报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74B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提供病虫害信息上报功能，当农户受到病虫害灾害后，支持通过上报受灾信息，勾选受灾地块，可进行单条或批量病虫害受灾信息上报。</w:t>
            </w:r>
          </w:p>
        </w:tc>
      </w:tr>
      <w:tr w14:paraId="1B532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157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5C60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DC8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过程监测与数据上报-种养周期管理-农事日历生成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7BD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系统自动根据该品种的生长模型，以日历形式完成标准化农事的规划和农事记录的预生成</w:t>
            </w:r>
          </w:p>
        </w:tc>
      </w:tr>
      <w:tr w14:paraId="0E666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EEA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6E73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559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过程监测与数据上报-农机档案管理-农机作业管理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A32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农机作业的档案自动记录和内容编辑；农机作业档案列表和筛选查看</w:t>
            </w:r>
          </w:p>
        </w:tc>
      </w:tr>
      <w:tr w14:paraId="1D780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B86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4F253">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35D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过程监测与数据上报-农机档案管理-农机维修记录管理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55E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提供农机维修记录管理功能，支持通过选择农机维修申请页面，填写故障原因、故障地点、故障时间等完成农机维修记录填报</w:t>
            </w:r>
          </w:p>
        </w:tc>
      </w:tr>
      <w:tr w14:paraId="33F41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94C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58BC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E34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过程监测与数据上报-种植业数据分析-信息采集完整性与预警</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2EC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自动分析信息采集情况的完整度，数据完整性，有效性的预测预警。有效的提供工作效率与数据采集可靠性，合理的甄别数据的真假性，避免政策补贴的发放不到位。支持报表的导出。</w:t>
            </w:r>
          </w:p>
        </w:tc>
      </w:tr>
      <w:tr w14:paraId="6C9BA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08C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2626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019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过程监测与数据上报-种植业数据分析-农户综合数据评估</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058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所有农户历年来的数量，种植品种分析，收入，支出信息，农户年龄段等综合进行分析。有效的分析出农民的整体情况与收入情况，为农户的培养与政策支持提供有效支撑。并且有效的监测农户的整体发展趋势。支持报表的导出。</w:t>
            </w:r>
          </w:p>
        </w:tc>
      </w:tr>
      <w:tr w14:paraId="13FFD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F6C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8744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042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过程监测与数据上报-种植业数据分析-区域农户情况汇总</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A9A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按区域、时间统计分析农户的整体情况，包含种植作物种类，政策补贴，收入情况，支出情况。从宏观，详细等层面可以清晰的了解各个区域，作物种类的收支情况。支持报表的导出。</w:t>
            </w:r>
          </w:p>
        </w:tc>
      </w:tr>
      <w:tr w14:paraId="1260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9AF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488A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5D35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过程监测与数据上报-种植业数据分析-作物类别农户数据跟踪</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020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按区域、种类、时间等维度，统计分析农户的种植作物施肥情况，农药情况。有效的分析出农户相关作物的详细数据。支持报表的导出。</w:t>
            </w:r>
          </w:p>
        </w:tc>
      </w:tr>
      <w:tr w14:paraId="0BAD3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ECF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E468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585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过程监测与数据上报-种植业数据分析-肥料使用情况追踪</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0F7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按区域、种类、时间等维度统计分析出各种肥料的使用情况。支持报表的导出。</w:t>
            </w:r>
          </w:p>
        </w:tc>
      </w:tr>
      <w:tr w14:paraId="77178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A43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9238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36C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过程监测与数据上报-种植业数据分析-农药施用情况监控</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E66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按区域、种类、时间等维度统计分析出各种农药的使用情况。支持报表的导出。</w:t>
            </w:r>
          </w:p>
        </w:tc>
      </w:tr>
      <w:tr w14:paraId="51F0F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CA2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74E0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EB7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过程监测与数据上报-种植业数据分析-农户收支动态</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3D9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按区域、农户、时间等维度统计分析出农户的各项收支情况，包含种子成本，肥料成本，农药成本，人工成本，其他成本，生成成本，销售收入，政策补贴，总收入。利润信息。支持报表的导出。</w:t>
            </w:r>
          </w:p>
        </w:tc>
      </w:tr>
      <w:tr w14:paraId="0F343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EDB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E856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C4A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过程监测与数据上报-种植业数据分析-农户收益率分析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B86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按区域、农户、时间等维度统计分析出农户的各项收支情况，包含成本数据、收入数据、政策补贴数据、利润数据。支持报表的导出。</w:t>
            </w:r>
          </w:p>
        </w:tc>
      </w:tr>
      <w:tr w14:paraId="7F118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874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8CC03">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5D0F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过程监测与数据上报-种植业数据分析-农户成本结构计算</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D6C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按区域、农户、时间等维度统计分析出农户的各项收支情况，包含种子成本，肥料成本，农药成本，人工成本，其他成本，生成成本，各项成本占比等信息。支持报表的导出。</w:t>
            </w:r>
          </w:p>
        </w:tc>
      </w:tr>
      <w:tr w14:paraId="72118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3A6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AFA7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42C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农产品承诺达标合格证管理-农产品销售和库存损耗记录</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0B7F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在web端和移动端完成农产品销售和库存损耗记录功能开发，支持单一农产品销售记录填报、批量销售记录填报及文件导入</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支持农产品损耗记录填报</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支持数据自动校验提示</w:t>
            </w:r>
          </w:p>
        </w:tc>
      </w:tr>
      <w:tr w14:paraId="036AE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311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FA331">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1D2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农产品承诺达标合格证管理-农产品外采入库管理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985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在web端和移动端完成农产品外采入库管理功能开发，支持农产品外采入库记录填报、搜索及数据校验；</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支持文件导入及用户习惯记录。</w:t>
            </w:r>
          </w:p>
        </w:tc>
      </w:tr>
      <w:tr w14:paraId="15E3D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59E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ECA0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AC8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农产品承诺达标合格证管理-农产品库存列表</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B0C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在web端和移动端完成农产品库存列表功能开发，支持采收库存列表及出入库记录查询；</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支持外采库存列表及出入库记录查询</w:t>
            </w:r>
          </w:p>
        </w:tc>
      </w:tr>
      <w:tr w14:paraId="058C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2F2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BDB2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95C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农产品承诺达标合格证管理-普通地产型合格证开具信息填报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BCE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支持合格证样式自动关联，支持合格证信息填报</w:t>
            </w:r>
          </w:p>
        </w:tc>
      </w:tr>
      <w:tr w14:paraId="48216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1CB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5CC8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FAB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农产品承诺达标合格证管理-绿色认证地产型合格证开具信息填报及数据校验</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AA0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支持多样式合格证开具，支持已获得绿色认证证书校验、支持证书信息填报</w:t>
            </w:r>
          </w:p>
        </w:tc>
      </w:tr>
      <w:tr w14:paraId="0A64F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DB4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5A96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A2F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农产品承诺达标合格证管理-外采型合格证开具信息填报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DA0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支持外采型合格证开具信息填报、自动关联外采入库的档案数据</w:t>
            </w:r>
          </w:p>
        </w:tc>
      </w:tr>
      <w:tr w14:paraId="08290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53F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BFF0B">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B9B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农产品承诺达标合格证管理-系统自动校验和溯源信息关联</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613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根据农户所选择的农产品销售批次自动绑定对应的采收记录，并通过判定所选择的采收记录类型，自动确定开具合格证的样式</w:t>
            </w:r>
          </w:p>
        </w:tc>
      </w:tr>
      <w:tr w14:paraId="3E3F8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6DD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EFDD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DA9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农产品承诺达标合格证管理-已开具合格证列表、筛选机批量补打印</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E21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查看所有已开具合格证的列表，支持根据合格证开证时间范围、合格证类型、合格证编号、农产品名称等进行已开具合格证的分类筛选。支持通过勾选多个已开具合格证进行批量补打印</w:t>
            </w:r>
          </w:p>
        </w:tc>
      </w:tr>
      <w:tr w14:paraId="153CC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710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9D83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8FD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农产品承诺达标合格证管理-合格证开具数据统计与查询</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E38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可查询当前农户今日或昨日开具合格证的所有数据，包括今日/昨日合格证开具数量和重量，分作物种类的合格证开具数量和重量。支持通过生成统计二维码，与批发市场的管理系统对接，能够通过扫码一键录入当前主体今日/昨日开具合格证的所有数据。支持调取今日/昨日开具的任意合格证的图片</w:t>
            </w:r>
          </w:p>
        </w:tc>
      </w:tr>
      <w:tr w14:paraId="5D6CE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DDA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1FF0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245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农业智屏-农业综合信息融合分析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37F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农业生产经营、监管等信息融合分析，包括农业经营主体信息、农业生产数据信息、绿色认证信息、农产品质量安全监管信息等大数据融合分析和展示</w:t>
            </w:r>
          </w:p>
        </w:tc>
      </w:tr>
      <w:tr w14:paraId="05955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9EF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B808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63A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农业智屏-蔬菜经营主体数据展示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658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蔬菜主体数据进行多维度对比分析、趋势分析，以多种形式展示分析结果。</w:t>
            </w:r>
          </w:p>
        </w:tc>
      </w:tr>
      <w:tr w14:paraId="1B947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2C9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B07A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512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农业智屏-蔬菜生产数据展示及数据交互</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541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实时接入蔬菜种植地块、生产档案数据、蔬菜保险投保数据等数据，进行数据汇总、数据筛选、数据对比和数据融合分析。</w:t>
            </w:r>
          </w:p>
        </w:tc>
      </w:tr>
      <w:tr w14:paraId="3F1DB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079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E7FBB">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4AC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农业智屏-蔬菜绿色认证、价格监测及安全监管数据展示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0DE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提供菜绿色认证、价格监测及安全监管等蔬菜种植相关数据分析及可视化展示。</w:t>
            </w:r>
          </w:p>
        </w:tc>
      </w:tr>
      <w:tr w14:paraId="29E31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7F2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7D4C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E5A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农业智屏-水产养殖主体数据展示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900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提供水产养殖主体数据分析与可视化展示功能，包含全市水产养殖经营主体数量、入网水产经营主体数、池塘面积和入网池塘面积等多维度对比分析、趋势分析，以多种形式对分析结果进行可视化展示。</w:t>
            </w:r>
          </w:p>
        </w:tc>
      </w:tr>
      <w:tr w14:paraId="31EFA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A98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DA1C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9BF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农业智屏-水产养殖生产数据展示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F62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实时接入水产养殖生产数据，提供水产养殖生产数据可视化展示，以滚动模式展示不同水产主体的不同档案明细，包括主体名称、档案推送时间、农事类型和操作地块数量，供领导决策。</w:t>
            </w:r>
          </w:p>
        </w:tc>
      </w:tr>
      <w:tr w14:paraId="6F5D1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465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8D4E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E8A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农业智屏-水产主体绿色认证及水产价格数据展示</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D1E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提供水产主体绿色认证及水产价格等数据接入及可视化展示。</w:t>
            </w:r>
          </w:p>
        </w:tc>
      </w:tr>
      <w:tr w14:paraId="2E434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B43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87957">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1BB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农业智屏-农用地一张图</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23B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利用全市一张图的基础能力，提供基于农用地块空间分析进行精准化管理功能，如基于农用地地块分析展示全市域农用地分布、农用地地块基础信息、农业生产信息及变化趋势等功能。</w:t>
            </w:r>
          </w:p>
        </w:tc>
      </w:tr>
      <w:tr w14:paraId="7ECAE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8FC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67</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9911A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农业农村人才服务系统</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258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系统管理-行政区划管理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677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可编辑、查询行政区域。同步市行政区划编码规范库。</w:t>
            </w:r>
          </w:p>
        </w:tc>
      </w:tr>
      <w:tr w14:paraId="07668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AE4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3E00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B9E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系统管理-信息发布与阅读统计</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344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公告通知、政策法规、农业资讯等信息的全流程管理。系统采用“分级审核、属地管理”机制，区级账号可发布并管理本辖区范围内的各类信息，支持文本编辑、附件上传及定时发布功能。系统内置敏感词过滤和内容合规性检查，确保发布内容符合规范。提供阅读统计功能，实时追踪信息查看率。信息修改保留历史版本记录，确保内容变更可追溯。</w:t>
            </w:r>
          </w:p>
        </w:tc>
      </w:tr>
      <w:tr w14:paraId="39526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9F68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87DD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575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系统管理-工作台</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EF3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根据不同的系统模块，实现人才信息，继续教育培训综合看板，同时提供综合检索功能。</w:t>
            </w:r>
          </w:p>
        </w:tc>
      </w:tr>
      <w:tr w14:paraId="5367D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CDC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18D1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80B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系统管理-问题反馈管理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09D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用户可通过编辑图文信息，进行问题反馈。并确认问题是否解决。可针对同一个问题多次沟通。并显示相关记录。</w:t>
            </w:r>
          </w:p>
        </w:tc>
      </w:tr>
      <w:tr w14:paraId="071F5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102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E4137">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A73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实用人才-统计调查表管理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1E2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数据维护：支持手动新增年度表单，提供编辑/删除功能（已填报数据仅允许修改年份），自动校验年度唯一性；</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动态菜单：新增数据后自动刷新菜单栏，按年度分类展示；</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业务规则：删除限制：含业务数据的年度禁止删除，修改限制：仅允许调整年份字段，校验规则：年度不可重复，格式必须合规</w:t>
            </w:r>
          </w:p>
        </w:tc>
      </w:tr>
      <w:tr w14:paraId="79F6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1AD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8C4F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0E5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实用人才-统计调查表-人才数据采集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0EE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1、数据采集：包含基本信息填报，修改，删除，校验。</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2、人才类型智能分类，表彰奖励关联展示，审核流程可视化追踪。</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3、实现村级至农场的检查、查询、导出、上报。</w:t>
            </w:r>
          </w:p>
        </w:tc>
      </w:tr>
      <w:tr w14:paraId="59FA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79A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81BAD">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71E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实用人才-统计调查表-数据稽核管理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5F6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数据核查校验、打回重审。</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数据验收确认，完成，存档。</w:t>
            </w:r>
          </w:p>
        </w:tc>
      </w:tr>
      <w:tr w14:paraId="7552B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560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90AFE">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62F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实用人才-统计分析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D7E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提供农业农村实用人才多维度智能统计分析功能，包含：</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1、调查按行政区划汇总计算（市区镇村）</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2、行政区划基本信息汇总计算（市区镇村）</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3、复合型人才区域汇总计算（市区镇村）</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4、复合型人才基本信息汇总计算</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5、农场人才综合调查汇总计算</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6、调查集团、公司分组汇总计算</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7、分集团、公司基本信息汇总计算</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8、农场复合型人才区域汇总计算</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9、农场复合型人才基本信息汇总计算</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10、操作记录统计汇总</w:t>
            </w:r>
          </w:p>
        </w:tc>
      </w:tr>
      <w:tr w14:paraId="302CE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2A4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DB17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5B1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行业专业继续教育-信息库-学员库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0EA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1、学员查询：支持输入姓名/身份证号/手机号、所属区、是否发证、从事专业等关键词查询该人才详细信息。可清空搜索条件。并追溯到相关具体记录信息。实现数据快速定位。</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学习情况分析：对课程、班级、机构、地区、岗位类型等维度开展全量学习统计，提供证书发放率、课程完成率、通过率、活跃度等关键指标，支持图表导出与智能报表定制，辅助主管部门开展成效评价与政策调优。</w:t>
            </w:r>
          </w:p>
        </w:tc>
      </w:tr>
      <w:tr w14:paraId="6BE61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E5B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1E47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0B5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行业专业继续教育-信息库-报名库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B8B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包含报名管理、统一导入管理、开班管理、短信通知等功能，实现学员报名信息查询、管理、导入、培训开班，信息通知等服务。</w:t>
            </w:r>
          </w:p>
        </w:tc>
      </w:tr>
      <w:tr w14:paraId="371A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47E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FC31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949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行业专业继续教育-班级库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4BDB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包含班级管理、二维码查收证书、材料归档管理、发放证书等功能，实现继续教育班级管理、证书发放等功能。</w:t>
            </w:r>
          </w:p>
        </w:tc>
      </w:tr>
      <w:tr w14:paraId="299A0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228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41031">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615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行业专业继续教育-统计分析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DDF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提供多维度继续教育统计分析功能，如按班级类型、行业类型、学院类型、单位类型，实现农业农村人才继续教育情况的多维度分析展示。</w:t>
            </w:r>
          </w:p>
        </w:tc>
      </w:tr>
      <w:tr w14:paraId="7BD15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B63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6C753">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1DE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行业专业继续教育-标准化指引功能</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D6F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包含：统计调查表填写说明、农村实用人才的分类及划分标准等功能，提供标准化指引，支持编辑，存储与显示。</w:t>
            </w:r>
          </w:p>
        </w:tc>
      </w:tr>
      <w:tr w14:paraId="6C184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1FA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B0B5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9A0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密码改造</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19D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根据密码建设要求，完成用户身份认证机制模块、业务重要数据安全传输模块、服务器虚拟机设备日志模块、应用系统重要数据加解密模块等密码改造。</w:t>
            </w:r>
          </w:p>
        </w:tc>
      </w:tr>
      <w:tr w14:paraId="6DD21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458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81</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2519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申农服主题库</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F96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元数据库建设-元数据库管理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E447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于数据湖而言元数据就是数据湖的标准和规范，包括对各种指标的定义、解释，对各表中数据的来龙去脉、数据的大小和格式的定义。元数据库建设包括基础层元数据、归集层元数据、存储层元数据、访问层元数据。</w:t>
            </w:r>
          </w:p>
        </w:tc>
      </w:tr>
      <w:tr w14:paraId="0B4FD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67F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E9AB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622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元数据库建设-元数据标准建设</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9DD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元数据存储标准建设：按照MOF模型1.3标准进行设计，按照元数据的内容可交换性，进行本项目的元数据存储标准建设。</w:t>
            </w:r>
          </w:p>
        </w:tc>
      </w:tr>
      <w:tr w14:paraId="47ACC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B60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74B8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A53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归集数据库建设-数据归集与分类建模</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701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接业务系统，自动采集原始数据后，按照行业属性或业务主题进行大类分块，为后续加工处理建立清晰的数据结构框架。此模块重点在于原始数据的整合归类、统一命名和归集逻辑的初步建立，确保数据湖数据源清晰、可追踪。</w:t>
            </w:r>
          </w:p>
        </w:tc>
      </w:tr>
      <w:tr w14:paraId="455F1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9BC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B93D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B12B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归集数据库建设-数据表细化与元数据预处理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9F3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在已归集的大类数据基础上，针对原始数据表进行字段级细化和结构化处理，标注字段含义、格式、单位等，预留元数据生成与管理接口，为后续元数据库建设提供直接支撑，提升数据规范性与可管理性。</w:t>
            </w:r>
          </w:p>
        </w:tc>
      </w:tr>
      <w:tr w14:paraId="0739C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B60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ABE5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A7A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主题库建设-农事作业直报管理主题库-经营主体数据库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3B7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包括农户、家庭农场、农民专业合作社等农业经营主体的登记基本信息，以及种养生产经营信息。</w:t>
            </w:r>
          </w:p>
        </w:tc>
      </w:tr>
      <w:tr w14:paraId="0047C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699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455F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5D5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主题库建设-农事作业直报管理主题库-农作物品种数据库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2D5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主要是农作物品种信息，包括作物名称、种养小类、种养大类、作物分组、种植周期等关键数据。</w:t>
            </w:r>
          </w:p>
        </w:tc>
      </w:tr>
      <w:tr w14:paraId="4B7ED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C5D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34F8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EF2D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主题库建设-农事作业直报管理主题库-农资数据库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050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包括农资名称、农资类型、包装单位、登记证号、农资分类、生产厂家、农资有效成分、农资出入库类型等。</w:t>
            </w:r>
          </w:p>
        </w:tc>
      </w:tr>
      <w:tr w14:paraId="3C627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FB8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A389A">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FAB2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主题库建设-农事作业直报管理主题库-设施大棚数据库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1F3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包括管棚编码、面积、竣工验收时间、使用年限、维护保养等设施大棚信息。</w:t>
            </w:r>
          </w:p>
        </w:tc>
      </w:tr>
      <w:tr w14:paraId="56BD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BFE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28AC1">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E1C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主题库建设-农事作业直报管理主题库-病虫害数据库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3BA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提供病害、虫害名称、发生时期、危害部位、症状描述、传播途径、防治措施、推荐用药及用药方法、防治周期等详细信息。</w:t>
            </w:r>
          </w:p>
        </w:tc>
      </w:tr>
      <w:tr w14:paraId="3C5D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70B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EC9AD">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B7B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主题库建设-农事作业直报管理主题库-农事数据库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ECD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以农事业务为主键，记录农事类型、名称、具体描述、涉及的地块作物和农事业务等农事信息。</w:t>
            </w:r>
          </w:p>
        </w:tc>
      </w:tr>
      <w:tr w14:paraId="62EFE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0C2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4F5DB">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C30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主题库建设-农事作业直报管理主题库-承诺达标合格证数据库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2C8D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记录农产品承诺达标合格证开具记录，包括产品、销售批次、合格证编号、作物种类、开具日期等信息。</w:t>
            </w:r>
          </w:p>
        </w:tc>
      </w:tr>
      <w:tr w14:paraId="40C59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141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F5F3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E79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主题库建设-畜牧业管理主题库-畜禽养殖数据库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396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按动物种类，养殖场需分猪、牛、羊、鸡、鸭、鹅畜种。养殖场通过系统对动物入场、防疫佩标、兽药饲料使用、无害化处理、检疫申报等养殖过程数据采集。</w:t>
            </w:r>
          </w:p>
        </w:tc>
      </w:tr>
      <w:tr w14:paraId="2DCB9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236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471F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4B7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主题库建设-畜牧业管理主题库-动物防疫数据库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875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记录养殖场的防疫信息，包含防疫事件名称、养殖场名称、防疫时间、防疫药物名称、防疫药物使用量等动物防疫信息。</w:t>
            </w:r>
          </w:p>
        </w:tc>
      </w:tr>
      <w:tr w14:paraId="00DEA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1EB5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9373E">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480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主题库建设-畜牧业管理主题库-动物检疫数据库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6ED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记录动物检疫信息，包括检疫日期、检疫批次、检疫结果、检疫员、养殖场信息等动物检疫信息。</w:t>
            </w:r>
          </w:p>
        </w:tc>
      </w:tr>
      <w:tr w14:paraId="65F5D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AD2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1706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24A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主题库建设-畜牧业管理主题库-动物屠宰数据库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2CC7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记录屠宰场的相关数据，包括屠宰日期、屠宰批次、动物种类、数量、来源养殖场、检疫证明、屠宰人员、肉品质量检测结果等关键信息。</w:t>
            </w:r>
          </w:p>
        </w:tc>
      </w:tr>
      <w:tr w14:paraId="7A773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EFC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2690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2AE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主题库建设-畜牧业管理主题库-动物无害化处理数据库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49C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包括无害化处理厂基本信息、无害化集中处理厂任务、死亡生猪申报及处理情况、病死生猪确认等信息。</w:t>
            </w:r>
          </w:p>
        </w:tc>
      </w:tr>
      <w:tr w14:paraId="6A0DC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327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00CE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4DB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主题库建设-人才服务主题库-人才基本信息库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FEB9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记录农业领域各类实用人才的基本信息，如姓名、性别、年龄、学历、专业技能、工作经验、联系方式等。</w:t>
            </w:r>
          </w:p>
        </w:tc>
      </w:tr>
      <w:tr w14:paraId="330F0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3F9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289C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11F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主题库建设-人才服务主题库-继续教育信息库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522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记录农业领域实用人才参加继续教育的相关信息，包括培训课程名称、培训时间、培训地点、培训内容、培训机构等。</w:t>
            </w:r>
          </w:p>
        </w:tc>
      </w:tr>
      <w:tr w14:paraId="12B06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53B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99</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062D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672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申农服统一门户-应用中心-统一身份对接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D0D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应用中心作为统一门户管理平台的核心模块之一，需要将本项目建设的业务系统进行有效的整合，不仅需要将应用的入口进行汇聚，还需要实现应用的统一登录、统一认证管理。所有应用需要与统一身份认证管理平台进行打通，保障所有系统中的用户一致性。解决原先各个独立的业务系统需要独立登录且无法实现跨系统协同工作的痛点。</w:t>
            </w:r>
          </w:p>
        </w:tc>
      </w:tr>
      <w:tr w14:paraId="50636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9BB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9B08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1B7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申农服统一门户-应用中心-自定义和应用使用情况统计</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969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应用中心还需要兼顾易用性，在满足由上海农委管理员统一管理应用的前提下，需要支持员工能够自定义应用中心的应用内容，可以将其高频使用的应用以常用应用的形式进行展示，同时可以将员工最近使用的应用也添加到常用应用中，形成员工的个性化工作台，缩短员工进入应用的路径，提高办公效率。同时需要对应用的使用情况进行统计，可以通过统一门户平台了解门户系统中的各个应用的使用情况，包括访问量、访问时间等信息。</w:t>
            </w:r>
          </w:p>
        </w:tc>
      </w:tr>
      <w:tr w14:paraId="0E197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C6E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1BC5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B92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申农服统一门户-组件化配置能力-应用组件化</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40E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组件化配置能力基于门户管理平台中的各种应用和模块，通过对应用和模块做原子化拆分为应用组件的形态，可由门户管理员、员工自行组合成其个性化门户工作台，同时支持PC门户和移动门户的配置。</w:t>
            </w:r>
          </w:p>
        </w:tc>
      </w:tr>
      <w:tr w14:paraId="290F6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619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09AD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618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申农服统一门户-组件化配置能力-风格化配置</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9CB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统一门户的整体风格、导航、消息、待办、应用、数据等模块需要支持灵活的配置。将门户中的上述功能模块进行原子化拆分形成风格化应用组件，通过组件来进行灵活的配置从而满足企业员工的个性化诉求；风格化组件能力还需要形成标准化的开放能力，不仅能够承载门户的内置功能和应用，还支持第三方通过风格化应用组件的形式接入到门户平台中，对于业务的持续需求，通过打造不同的应用组件来满足业务的需求，推动企业统一门户的迭代。</w:t>
            </w:r>
          </w:p>
        </w:tc>
      </w:tr>
      <w:tr w14:paraId="34AE6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001E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86B6A">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0A0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申农服统一门户-组件化配置能力-PC门户和移动门户的配置</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878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门户的配置能力同时支持PC门户和移动门户的配置，企业通过门户的组件化配置平台，可以查看企业内所有的风格化应用组件，并通过简单的拖拉拽的方式进行PC门户和移动门户的搭建与优化。</w:t>
            </w:r>
          </w:p>
        </w:tc>
      </w:tr>
      <w:tr w14:paraId="6766E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FAE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0F30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A1C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申农服统一门户-组件化配置能力-数据源配置</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E1C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为了提高组件的适应性，风格化应用组件需采用组件与数据解耦合的架构，提供标准化的组件样式，如列表型、应用型、图片型、图文信息型、柱状图型、折线图型等，数据通过数据源的方式进行接入，不同的标准组件可以搭配不同的数据源形成不同的风格化应用组件，业务发生变化时，只需要调整数据源即可形成新的组件，快速响应业务的变化。</w:t>
            </w:r>
          </w:p>
        </w:tc>
      </w:tr>
      <w:tr w14:paraId="05AB2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674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373D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D31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申农服统一门户-组件化配置能力-组件开发工具</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DC1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件的开发也能够开发给第三方应用提供商，为了保障组件的标准型，需要提供组件开发工具（开发环境）给第三方应用提供商，需要预集成好门户的相关环境信息和配置信息，组件内容除了标准组件外，还支持开发者进行自定义，可以根据自身的应用特点灵活开发不同的组件形式，开发者只需要关注自己应用的数据逻辑和展示逻辑即可，开发完成的组件可以发布到企业的统一门户配置台中，供企业进行使用。</w:t>
            </w:r>
          </w:p>
        </w:tc>
      </w:tr>
      <w:tr w14:paraId="10DFC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40E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D68FE">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0E2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申农服统一门户-统一用户管理-组织机构管理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B20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组织机构管理：用户组织机构的架构、组成等属性管理，支持自定义方式</w:t>
            </w:r>
          </w:p>
        </w:tc>
      </w:tr>
      <w:tr w14:paraId="49EFB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B9B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DD16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E5B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申农服统一门户-统一用户管理-用户管理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AB1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用户管理：组织中用户及账号管理,用户属性管理：用户身份信息的属性管理,用户组管理：根据场景、功能权限范围等自定义用户组管理,用户角色设置：用户角色的自定义管理</w:t>
            </w:r>
          </w:p>
        </w:tc>
      </w:tr>
      <w:tr w14:paraId="1F8A3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0AC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EDA9E">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0B7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申农服统一门户-统一用户管理-角色功能设置</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C83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角色功能设置：用户角色权限的自定义配置，分为功能使用权限与数据查看权限</w:t>
            </w:r>
          </w:p>
        </w:tc>
      </w:tr>
      <w:tr w14:paraId="4554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01B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6174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F34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申农服统一门户-统一用户管理-角色菜单设置</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92B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角色菜单设置：用户角色菜单的管理</w:t>
            </w:r>
          </w:p>
        </w:tc>
      </w:tr>
      <w:tr w14:paraId="771E4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BA2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C2A5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A0A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申农服统一门户-统一用户管理-策略管理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D12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策略管理：用户角色策略管理</w:t>
            </w:r>
          </w:p>
        </w:tc>
      </w:tr>
      <w:tr w14:paraId="317C5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C4A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C0B4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A15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申农服统一门户-统一身份认证（包括统一登录）</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6EB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用户统一身份认证：用于支持个业务系统进行统一用户身份认证，用于支撑各业务系统之间的单点登录与退出，控制判定用户当前登录状态,用户单点登录：根据用户的登录状态判定当前业务系统是将用户转入登录、根据权限进行业务处理响应，用户单点退出：根据用户的登录状态判定业务系统是否销毁当前会话</w:t>
            </w:r>
          </w:p>
        </w:tc>
      </w:tr>
      <w:tr w14:paraId="44023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C92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D5EED">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A64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申农服统一门户-统一消息队列</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FEA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多协议接入：统一消息队列支持多协议接入</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消息模型：提供消息管理功能</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队列管理：提供队列管理功能</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日志管理：提供日志管理等功能。用于支撑事件处置系统、效能监管系统</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告警消息队列支撑事件处置系统</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网站内部消息队列，用于支撑个业务系统</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实时状态消息队列用于支撑各业务系统</w:t>
            </w:r>
          </w:p>
        </w:tc>
      </w:tr>
      <w:tr w14:paraId="48EC8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2E9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A39F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6E8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申农服统一门户-统一工作流引擎-表单设计</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723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表单设计：自定义配置智能表单，支持表单设计所见即所得，支持多端适配。支持表单模板。表单字典设计，用于自定义表单中数据字典的支持,表单个性化布局支持，用于自定义表单样式设计与管理。</w:t>
            </w:r>
          </w:p>
        </w:tc>
      </w:tr>
      <w:tr w14:paraId="4869D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960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9D1B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53D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申农服统一门户-统一工作流引擎-流程设计</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993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流程设计：流程化设计，流程支持可配置化参数，支持业务系统的各项场景应用。</w:t>
            </w:r>
          </w:p>
        </w:tc>
      </w:tr>
      <w:tr w14:paraId="7FC9E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CC5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785A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A5C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申农服统一门户-统一工作流引擎-内置业务规则引擎</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58F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内置业务规则引擎，面向场景提供图形化的业务规则配置模型，快速响应需求变化。流程管理：用于流程管理，提供启用、停用、发布、版本等管理功能。集成管理：用于流程与各业务系统集成管理功能。</w:t>
            </w:r>
          </w:p>
        </w:tc>
      </w:tr>
      <w:tr w14:paraId="65165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3F3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116</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63CF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畜牧业管理子系统</w:t>
            </w: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710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养殖管理-养殖场管理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B90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开发养殖单位信息管理、人员管理、圈舍管理、存栏结构、免疫程序设置、品种、动物小类设置等功能，实现全市养殖场、人员、圈舍、存栏、补栏、出栏、免疫、畜种等基本信息查询、检索、自定义设置、导出等功能，实现养殖场全面管理。</w:t>
            </w:r>
          </w:p>
        </w:tc>
      </w:tr>
      <w:tr w14:paraId="1065E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C28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A1F9D">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201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养殖管理-存栏管理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66C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分别在web端和随申办移动端开发补栏、合群转群、存栏记录等功能，实现自繁补栏、批次整合、免疫自动判别、整批免疫、批号生成、自动转群等存栏管理功能</w:t>
            </w:r>
          </w:p>
        </w:tc>
      </w:tr>
      <w:tr w14:paraId="162C8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27A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09E4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743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养殖管理-防疫业务-佩标管理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1C6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分别在web端和随申办移动端开发佩标管理功能，支持单个牲畜和批量牲畜佩标操作：通过在系统中输入耳标后，系统自动验证耳标无误后允许佩标，同时二标验证，可自动实现重复性验证，完成畜牧佩标管理；</w:t>
            </w:r>
          </w:p>
        </w:tc>
      </w:tr>
      <w:tr w14:paraId="7499F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4A2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119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CDAE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165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养殖管理-防疫业务-免疫管理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53B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分别在web端和随申办移动端开发免疫管理功能，实现单批或多批免疫功能，免疫记录查询、作废等功能</w:t>
            </w:r>
          </w:p>
        </w:tc>
      </w:tr>
      <w:tr w14:paraId="0078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6FA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7083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8BA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养殖管理-无害化处理管理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6E3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分别在web端和随申办移动端开发死亡登记和运输、处理等监管记录功能，支持进行已死亡牲畜死亡登记和无害化处理全过程记录查询等：</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1、死亡登记：通过选择列表中已死亡牲畜自行处理操作，填写死亡数量、死亡原因、处理方式、耳标号等信息，扣减存栏；</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2、记录查询：可根据舍号、批号、录入日期、处理方式进行查询，结果以列表形式呈现，清晰记录死亡数量、死亡原因及处理方式</w:t>
            </w:r>
          </w:p>
        </w:tc>
      </w:tr>
      <w:tr w14:paraId="414F0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75C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0883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FBF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养殖管理-报检出栏</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A45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分别在web端和随申办移动端开发动物、产品检疫申报和报检记录查询等功能：</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支持单批、多批进行报检操作：且对应批次自动带入免疫、耳标信息，按照提示填报要求的内容包括养殖场及货主信息、启运地/目的地、运载方式、动物小类、强免情况、真实性承诺等内容，信息推送产地检疫待受理；检疫申报的数量在未出证前进行冻结，无法进行业务操作，出证后自动扣减存栏；若出证数量与检疫证数量不同，则未出证数量与耳标退回存栏；校验承运人及车牌号是否在部平台备案，生猪强制备案，其他畜种仅提示不做流程限制</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2、支持产品检疫新增申报：仅可申报与畜种相关的动物产品，如鸡毛鸭毛禽蛋等，信息推送产地检疫待受理；</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支持报检记录查询、列表展示等功能：通过列表形式呈现各养殖场报检申请记录（如：报检养殖场、畜种、批号、日龄、报检数量及报检时间、报检申请状态、电子检疫证明及状态等），支持按区域、畜种、时间等维度进行精细化筛选查询。</w:t>
            </w:r>
          </w:p>
        </w:tc>
      </w:tr>
      <w:tr w14:paraId="0C1E2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C68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6FC6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7EF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养殖管理-生产分析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E70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通过开发生产分析功能，实现畜种养殖信息、产品信息分析、展示等功能，如下：</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1、实现畜种生产过程信息（包括存栏总数、养殖场结构、年度存出栏数、合格证）按区域、畜种、牧场等多维度数据分析功能；</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2、实现养殖产品指标（包括蛋产量、奶产量）等统计分析；</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3、实现单畜种（生猪）数据如（规模场数量、存栏量、能繁母猪数量、上市量等指标）的实时展示。</w:t>
            </w:r>
          </w:p>
        </w:tc>
      </w:tr>
      <w:tr w14:paraId="29377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C99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CA4B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A6F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动物防疫-防疫监测管理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669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1、提供佩标监测功能：通过开发佩标监测功能，实现佩标记录查询、畜禽防疫标识管理</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提供入库管理功能：实现疫苗入库记录管理，可按养殖场名称、采购日期、畜种、疫苗类型及名称、生产企业名称、生产批号等维度进行查询，结果以列表呈现，包括养殖场所采购该批次疫苗日期、类型、单价、数量、名称、包装照片、合同发票等信息，支持数据以excel格式导出</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3、提供免疫监测功能：支持按区域、养殖场、畜种、疫苗类型及名称、免疫日期、登记日期等维度进行免疫记录查询；</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4、提供防疫统计分析功能：包括免疫统计和佩标统计，支持不同维度的免疫数据筛选分析和导出。</w:t>
            </w:r>
          </w:p>
        </w:tc>
      </w:tr>
      <w:tr w14:paraId="712C3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6B2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C763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FDF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动物防疫-标识标签管理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769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1、检疫标签管理：提供标签管理、统计查询功能；</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2、畜禽防疫标识管理：包含入库管理、发放管理、养殖场耳标管理、防疫员耳标管理等功能，实现对畜禽标识统一管理</w:t>
            </w:r>
          </w:p>
        </w:tc>
      </w:tr>
      <w:tr w14:paraId="4B7AF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A65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60757">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C79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先打后补-疫苗出入库</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312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通过开发疫苗入库、库存管理功能，实现疫苗出入库管理；</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疫苗入库功能：通过手机端应用或电脑端连接扫码枪扫描瓶身疫苗二维码，对接国家兽药追溯系统自动带入疫苗信息进行验证，判断是否为未使用疫苗，输入疫苗单价，再上传购买凭证，确认信息无误后，点击入库形成疫苗库存；</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2、库存管理：根据疫苗名称、规格、批号相同作为一批并库存，库存记录动态变化，以列表呈现记录结果，包括疫苗的类型、名称、通用名、规格及库存量等指标，并可进行退库操作</w:t>
            </w:r>
          </w:p>
        </w:tc>
      </w:tr>
      <w:tr w14:paraId="51B61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C79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DE71A">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10A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先打后补-先打后补备案</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C93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通过开发先打后补备案、备案记录功能，实现先打后补备案管理</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1、先打后补备案：选择对应的强制免疫疫苗种类，填写预估的畜种数量，确认满足强免疫苗“先打后补”符合畜种和疫苗类型后再进行提交；</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2、备案记录：可按采购年度、申请日期、申请编号、畜种、疫苗种类等维度进行筛选查询，以列表形式呈现。</w:t>
            </w:r>
          </w:p>
        </w:tc>
      </w:tr>
      <w:tr w14:paraId="56A0A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18CC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BE5F3">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B0A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先打后补-补助申请</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5BA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1、通过养殖场入库记录、免疫记录及疫苗采购价格等信息自动生成先打后补疫苗补助经费审核表，按照市补助规则实现补助申报。补助申请中可查看每条有效疫苗的免疫详情，并按文件要求生产标准样式表申报</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2、记录查询：可查看申请记录的审核进程和历史申报记录；</w:t>
            </w:r>
          </w:p>
        </w:tc>
      </w:tr>
      <w:tr w14:paraId="07921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6490">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CED0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31F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先打后补-备案审核</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B82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可按申请日期、区划、养殖场名称、畜种、申报编号、状态等维度进行查询，结果以列表呈现，包括申请备案养殖场名称、编号、日期及状态，支持对列表中某条信息进行查看审核及退回操作，可实现列表数据导出</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2、对备案退回内容进行审核，呈现退回原因等</w:t>
            </w:r>
          </w:p>
        </w:tc>
      </w:tr>
      <w:tr w14:paraId="4B7DF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DC26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D24E7">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D90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先打后补-补助审核</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12D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可按申请日期、区划、养殖场名称、畜种、申报编号、状态等维度进行查询，结果以列表呈现，包括申请补助养殖场名称、编号、疫苗种类、日期及状态，支持对列表中某条信息进行查看审核及退回操作，可实现列表数据导出</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2、对补助退回内容进行审核，呈现退回原因等</w:t>
            </w:r>
          </w:p>
        </w:tc>
      </w:tr>
      <w:tr w14:paraId="78A9D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512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3C62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CBC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先打后补-统计分析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DF2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提供对补助等相关信息统计分析：</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补助经费预算：可按申请年度、区划、养殖场名称三个维度进行补助经费预算查询，符合查询条件信息以列表呈现，包括养殖场及负责人基本信息，计划免疫情况及申请补助金额，支持列表数据导出及打印操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补助经费拨付：可按申请年度、区划、养殖场名称三个维度进行补助经费预算查询，符合查询条件信息以列表呈现，包括养殖场及负责人基本信息，已免疫情况、疫苗单价及数量、申请拨付金额，支持列表数据导出及打印操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3、汇总表查看：汇支持按年度及区划进行筛选，以列表形式呈现所查询数据，支持对列表中该年度某区预算表及表附表查看；</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4、补助金额设置：支持对补助金额进行新增操作，新增操作须填报执行日期、畜种、疫苗类型、补助金额、推荐免疫量等，新增的金额信息以列表呈现，支持对某条信息进行修改及删除操作，支持按畜种、疫苗类型进行查询</w:t>
            </w:r>
          </w:p>
        </w:tc>
      </w:tr>
      <w:tr w14:paraId="5568F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96A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A5E4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E61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动物检疫-产地检疫-检疫申报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2ED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产地检疫-检疫申报功能，实现在“随申办”移动端及电脑端进行检疫申报，并且根据上海市“智慧好办”要求实现申报端的好办服务。在申报环节，实现“条件预检”“预填”“预审”等功能，为申请人提供便捷的申报服务。同时办件信息实时推送至市“一网通办”统一受理平台。</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1、支持专栏：企业基础信息、进度查询、帐号登陆登：专栏包含企业基础信息、进度查询、帐号登陆等</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2、支持普通动物产地检疫：企业完成养殖操作后在线报检，查看进度及电子检疫证</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3、支持宠物产地检疫：宠主或官方兽医代申报，登记货主信息、目的地、检测报告等</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4、支持实验动物产地检疫：企业或官方兽医申报，登记实验室动物检疫所需信息</w:t>
            </w:r>
          </w:p>
        </w:tc>
      </w:tr>
      <w:tr w14:paraId="1471D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C46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F692A">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B45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动物检疫-产地检疫-申报受理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D25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在web端和随申办移动端完成产地检疫-申报受理功能，实现对申请办件的审核受理，包括线上和线下申请，查看详情并决定是否受理；记录已受理信息和受理记录等</w:t>
            </w:r>
          </w:p>
        </w:tc>
      </w:tr>
      <w:tr w14:paraId="33D37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5B0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C2148">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928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动物检疫-产地检疫-检疫过程管理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A83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在web端和随申办移动端完成产地检疫-检疫过程管理功能，包含：</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1、检疫工作记录：实现检疫全过程数字化留痕</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2、不合格处理：登记检疫不合格动物/产品的处理信息</w:t>
            </w:r>
          </w:p>
        </w:tc>
      </w:tr>
      <w:tr w14:paraId="1DB9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895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9E96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84D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动物检疫-产地检疫-动物/产品AB证开证</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8A8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在web端和随申办移动端完成产地检疫-动物/产品AB证开证功能，按签发时间、地区、证章类型等维度精准检索动物/产品AB证开证信息；支持查看/作废检疫证，作废后可重新开证</w:t>
            </w:r>
          </w:p>
        </w:tc>
      </w:tr>
      <w:tr w14:paraId="12E2A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7E0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B932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030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动物检疫-产地检疫-产品接收</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A34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在web端和随申办移动端完成产地检疫-产品接收功能，货主对检疫证进行接收登记及目的地反馈；限制未接收目的地的再次开证；查看已接收台账</w:t>
            </w:r>
          </w:p>
        </w:tc>
      </w:tr>
      <w:tr w14:paraId="1D682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F55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B4B8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1F8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动物检疫-屠宰检疫-宰前检查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DEA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在web端和随申办移动端完成屠宰检疫-宰前检查功能，通过开发入场核查、药物自检、非瘟结果核查等功能，实现畜牧屠宰前检查工作，具体描述如下：</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入场核查：1、在本模块中通过数据新增实现入场核查操作，出现代宰的情况，需要在系统管理中，选择经营户管理，点击添加。页面中也可以进行修改和禁用。在入场时选择代宰，需要选择经营户，可选择默认条件搜索或者通过签证时间、来源、检疫证号进行筛选后搜索，以列表形式对检疫证号、核查状态、入场时间、屠宰类型、数量等信息进行呈现</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2、药物自检查询：查看已入场批次的违禁药物抽检结果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3、非瘟结果核查：核查屠宰场非洲猪瘟检测结果，确认不通过则限制开证；查看核查记录</w:t>
            </w:r>
          </w:p>
        </w:tc>
      </w:tr>
      <w:tr w14:paraId="16BC3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CD8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52DE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824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动物检疫-屠宰检疫-屠宰检疫申报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399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在web端和随申办移动端完成屠宰检疫-屠宰检疫申报功能，支持按时间段、地区、货主等维度查询检疫申报，查看详情并决定是否受理；记录已受理信息，包含货主、目的地、动物/产品种类等</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实现在“随申办”移动端及电脑端进行检疫申报，并且根据上海市“智慧好办”实现申报端的好办服务。在申报环节，实现“条件预检”“预填”“预审”等功能，为申请人提供便捷的申报服务。同时办件信息实时推送至市统一受理平台。</w:t>
            </w:r>
          </w:p>
        </w:tc>
      </w:tr>
      <w:tr w14:paraId="7C4CB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1EC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9892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30D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动物检疫-屠宰检疫-屠宰过程检查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7CA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在web端和随申办移动端完成屠宰检疫-屠宰过程检查功能，包含：1、宰前检查：登记查看宰前检查信息</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2、宰后检疫管理：登记查询宰后检疫信息</w:t>
            </w:r>
          </w:p>
        </w:tc>
      </w:tr>
      <w:tr w14:paraId="3D9AC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C01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139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EAC27">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F66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动物检疫-屠宰检疫-申报评审</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10F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在web端和随申办移动端完成屠宰检疫-申报评审功能，包含：</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1、申报评估：评估宰后检疫批次（非瘟检测、肉品预估占比等）</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2、申报审核：批量通过/退回产品证申请（按证章类型、检疫证号筛选）</w:t>
            </w:r>
          </w:p>
        </w:tc>
      </w:tr>
      <w:tr w14:paraId="6D56D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A085">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C7E63">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05F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动物检疫-屠宰检疫-证章打印及记录</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16D7">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在web端和随申办移动端完成屠宰检疫-证章打印及记录功能，包含：</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1、证章打印：实现检疫证编号、产品名称等信息打印</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2、检疫处理单记录：登记病害胴体处理信息</w:t>
            </w:r>
          </w:p>
        </w:tc>
      </w:tr>
      <w:tr w14:paraId="604A8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BF0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4451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848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动物检疫-无纸化出证-检疫工作记录</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344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检疫工作记录单，详细记录报检及检疫相关事项，以及材料查验与疫情调查，并对检疫结果处理进行管理，明确是否符合检疫规定，以及合格/不合格数量、不合格动物处理方式等；若检疫不合格证数量自动推送检疫不合格处理通知单</w:t>
            </w:r>
          </w:p>
        </w:tc>
      </w:tr>
      <w:tr w14:paraId="253D5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B43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D318F">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8C4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动物检疫-无纸化出证-动物/产品证开证</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79D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提供动物、产品证开证、承运人检疫证明接收、历史检疫证明查看等功能。</w:t>
            </w:r>
          </w:p>
        </w:tc>
      </w:tr>
      <w:tr w14:paraId="1F01D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FBF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56F31">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8BD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动物检疫-无纸化出证-检疫信息溯源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5C5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提供检疫信息溯源和货主无纸化接收移动端开发，实现养殖场户等货主通过移动端查看接收无纸化检疫证，并进行落地反馈</w:t>
            </w:r>
          </w:p>
        </w:tc>
      </w:tr>
      <w:tr w14:paraId="0ABAB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CFD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DE7BB">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D72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动物检疫-无纸化出证-检疫预警与核查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581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对超过调运有效期但未到达目的地的、核查运输目的地、到达时间与检疫申报信息的一致性预警识别</w:t>
            </w:r>
          </w:p>
        </w:tc>
      </w:tr>
      <w:tr w14:paraId="03229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43E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B74ED">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A12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屠宰管理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477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通过开发入场管理、自检管理、待宰管理、宰后管理、出证记录查询、屠宰无害化管理、管理配置（屠宰）等7大功能模块完成畜种屠宰、疫病和违禁药物自检、开/出证、无害化等屠宰全流程管理</w:t>
            </w:r>
          </w:p>
        </w:tc>
      </w:tr>
      <w:tr w14:paraId="2F42C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E66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1B0EB">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5D7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道口管理-道口登记</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484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在web端和随申办移动端提供检查登记、正常放行列表等功能，实现道口登记管理工作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1、检查登记：支持道口单次及批量登记操作，通过签证日期进行快速检索，可批量选择列表中信息进行批量登记</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2、正常放行列表：支持道口单次及批量登记操作，通过签证日期进行快速检索，可批量选择列表中信息进行批量登记</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3、处理列表：可按去向、证章类型、启运地等维度进行处理情况查询，支持对列表信息查看、编辑及删除操作</w:t>
            </w:r>
          </w:p>
        </w:tc>
      </w:tr>
      <w:tr w14:paraId="41A6A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4BB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0DE8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9D6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道口管理-供沪备案企业及布控信息管理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7F1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实现对供沪企业的布控信息的管理开发，包含：布控信息、道口数据统计、道口指标分析、管理配置等功能。</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1、布控信息：含疫区布控查询/管理、车辆布控查询/管理、单位布控查询/管理；</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2、道口指标统计分析：检查情况统计、违章情况统计、产地情况统计等功能；</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3、数据稽查：入沪检疫证查询预警</w:t>
            </w:r>
          </w:p>
        </w:tc>
      </w:tr>
      <w:tr w14:paraId="758D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0BF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A4F2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F5E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综合事务管理-承诺达标合格证管理-合格证开具打印</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6AB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通过本模块功能可开具承诺达标合格证，主要填报内容包括产品名称、重量、产地及生产主体等字段自动带入，按要求选择承诺事项及承诺依据，生成预览页面，确认开具</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对接申农码，生成赋码的合格证生产标准样式进行打印，并统计打印次数</w:t>
            </w:r>
          </w:p>
        </w:tc>
      </w:tr>
      <w:tr w14:paraId="10962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479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149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E790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0CB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综合事务管理-承诺达标合格证管理-承诺达标合格证状态管理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EFA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支持按开具时间、区域、养殖场名称、畜种以及状态进行查询，以列表方式呈现，可查看某个养殖场具体状态信息，并对开错的合格证进行作废</w:t>
            </w:r>
          </w:p>
        </w:tc>
      </w:tr>
      <w:tr w14:paraId="14F05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746C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B19D3">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8CA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综合事务管理-肉品鲜度赋码管理-鲜度码打印</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2E7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1、支持新建肉品类别操作，新增数据以列表呈现，支持修改及删除操作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2、选择肉品类别、打印数量及承诺，对打印的标签内容进行预览，确认尺寸及编号后进行打印操作，3、调取申农码接口，生产批量空码打印样式供打印；</w:t>
            </w:r>
          </w:p>
        </w:tc>
      </w:tr>
      <w:tr w14:paraId="376D4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C3B7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E4F5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5922">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综合事务管理-肉品鲜度赋码管理-赋值开具</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152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开具肉品鲜度赋码和肉品品质检验合格证，包括明确赋码时间、关联屠宰检疫证、肉品存储条件以及关联码号，将已打印标签连接扫码枪扫码赋值，开具之后信息以列表呈现，支持对该条数据进行查看或作废操作</w:t>
            </w:r>
          </w:p>
        </w:tc>
      </w:tr>
      <w:tr w14:paraId="17D7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8F5C">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1A39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3D1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兽药投入品管理-兽药管理-兽药采购</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308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在web端和移动端完成兽药采购功能，通过扫码的方式，扫描兽药追溯码，读取兽药名称、类型、规格、数量等信息，选择入库日期，登记兽药采购信息</w:t>
            </w:r>
          </w:p>
        </w:tc>
      </w:tr>
      <w:tr w14:paraId="5EB0A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2FCE">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3DDE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75A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兽药投入品管理-兽药管理-兽药使用</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CB5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在web端和移动端完成兽药使用功能，选择对应的兽药库存，登记领用数量、用药途径、次数、用药舍号、批号等信息</w:t>
            </w:r>
          </w:p>
        </w:tc>
      </w:tr>
      <w:tr w14:paraId="28749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7658">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FEB2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5F9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兽药投入品管理-饲料管理-饲料采购</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646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通过填写的方式，填写饲料入库日期、饲料性质、饲料名称、入库数量等数据，登记饲料采购信息</w:t>
            </w:r>
          </w:p>
        </w:tc>
      </w:tr>
      <w:tr w14:paraId="77DA2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5839">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E6B8E">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CC0D">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兽药投入品管理-饲料管理-饲料使用</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DB5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选择对应饲料库存，填写使用日期、舍号、批号、动物数量、生长阶段等信息</w:t>
            </w:r>
          </w:p>
        </w:tc>
      </w:tr>
      <w:tr w14:paraId="36940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6D11">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CE945">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C74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兽药投入品管理-饲料管理-饲料添加剂管理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F37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提供饲料添加剂采购、使用管理功能，实现饲料添加剂的采购和出入库管理。</w:t>
            </w:r>
          </w:p>
        </w:tc>
      </w:tr>
      <w:tr w14:paraId="23A68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41B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78F81">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EFB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兽药投入品管理-饲料管理-自配料信息管理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45C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提供饲料自配料配方信息、自配料加工登记管理管理</w:t>
            </w:r>
          </w:p>
        </w:tc>
      </w:tr>
      <w:tr w14:paraId="0F137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9C6FD">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40AC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974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兽药投入品管理-兽药经营门店管理-兽药经营门店信息管理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38A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在web端和移动端完成兽药经营门店信息管理功能，同步一网通办用户信息，查看经营门店基础信息及许可证等，配置使用权限</w:t>
            </w:r>
          </w:p>
        </w:tc>
      </w:tr>
      <w:tr w14:paraId="65240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445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159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64932">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186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兽药投入品管理-兽药经营门店管理-兽药出、入库管理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E73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在web端和移动端完成兽药出、入库管理功能，要求兽药经营门店扫码兽药采购出入库管理，实现库存管理可追溯。</w:t>
            </w:r>
          </w:p>
        </w:tc>
      </w:tr>
      <w:tr w14:paraId="2A23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3CF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9892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393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兽药投入品管理-兽药经营门店管理-兽药报废和退货管理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8E0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在web端和移动端完成兽药报废和退货管理功能，通过可扫追溯码登记兽药报废、兽药退货登记等功能，实现库存管理追溯。</w:t>
            </w:r>
          </w:p>
        </w:tc>
      </w:tr>
      <w:tr w14:paraId="55ACD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7556">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1D67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710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兽药投入品管理-兽药经营门店管理-库存管理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C40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在web端和移动端完成库存管理功能，系统内显示库存，可查看库存及出入库台账</w:t>
            </w:r>
          </w:p>
        </w:tc>
      </w:tr>
      <w:tr w14:paraId="3212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573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162</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FE11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3FD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兽药投入品管理-管理员管理-企业出入库管理</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B05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通过开发企业出入库、库存查询、统计分析、出入库预警能功能，实现兽药经营门店出入库管理、兽药数据分析、异常预警等功能。</w:t>
            </w:r>
          </w:p>
        </w:tc>
      </w:tr>
      <w:tr w14:paraId="2C079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EF2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163</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5225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0DB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兽药投入品管理-管理员管理-兽药溯源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F54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系统与国家兽药平台对接，管理员可通过扫描追溯二维码，进行兽药溯源，核实兽药真实性</w:t>
            </w:r>
          </w:p>
        </w:tc>
      </w:tr>
      <w:tr w14:paraId="4E12B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0C8A">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164</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A0AA9">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5798">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业务关键指标分析-部级指标统计分析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5909">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开发部级指标统计分析功能，实现针对畜牧业生产情况分析、畜牧（如生猪、蛋鸡、肉鸡、奶牛、羊等）等饲养规模情况分析、养殖场等部级指标开展数据统计分析</w:t>
            </w:r>
          </w:p>
        </w:tc>
      </w:tr>
      <w:tr w14:paraId="1392F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A612">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165</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5534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B8B6">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业务关键指标分析-耳标发放分析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9AF1">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支持按地区进行耳标发放情况统计，分为按市级、按区县及按乡镇统计，统计结果以列表形式呈现</w:t>
            </w:r>
          </w:p>
        </w:tc>
      </w:tr>
      <w:tr w14:paraId="2C5B3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7534">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166</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961BB">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BBF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业务关键指标分析-检疫指标分析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29F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支持根据地区、畜种等不同维度进行检疫出证统计及变化趋势分析</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统计超期未接收的动物A/B证及入沪接收信息</w:t>
            </w:r>
          </w:p>
        </w:tc>
      </w:tr>
      <w:tr w14:paraId="0D2B2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EBCF">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167</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6EE70">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97FF">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业务关键指标分析-畜禽情况跟踪分析</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6F84">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支持多维度畜禽出栏、屠宰等全过程数据分析、动态展示</w:t>
            </w:r>
          </w:p>
        </w:tc>
      </w:tr>
      <w:tr w14:paraId="0DF4F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9ECB">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168</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8E716">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B5CE">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业务关键指标分析-检疫预警与核查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3E5B">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包含：检疫证查询、违法线索预警、特定用途异常预警等功能，其中检疫证查询为移动端开发，移动端开发完毕后接入“随申办”。</w:t>
            </w:r>
          </w:p>
        </w:tc>
      </w:tr>
      <w:tr w14:paraId="1F96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F2B3">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169</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12161">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3B95">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系统对接-农业部兽医卫生综合平台对接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5FBE">
            <w:pPr>
              <w:keepNext w:val="0"/>
              <w:keepLines w:val="0"/>
              <w:widowControl/>
              <w:suppressLineNumbers w:val="0"/>
              <w:snapToGrid w:val="0"/>
              <w:spacing w:line="240" w:lineRule="auto"/>
              <w:ind w:left="0" w:leftChars="0" w:right="0" w:rightChars="0" w:firstLine="0" w:firstLineChars="0"/>
              <w:jc w:val="left"/>
              <w:textAlignment w:val="center"/>
              <w:rPr>
                <w:rFonts w:hint="default" w:ascii="仿宋" w:hAnsi="仿宋" w:eastAsia="仿宋" w:cs="仿宋"/>
                <w:b w:val="0"/>
                <w:bCs w:val="0"/>
                <w:i w:val="0"/>
                <w:iCs w:val="0"/>
                <w:color w:val="000000"/>
                <w:sz w:val="21"/>
                <w:szCs w:val="21"/>
                <w:u w:val="none"/>
                <w:lang w:val="en-US"/>
              </w:rPr>
            </w:pPr>
            <w:r>
              <w:rPr>
                <w:rFonts w:hint="eastAsia" w:ascii="仿宋" w:hAnsi="仿宋" w:eastAsia="仿宋" w:cs="仿宋"/>
                <w:b w:val="0"/>
                <w:bCs w:val="0"/>
                <w:i w:val="0"/>
                <w:iCs w:val="0"/>
                <w:color w:val="000000"/>
                <w:kern w:val="0"/>
                <w:sz w:val="21"/>
                <w:szCs w:val="21"/>
                <w:u w:val="none"/>
                <w:lang w:val="en-US" w:eastAsia="zh-CN" w:bidi="ar"/>
              </w:rPr>
              <w:t>通过接口开发或数据对接等方式，完成与国家、上海市相关系统的对接：</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1、部兽医卫生综合平台对接（前置机对接）——基础数据推送及接收、检疫证推送及接收、无害化管理数据推送及接收、养殖赋码数据推送及接收、道口管理推送及接收</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2、国家兽药追溯系统对接——兽药生产企业、兽药经营门店基础信息及批准文号和出入库数据推送、防疫管理接口接收等</w:t>
            </w:r>
          </w:p>
        </w:tc>
      </w:tr>
      <w:tr w14:paraId="3F89E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0EF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170</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98ADC">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EA9C">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系统对接-车牌识别系统对接</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DEAA">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实现接收车牌识别系统识别到车牌号后，通过车牌号查询时间段内的部平台检疫证信息进行展示供道口检查人员进行批量选择</w:t>
            </w:r>
          </w:p>
        </w:tc>
      </w:tr>
      <w:tr w14:paraId="6B5FB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3A77">
            <w:pPr>
              <w:keepNext w:val="0"/>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171</w:t>
            </w: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60744">
            <w:pPr>
              <w:snapToGrid w:val="0"/>
              <w:ind w:left="0" w:leftChars="0" w:right="0" w:rightChars="0" w:firstLine="0" w:firstLineChars="0"/>
              <w:jc w:val="center"/>
              <w:rPr>
                <w:rFonts w:hint="eastAsia" w:ascii="仿宋" w:hAnsi="仿宋" w:eastAsia="仿宋" w:cs="仿宋"/>
                <w:b w:val="0"/>
                <w:bCs w:val="0"/>
                <w:i w:val="0"/>
                <w:iCs w:val="0"/>
                <w:color w:val="000000"/>
                <w:sz w:val="21"/>
                <w:szCs w:val="21"/>
                <w:u w:val="none"/>
              </w:rPr>
            </w:pPr>
          </w:p>
        </w:tc>
        <w:tc>
          <w:tcPr>
            <w:tcW w:w="2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84A0">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系统对接-对接上海市“一网通办”统一受理平台</w:t>
            </w:r>
          </w:p>
        </w:tc>
        <w:tc>
          <w:tcPr>
            <w:tcW w:w="46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1F23">
            <w:pPr>
              <w:keepNext w:val="0"/>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将先打后补、动物及动物产品检疫等办件信息按照《上海政务服务“一网通办”统一受理平台对接技术规范》要求，推送至“一网通办”平台，使数据及时入市办件库。</w:t>
            </w:r>
          </w:p>
        </w:tc>
      </w:tr>
    </w:tbl>
    <w:p w14:paraId="5F903BDD">
      <w:pPr>
        <w:ind w:left="0" w:leftChars="0" w:firstLine="0" w:firstLineChars="0"/>
      </w:pPr>
      <w:r>
        <w:br w:type="page"/>
      </w:r>
    </w:p>
    <w:p w14:paraId="5B863932">
      <w:pPr>
        <w:pStyle w:val="2"/>
        <w:bidi w:val="0"/>
        <w:ind w:left="425" w:leftChars="0" w:hanging="425" w:firstLineChars="0"/>
      </w:pPr>
      <w:bookmarkStart w:id="17" w:name="_Toc63785502"/>
      <w:r>
        <w:rPr>
          <w:rFonts w:hint="eastAsia"/>
        </w:rPr>
        <w:t>电子政务云资源需求</w:t>
      </w:r>
      <w:bookmarkEnd w:id="17"/>
    </w:p>
    <w:p w14:paraId="40270BA7">
      <w:pPr>
        <w:keepNext w:val="0"/>
        <w:keepLines w:val="0"/>
        <w:pageBreakBefore w:val="0"/>
        <w:widowControl w:val="0"/>
        <w:tabs>
          <w:tab w:val="left" w:pos="420"/>
        </w:tabs>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本项目依托上海市政务云申请服务器资源。项目实施过程中可按照上海市电子政务云平台实际分配的资源情况做动态调整。</w:t>
      </w:r>
    </w:p>
    <w:p w14:paraId="6727DE42">
      <w:pPr>
        <w:pStyle w:val="2"/>
        <w:bidi w:val="0"/>
        <w:ind w:left="425" w:leftChars="0" w:hanging="425" w:firstLineChars="0"/>
      </w:pPr>
      <w:bookmarkStart w:id="18" w:name="_Toc63785503"/>
      <w:r>
        <w:rPr>
          <w:rFonts w:hint="eastAsia"/>
        </w:rPr>
        <w:t>其他工作要求</w:t>
      </w:r>
      <w:bookmarkEnd w:id="18"/>
    </w:p>
    <w:p w14:paraId="1D33AC13">
      <w:pPr>
        <w:keepNext/>
        <w:keepLines/>
        <w:numPr>
          <w:ilvl w:val="1"/>
          <w:numId w:val="7"/>
        </w:numPr>
        <w:tabs>
          <w:tab w:val="left" w:pos="360"/>
        </w:tabs>
        <w:spacing w:before="120" w:line="240" w:lineRule="auto"/>
        <w:ind w:left="0" w:firstLine="0" w:firstLineChars="0"/>
        <w:outlineLvl w:val="1"/>
        <w:rPr>
          <w:rFonts w:ascii="仿宋" w:hAnsi="仿宋" w:eastAsia="仿宋"/>
          <w:b/>
          <w:vanish/>
          <w:color w:val="000000"/>
          <w:szCs w:val="20"/>
        </w:rPr>
      </w:pPr>
      <w:bookmarkStart w:id="19" w:name="_Toc63762370"/>
      <w:bookmarkEnd w:id="19"/>
      <w:bookmarkStart w:id="20" w:name="_Toc63585480"/>
      <w:bookmarkEnd w:id="20"/>
      <w:bookmarkStart w:id="21" w:name="_Toc63785439"/>
      <w:bookmarkEnd w:id="21"/>
      <w:bookmarkStart w:id="22" w:name="_Toc63785504"/>
      <w:bookmarkEnd w:id="22"/>
      <w:bookmarkStart w:id="23" w:name="_Toc62219358"/>
      <w:bookmarkEnd w:id="23"/>
      <w:bookmarkStart w:id="24" w:name="_Toc63151871"/>
      <w:bookmarkEnd w:id="24"/>
      <w:bookmarkStart w:id="25" w:name="_Toc62209488"/>
      <w:bookmarkEnd w:id="25"/>
      <w:bookmarkStart w:id="26" w:name="_Toc61968111"/>
      <w:bookmarkEnd w:id="26"/>
    </w:p>
    <w:p w14:paraId="614CB0F3">
      <w:pPr>
        <w:pStyle w:val="3"/>
        <w:bidi w:val="0"/>
        <w:ind w:left="1135" w:leftChars="0" w:hanging="567" w:firstLineChars="0"/>
      </w:pPr>
      <w:bookmarkStart w:id="27" w:name="_Toc63785505"/>
      <w:r>
        <w:rPr>
          <w:rFonts w:hint="eastAsia"/>
        </w:rPr>
        <w:t>售后服务要求</w:t>
      </w:r>
      <w:bookmarkEnd w:id="27"/>
    </w:p>
    <w:p w14:paraId="62B2A632">
      <w:pPr>
        <w:keepNext w:val="0"/>
        <w:keepLines w:val="0"/>
        <w:pageBreakBefore w:val="0"/>
        <w:widowControl w:val="0"/>
        <w:tabs>
          <w:tab w:val="left" w:pos="420"/>
        </w:tabs>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本项目从系统验收通过之日起1年内提供7*24小时免费技术支持和售后服务，1年后进入有偿维护期。</w:t>
      </w:r>
    </w:p>
    <w:p w14:paraId="2100D730">
      <w:pPr>
        <w:keepNext w:val="0"/>
        <w:keepLines w:val="0"/>
        <w:pageBreakBefore w:val="0"/>
        <w:widowControl w:val="0"/>
        <w:tabs>
          <w:tab w:val="left" w:pos="420"/>
        </w:tabs>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在质量保证期内，供应商将按照售后服务的承诺提供保修和运行维护服务，如果厂商对信息系统中软、硬件设备等产品中的部分保修期超过上述期限的，则按照厂商的规定进行免费保修。</w:t>
      </w:r>
    </w:p>
    <w:p w14:paraId="3E912EB9">
      <w:pPr>
        <w:keepNext w:val="0"/>
        <w:keepLines w:val="0"/>
        <w:pageBreakBefore w:val="0"/>
        <w:widowControl w:val="0"/>
        <w:tabs>
          <w:tab w:val="left" w:pos="420"/>
        </w:tabs>
        <w:kinsoku/>
        <w:wordWrap/>
        <w:overflowPunct/>
        <w:topLinePunct w:val="0"/>
        <w:autoSpaceDE/>
        <w:autoSpaceDN/>
        <w:bidi w:val="0"/>
        <w:adjustRightInd/>
        <w:snapToGrid/>
        <w:spacing w:line="360" w:lineRule="auto"/>
        <w:ind w:left="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在质量保证期内，供应商负责信息系统的运行维护工作，确保信息系统安全、稳定、可靠地运行。</w:t>
      </w:r>
    </w:p>
    <w:p w14:paraId="52A6D67C">
      <w:pPr>
        <w:numPr>
          <w:ilvl w:val="0"/>
          <w:numId w:val="8"/>
        </w:numPr>
        <w:ind w:left="283" w:firstLine="482" w:firstLineChars="0"/>
        <w:rPr>
          <w:b/>
        </w:rPr>
      </w:pPr>
      <w:r>
        <w:rPr>
          <w:rFonts w:hint="eastAsia"/>
          <w:b/>
        </w:rPr>
        <w:t>日常的应用维护服务</w:t>
      </w:r>
    </w:p>
    <w:p w14:paraId="545ED926">
      <w:pPr>
        <w:rPr>
          <w:b/>
          <w:sz w:val="24"/>
          <w:szCs w:val="24"/>
        </w:rPr>
      </w:pPr>
      <w:r>
        <w:rPr>
          <w:rFonts w:hint="eastAsia"/>
          <w:sz w:val="24"/>
          <w:szCs w:val="24"/>
        </w:rPr>
        <w:t>维护单位在接到相关的日常维护要求后，诊断问题，分别提供各类日常维护服务，并将维修结果及时回复。提供的日常服务包括：</w:t>
      </w:r>
    </w:p>
    <w:p w14:paraId="645CFABF">
      <w:pPr>
        <w:numPr>
          <w:ilvl w:val="0"/>
          <w:numId w:val="9"/>
        </w:numPr>
        <w:adjustRightInd w:val="0"/>
        <w:ind w:firstLineChars="0"/>
        <w:textAlignment w:val="baseline"/>
        <w:rPr>
          <w:sz w:val="24"/>
          <w:szCs w:val="24"/>
        </w:rPr>
      </w:pPr>
      <w:r>
        <w:rPr>
          <w:rFonts w:hint="eastAsia"/>
          <w:sz w:val="24"/>
          <w:szCs w:val="24"/>
        </w:rPr>
        <w:t>供应商应设立专门的技术支持小组，</w:t>
      </w:r>
      <w:r>
        <w:rPr>
          <w:rFonts w:hint="eastAsia"/>
          <w:sz w:val="24"/>
          <w:szCs w:val="24"/>
          <w:lang w:val="en-US" w:eastAsia="zh-CN"/>
        </w:rPr>
        <w:t>指派专人</w:t>
      </w:r>
      <w:r>
        <w:rPr>
          <w:rFonts w:hint="eastAsia"/>
          <w:sz w:val="24"/>
          <w:szCs w:val="24"/>
        </w:rPr>
        <w:t>为建设单位提供全面专业的技术支持。</w:t>
      </w:r>
    </w:p>
    <w:p w14:paraId="437EC3D4">
      <w:pPr>
        <w:numPr>
          <w:ilvl w:val="0"/>
          <w:numId w:val="9"/>
        </w:numPr>
        <w:adjustRightInd w:val="0"/>
        <w:ind w:firstLineChars="0"/>
        <w:textAlignment w:val="baseline"/>
        <w:rPr>
          <w:sz w:val="24"/>
          <w:szCs w:val="24"/>
        </w:rPr>
      </w:pPr>
      <w:r>
        <w:rPr>
          <w:rFonts w:hint="eastAsia"/>
          <w:sz w:val="24"/>
          <w:szCs w:val="24"/>
        </w:rPr>
        <w:t>对应用系统提供相关技术咨询、系统调整、应用升级、性能调优和定期（每月）检测维护的服务。</w:t>
      </w:r>
    </w:p>
    <w:p w14:paraId="2411D259">
      <w:pPr>
        <w:numPr>
          <w:ilvl w:val="0"/>
          <w:numId w:val="9"/>
        </w:numPr>
        <w:adjustRightInd w:val="0"/>
        <w:ind w:firstLineChars="0"/>
        <w:textAlignment w:val="baseline"/>
        <w:rPr>
          <w:sz w:val="24"/>
          <w:szCs w:val="24"/>
        </w:rPr>
      </w:pPr>
      <w:r>
        <w:rPr>
          <w:rFonts w:hint="eastAsia"/>
          <w:sz w:val="24"/>
          <w:szCs w:val="24"/>
        </w:rPr>
        <w:t>提供</w:t>
      </w:r>
      <w:r>
        <w:rPr>
          <w:sz w:val="24"/>
          <w:szCs w:val="24"/>
        </w:rPr>
        <w:t>7*24*365小时专人电话支持服务。对于应用系统故障情况，查找原因，提出解决方案，并工作至故障消除，完全恢复正常服务为止。</w:t>
      </w:r>
    </w:p>
    <w:p w14:paraId="4297C40B">
      <w:pPr>
        <w:pStyle w:val="139"/>
        <w:numPr>
          <w:ilvl w:val="0"/>
          <w:numId w:val="9"/>
        </w:numPr>
        <w:spacing w:after="0"/>
        <w:ind w:firstLineChars="0"/>
        <w:rPr>
          <w:rFonts w:ascii="宋体" w:hAnsi="宋体"/>
          <w:sz w:val="24"/>
          <w:szCs w:val="24"/>
        </w:rPr>
      </w:pPr>
      <w:r>
        <w:rPr>
          <w:rFonts w:hint="eastAsia" w:ascii="宋体" w:hAnsi="宋体"/>
          <w:sz w:val="24"/>
          <w:szCs w:val="24"/>
        </w:rPr>
        <w:t>无推诿承诺。即无论由于哪一方产生的问题而使系统发生不正常情况时，在得到通知后，项目开发小组与公司立刻响应派工程师到场，全力配合厂商和其他供应商，使系统尽快恢复正常。</w:t>
      </w:r>
    </w:p>
    <w:p w14:paraId="2D17015B">
      <w:pPr>
        <w:pStyle w:val="139"/>
        <w:numPr>
          <w:ilvl w:val="0"/>
          <w:numId w:val="9"/>
        </w:numPr>
        <w:spacing w:after="0"/>
        <w:ind w:firstLineChars="0"/>
        <w:rPr>
          <w:rFonts w:ascii="宋体" w:hAnsi="宋体"/>
          <w:sz w:val="28"/>
          <w:szCs w:val="28"/>
        </w:rPr>
      </w:pPr>
      <w:r>
        <w:rPr>
          <w:rFonts w:hint="eastAsia" w:ascii="宋体" w:hAnsi="宋体"/>
          <w:sz w:val="24"/>
          <w:szCs w:val="24"/>
        </w:rPr>
        <w:t>在保修期结束前，进行一次全面检查，任何与要求不符的缺陷将由项目开发小组与公司负责修理，在修理之后，将缺陷原因、修理内容、完成修理及恢复正常的时间和日期等制成报告，报告一式两份；如在</w:t>
      </w:r>
      <w:r>
        <w:rPr>
          <w:rFonts w:hint="eastAsia"/>
          <w:sz w:val="24"/>
          <w:szCs w:val="22"/>
        </w:rPr>
        <w:t>保修期结束时仍未完成修理的，则保修期自动顺延到修理工作完成之后</w:t>
      </w:r>
      <w:r>
        <w:rPr>
          <w:rFonts w:hint="eastAsia" w:ascii="宋体" w:hAnsi="宋体"/>
          <w:sz w:val="24"/>
          <w:szCs w:val="24"/>
        </w:rPr>
        <w:t>。</w:t>
      </w:r>
    </w:p>
    <w:p w14:paraId="05C8B865">
      <w:pPr>
        <w:numPr>
          <w:ilvl w:val="0"/>
          <w:numId w:val="8"/>
        </w:numPr>
        <w:ind w:left="283" w:firstLine="482" w:firstLineChars="0"/>
        <w:rPr>
          <w:b/>
        </w:rPr>
      </w:pPr>
      <w:r>
        <w:rPr>
          <w:rFonts w:hint="eastAsia"/>
          <w:b/>
        </w:rPr>
        <w:t>应用系统功能调整服务</w:t>
      </w:r>
    </w:p>
    <w:p w14:paraId="7A913B72">
      <w:pPr>
        <w:ind w:firstLine="470" w:firstLineChars="196"/>
      </w:pPr>
      <w:r>
        <w:rPr>
          <w:rFonts w:hint="eastAsia"/>
        </w:rPr>
        <w:t>供应商在接到相关业务部门书面形式描述的部分更改要求后，与相关业务部门一起对需求进行确认，并对应用系统修改功能的实现提出书面的方案，由相关业务部门协调对应用修改方案进行确认并反馈给维护单位。</w:t>
      </w:r>
    </w:p>
    <w:p w14:paraId="265B5932">
      <w:pPr>
        <w:ind w:firstLine="470" w:firstLineChars="196"/>
        <w:rPr>
          <w:b/>
        </w:rPr>
      </w:pPr>
      <w:r>
        <w:rPr>
          <w:rFonts w:hint="eastAsia"/>
        </w:rPr>
        <w:t>由于业务调整，维护单位需要对应用系统进行相应的功能调整服务。提供的服务包括：</w:t>
      </w:r>
    </w:p>
    <w:p w14:paraId="535C20DD">
      <w:pPr>
        <w:pStyle w:val="139"/>
        <w:numPr>
          <w:ilvl w:val="0"/>
          <w:numId w:val="9"/>
        </w:numPr>
        <w:spacing w:after="0"/>
        <w:ind w:firstLineChars="0"/>
        <w:rPr>
          <w:rFonts w:ascii="宋体" w:hAnsi="宋体"/>
          <w:szCs w:val="24"/>
        </w:rPr>
      </w:pPr>
      <w:r>
        <w:rPr>
          <w:rFonts w:hint="eastAsia" w:ascii="宋体" w:hAnsi="宋体"/>
          <w:szCs w:val="24"/>
        </w:rPr>
        <w:t>应用方案的提出和论证：结合系统原来设计的结构和总体框架，对变化的需求或增加的需求进行可行性分析，整理并提出可行的方案，并与业务部门或其他用户一起对方案进行论证和确认。</w:t>
      </w:r>
    </w:p>
    <w:p w14:paraId="20FF581B">
      <w:pPr>
        <w:pStyle w:val="139"/>
        <w:numPr>
          <w:ilvl w:val="0"/>
          <w:numId w:val="9"/>
        </w:numPr>
        <w:spacing w:after="0"/>
        <w:ind w:firstLineChars="0"/>
        <w:rPr>
          <w:rFonts w:ascii="宋体" w:hAnsi="宋体"/>
          <w:szCs w:val="24"/>
        </w:rPr>
      </w:pPr>
      <w:r>
        <w:rPr>
          <w:rFonts w:hint="eastAsia" w:ascii="宋体" w:hAnsi="宋体"/>
          <w:szCs w:val="24"/>
        </w:rPr>
        <w:t>修改应用系统相关的技术文档：根据应用修改的实际情况变更相关的应用技术文档，包括：需求文档、分析设计文档、测试文档、使用手册。</w:t>
      </w:r>
    </w:p>
    <w:p w14:paraId="1FEC0E88">
      <w:pPr>
        <w:pStyle w:val="139"/>
        <w:numPr>
          <w:ilvl w:val="0"/>
          <w:numId w:val="9"/>
        </w:numPr>
        <w:spacing w:after="0"/>
        <w:ind w:firstLineChars="0"/>
        <w:rPr>
          <w:rFonts w:ascii="宋体" w:hAnsi="宋体"/>
          <w:szCs w:val="24"/>
        </w:rPr>
      </w:pPr>
      <w:r>
        <w:rPr>
          <w:rFonts w:hint="eastAsia" w:ascii="宋体" w:hAnsi="宋体"/>
          <w:szCs w:val="24"/>
        </w:rPr>
        <w:t>应用实现：实现对应用系统功能的修改，包括：对应用程序进行修改或增加功能，对实际运行的数据库结构进行修改，修改数据的复制逻辑，修改、调整相关的字典设置，应用系统功能的测试。</w:t>
      </w:r>
    </w:p>
    <w:p w14:paraId="35F5A575">
      <w:pPr>
        <w:pStyle w:val="139"/>
        <w:numPr>
          <w:ilvl w:val="0"/>
          <w:numId w:val="9"/>
        </w:numPr>
        <w:spacing w:after="0"/>
        <w:ind w:firstLineChars="0"/>
        <w:rPr>
          <w:rFonts w:ascii="宋体" w:hAnsi="宋体"/>
          <w:szCs w:val="24"/>
        </w:rPr>
      </w:pPr>
      <w:r>
        <w:rPr>
          <w:rFonts w:hint="eastAsia" w:ascii="宋体" w:hAnsi="宋体"/>
          <w:szCs w:val="24"/>
        </w:rPr>
        <w:t>调整后功能推广：新功能的推广使用，包括：版本的升级、编写功能更新的说明、必要的用户培训、功能试用期间的支持。</w:t>
      </w:r>
    </w:p>
    <w:p w14:paraId="3588219E">
      <w:pPr>
        <w:numPr>
          <w:ilvl w:val="0"/>
          <w:numId w:val="8"/>
        </w:numPr>
        <w:ind w:left="283" w:firstLine="482" w:firstLineChars="0"/>
        <w:rPr>
          <w:b/>
        </w:rPr>
      </w:pPr>
      <w:r>
        <w:rPr>
          <w:rFonts w:hint="eastAsia"/>
          <w:b/>
        </w:rPr>
        <w:t>系统接口支持配合服务</w:t>
      </w:r>
    </w:p>
    <w:p w14:paraId="2105C556">
      <w:pPr>
        <w:pStyle w:val="108"/>
        <w:snapToGrid w:val="0"/>
        <w:spacing w:line="360" w:lineRule="auto"/>
        <w:ind w:firstLine="480"/>
        <w:rPr>
          <w:rFonts w:hint="eastAsia" w:ascii="宋体" w:hAnsi="宋体"/>
          <w:sz w:val="24"/>
          <w:szCs w:val="24"/>
        </w:rPr>
      </w:pPr>
      <w:r>
        <w:rPr>
          <w:rFonts w:hint="eastAsia" w:ascii="宋体" w:hAnsi="宋体"/>
          <w:sz w:val="24"/>
          <w:szCs w:val="24"/>
        </w:rPr>
        <w:t>由其他公司承担开发并需要与本系统衔接的系统，提供接口部分的技术支持和相关部分的实施配合。</w:t>
      </w:r>
    </w:p>
    <w:p w14:paraId="2B13E2CD">
      <w:pPr>
        <w:pStyle w:val="3"/>
        <w:bidi w:val="0"/>
        <w:ind w:left="1135" w:leftChars="0" w:hanging="567" w:firstLineChars="0"/>
      </w:pPr>
      <w:bookmarkStart w:id="28" w:name="_Toc63785506"/>
      <w:r>
        <w:rPr>
          <w:rFonts w:hint="eastAsia"/>
        </w:rPr>
        <w:t>应急响应要求</w:t>
      </w:r>
      <w:bookmarkEnd w:id="28"/>
    </w:p>
    <w:p w14:paraId="7D49EDFD">
      <w:pPr>
        <w:pStyle w:val="108"/>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14:paraId="42E45264">
      <w:pPr>
        <w:pStyle w:val="108"/>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14:paraId="295554FE">
      <w:pPr>
        <w:pStyle w:val="108"/>
        <w:snapToGrid w:val="0"/>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14:paraId="356AD023">
      <w:pPr>
        <w:pStyle w:val="108"/>
        <w:snapToGrid w:val="0"/>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14:paraId="506B286A">
      <w:pPr>
        <w:pStyle w:val="108"/>
        <w:snapToGrid w:val="0"/>
        <w:spacing w:line="360" w:lineRule="auto"/>
        <w:ind w:firstLine="480"/>
        <w:rPr>
          <w:rFonts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14:paraId="414CE1FE">
      <w:pPr>
        <w:pStyle w:val="3"/>
        <w:bidi w:val="0"/>
        <w:ind w:left="1135" w:leftChars="0" w:hanging="567" w:firstLineChars="0"/>
      </w:pPr>
      <w:bookmarkStart w:id="29" w:name="_Toc63785507"/>
      <w:r>
        <w:rPr>
          <w:rFonts w:hint="eastAsia"/>
        </w:rPr>
        <w:t>培训要求</w:t>
      </w:r>
      <w:bookmarkEnd w:id="29"/>
    </w:p>
    <w:p w14:paraId="094CC792">
      <w:r>
        <w:rPr>
          <w:rFonts w:hint="eastAsia"/>
        </w:rPr>
        <w:t>对系统使用单位提供业务操作培训，应提供详细培训方案。</w:t>
      </w:r>
    </w:p>
    <w:p w14:paraId="7C894471">
      <w:pPr>
        <w:rPr>
          <w:highlight w:val="none"/>
        </w:rPr>
      </w:pPr>
      <w:r>
        <w:rPr>
          <w:rFonts w:hint="eastAsia"/>
          <w:highlight w:val="none"/>
        </w:rPr>
        <w:t>(1)在12个月的质量保证期内，</w:t>
      </w:r>
      <w:r>
        <w:rPr>
          <w:rFonts w:hint="eastAsia"/>
          <w:highlight w:val="none"/>
          <w:lang w:val="en-US" w:eastAsia="zh-CN"/>
        </w:rPr>
        <w:t>根据业务部门实际工作要求，至少</w:t>
      </w:r>
      <w:r>
        <w:rPr>
          <w:rFonts w:hint="eastAsia"/>
          <w:highlight w:val="none"/>
        </w:rPr>
        <w:t>提供</w:t>
      </w:r>
      <w:r>
        <w:rPr>
          <w:rFonts w:hint="eastAsia"/>
          <w:highlight w:val="none"/>
          <w:lang w:val="en-US" w:eastAsia="zh-CN"/>
        </w:rPr>
        <w:t>1次</w:t>
      </w:r>
      <w:r>
        <w:rPr>
          <w:rFonts w:hint="eastAsia"/>
          <w:highlight w:val="none"/>
        </w:rPr>
        <w:t>与项目相关的必要培训。</w:t>
      </w:r>
    </w:p>
    <w:p w14:paraId="3A4E9885">
      <w:r>
        <w:rPr>
          <w:rFonts w:hint="eastAsia"/>
        </w:rPr>
        <w:t>(2)供应商需要开展分层次的人员培训工作，每次培训后应对参加培训人员进行测试，评估培训成果。培训应具有培训教材、培训环境和高水平的培训讲师。</w:t>
      </w:r>
    </w:p>
    <w:p w14:paraId="585CFFC5">
      <w:r>
        <w:rPr>
          <w:rFonts w:hint="eastAsia"/>
        </w:rPr>
        <w:t>(3)供应商应提供一般用户的基础操作培训和部门信息管理员的日常应用维护的培训，确保用户对象能够掌握对应的操作技能。</w:t>
      </w:r>
    </w:p>
    <w:p w14:paraId="1121C401">
      <w:pPr>
        <w:pStyle w:val="3"/>
        <w:bidi w:val="0"/>
        <w:ind w:left="1135" w:leftChars="0" w:hanging="567" w:firstLineChars="0"/>
      </w:pPr>
      <w:bookmarkStart w:id="30" w:name="_Toc63785508"/>
      <w:r>
        <w:rPr>
          <w:rFonts w:hint="eastAsia"/>
        </w:rPr>
        <w:t>验收要求</w:t>
      </w:r>
      <w:bookmarkEnd w:id="30"/>
    </w:p>
    <w:p w14:paraId="6BA1BB54">
      <w:pPr>
        <w:rPr>
          <w:szCs w:val="21"/>
        </w:rPr>
      </w:pPr>
      <w:r>
        <w:rPr>
          <w:rFonts w:hint="eastAsia"/>
          <w:szCs w:val="21"/>
        </w:rPr>
        <w:t>本项目按下述方式开展验收。</w:t>
      </w:r>
    </w:p>
    <w:p w14:paraId="25E6685E">
      <w:pPr>
        <w:rPr>
          <w:szCs w:val="21"/>
        </w:rPr>
      </w:pPr>
      <w:r>
        <w:rPr>
          <w:rFonts w:hint="eastAsia"/>
          <w:szCs w:val="21"/>
        </w:rPr>
        <w:t>（</w:t>
      </w:r>
      <w:r>
        <w:rPr>
          <w:szCs w:val="21"/>
        </w:rPr>
        <w:t>1）验收分初验和终验。</w:t>
      </w:r>
    </w:p>
    <w:p w14:paraId="3D2BD31F">
      <w:pPr>
        <w:rPr>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05B8CC6F">
      <w:pPr>
        <w:rPr>
          <w:szCs w:val="21"/>
        </w:rPr>
      </w:pPr>
      <w:r>
        <w:rPr>
          <w:rFonts w:hint="eastAsia"/>
          <w:szCs w:val="21"/>
        </w:rPr>
        <w:t>（</w:t>
      </w:r>
      <w:r>
        <w:rPr>
          <w:szCs w:val="21"/>
        </w:rPr>
        <w:t>3）初验时，供应商须提供软件文档</w:t>
      </w:r>
      <w:r>
        <w:rPr>
          <w:rFonts w:hint="eastAsia"/>
          <w:szCs w:val="21"/>
          <w:lang w:eastAsia="zh-CN"/>
        </w:rPr>
        <w:t>（</w:t>
      </w:r>
      <w:r>
        <w:rPr>
          <w:szCs w:val="21"/>
        </w:rPr>
        <w:t>包括《需求</w:t>
      </w:r>
      <w:r>
        <w:rPr>
          <w:rFonts w:hint="eastAsia"/>
          <w:szCs w:val="21"/>
          <w:lang w:val="en-US" w:eastAsia="zh-CN"/>
        </w:rPr>
        <w:t>分析</w:t>
      </w:r>
      <w:r>
        <w:rPr>
          <w:szCs w:val="21"/>
        </w:rPr>
        <w:t>说明书》、《系统概要设计说明书》、《系统详细设计说明书》、</w:t>
      </w:r>
      <w:r>
        <w:rPr>
          <w:rFonts w:hint="eastAsia"/>
          <w:szCs w:val="21"/>
          <w:lang w:eastAsia="zh-CN"/>
        </w:rPr>
        <w:t>《</w:t>
      </w:r>
      <w:r>
        <w:rPr>
          <w:rFonts w:hint="eastAsia"/>
          <w:szCs w:val="21"/>
          <w:lang w:val="en-US" w:eastAsia="zh-CN"/>
        </w:rPr>
        <w:t>数据库结构设计说明书》、</w:t>
      </w:r>
      <w:r>
        <w:rPr>
          <w:rFonts w:hint="eastAsia"/>
          <w:szCs w:val="21"/>
        </w:rPr>
        <w:t>《需求</w:t>
      </w:r>
      <w:r>
        <w:rPr>
          <w:rFonts w:hint="eastAsia"/>
          <w:szCs w:val="21"/>
          <w:lang w:val="en-US" w:eastAsia="zh-CN"/>
        </w:rPr>
        <w:t>分析</w:t>
      </w:r>
      <w:r>
        <w:rPr>
          <w:rFonts w:hint="eastAsia"/>
          <w:szCs w:val="21"/>
        </w:rPr>
        <w:t>确认</w:t>
      </w:r>
      <w:r>
        <w:rPr>
          <w:rFonts w:hint="eastAsia"/>
          <w:szCs w:val="21"/>
          <w:lang w:val="en-US" w:eastAsia="zh-CN"/>
        </w:rPr>
        <w:t>表</w:t>
      </w:r>
      <w:r>
        <w:rPr>
          <w:rFonts w:hint="eastAsia"/>
          <w:szCs w:val="21"/>
        </w:rPr>
        <w:t>》、</w:t>
      </w:r>
      <w:r>
        <w:rPr>
          <w:szCs w:val="21"/>
        </w:rPr>
        <w:t>《测试报告》、《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2369AB19">
      <w:pPr>
        <w:rPr>
          <w:rFonts w:hint="default" w:eastAsia="宋体"/>
          <w:szCs w:val="21"/>
          <w:lang w:val="en-US" w:eastAsia="zh-CN"/>
        </w:rPr>
      </w:pPr>
      <w:r>
        <w:rPr>
          <w:rFonts w:hint="eastAsia"/>
          <w:szCs w:val="21"/>
        </w:rPr>
        <w:t>（</w:t>
      </w:r>
      <w:r>
        <w:rPr>
          <w:szCs w:val="21"/>
        </w:rPr>
        <w:t>4）自初验通过之日起，招标方享有供应商免费提供的</w:t>
      </w:r>
      <w:r>
        <w:rPr>
          <w:rFonts w:hint="eastAsia"/>
          <w:szCs w:val="21"/>
          <w:lang w:val="en-US" w:eastAsia="zh-CN"/>
        </w:rPr>
        <w:t>90</w:t>
      </w:r>
      <w:r>
        <w:rPr>
          <w:szCs w:val="21"/>
        </w:rPr>
        <w:t>天的信息系统试运行服务期。该期间内，供应商应当按照招标方的要求提供现场技术支持服务，解决信息系统试运行期间可能出现的各类问题，或进一步提高与完善信息系统运行水平。</w:t>
      </w:r>
    </w:p>
    <w:p w14:paraId="1D6026B1">
      <w:pPr>
        <w:rPr>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lang w:val="en-US" w:eastAsia="zh-CN"/>
        </w:rPr>
        <w:t>15</w:t>
      </w:r>
      <w:r>
        <w:rPr>
          <w:szCs w:val="21"/>
        </w:rPr>
        <w:t>个工作日内发起组织专家验收会。</w:t>
      </w:r>
    </w:p>
    <w:p w14:paraId="50C410F7">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2EA44484">
      <w:pPr>
        <w:rPr>
          <w:szCs w:val="21"/>
        </w:rPr>
      </w:pPr>
      <w:r>
        <w:rPr>
          <w:rFonts w:hint="eastAsia"/>
          <w:szCs w:val="21"/>
        </w:rPr>
        <w:t>（7</w:t>
      </w:r>
      <w:r>
        <w:rPr>
          <w:szCs w:val="21"/>
        </w:rPr>
        <w:t>）如果由于招标方原因导致本项目在终验通过前出现故障或问题，供应商应及时配合排除该方面的故障或问题。</w:t>
      </w:r>
    </w:p>
    <w:p w14:paraId="2191D463">
      <w:pPr>
        <w:rPr>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775F10FC">
      <w:pPr>
        <w:pStyle w:val="3"/>
        <w:bidi w:val="0"/>
        <w:ind w:left="1135" w:leftChars="0" w:hanging="567" w:firstLineChars="0"/>
        <w:rPr>
          <w:highlight w:val="none"/>
        </w:rPr>
      </w:pPr>
      <w:bookmarkStart w:id="31" w:name="_Toc63785509"/>
      <w:r>
        <w:rPr>
          <w:rFonts w:hint="eastAsia"/>
          <w:highlight w:val="none"/>
        </w:rPr>
        <w:t>进度要求</w:t>
      </w:r>
      <w:bookmarkEnd w:id="31"/>
    </w:p>
    <w:p w14:paraId="66A9AD32">
      <w:pPr>
        <w:rPr>
          <w:rFonts w:hint="eastAsia"/>
          <w:highlight w:val="none"/>
        </w:rPr>
      </w:pPr>
      <w:r>
        <w:rPr>
          <w:rFonts w:hint="eastAsia"/>
          <w:highlight w:val="none"/>
        </w:rPr>
        <w:t>投标人应根据建设内容，分阶段制定合理的时间进度，并且应根据招标方要求进行调整和细化。</w:t>
      </w:r>
    </w:p>
    <w:p w14:paraId="56536A97">
      <w:pPr>
        <w:rPr>
          <w:rFonts w:hint="eastAsia"/>
          <w:highlight w:val="none"/>
          <w:lang w:val="en-US" w:eastAsia="zh-CN"/>
        </w:rPr>
      </w:pPr>
      <w:r>
        <w:rPr>
          <w:rFonts w:hint="eastAsia"/>
          <w:highlight w:val="none"/>
          <w:lang w:val="en-US" w:eastAsia="zh-CN"/>
        </w:rPr>
        <w:t>项目总体建设周期12个月，计划分为4个阶段：</w:t>
      </w:r>
    </w:p>
    <w:p w14:paraId="49B0801E">
      <w:pPr>
        <w:rPr>
          <w:rFonts w:hint="eastAsia"/>
          <w:highlight w:val="none"/>
          <w:lang w:val="en-US" w:eastAsia="zh-CN"/>
        </w:rPr>
      </w:pPr>
      <w:r>
        <w:rPr>
          <w:rFonts w:hint="eastAsia"/>
          <w:highlight w:val="none"/>
          <w:lang w:val="en-US" w:eastAsia="zh-CN"/>
        </w:rPr>
        <w:t>第一阶段0.5个月，完成项目启动；</w:t>
      </w:r>
    </w:p>
    <w:p w14:paraId="5011693F">
      <w:pPr>
        <w:ind w:firstLine="480" w:firstLineChars="200"/>
        <w:rPr>
          <w:rFonts w:hint="eastAsia"/>
          <w:highlight w:val="none"/>
          <w:lang w:val="en-US" w:eastAsia="zh-CN"/>
        </w:rPr>
      </w:pPr>
      <w:r>
        <w:rPr>
          <w:rFonts w:hint="eastAsia"/>
          <w:highlight w:val="none"/>
          <w:lang w:val="en-US" w:eastAsia="zh-CN"/>
        </w:rPr>
        <w:t>第二阶段8个月，完成项目需求调研、设计、开发和测试等；</w:t>
      </w:r>
    </w:p>
    <w:p w14:paraId="02E08901">
      <w:pPr>
        <w:ind w:firstLine="480" w:firstLineChars="200"/>
        <w:rPr>
          <w:rFonts w:hint="eastAsia"/>
          <w:highlight w:val="none"/>
          <w:lang w:val="en-US" w:eastAsia="zh-CN"/>
        </w:rPr>
      </w:pPr>
      <w:r>
        <w:rPr>
          <w:rFonts w:hint="eastAsia"/>
          <w:highlight w:val="none"/>
          <w:lang w:val="en-US" w:eastAsia="zh-CN"/>
        </w:rPr>
        <w:t>第三阶段3个月，完成项目试运行、通过第三方测评；</w:t>
      </w:r>
    </w:p>
    <w:p w14:paraId="74EBA747">
      <w:pPr>
        <w:rPr>
          <w:rFonts w:hint="eastAsia"/>
          <w:highlight w:val="none"/>
          <w:lang w:val="en-US" w:eastAsia="zh-CN"/>
        </w:rPr>
      </w:pPr>
      <w:r>
        <w:rPr>
          <w:rFonts w:hint="eastAsia"/>
          <w:highlight w:val="none"/>
          <w:lang w:val="en-US" w:eastAsia="zh-CN"/>
        </w:rPr>
        <w:t>第四阶段0.5个月，完成项目验收。</w:t>
      </w:r>
    </w:p>
    <w:p w14:paraId="03B00DAA">
      <w:pPr>
        <w:pStyle w:val="16"/>
        <w:rPr>
          <w:rFonts w:hint="default"/>
          <w:lang w:val="en-US" w:eastAsia="zh-CN"/>
        </w:rPr>
      </w:pPr>
    </w:p>
    <w:p w14:paraId="08F3D396">
      <w:pPr>
        <w:pStyle w:val="3"/>
        <w:bidi w:val="0"/>
        <w:ind w:left="1135" w:leftChars="0" w:hanging="567" w:firstLineChars="0"/>
        <w:rPr>
          <w:highlight w:val="none"/>
        </w:rPr>
      </w:pPr>
      <w:bookmarkStart w:id="32" w:name="_Toc63785510"/>
      <w:r>
        <w:rPr>
          <w:rFonts w:hint="eastAsia"/>
          <w:highlight w:val="none"/>
        </w:rPr>
        <w:t>项目团队及驻场人员要求</w:t>
      </w:r>
      <w:bookmarkEnd w:id="32"/>
    </w:p>
    <w:p w14:paraId="616C13D0">
      <w:pPr>
        <w:rPr>
          <w:highlight w:val="none"/>
        </w:rPr>
      </w:pPr>
      <w:r>
        <w:rPr>
          <w:highlight w:val="none"/>
        </w:rPr>
        <w:t>1）投标人须具有稳定的在职技术保障力量，能够提供及时的技术支援或服务，应针对本项目提供不少于</w:t>
      </w:r>
      <w:r>
        <w:rPr>
          <w:rFonts w:hint="eastAsia"/>
          <w:highlight w:val="none"/>
        </w:rPr>
        <w:t>15</w:t>
      </w:r>
      <w:r>
        <w:rPr>
          <w:highlight w:val="none"/>
        </w:rPr>
        <w:t>人的项目服务团队（包括项目经理、产品经理、技术负责人、研发等），投标单位的相关服务人员需具备相应的服务能力，需提供相关证明。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128"/>
        <w:gridCol w:w="1180"/>
        <w:gridCol w:w="1508"/>
        <w:gridCol w:w="1536"/>
      </w:tblGrid>
      <w:tr w14:paraId="6E1A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DBEEF3" w:themeFill="accent5" w:themeFillTint="32"/>
            <w:noWrap/>
            <w:vAlign w:val="center"/>
          </w:tcPr>
          <w:p w14:paraId="12701683">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角色</w:t>
            </w:r>
          </w:p>
        </w:tc>
        <w:tc>
          <w:tcPr>
            <w:tcW w:w="0" w:type="auto"/>
            <w:shd w:val="clear" w:color="auto" w:fill="DBEEF3" w:themeFill="accent5" w:themeFillTint="32"/>
            <w:noWrap/>
            <w:vAlign w:val="center"/>
          </w:tcPr>
          <w:p w14:paraId="5B75F668">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主要职责</w:t>
            </w:r>
          </w:p>
        </w:tc>
        <w:tc>
          <w:tcPr>
            <w:tcW w:w="0" w:type="auto"/>
            <w:shd w:val="clear" w:color="auto" w:fill="DBEEF3" w:themeFill="accent5" w:themeFillTint="32"/>
            <w:noWrap/>
            <w:vAlign w:val="center"/>
          </w:tcPr>
          <w:p w14:paraId="6843C073">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人员数量</w:t>
            </w:r>
          </w:p>
        </w:tc>
        <w:tc>
          <w:tcPr>
            <w:tcW w:w="0" w:type="auto"/>
            <w:shd w:val="clear" w:color="auto" w:fill="DBEEF3" w:themeFill="accent5" w:themeFillTint="32"/>
            <w:vAlign w:val="center"/>
          </w:tcPr>
          <w:p w14:paraId="591006B8">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人员要求</w:t>
            </w:r>
          </w:p>
        </w:tc>
        <w:tc>
          <w:tcPr>
            <w:tcW w:w="0" w:type="auto"/>
            <w:shd w:val="clear" w:color="auto" w:fill="DBEEF3" w:themeFill="accent5" w:themeFillTint="32"/>
            <w:noWrap/>
            <w:vAlign w:val="center"/>
          </w:tcPr>
          <w:p w14:paraId="658D0826">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驻场要求</w:t>
            </w:r>
          </w:p>
        </w:tc>
      </w:tr>
      <w:tr w14:paraId="58D9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7B78C506">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项目经理</w:t>
            </w:r>
          </w:p>
        </w:tc>
        <w:tc>
          <w:tcPr>
            <w:tcW w:w="3128" w:type="dxa"/>
            <w:shd w:val="clear" w:color="auto" w:fill="auto"/>
            <w:vAlign w:val="center"/>
          </w:tcPr>
          <w:p w14:paraId="356B4A60">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负责项目质量和进度控制</w:t>
            </w:r>
          </w:p>
        </w:tc>
        <w:tc>
          <w:tcPr>
            <w:tcW w:w="1180" w:type="dxa"/>
            <w:shd w:val="clear" w:color="auto" w:fill="auto"/>
            <w:noWrap/>
            <w:vAlign w:val="center"/>
          </w:tcPr>
          <w:p w14:paraId="5053FFB9">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1人</w:t>
            </w:r>
          </w:p>
        </w:tc>
        <w:tc>
          <w:tcPr>
            <w:tcW w:w="1508" w:type="dxa"/>
            <w:vAlign w:val="center"/>
          </w:tcPr>
          <w:p w14:paraId="0D248081">
            <w:pPr>
              <w:widowControl/>
              <w:spacing w:line="240" w:lineRule="auto"/>
              <w:ind w:firstLine="0" w:firstLineChars="0"/>
              <w:jc w:val="center"/>
              <w:rPr>
                <w:rFonts w:hint="eastAsia" w:ascii="仿宋" w:hAnsi="仿宋" w:eastAsia="仿宋" w:cs="仿宋"/>
                <w:sz w:val="21"/>
                <w:szCs w:val="21"/>
                <w:highlight w:val="none"/>
                <w:shd w:val="clear" w:color="auto" w:fill="auto"/>
                <w:lang w:eastAsia="zh-CN"/>
              </w:rPr>
            </w:pPr>
            <w:r>
              <w:rPr>
                <w:rFonts w:hint="eastAsia" w:ascii="仿宋" w:hAnsi="仿宋" w:eastAsia="仿宋" w:cs="仿宋"/>
                <w:sz w:val="21"/>
                <w:szCs w:val="21"/>
                <w:highlight w:val="none"/>
                <w:shd w:val="clear" w:color="auto" w:fill="auto"/>
              </w:rPr>
              <w:t>具备计算机专业中级及以上职称证书；具备本科及以上学历</w:t>
            </w:r>
            <w:r>
              <w:rPr>
                <w:rFonts w:hint="eastAsia" w:ascii="仿宋" w:hAnsi="仿宋" w:eastAsia="仿宋" w:cs="仿宋"/>
                <w:sz w:val="21"/>
                <w:szCs w:val="21"/>
                <w:highlight w:val="none"/>
                <w:shd w:val="clear" w:color="auto" w:fill="auto"/>
                <w:lang w:eastAsia="zh-CN"/>
              </w:rPr>
              <w:t>；</w:t>
            </w:r>
          </w:p>
          <w:p w14:paraId="2B3C522A">
            <w:pPr>
              <w:widowControl/>
              <w:spacing w:line="240" w:lineRule="auto"/>
              <w:ind w:firstLine="0" w:firstLineChars="0"/>
              <w:jc w:val="center"/>
              <w:rPr>
                <w:rFonts w:hint="eastAsia" w:ascii="仿宋" w:hAnsi="仿宋" w:eastAsia="仿宋" w:cs="仿宋"/>
                <w:sz w:val="21"/>
                <w:szCs w:val="21"/>
                <w:highlight w:val="none"/>
                <w:shd w:val="clear" w:color="auto" w:fill="auto"/>
              </w:rPr>
            </w:pPr>
            <w:r>
              <w:rPr>
                <w:rFonts w:hint="eastAsia" w:ascii="仿宋" w:hAnsi="仿宋" w:eastAsia="仿宋" w:cs="仿宋"/>
                <w:sz w:val="21"/>
                <w:szCs w:val="21"/>
                <w:highlight w:val="none"/>
                <w:shd w:val="clear" w:color="auto" w:fill="auto"/>
              </w:rPr>
              <w:t>近3年有与本项目类似的工作业绩</w:t>
            </w:r>
          </w:p>
        </w:tc>
        <w:tc>
          <w:tcPr>
            <w:tcW w:w="1536" w:type="dxa"/>
            <w:shd w:val="clear" w:color="auto" w:fill="auto"/>
            <w:noWrap/>
            <w:vAlign w:val="center"/>
          </w:tcPr>
          <w:p w14:paraId="4F2408CF">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不驻场</w:t>
            </w:r>
          </w:p>
        </w:tc>
      </w:tr>
      <w:tr w14:paraId="6D7F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1CA4204E">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产品经理</w:t>
            </w:r>
          </w:p>
        </w:tc>
        <w:tc>
          <w:tcPr>
            <w:tcW w:w="3128" w:type="dxa"/>
            <w:shd w:val="clear" w:color="auto" w:fill="auto"/>
            <w:vAlign w:val="center"/>
          </w:tcPr>
          <w:p w14:paraId="042C9A89">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负责项目需求评估与产品设计</w:t>
            </w:r>
          </w:p>
        </w:tc>
        <w:tc>
          <w:tcPr>
            <w:tcW w:w="1180" w:type="dxa"/>
            <w:shd w:val="clear" w:color="auto" w:fill="auto"/>
            <w:noWrap/>
            <w:vAlign w:val="center"/>
          </w:tcPr>
          <w:p w14:paraId="37498F63">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1人</w:t>
            </w:r>
          </w:p>
        </w:tc>
        <w:tc>
          <w:tcPr>
            <w:tcW w:w="1508" w:type="dxa"/>
            <w:vAlign w:val="center"/>
          </w:tcPr>
          <w:p w14:paraId="52B4FF50">
            <w:pPr>
              <w:widowControl/>
              <w:spacing w:line="240" w:lineRule="auto"/>
              <w:ind w:firstLine="0" w:firstLineChars="0"/>
              <w:jc w:val="center"/>
              <w:rPr>
                <w:rFonts w:hint="eastAsia" w:ascii="仿宋" w:hAnsi="仿宋" w:eastAsia="仿宋" w:cs="仿宋"/>
                <w:sz w:val="21"/>
                <w:szCs w:val="21"/>
                <w:highlight w:val="none"/>
                <w:shd w:val="clear" w:color="auto" w:fill="auto"/>
              </w:rPr>
            </w:pPr>
            <w:r>
              <w:rPr>
                <w:rFonts w:hint="eastAsia" w:ascii="仿宋" w:hAnsi="仿宋" w:eastAsia="仿宋" w:cs="仿宋"/>
                <w:sz w:val="21"/>
                <w:szCs w:val="21"/>
                <w:highlight w:val="none"/>
                <w:shd w:val="clear" w:color="auto" w:fill="auto"/>
              </w:rPr>
              <w:t>具备中级及以上职称证书</w:t>
            </w:r>
            <w:r>
              <w:rPr>
                <w:rFonts w:hint="eastAsia" w:ascii="仿宋" w:hAnsi="仿宋" w:eastAsia="仿宋" w:cs="仿宋"/>
                <w:sz w:val="21"/>
                <w:szCs w:val="21"/>
                <w:highlight w:val="none"/>
                <w:shd w:val="clear" w:color="auto" w:fill="auto"/>
                <w:lang w:eastAsia="zh-CN"/>
              </w:rPr>
              <w:t>；</w:t>
            </w:r>
            <w:r>
              <w:rPr>
                <w:rFonts w:hint="eastAsia" w:ascii="仿宋" w:hAnsi="仿宋" w:eastAsia="仿宋" w:cs="仿宋"/>
                <w:sz w:val="21"/>
                <w:szCs w:val="21"/>
                <w:highlight w:val="none"/>
                <w:shd w:val="clear" w:color="auto" w:fill="auto"/>
              </w:rPr>
              <w:t>具备本科及以上学历</w:t>
            </w:r>
          </w:p>
        </w:tc>
        <w:tc>
          <w:tcPr>
            <w:tcW w:w="1536" w:type="dxa"/>
            <w:shd w:val="clear" w:color="auto" w:fill="auto"/>
            <w:noWrap/>
            <w:vAlign w:val="center"/>
          </w:tcPr>
          <w:p w14:paraId="65872015">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不驻场</w:t>
            </w:r>
          </w:p>
        </w:tc>
      </w:tr>
      <w:tr w14:paraId="521C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shd w:val="clear" w:color="auto" w:fill="auto"/>
            <w:noWrap/>
            <w:vAlign w:val="center"/>
          </w:tcPr>
          <w:p w14:paraId="6F456669">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研发</w:t>
            </w:r>
          </w:p>
        </w:tc>
        <w:tc>
          <w:tcPr>
            <w:tcW w:w="3128" w:type="dxa"/>
            <w:shd w:val="clear" w:color="auto" w:fill="auto"/>
            <w:noWrap/>
            <w:vAlign w:val="center"/>
          </w:tcPr>
          <w:p w14:paraId="4C8532D9">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负责项目具体开发与实施</w:t>
            </w:r>
          </w:p>
        </w:tc>
        <w:tc>
          <w:tcPr>
            <w:tcW w:w="1180" w:type="dxa"/>
            <w:shd w:val="clear" w:color="auto" w:fill="auto"/>
            <w:noWrap/>
            <w:vAlign w:val="center"/>
          </w:tcPr>
          <w:p w14:paraId="54F89FE4">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13人</w:t>
            </w:r>
          </w:p>
        </w:tc>
        <w:tc>
          <w:tcPr>
            <w:tcW w:w="1508" w:type="dxa"/>
            <w:vAlign w:val="center"/>
          </w:tcPr>
          <w:p w14:paraId="670E2FC1">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具备本科及以上学历；具有相关软件开发经验</w:t>
            </w:r>
          </w:p>
        </w:tc>
        <w:tc>
          <w:tcPr>
            <w:tcW w:w="1536" w:type="dxa"/>
            <w:shd w:val="clear" w:color="auto" w:fill="auto"/>
            <w:noWrap/>
            <w:vAlign w:val="center"/>
          </w:tcPr>
          <w:p w14:paraId="23CB6EC8">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不驻场</w:t>
            </w:r>
          </w:p>
        </w:tc>
      </w:tr>
    </w:tbl>
    <w:p w14:paraId="27C7F6FD">
      <w:r>
        <w:t>2）投标人应针对本项目提供不少于</w:t>
      </w:r>
      <w:r>
        <w:rPr>
          <w:rFonts w:hint="eastAsia"/>
          <w:lang w:val="en-US" w:eastAsia="zh-CN"/>
        </w:rPr>
        <w:t>4</w:t>
      </w:r>
      <w:r>
        <w:t>人的质保期间支撑团队（其中技术经理</w:t>
      </w:r>
      <w:r>
        <w:rPr>
          <w:rFonts w:hint="eastAsia"/>
        </w:rPr>
        <w:t>1</w:t>
      </w:r>
      <w:r>
        <w:t>人，技术工程师不少于</w:t>
      </w:r>
      <w:r>
        <w:rPr>
          <w:rFonts w:hint="eastAsia"/>
        </w:rPr>
        <w:t>3</w:t>
      </w:r>
      <w:r>
        <w:t>人）；投标人的相关服务人员需具备相应的服务能力，需提供相关证明（最近一个季度依法缴纳社保费的证明）。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843"/>
        <w:gridCol w:w="1180"/>
        <w:gridCol w:w="1553"/>
        <w:gridCol w:w="1536"/>
      </w:tblGrid>
      <w:tr w14:paraId="148F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DBEEF3" w:themeFill="accent5" w:themeFillTint="32"/>
            <w:noWrap/>
            <w:vAlign w:val="center"/>
          </w:tcPr>
          <w:p w14:paraId="17226B49">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角色</w:t>
            </w:r>
          </w:p>
        </w:tc>
        <w:tc>
          <w:tcPr>
            <w:tcW w:w="0" w:type="auto"/>
            <w:shd w:val="clear" w:color="auto" w:fill="DBEEF3" w:themeFill="accent5" w:themeFillTint="32"/>
            <w:noWrap/>
            <w:vAlign w:val="center"/>
          </w:tcPr>
          <w:p w14:paraId="21F15EF5">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主要职责</w:t>
            </w:r>
          </w:p>
        </w:tc>
        <w:tc>
          <w:tcPr>
            <w:tcW w:w="0" w:type="auto"/>
            <w:shd w:val="clear" w:color="auto" w:fill="DBEEF3" w:themeFill="accent5" w:themeFillTint="32"/>
            <w:noWrap/>
            <w:vAlign w:val="center"/>
          </w:tcPr>
          <w:p w14:paraId="113BA9BD">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人员数量</w:t>
            </w:r>
          </w:p>
        </w:tc>
        <w:tc>
          <w:tcPr>
            <w:tcW w:w="0" w:type="auto"/>
            <w:shd w:val="clear" w:color="auto" w:fill="DBEEF3" w:themeFill="accent5" w:themeFillTint="32"/>
            <w:vAlign w:val="center"/>
          </w:tcPr>
          <w:p w14:paraId="77EB32D6">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人员要求</w:t>
            </w:r>
          </w:p>
        </w:tc>
        <w:tc>
          <w:tcPr>
            <w:tcW w:w="0" w:type="auto"/>
            <w:shd w:val="clear" w:color="auto" w:fill="DBEEF3" w:themeFill="accent5" w:themeFillTint="32"/>
            <w:noWrap/>
            <w:vAlign w:val="center"/>
          </w:tcPr>
          <w:p w14:paraId="0352ACE8">
            <w:pPr>
              <w:widowControl/>
              <w:spacing w:line="240" w:lineRule="auto"/>
              <w:ind w:firstLine="0" w:firstLineChars="0"/>
              <w:jc w:val="center"/>
              <w:rPr>
                <w:rFonts w:hint="eastAsia" w:ascii="仿宋" w:hAnsi="仿宋" w:eastAsia="仿宋" w:cs="仿宋"/>
                <w:b/>
                <w:sz w:val="21"/>
                <w:szCs w:val="21"/>
              </w:rPr>
            </w:pPr>
            <w:r>
              <w:rPr>
                <w:rFonts w:hint="eastAsia" w:ascii="仿宋" w:hAnsi="仿宋" w:eastAsia="仿宋" w:cs="仿宋"/>
                <w:b/>
                <w:sz w:val="21"/>
                <w:szCs w:val="21"/>
              </w:rPr>
              <w:t>驻场要求</w:t>
            </w:r>
          </w:p>
        </w:tc>
      </w:tr>
      <w:tr w14:paraId="2E04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5C8C33D9">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项目经理</w:t>
            </w:r>
          </w:p>
        </w:tc>
        <w:tc>
          <w:tcPr>
            <w:tcW w:w="2843" w:type="dxa"/>
            <w:shd w:val="clear" w:color="auto" w:fill="auto"/>
            <w:vAlign w:val="center"/>
          </w:tcPr>
          <w:p w14:paraId="59FF3047">
            <w:pPr>
              <w:widowControl/>
              <w:spacing w:line="240" w:lineRule="auto"/>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rPr>
              <w:t>负责需求评估</w:t>
            </w:r>
            <w:r>
              <w:rPr>
                <w:rFonts w:hint="eastAsia" w:ascii="仿宋" w:hAnsi="仿宋" w:eastAsia="仿宋" w:cs="仿宋"/>
                <w:sz w:val="21"/>
                <w:szCs w:val="21"/>
                <w:lang w:eastAsia="zh-CN"/>
              </w:rPr>
              <w:t>、</w:t>
            </w:r>
            <w:r>
              <w:rPr>
                <w:rFonts w:hint="eastAsia" w:ascii="仿宋" w:hAnsi="仿宋" w:eastAsia="仿宋" w:cs="仿宋"/>
                <w:sz w:val="21"/>
                <w:szCs w:val="21"/>
              </w:rPr>
              <w:t>项目质量和进度控制</w:t>
            </w:r>
          </w:p>
        </w:tc>
        <w:tc>
          <w:tcPr>
            <w:tcW w:w="1180" w:type="dxa"/>
            <w:shd w:val="clear" w:color="auto" w:fill="auto"/>
            <w:noWrap/>
            <w:vAlign w:val="center"/>
          </w:tcPr>
          <w:p w14:paraId="16306505">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1人</w:t>
            </w:r>
          </w:p>
        </w:tc>
        <w:tc>
          <w:tcPr>
            <w:tcW w:w="1553" w:type="dxa"/>
            <w:vAlign w:val="center"/>
          </w:tcPr>
          <w:p w14:paraId="455F17F4">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具备计算机专业中级及以上职称证书；具备本科及以上学历</w:t>
            </w:r>
          </w:p>
        </w:tc>
        <w:tc>
          <w:tcPr>
            <w:tcW w:w="1536" w:type="dxa"/>
            <w:shd w:val="clear" w:color="auto" w:fill="auto"/>
            <w:noWrap/>
            <w:vAlign w:val="center"/>
          </w:tcPr>
          <w:p w14:paraId="16B26FA9">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不驻场</w:t>
            </w:r>
          </w:p>
        </w:tc>
      </w:tr>
      <w:tr w14:paraId="4F4F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777546E8">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技术工程师</w:t>
            </w:r>
          </w:p>
        </w:tc>
        <w:tc>
          <w:tcPr>
            <w:tcW w:w="2843" w:type="dxa"/>
            <w:shd w:val="clear" w:color="auto" w:fill="auto"/>
            <w:noWrap/>
            <w:vAlign w:val="center"/>
          </w:tcPr>
          <w:p w14:paraId="3CBE1742">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负责项目运行维护</w:t>
            </w:r>
          </w:p>
        </w:tc>
        <w:tc>
          <w:tcPr>
            <w:tcW w:w="1180" w:type="dxa"/>
            <w:shd w:val="clear" w:color="auto" w:fill="auto"/>
            <w:noWrap/>
            <w:vAlign w:val="center"/>
          </w:tcPr>
          <w:p w14:paraId="70A3BE40">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3人</w:t>
            </w:r>
          </w:p>
        </w:tc>
        <w:tc>
          <w:tcPr>
            <w:tcW w:w="1553" w:type="dxa"/>
            <w:vAlign w:val="center"/>
          </w:tcPr>
          <w:p w14:paraId="1B960B01">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具备本科及以上学历；具有相关系统运维经验</w:t>
            </w:r>
          </w:p>
        </w:tc>
        <w:tc>
          <w:tcPr>
            <w:tcW w:w="1536" w:type="dxa"/>
            <w:shd w:val="clear" w:color="auto" w:fill="auto"/>
            <w:noWrap/>
            <w:vAlign w:val="center"/>
          </w:tcPr>
          <w:p w14:paraId="1C96FD5B">
            <w:pPr>
              <w:widowControl/>
              <w:spacing w:line="24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rPr>
              <w:t>不驻场</w:t>
            </w:r>
          </w:p>
        </w:tc>
      </w:tr>
    </w:tbl>
    <w:p w14:paraId="13D01111">
      <w:pPr>
        <w:pStyle w:val="3"/>
        <w:bidi w:val="0"/>
        <w:ind w:left="1135" w:leftChars="0" w:hanging="567" w:firstLineChars="0"/>
      </w:pPr>
      <w:bookmarkStart w:id="33" w:name="_Toc63785511"/>
      <w:r>
        <w:t>等级保护要求</w:t>
      </w:r>
      <w:bookmarkEnd w:id="33"/>
    </w:p>
    <w:p w14:paraId="26AB5126">
      <w:pPr>
        <w:rPr>
          <w:rFonts w:hint="eastAsia" w:cs="Times New Roman"/>
        </w:rPr>
      </w:pPr>
      <w:r>
        <w:rPr>
          <w:rFonts w:hint="eastAsia" w:cs="Times New Roman"/>
        </w:rPr>
        <w:t>本项目等级保护要求：参照等保三级要求建设。</w:t>
      </w:r>
    </w:p>
    <w:p w14:paraId="5366F01B">
      <w:pPr>
        <w:pStyle w:val="3"/>
        <w:bidi w:val="0"/>
        <w:ind w:left="1135" w:leftChars="0" w:hanging="567" w:firstLineChars="0"/>
      </w:pPr>
      <w:r>
        <w:rPr>
          <w:rFonts w:hint="eastAsia"/>
        </w:rPr>
        <w:t>商</w:t>
      </w:r>
      <w:r>
        <w:rPr>
          <w:rFonts w:hint="eastAsia"/>
          <w:lang w:val="en-US" w:eastAsia="zh-CN"/>
        </w:rPr>
        <w:t>用</w:t>
      </w:r>
      <w:r>
        <w:rPr>
          <w:rFonts w:hint="eastAsia"/>
        </w:rPr>
        <w:t>密码应用需求</w:t>
      </w:r>
    </w:p>
    <w:p w14:paraId="644C3FBD">
      <w:pPr>
        <w:rPr>
          <w:rFonts w:hint="eastAsia"/>
        </w:rPr>
      </w:pPr>
      <w:r>
        <w:rPr>
          <w:rFonts w:hint="eastAsia"/>
        </w:rPr>
        <w:t>本项目应满足GB/T 39786-2021《信息安全技术 信息系统密码应用基本要求》第三级信息系统要求</w:t>
      </w:r>
      <w:r>
        <w:rPr>
          <w:rFonts w:hint="eastAsia"/>
          <w:lang w:eastAsia="zh-CN"/>
        </w:rPr>
        <w:t>，</w:t>
      </w:r>
      <w:r>
        <w:rPr>
          <w:rFonts w:hint="eastAsia"/>
          <w:lang w:val="en-US" w:eastAsia="zh-CN"/>
        </w:rPr>
        <w:t>合规、正确、有效地使用商用密码对系统进行保护，并通过密码应用安全性评估。</w:t>
      </w:r>
    </w:p>
    <w:p w14:paraId="771A8E60">
      <w:pPr>
        <w:pStyle w:val="3"/>
        <w:bidi w:val="0"/>
        <w:ind w:left="1135" w:leftChars="0" w:hanging="567" w:firstLineChars="0"/>
      </w:pPr>
      <w:bookmarkStart w:id="34" w:name="_Toc63785512"/>
      <w:r>
        <w:rPr>
          <w:rFonts w:hint="eastAsia"/>
        </w:rPr>
        <w:t>技术文件要求</w:t>
      </w:r>
    </w:p>
    <w:p w14:paraId="590E9B1E">
      <w:r>
        <w:rPr>
          <w:rFonts w:hint="eastAsia"/>
        </w:rPr>
        <w:t>投标人提供的书面技术资料应能确保系统正常运行所需的管理、运营及维护有关的全套文件。技术文件应该全面、完整、详细。投标人提供的技术文件至少应包括：</w:t>
      </w:r>
    </w:p>
    <w:p w14:paraId="7F2D3FEA">
      <w:r>
        <w:rPr>
          <w:rFonts w:hint="eastAsia"/>
        </w:rPr>
        <w:t>－</w:t>
      </w:r>
      <w:r>
        <w:t xml:space="preserve"> 系统说明文件； </w:t>
      </w:r>
    </w:p>
    <w:p w14:paraId="61C52E39">
      <w:r>
        <w:rPr>
          <w:rFonts w:hint="eastAsia"/>
        </w:rPr>
        <w:t>－</w:t>
      </w:r>
      <w:r>
        <w:t xml:space="preserve"> 技术手册(安装、测试、操作、维护、故障排除等)； </w:t>
      </w:r>
    </w:p>
    <w:p w14:paraId="2C14E287">
      <w:r>
        <w:rPr>
          <w:rFonts w:hint="eastAsia"/>
        </w:rPr>
        <w:t>－</w:t>
      </w:r>
      <w:r>
        <w:t xml:space="preserve"> 项目文档，应该包括</w:t>
      </w:r>
      <w:r>
        <w:rPr>
          <w:rFonts w:hint="eastAsia"/>
          <w:lang w:val="en-US" w:eastAsia="zh-CN"/>
        </w:rPr>
        <w:t>但不限于</w:t>
      </w:r>
      <w:r>
        <w:t>：</w:t>
      </w:r>
    </w:p>
    <w:p w14:paraId="7C533E85">
      <w:pPr>
        <w:ind w:left="360"/>
        <w:rPr>
          <w:rFonts w:hint="eastAsia" w:cs="Times New Roman"/>
        </w:rPr>
      </w:pPr>
      <w:r>
        <w:rPr>
          <w:rFonts w:hint="eastAsia" w:cs="Times New Roman"/>
        </w:rPr>
        <w:t>(1)需求分析说明书</w:t>
      </w:r>
    </w:p>
    <w:p w14:paraId="4BD6FAD7">
      <w:pPr>
        <w:ind w:left="360"/>
        <w:rPr>
          <w:rFonts w:hint="eastAsia" w:cs="Times New Roman"/>
        </w:rPr>
      </w:pPr>
      <w:r>
        <w:rPr>
          <w:rFonts w:hint="eastAsia" w:cs="Times New Roman"/>
        </w:rPr>
        <w:t>(2)概要设计说明书</w:t>
      </w:r>
    </w:p>
    <w:p w14:paraId="632B4715">
      <w:pPr>
        <w:ind w:left="360"/>
        <w:rPr>
          <w:rFonts w:hint="eastAsia" w:cs="Times New Roman"/>
        </w:rPr>
      </w:pPr>
      <w:r>
        <w:rPr>
          <w:rFonts w:hint="eastAsia" w:cs="Times New Roman"/>
        </w:rPr>
        <w:t>(3)详细设计说明书</w:t>
      </w:r>
    </w:p>
    <w:p w14:paraId="25006145">
      <w:pPr>
        <w:ind w:left="360"/>
        <w:rPr>
          <w:rFonts w:hint="eastAsia" w:cs="Times New Roman"/>
        </w:rPr>
      </w:pPr>
      <w:r>
        <w:rPr>
          <w:rFonts w:hint="eastAsia" w:cs="Times New Roman"/>
        </w:rPr>
        <w:t>(4)数据库结构设计说明书</w:t>
      </w:r>
    </w:p>
    <w:p w14:paraId="01204212">
      <w:pPr>
        <w:ind w:left="360"/>
        <w:rPr>
          <w:rFonts w:hint="default" w:eastAsia="宋体" w:cs="Times New Roman"/>
          <w:lang w:val="en-US" w:eastAsia="zh-CN"/>
        </w:rPr>
      </w:pPr>
      <w:r>
        <w:rPr>
          <w:rFonts w:hint="eastAsia" w:cs="Times New Roman"/>
        </w:rPr>
        <w:t>(5)</w:t>
      </w:r>
      <w:r>
        <w:rPr>
          <w:rFonts w:hint="eastAsia" w:cs="Times New Roman"/>
          <w:lang w:val="en-US" w:eastAsia="zh-CN"/>
        </w:rPr>
        <w:t>总体实施方案</w:t>
      </w:r>
    </w:p>
    <w:p w14:paraId="5090A856">
      <w:pPr>
        <w:ind w:left="360"/>
        <w:rPr>
          <w:rFonts w:hint="eastAsia" w:cs="Times New Roman"/>
        </w:rPr>
      </w:pPr>
      <w:r>
        <w:rPr>
          <w:rFonts w:hint="eastAsia" w:cs="Times New Roman"/>
        </w:rPr>
        <w:t>(6)测试方案、记录、报告</w:t>
      </w:r>
    </w:p>
    <w:p w14:paraId="15AE428E">
      <w:pPr>
        <w:ind w:left="360"/>
        <w:rPr>
          <w:rFonts w:hint="eastAsia" w:cs="Times New Roman"/>
        </w:rPr>
      </w:pPr>
      <w:r>
        <w:rPr>
          <w:rFonts w:hint="eastAsia" w:cs="Times New Roman"/>
        </w:rPr>
        <w:t>(7)试运行方案、记录、报告</w:t>
      </w:r>
    </w:p>
    <w:p w14:paraId="6BA8F71F">
      <w:pPr>
        <w:ind w:left="360"/>
        <w:rPr>
          <w:rFonts w:hint="eastAsia" w:cs="Times New Roman"/>
        </w:rPr>
      </w:pPr>
      <w:r>
        <w:rPr>
          <w:rFonts w:hint="eastAsia" w:cs="Times New Roman"/>
        </w:rPr>
        <w:t>(8)应急预案</w:t>
      </w:r>
    </w:p>
    <w:p w14:paraId="4F12215A">
      <w:pPr>
        <w:ind w:left="360"/>
        <w:rPr>
          <w:rFonts w:hint="eastAsia"/>
        </w:rPr>
      </w:pPr>
      <w:r>
        <w:rPr>
          <w:rFonts w:hint="eastAsia" w:cs="Times New Roman"/>
        </w:rPr>
        <w:t>(</w:t>
      </w:r>
      <w:r>
        <w:rPr>
          <w:rFonts w:hint="eastAsia" w:cs="Times New Roman"/>
          <w:lang w:val="en-US" w:eastAsia="zh-CN"/>
        </w:rPr>
        <w:t>9</w:t>
      </w:r>
      <w:r>
        <w:rPr>
          <w:rFonts w:hint="eastAsia" w:cs="Times New Roman"/>
        </w:rPr>
        <w:t>)</w:t>
      </w:r>
      <w:r>
        <w:rPr>
          <w:rFonts w:hint="eastAsia" w:cs="Times New Roman"/>
          <w:lang w:val="en-US" w:eastAsia="zh-CN"/>
        </w:rPr>
        <w:t>系统上线保障方案</w:t>
      </w:r>
    </w:p>
    <w:p w14:paraId="607EFB45">
      <w:pPr>
        <w:ind w:left="360"/>
        <w:rPr>
          <w:rFonts w:hint="eastAsia" w:cs="Times New Roman"/>
        </w:rPr>
      </w:pPr>
      <w:r>
        <w:rPr>
          <w:rFonts w:hint="eastAsia" w:cs="Times New Roman"/>
        </w:rPr>
        <w:t>(</w:t>
      </w:r>
      <w:r>
        <w:rPr>
          <w:rFonts w:hint="eastAsia" w:cs="Times New Roman"/>
          <w:lang w:val="en-US" w:eastAsia="zh-CN"/>
        </w:rPr>
        <w:t>10</w:t>
      </w:r>
      <w:r>
        <w:rPr>
          <w:rFonts w:hint="eastAsia" w:cs="Times New Roman"/>
        </w:rPr>
        <w:t>)软件开发源代码</w:t>
      </w:r>
    </w:p>
    <w:p w14:paraId="79D7B32F">
      <w:r>
        <w:rPr>
          <w:rFonts w:hint="eastAsia"/>
        </w:rPr>
        <w:t>根据招标人项目验收要求，提供项目验收册纸质5 套以上，项目全过程材料1 套以及电子文件2 套，源代码光盘等。</w:t>
      </w:r>
    </w:p>
    <w:p w14:paraId="15EC0F1C">
      <w:pPr>
        <w:pStyle w:val="2"/>
        <w:bidi w:val="0"/>
        <w:ind w:left="425" w:leftChars="0" w:hanging="425" w:firstLineChars="0"/>
      </w:pPr>
      <w:r>
        <w:rPr>
          <w:rFonts w:hint="eastAsia"/>
        </w:rPr>
        <w:t>供应商管理要求</w:t>
      </w:r>
      <w:bookmarkEnd w:id="34"/>
    </w:p>
    <w:p w14:paraId="1F25A987">
      <w:pPr>
        <w:pStyle w:val="82"/>
        <w:ind w:firstLine="480"/>
        <w:rPr>
          <w:rFonts w:hint="eastAsia"/>
          <w:sz w:val="24"/>
          <w:szCs w:val="24"/>
        </w:rPr>
      </w:pPr>
      <w:bookmarkStart w:id="35" w:name="_Toc63785513"/>
      <w:r>
        <w:rPr>
          <w:rFonts w:hint="eastAsia"/>
          <w:sz w:val="24"/>
          <w:szCs w:val="24"/>
          <w:lang w:val="en-US" w:eastAsia="zh-CN"/>
        </w:rPr>
        <w:t>1、</w:t>
      </w:r>
      <w:r>
        <w:rPr>
          <w:rFonts w:hint="eastAsia"/>
          <w:sz w:val="24"/>
          <w:szCs w:val="24"/>
        </w:rPr>
        <w:t>在项目实施期间，中标人应严格执行国家、地方、行业有关本项目业务管理和安全作业的法律、法规和制度并按规定承担相应的费用。中标人因违反规定等原因造成的一切损失和责任由中标人自行承担。</w:t>
      </w:r>
    </w:p>
    <w:p w14:paraId="5665E443">
      <w:pPr>
        <w:pStyle w:val="82"/>
        <w:ind w:firstLine="480"/>
        <w:rPr>
          <w:rFonts w:hint="eastAsia"/>
          <w:sz w:val="24"/>
          <w:szCs w:val="24"/>
        </w:rPr>
      </w:pPr>
      <w:r>
        <w:rPr>
          <w:rFonts w:hint="eastAsia"/>
          <w:sz w:val="24"/>
          <w:szCs w:val="24"/>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1E765E03">
      <w:pPr>
        <w:pStyle w:val="82"/>
        <w:ind w:firstLine="480"/>
        <w:rPr>
          <w:rFonts w:hint="eastAsia"/>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14:paraId="2F63A186">
      <w:pPr>
        <w:pStyle w:val="82"/>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321BC7D5">
      <w:pPr>
        <w:pStyle w:val="82"/>
        <w:ind w:firstLine="480"/>
        <w:rPr>
          <w:rFonts w:hint="eastAsia"/>
          <w:sz w:val="24"/>
          <w:szCs w:val="24"/>
        </w:rPr>
      </w:pPr>
      <w:r>
        <w:rPr>
          <w:rFonts w:hint="eastAsia"/>
          <w:sz w:val="24"/>
          <w:szCs w:val="24"/>
        </w:rPr>
        <w:t>5、中标人在项目实施期间必须遵守采购人的规章制度并提供实施人员名单。</w:t>
      </w:r>
    </w:p>
    <w:p w14:paraId="7E638782">
      <w:pPr>
        <w:pStyle w:val="82"/>
        <w:ind w:firstLine="480"/>
        <w:rPr>
          <w:rFonts w:hint="eastAsia"/>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4FC364AE">
      <w:pPr>
        <w:pStyle w:val="82"/>
        <w:ind w:firstLine="480"/>
        <w:rPr>
          <w:rFonts w:hint="eastAsia"/>
        </w:rPr>
      </w:pPr>
      <w:r>
        <w:rPr>
          <w:rFonts w:hint="eastAsia"/>
          <w:sz w:val="24"/>
          <w:szCs w:val="24"/>
        </w:rPr>
        <w:t>7、本项目软件开发及调试将纳入采购人的管理范围，中标人在此过程中须服从上述单位的管理协调。</w:t>
      </w:r>
    </w:p>
    <w:p w14:paraId="11EEAC67">
      <w:pPr>
        <w:pStyle w:val="2"/>
        <w:bidi w:val="0"/>
        <w:ind w:left="425" w:leftChars="0" w:hanging="425" w:firstLineChars="0"/>
        <w:rPr>
          <w:highlight w:val="none"/>
        </w:rPr>
      </w:pPr>
      <w:r>
        <w:rPr>
          <w:rFonts w:hint="eastAsia"/>
          <w:highlight w:val="none"/>
        </w:rPr>
        <w:t>关于转让和分包的规定</w:t>
      </w:r>
    </w:p>
    <w:p w14:paraId="0E18EB24">
      <w:pPr>
        <w:rPr>
          <w:rFonts w:hint="eastAsia" w:cs="仿宋"/>
          <w:highlight w:val="none"/>
          <w:lang w:val="en-US" w:eastAsia="zh-CN"/>
        </w:rPr>
      </w:pPr>
      <w:r>
        <w:rPr>
          <w:rFonts w:hint="eastAsia" w:cs="仿宋"/>
          <w:highlight w:val="none"/>
          <w:lang w:val="en-US" w:eastAsia="zh-CN"/>
        </w:rPr>
        <w:t>项目不得转让，项目主体部分不可分包。</w:t>
      </w:r>
    </w:p>
    <w:p w14:paraId="50D00BC5">
      <w:pPr>
        <w:rPr>
          <w:rFonts w:hint="default" w:cs="仿宋"/>
          <w:highlight w:val="none"/>
          <w:lang w:val="en-US" w:eastAsia="zh-CN"/>
        </w:rPr>
      </w:pPr>
      <w:r>
        <w:rPr>
          <w:rFonts w:hint="eastAsia" w:cs="仿宋"/>
          <w:highlight w:val="none"/>
          <w:lang w:val="en-US" w:eastAsia="zh-CN"/>
        </w:rPr>
        <w:t>本</w:t>
      </w:r>
      <w:r>
        <w:rPr>
          <w:rFonts w:hint="eastAsia" w:cs="仿宋"/>
          <w:color w:val="auto"/>
          <w:highlight w:val="none"/>
          <w:lang w:val="en-US" w:eastAsia="zh-CN"/>
        </w:rPr>
        <w:t>项目非主体部分【畜牧业管理子系统】、【申农服统一门户】部分可以分包，可分包金额分别为1,400,000.00元和425,000.00元。可分包功能清单如下：</w:t>
      </w:r>
    </w:p>
    <w:tbl>
      <w:tblPr>
        <w:tblStyle w:val="36"/>
        <w:tblW w:w="85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4"/>
        <w:gridCol w:w="1919"/>
        <w:gridCol w:w="5962"/>
      </w:tblGrid>
      <w:tr w14:paraId="7A133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644" w:type="dxa"/>
            <w:tcBorders>
              <w:top w:val="single" w:color="000000" w:sz="4" w:space="0"/>
              <w:left w:val="single" w:color="000000" w:sz="4" w:space="0"/>
              <w:bottom w:val="single" w:color="000000" w:sz="4" w:space="0"/>
              <w:right w:val="single" w:color="000000" w:sz="4" w:space="0"/>
            </w:tcBorders>
            <w:shd w:val="clear" w:color="auto" w:fill="DBEEF3"/>
            <w:vAlign w:val="center"/>
          </w:tcPr>
          <w:p w14:paraId="7A54340D">
            <w:pPr>
              <w:keepNext/>
              <w:keepLines w:val="0"/>
              <w:widowControl/>
              <w:suppressLineNumbers w:val="0"/>
              <w:snapToGrid w:val="0"/>
              <w:spacing w:line="240" w:lineRule="auto"/>
              <w:ind w:left="0" w:leftChars="0" w:right="0" w:rightChars="0" w:firstLine="0" w:firstLineChars="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919" w:type="dxa"/>
            <w:tcBorders>
              <w:top w:val="single" w:color="000000" w:sz="4" w:space="0"/>
              <w:left w:val="single" w:color="000000" w:sz="4" w:space="0"/>
              <w:bottom w:val="single" w:color="000000" w:sz="4" w:space="0"/>
              <w:right w:val="single" w:color="000000" w:sz="4" w:space="0"/>
            </w:tcBorders>
            <w:shd w:val="clear" w:color="auto" w:fill="DBEEF3"/>
            <w:vAlign w:val="center"/>
          </w:tcPr>
          <w:p w14:paraId="1F373FE5">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模块名称</w:t>
            </w:r>
          </w:p>
        </w:tc>
        <w:tc>
          <w:tcPr>
            <w:tcW w:w="5962" w:type="dxa"/>
            <w:tcBorders>
              <w:top w:val="single" w:color="000000" w:sz="4" w:space="0"/>
              <w:left w:val="single" w:color="000000" w:sz="4" w:space="0"/>
              <w:bottom w:val="single" w:color="000000" w:sz="4" w:space="0"/>
              <w:right w:val="single" w:color="000000" w:sz="4" w:space="0"/>
            </w:tcBorders>
            <w:shd w:val="clear" w:color="auto" w:fill="DBEEF3"/>
            <w:vAlign w:val="center"/>
          </w:tcPr>
          <w:p w14:paraId="676C6742">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功能名称</w:t>
            </w:r>
          </w:p>
        </w:tc>
      </w:tr>
      <w:tr w14:paraId="482AA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3D8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9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2F71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畜牧业管理子系统</w:t>
            </w: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6A97">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养殖管理-养殖场管理</w:t>
            </w:r>
          </w:p>
        </w:tc>
      </w:tr>
      <w:tr w14:paraId="444DF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0E29">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7810">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BDCE">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养殖管理-存栏管理</w:t>
            </w:r>
          </w:p>
        </w:tc>
      </w:tr>
      <w:tr w14:paraId="09BFF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F8C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10989">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2C20">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养殖管理-防疫业务-佩标管理</w:t>
            </w:r>
          </w:p>
        </w:tc>
      </w:tr>
      <w:tr w14:paraId="76241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BB662">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6409C">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AB0E">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养殖管理-防疫业务-免疫管理</w:t>
            </w:r>
          </w:p>
        </w:tc>
      </w:tr>
      <w:tr w14:paraId="347FE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1FD0">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D186E">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168F">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养殖管理-无害化处理管理</w:t>
            </w:r>
          </w:p>
        </w:tc>
      </w:tr>
      <w:tr w14:paraId="15B7B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DF5E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0B1ED">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37FA">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养殖管理-报检出栏</w:t>
            </w:r>
          </w:p>
        </w:tc>
      </w:tr>
      <w:tr w14:paraId="362FD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7E323">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D7C2">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8060">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养殖管理-生产分析</w:t>
            </w:r>
          </w:p>
        </w:tc>
      </w:tr>
      <w:tr w14:paraId="1EC4A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99C3">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E044">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90C6">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动物防疫-防疫监测管理</w:t>
            </w:r>
          </w:p>
        </w:tc>
      </w:tr>
      <w:tr w14:paraId="20B0B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59990">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D93E">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2E73">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动物防疫-标识标签管理</w:t>
            </w:r>
          </w:p>
        </w:tc>
      </w:tr>
      <w:tr w14:paraId="42229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ED34">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44CA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84B9">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先打后补-疫苗出入库</w:t>
            </w:r>
          </w:p>
        </w:tc>
      </w:tr>
      <w:tr w14:paraId="37BAD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BC232">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8B63">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8843">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先打后补-先打后补备案</w:t>
            </w:r>
          </w:p>
        </w:tc>
      </w:tr>
      <w:tr w14:paraId="050F8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6B6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9321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601E">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先打后补-补助申请</w:t>
            </w:r>
          </w:p>
        </w:tc>
      </w:tr>
      <w:tr w14:paraId="5D8DE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B16A9">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98DB">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E68F">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先打后补-备案审核</w:t>
            </w:r>
          </w:p>
        </w:tc>
      </w:tr>
      <w:tr w14:paraId="3A5C1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C71D5">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0258">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594B">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先打后补-补助审核</w:t>
            </w:r>
          </w:p>
        </w:tc>
      </w:tr>
      <w:tr w14:paraId="4DAC3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84BD">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BA5AC">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4811">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先打后补-统计分析</w:t>
            </w:r>
          </w:p>
        </w:tc>
      </w:tr>
      <w:tr w14:paraId="5BFC2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BCD0">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4EC69">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C1CC">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动物检疫-产地检疫-检疫申报</w:t>
            </w:r>
          </w:p>
        </w:tc>
      </w:tr>
      <w:tr w14:paraId="53D7B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AB7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CBF6C">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EDDB">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动物检疫-产地检疫-申报受理</w:t>
            </w:r>
          </w:p>
        </w:tc>
      </w:tr>
      <w:tr w14:paraId="50895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EDC7">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DB01">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BA7D">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动物检疫-产地检疫-检疫过程管理</w:t>
            </w:r>
          </w:p>
        </w:tc>
      </w:tr>
      <w:tr w14:paraId="193AA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A8CD8">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D2E4">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C446">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动物检疫-产地检疫-动物/产品AB证开证</w:t>
            </w:r>
          </w:p>
        </w:tc>
      </w:tr>
      <w:tr w14:paraId="19F70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2E61">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5337">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147E">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动物检疫-产地检疫-产品接收</w:t>
            </w:r>
          </w:p>
        </w:tc>
      </w:tr>
      <w:tr w14:paraId="3248F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FE78D">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892B">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A538">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动物检疫-屠宰检疫-宰前检查</w:t>
            </w:r>
          </w:p>
        </w:tc>
      </w:tr>
      <w:tr w14:paraId="5C9B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1787C">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0A019">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2508A">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动物检疫-屠宰检疫-屠宰检疫申报</w:t>
            </w:r>
          </w:p>
        </w:tc>
      </w:tr>
      <w:tr w14:paraId="0B7D2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51F6">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66D0">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AAB1">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动物检疫-屠宰检疫-屠宰过程检查</w:t>
            </w:r>
          </w:p>
        </w:tc>
      </w:tr>
      <w:tr w14:paraId="1333F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E76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3EE7">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36FD">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动物检疫-屠宰检疫-申报评审</w:t>
            </w:r>
          </w:p>
        </w:tc>
      </w:tr>
      <w:tr w14:paraId="3B034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4A68D">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FE88">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4D1A">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动物检疫-屠宰检疫-证章打印及记录</w:t>
            </w:r>
          </w:p>
        </w:tc>
      </w:tr>
      <w:tr w14:paraId="392E7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53EB">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1E0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7A35">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动物检疫-无纸化出证-检疫工作记录</w:t>
            </w:r>
          </w:p>
        </w:tc>
      </w:tr>
      <w:tr w14:paraId="520FC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55A3">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9DC07">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0160">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动物检疫-无纸化出证-动物/产品证开证</w:t>
            </w:r>
          </w:p>
        </w:tc>
      </w:tr>
      <w:tr w14:paraId="2B4D8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49FD2">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FF9D2">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214A">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动物检疫-无纸化出证-检疫信息溯源</w:t>
            </w:r>
          </w:p>
        </w:tc>
      </w:tr>
      <w:tr w14:paraId="6D994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BDE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D857B">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2DFE">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动物检疫-无纸化出证-检疫预警与核查</w:t>
            </w:r>
          </w:p>
        </w:tc>
      </w:tr>
      <w:tr w14:paraId="78B20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088FE">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4C6D2">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5EBC">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屠宰管理</w:t>
            </w:r>
          </w:p>
        </w:tc>
      </w:tr>
      <w:tr w14:paraId="1B715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E78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9076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B7F5">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道口管理-道口登记</w:t>
            </w:r>
          </w:p>
        </w:tc>
      </w:tr>
      <w:tr w14:paraId="7CA79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52FC1">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32</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B1EB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363EA">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道口管理-供沪备案企业及布控信息管理</w:t>
            </w:r>
          </w:p>
        </w:tc>
      </w:tr>
      <w:tr w14:paraId="4144B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798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91EF8">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1314">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综合事务管理-承诺达标合格证管理-合格证开具打印</w:t>
            </w:r>
          </w:p>
        </w:tc>
      </w:tr>
      <w:tr w14:paraId="02931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CFD7">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3D02D">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CFD7">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综合事务管理-承诺达标合格证管理-承诺达标合格证状态管理</w:t>
            </w:r>
          </w:p>
        </w:tc>
      </w:tr>
      <w:tr w14:paraId="1AD34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B0A72">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3337A">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1512">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综合事务管理-肉品鲜度赋码管理-鲜度码打印</w:t>
            </w:r>
          </w:p>
        </w:tc>
      </w:tr>
      <w:tr w14:paraId="6E257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BB6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FBA60">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CD56">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综合事务管理-肉品鲜度赋码管理-赋值开具</w:t>
            </w:r>
          </w:p>
        </w:tc>
      </w:tr>
      <w:tr w14:paraId="3F7DA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8AE67">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9855">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6B46">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兽药投入品管理-兽药管理-兽药采购</w:t>
            </w:r>
          </w:p>
        </w:tc>
      </w:tr>
      <w:tr w14:paraId="5575D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AFD4">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BBA8">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0184">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兽药投入品管理-兽药管理-兽药使用</w:t>
            </w:r>
          </w:p>
        </w:tc>
      </w:tr>
      <w:tr w14:paraId="390C2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D7A2E">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41A51">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0B58F">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兽药投入品管理-饲料管理-饲料采购</w:t>
            </w:r>
          </w:p>
        </w:tc>
      </w:tr>
      <w:tr w14:paraId="44A0E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096E">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705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EABB">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兽药投入品管理-饲料管理-饲料使用</w:t>
            </w:r>
          </w:p>
        </w:tc>
      </w:tr>
      <w:tr w14:paraId="5BC11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F461">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41</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A006">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56A3">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兽药投入品管理-饲料管理-饲料添加剂管理</w:t>
            </w:r>
          </w:p>
        </w:tc>
      </w:tr>
      <w:tr w14:paraId="6EE27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1E02">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91AC">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37B6">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兽药投入品管理-饲料管理-自配料信息管理</w:t>
            </w:r>
          </w:p>
        </w:tc>
      </w:tr>
      <w:tr w14:paraId="28519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E22E">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D611">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CF4E">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兽药投入品管理-兽药经营门店管理-兽药经营门店信息管理</w:t>
            </w:r>
          </w:p>
        </w:tc>
      </w:tr>
      <w:tr w14:paraId="3136A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E37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675D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BFC0">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兽药投入品管理-兽药经营门店管理-兽药出、入库管理</w:t>
            </w:r>
          </w:p>
        </w:tc>
      </w:tr>
      <w:tr w14:paraId="457CB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09E9">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283BC">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7D1B">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兽药投入品管理-兽药经营门店管理-兽药报废和退货管理</w:t>
            </w:r>
          </w:p>
        </w:tc>
      </w:tr>
      <w:tr w14:paraId="4DE69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DA05">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A29B6">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F7CC">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兽药投入品管理-兽药经营门店管理-库存管理</w:t>
            </w:r>
          </w:p>
        </w:tc>
      </w:tr>
      <w:tr w14:paraId="3486E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8EFE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47</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20CB">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A389">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兽药投入品管理-管理员管理-企业出入库管理</w:t>
            </w:r>
          </w:p>
        </w:tc>
      </w:tr>
      <w:tr w14:paraId="72CBD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D1AB">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6748">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1931">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兽药投入品管理-管理员管理-兽药溯源</w:t>
            </w:r>
          </w:p>
        </w:tc>
      </w:tr>
      <w:tr w14:paraId="07A21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15759">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0D3C">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CBC9">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业务关键指标分析-部级指标统计分析</w:t>
            </w:r>
          </w:p>
        </w:tc>
      </w:tr>
      <w:tr w14:paraId="746B6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64C06">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DFFB">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0AE4">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业务关键指标分析-耳标发放分析</w:t>
            </w:r>
          </w:p>
        </w:tc>
      </w:tr>
      <w:tr w14:paraId="3FB3F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C2F5">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51</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1F7E">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4AEF">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业务关键指标分析-检疫指标分析</w:t>
            </w:r>
          </w:p>
        </w:tc>
      </w:tr>
      <w:tr w14:paraId="0125A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6B4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0E34E">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03BC">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业务关键指标分析-畜禽情况跟踪分析</w:t>
            </w:r>
          </w:p>
        </w:tc>
      </w:tr>
      <w:tr w14:paraId="191DE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CFC8C">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53</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ADD97">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E8E2">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业务关键指标分析-检疫预警与核查</w:t>
            </w:r>
          </w:p>
        </w:tc>
      </w:tr>
      <w:tr w14:paraId="5C837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52544">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27E6">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1541">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系统对接-农业部兽医卫生综合平台对接</w:t>
            </w:r>
          </w:p>
        </w:tc>
      </w:tr>
      <w:tr w14:paraId="5E9B5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8A1D">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6F6BC">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EA7E">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系统对接-车牌识别系统对接</w:t>
            </w:r>
          </w:p>
        </w:tc>
      </w:tr>
      <w:tr w14:paraId="630B0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CB5D">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5285">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04D7">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系统对接-对接上海市“一网通办”统一受理平台</w:t>
            </w:r>
          </w:p>
        </w:tc>
      </w:tr>
      <w:tr w14:paraId="1877B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532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w:t>
            </w:r>
          </w:p>
        </w:tc>
        <w:tc>
          <w:tcPr>
            <w:tcW w:w="19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F85C">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w:t>
            </w: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A4D4">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申农服统一门户-应用中心-统一身份对接</w:t>
            </w:r>
          </w:p>
        </w:tc>
      </w:tr>
      <w:tr w14:paraId="4DD11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0039">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EE5BE">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8CFA">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申农服统一门户-应用中心-自定义和应用使用情况统计</w:t>
            </w:r>
          </w:p>
        </w:tc>
      </w:tr>
      <w:tr w14:paraId="2E9EF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34D82">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59</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8379E">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D400">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申农服统一门户-组件化配置能力-应用组件化</w:t>
            </w:r>
          </w:p>
        </w:tc>
      </w:tr>
      <w:tr w14:paraId="0959E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2F2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338C8">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5B2E">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申农服统一门户-组件化配置能力-风格化配置</w:t>
            </w:r>
          </w:p>
        </w:tc>
      </w:tr>
      <w:tr w14:paraId="7F6F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8CBF">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61</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D6F3">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6288">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申农服统一门户-组件化配置能力-PC门户和移动门户的配置</w:t>
            </w:r>
          </w:p>
        </w:tc>
      </w:tr>
      <w:tr w14:paraId="3698C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7FAC">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62</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7B1D">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914C">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申农服统一门户-组件化配置能力-数据源配置</w:t>
            </w:r>
          </w:p>
        </w:tc>
      </w:tr>
      <w:tr w14:paraId="0390C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ADE0">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63</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EC1BD">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718A">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申农服统一门户-组件化配置能力-组件开发工具</w:t>
            </w:r>
          </w:p>
        </w:tc>
      </w:tr>
      <w:tr w14:paraId="51A1A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D854">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64</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FD3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A858">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申农服统一门户-统一用户管理-组织机构管理</w:t>
            </w:r>
          </w:p>
        </w:tc>
      </w:tr>
      <w:tr w14:paraId="63759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571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F62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91D5">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申农服统一门户-统一用户管理-用户管理</w:t>
            </w:r>
          </w:p>
        </w:tc>
      </w:tr>
      <w:tr w14:paraId="0E112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73F04">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66</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9682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9274">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申农服统一门户-统一用户管理-角色功能设置</w:t>
            </w:r>
          </w:p>
        </w:tc>
      </w:tr>
      <w:tr w14:paraId="20BA0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FAAB">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67</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85A91">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74CC">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申农服统一门户-统一用户管理-角色菜单设置</w:t>
            </w:r>
          </w:p>
        </w:tc>
      </w:tr>
      <w:tr w14:paraId="79D92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A0D4">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68</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3920B">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ACC7">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申农服统一门户-统一用户管理-策略管理</w:t>
            </w:r>
          </w:p>
        </w:tc>
      </w:tr>
      <w:tr w14:paraId="52A18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4CF3">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69</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FB92D">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3510">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申农服统一门户-统一身份认证（包括统一登录）</w:t>
            </w:r>
          </w:p>
        </w:tc>
      </w:tr>
      <w:tr w14:paraId="10F72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3350">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70</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DB1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A262">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申农服统一门户-统一消息队列</w:t>
            </w:r>
          </w:p>
        </w:tc>
      </w:tr>
      <w:tr w14:paraId="3B531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979A">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71</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74B0E">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4E97">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申农服统一门户-统一工作流引擎-表单设计</w:t>
            </w:r>
          </w:p>
        </w:tc>
      </w:tr>
      <w:tr w14:paraId="79C79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0497">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4F69C">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F8E6">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申农服统一门户-统一工作流引擎-流程设计</w:t>
            </w:r>
          </w:p>
        </w:tc>
      </w:tr>
      <w:tr w14:paraId="2875F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95DFB">
            <w:pPr>
              <w:keepNext/>
              <w:keepLines w:val="0"/>
              <w:widowControl/>
              <w:suppressLineNumbers w:val="0"/>
              <w:snapToGrid w:val="0"/>
              <w:spacing w:line="240" w:lineRule="auto"/>
              <w:ind w:left="0" w:leftChars="0" w:right="0" w:rightChars="0" w:firstLine="0" w:firstLine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73</w:t>
            </w:r>
          </w:p>
        </w:tc>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DABF">
            <w:pPr>
              <w:keepNext/>
              <w:snapToGrid w:val="0"/>
              <w:ind w:left="0" w:leftChars="0" w:right="0" w:rightChars="0" w:firstLine="0" w:firstLineChars="0"/>
              <w:jc w:val="center"/>
              <w:rPr>
                <w:rFonts w:hint="eastAsia" w:ascii="仿宋" w:hAnsi="仿宋" w:eastAsia="仿宋" w:cs="仿宋"/>
                <w:i w:val="0"/>
                <w:iCs w:val="0"/>
                <w:color w:val="000000"/>
                <w:sz w:val="21"/>
                <w:szCs w:val="21"/>
                <w:u w:val="none"/>
              </w:rPr>
            </w:pPr>
          </w:p>
        </w:tc>
        <w:tc>
          <w:tcPr>
            <w:tcW w:w="5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F0B1">
            <w:pPr>
              <w:keepNext/>
              <w:keepLines w:val="0"/>
              <w:widowControl/>
              <w:suppressLineNumbers w:val="0"/>
              <w:snapToGrid w:val="0"/>
              <w:spacing w:line="240" w:lineRule="auto"/>
              <w:ind w:left="0" w:leftChars="0" w:right="0" w:rightChars="0" w:firstLine="0" w:firstLineChars="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申农服统一门户-统一工作流引擎-内置业务规则引擎</w:t>
            </w:r>
          </w:p>
        </w:tc>
      </w:tr>
    </w:tbl>
    <w:p w14:paraId="3B8A922B">
      <w:pPr>
        <w:pStyle w:val="16"/>
        <w:rPr>
          <w:rFonts w:hint="default" w:cs="仿宋"/>
          <w:highlight w:val="none"/>
          <w:lang w:val="en-US" w:eastAsia="zh-CN"/>
        </w:rPr>
      </w:pPr>
    </w:p>
    <w:bookmarkEnd w:id="35"/>
    <w:p w14:paraId="7B0B6052">
      <w:pPr>
        <w:pStyle w:val="2"/>
        <w:bidi w:val="0"/>
        <w:ind w:left="425" w:leftChars="0" w:hanging="425" w:firstLineChars="0"/>
      </w:pPr>
      <w:bookmarkStart w:id="36" w:name="_Toc68798863"/>
      <w:r>
        <w:rPr>
          <w:rFonts w:hint="eastAsia"/>
        </w:rPr>
        <w:t>附录</w:t>
      </w:r>
      <w:bookmarkEnd w:id="36"/>
    </w:p>
    <w:p w14:paraId="581D38AC">
      <w:pPr>
        <w:ind w:firstLine="482"/>
        <w:rPr>
          <w:b/>
        </w:rPr>
      </w:pPr>
      <w:r>
        <w:rPr>
          <w:rFonts w:hint="eastAsia"/>
          <w:b/>
        </w:rPr>
        <w:t>若项目建设过程中需符合相关技术标准或规范文件的要求，请将相关文件作为附件列出。</w:t>
      </w:r>
    </w:p>
    <w:p w14:paraId="46CF1D40">
      <w:pPr>
        <w:ind w:firstLine="482"/>
      </w:pPr>
      <w:r>
        <w:rPr>
          <w:rFonts w:hint="eastAsia"/>
          <w:b/>
        </w:rPr>
        <w:t>参考如下：</w:t>
      </w:r>
    </w:p>
    <w:p w14:paraId="4241D233">
      <w:pPr>
        <w:ind w:firstLine="0" w:firstLineChars="0"/>
      </w:pPr>
      <w:r>
        <w:rPr>
          <w:rFonts w:hint="eastAsia"/>
        </w:rPr>
        <w:t>1、</w:t>
      </w:r>
      <w:r>
        <w:t>《政务网络安全监测平台总体技术要求》</w:t>
      </w:r>
    </w:p>
    <w:p w14:paraId="7DC398CC">
      <w:pPr>
        <w:ind w:firstLine="0" w:firstLineChars="0"/>
      </w:pPr>
      <w:r>
        <w:object>
          <v:shape id="_x0000_i1025" o:spt="75" type="#_x0000_t75" style="height:55pt;width:76.5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3E2E279F">
      <w:pPr>
        <w:ind w:firstLine="0" w:firstLineChars="0"/>
      </w:pPr>
    </w:p>
    <w:p w14:paraId="64CB0B75">
      <w:pPr>
        <w:ind w:firstLine="0" w:firstLineChars="0"/>
        <w:jc w:val="left"/>
      </w:pPr>
      <w:r>
        <w:rPr>
          <w:rFonts w:hint="eastAsia"/>
        </w:rPr>
        <w:t>2、《上海市电子政务外网建设和运行管理指南（试行）》</w:t>
      </w:r>
    </w:p>
    <w:p w14:paraId="698B7C44">
      <w:pPr>
        <w:ind w:firstLine="0" w:firstLineChars="0"/>
        <w:jc w:val="left"/>
      </w:pPr>
      <w:r>
        <w:object>
          <v:shape id="_x0000_i1026" o:spt="75" type="#_x0000_t75" style="height:55pt;width:76.5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0A8AF6D2">
      <w:pPr>
        <w:ind w:firstLine="0" w:firstLineChars="0"/>
        <w:jc w:val="left"/>
        <w:rPr>
          <w:b/>
          <w:bCs/>
        </w:rPr>
      </w:pP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0"/>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3B25D">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14:paraId="703636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BFAF4"/>
  <w:p w14:paraId="00EEBB6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155D">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4C860">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1AD635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F930B">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8F354"/>
  <w:p w14:paraId="5034F3F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8E649">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C6D4119D"/>
    <w:multiLevelType w:val="singleLevel"/>
    <w:tmpl w:val="C6D4119D"/>
    <w:lvl w:ilvl="0" w:tentative="0">
      <w:start w:val="1"/>
      <w:numFmt w:val="decimal"/>
      <w:suff w:val="nothing"/>
      <w:lvlText w:val="%1）"/>
      <w:lvlJc w:val="left"/>
    </w:lvl>
  </w:abstractNum>
  <w:abstractNum w:abstractNumId="2">
    <w:nsid w:val="E0980969"/>
    <w:multiLevelType w:val="singleLevel"/>
    <w:tmpl w:val="E0980969"/>
    <w:lvl w:ilvl="0" w:tentative="0">
      <w:start w:val="1"/>
      <w:numFmt w:val="decimal"/>
      <w:suff w:val="nothing"/>
      <w:lvlText w:val="%1）"/>
      <w:lvlJc w:val="left"/>
    </w:lvl>
  </w:abstractNum>
  <w:abstractNum w:abstractNumId="3">
    <w:nsid w:val="1B164778"/>
    <w:multiLevelType w:val="multilevel"/>
    <w:tmpl w:val="1B164778"/>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1D642BBB"/>
    <w:multiLevelType w:val="multilevel"/>
    <w:tmpl w:val="1D642BBB"/>
    <w:lvl w:ilvl="0" w:tentative="0">
      <w:start w:val="1"/>
      <w:numFmt w:val="bullet"/>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1294"/>
        </w:tabs>
        <w:ind w:left="1294" w:hanging="420"/>
      </w:pPr>
      <w:rPr>
        <w:rFonts w:hint="default" w:ascii="Wingdings" w:hAnsi="Wingdings"/>
      </w:rPr>
    </w:lvl>
    <w:lvl w:ilvl="2" w:tentative="0">
      <w:start w:val="1"/>
      <w:numFmt w:val="bullet"/>
      <w:lvlText w:val=""/>
      <w:lvlJc w:val="left"/>
      <w:pPr>
        <w:tabs>
          <w:tab w:val="left" w:pos="1714"/>
        </w:tabs>
        <w:ind w:left="1714" w:hanging="420"/>
      </w:pPr>
      <w:rPr>
        <w:rFonts w:hint="default" w:ascii="Wingdings" w:hAnsi="Wingdings"/>
      </w:rPr>
    </w:lvl>
    <w:lvl w:ilvl="3" w:tentative="0">
      <w:start w:val="1"/>
      <w:numFmt w:val="bullet"/>
      <w:lvlText w:val=""/>
      <w:lvlJc w:val="left"/>
      <w:pPr>
        <w:tabs>
          <w:tab w:val="left" w:pos="2134"/>
        </w:tabs>
        <w:ind w:left="2134" w:hanging="420"/>
      </w:pPr>
      <w:rPr>
        <w:rFonts w:hint="default" w:ascii="Wingdings" w:hAnsi="Wingdings"/>
      </w:rPr>
    </w:lvl>
    <w:lvl w:ilvl="4" w:tentative="0">
      <w:start w:val="1"/>
      <w:numFmt w:val="bullet"/>
      <w:lvlText w:val=""/>
      <w:lvlJc w:val="left"/>
      <w:pPr>
        <w:tabs>
          <w:tab w:val="left" w:pos="2554"/>
        </w:tabs>
        <w:ind w:left="2554" w:hanging="420"/>
      </w:pPr>
      <w:rPr>
        <w:rFonts w:hint="default" w:ascii="Wingdings" w:hAnsi="Wingdings"/>
      </w:rPr>
    </w:lvl>
    <w:lvl w:ilvl="5" w:tentative="0">
      <w:start w:val="1"/>
      <w:numFmt w:val="bullet"/>
      <w:lvlText w:val=""/>
      <w:lvlJc w:val="left"/>
      <w:pPr>
        <w:tabs>
          <w:tab w:val="left" w:pos="2974"/>
        </w:tabs>
        <w:ind w:left="2974" w:hanging="420"/>
      </w:pPr>
      <w:rPr>
        <w:rFonts w:hint="default" w:ascii="Wingdings" w:hAnsi="Wingdings"/>
      </w:rPr>
    </w:lvl>
    <w:lvl w:ilvl="6" w:tentative="0">
      <w:start w:val="1"/>
      <w:numFmt w:val="bullet"/>
      <w:lvlText w:val=""/>
      <w:lvlJc w:val="left"/>
      <w:pPr>
        <w:tabs>
          <w:tab w:val="left" w:pos="3394"/>
        </w:tabs>
        <w:ind w:left="3394" w:hanging="420"/>
      </w:pPr>
      <w:rPr>
        <w:rFonts w:hint="default" w:ascii="Wingdings" w:hAnsi="Wingdings"/>
      </w:rPr>
    </w:lvl>
    <w:lvl w:ilvl="7" w:tentative="0">
      <w:start w:val="1"/>
      <w:numFmt w:val="bullet"/>
      <w:lvlText w:val=""/>
      <w:lvlJc w:val="left"/>
      <w:pPr>
        <w:tabs>
          <w:tab w:val="left" w:pos="3814"/>
        </w:tabs>
        <w:ind w:left="3814" w:hanging="420"/>
      </w:pPr>
      <w:rPr>
        <w:rFonts w:hint="default" w:ascii="Wingdings" w:hAnsi="Wingdings"/>
      </w:rPr>
    </w:lvl>
    <w:lvl w:ilvl="8" w:tentative="0">
      <w:start w:val="1"/>
      <w:numFmt w:val="bullet"/>
      <w:lvlText w:val=""/>
      <w:lvlJc w:val="left"/>
      <w:pPr>
        <w:tabs>
          <w:tab w:val="left" w:pos="4234"/>
        </w:tabs>
        <w:ind w:left="4234" w:hanging="420"/>
      </w:pPr>
      <w:rPr>
        <w:rFonts w:hint="default" w:ascii="Wingdings" w:hAnsi="Wingdings"/>
      </w:rPr>
    </w:lvl>
  </w:abstractNum>
  <w:abstractNum w:abstractNumId="5">
    <w:nsid w:val="394B8815"/>
    <w:multiLevelType w:val="singleLevel"/>
    <w:tmpl w:val="394B8815"/>
    <w:lvl w:ilvl="0" w:tentative="0">
      <w:start w:val="1"/>
      <w:numFmt w:val="decimal"/>
      <w:suff w:val="nothing"/>
      <w:lvlText w:val="%1）"/>
      <w:lvlJc w:val="left"/>
    </w:lvl>
  </w:abstractNum>
  <w:abstractNum w:abstractNumId="6">
    <w:nsid w:val="4C69D4B2"/>
    <w:multiLevelType w:val="multilevel"/>
    <w:tmpl w:val="4C69D4B2"/>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rPr>
        <w:rFonts w:hint="eastAsia"/>
      </w:rPr>
    </w:lvl>
    <w:lvl w:ilvl="2" w:tentative="0">
      <w:start w:val="1"/>
      <w:numFmt w:val="decimal"/>
      <w:pStyle w:val="4"/>
      <w:isLgl/>
      <w:suff w:val="nothing"/>
      <w:lvlText w:val="%1.%2.%3、"/>
      <w:lvlJc w:val="left"/>
      <w:pPr>
        <w:ind w:left="1133" w:leftChars="0" w:hanging="566" w:firstLineChars="0"/>
      </w:pPr>
      <w:rPr>
        <w:rFonts w:hint="eastAsia" w:ascii="宋体" w:hAnsi="宋体" w:eastAsia="宋体" w:cs="Arial"/>
      </w:rPr>
    </w:lvl>
    <w:lvl w:ilvl="3" w:tentative="0">
      <w:start w:val="1"/>
      <w:numFmt w:val="decimal"/>
      <w:pStyle w:val="5"/>
      <w:isLgl/>
      <w:suff w:val="nothing"/>
      <w:lvlText w:val="%1.%2.%3.%4、"/>
      <w:lvlJc w:val="left"/>
      <w:pPr>
        <w:ind w:left="1134" w:leftChars="0" w:hanging="567" w:firstLineChars="0"/>
      </w:pPr>
      <w:rPr>
        <w:rFonts w:hint="eastAsia"/>
      </w:r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7">
    <w:nsid w:val="51CD2DB9"/>
    <w:multiLevelType w:val="singleLevel"/>
    <w:tmpl w:val="51CD2DB9"/>
    <w:lvl w:ilvl="0" w:tentative="0">
      <w:start w:val="1"/>
      <w:numFmt w:val="decimal"/>
      <w:suff w:val="nothing"/>
      <w:lvlText w:val="%1、"/>
      <w:lvlJc w:val="left"/>
    </w:lvl>
  </w:abstractNum>
  <w:abstractNum w:abstractNumId="8">
    <w:nsid w:val="6350366A"/>
    <w:multiLevelType w:val="multilevel"/>
    <w:tmpl w:val="6350366A"/>
    <w:lvl w:ilvl="0" w:tentative="0">
      <w:start w:val="1"/>
      <w:numFmt w:val="none"/>
      <w:pStyle w:val="114"/>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8"/>
  </w:num>
  <w:num w:numId="3">
    <w:abstractNumId w:val="1"/>
  </w:num>
  <w:num w:numId="4">
    <w:abstractNumId w:val="2"/>
  </w:num>
  <w:num w:numId="5">
    <w:abstractNumId w:val="5"/>
  </w:num>
  <w:num w:numId="6">
    <w:abstractNumId w:val="7"/>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hZmI4MDVmMTQ2MjVkZjFlZGQ5NmFkYTRlMjc0MmE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0B7C"/>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062F"/>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1B0745"/>
    <w:rsid w:val="02873BB9"/>
    <w:rsid w:val="02D670A4"/>
    <w:rsid w:val="03231B33"/>
    <w:rsid w:val="03430854"/>
    <w:rsid w:val="039F5FA6"/>
    <w:rsid w:val="05326302"/>
    <w:rsid w:val="05453FE3"/>
    <w:rsid w:val="05F872A7"/>
    <w:rsid w:val="06147E59"/>
    <w:rsid w:val="07683FB9"/>
    <w:rsid w:val="0842480A"/>
    <w:rsid w:val="08D538D0"/>
    <w:rsid w:val="09305ADA"/>
    <w:rsid w:val="099C619C"/>
    <w:rsid w:val="0A8C14B2"/>
    <w:rsid w:val="0AE230E9"/>
    <w:rsid w:val="0AE52C3E"/>
    <w:rsid w:val="0B416FFB"/>
    <w:rsid w:val="0B450F57"/>
    <w:rsid w:val="0BDC04FE"/>
    <w:rsid w:val="0BF12D0A"/>
    <w:rsid w:val="0CB64282"/>
    <w:rsid w:val="0DF04D2C"/>
    <w:rsid w:val="0DF93BBD"/>
    <w:rsid w:val="0DFE7425"/>
    <w:rsid w:val="0E1C10F3"/>
    <w:rsid w:val="0E3746E5"/>
    <w:rsid w:val="0E8013B7"/>
    <w:rsid w:val="0EA87391"/>
    <w:rsid w:val="0ECE1FF2"/>
    <w:rsid w:val="0F1F3AF7"/>
    <w:rsid w:val="0F380715"/>
    <w:rsid w:val="0F5108A8"/>
    <w:rsid w:val="0FD3043D"/>
    <w:rsid w:val="104A70EC"/>
    <w:rsid w:val="104F6A24"/>
    <w:rsid w:val="10782796"/>
    <w:rsid w:val="10D604C6"/>
    <w:rsid w:val="11B515E0"/>
    <w:rsid w:val="13280AA0"/>
    <w:rsid w:val="13A53267"/>
    <w:rsid w:val="13F970D2"/>
    <w:rsid w:val="14706BA3"/>
    <w:rsid w:val="14AA4136"/>
    <w:rsid w:val="15872AA0"/>
    <w:rsid w:val="163A420B"/>
    <w:rsid w:val="16E178E4"/>
    <w:rsid w:val="18027B12"/>
    <w:rsid w:val="187D188E"/>
    <w:rsid w:val="193D19B1"/>
    <w:rsid w:val="193E101D"/>
    <w:rsid w:val="19413B26"/>
    <w:rsid w:val="19EA2F53"/>
    <w:rsid w:val="1A501008"/>
    <w:rsid w:val="1A674C24"/>
    <w:rsid w:val="1A836FA3"/>
    <w:rsid w:val="1AF8344E"/>
    <w:rsid w:val="1B1F09DB"/>
    <w:rsid w:val="1B256925"/>
    <w:rsid w:val="1B505038"/>
    <w:rsid w:val="1C6D3688"/>
    <w:rsid w:val="1CC63D0A"/>
    <w:rsid w:val="1DC2081A"/>
    <w:rsid w:val="1DD94266"/>
    <w:rsid w:val="1DF83E91"/>
    <w:rsid w:val="1E8E65A3"/>
    <w:rsid w:val="1F552C1D"/>
    <w:rsid w:val="1F6F0182"/>
    <w:rsid w:val="1F9D0947"/>
    <w:rsid w:val="1FFB29C6"/>
    <w:rsid w:val="20020FF7"/>
    <w:rsid w:val="20340B62"/>
    <w:rsid w:val="2188552B"/>
    <w:rsid w:val="22574EFE"/>
    <w:rsid w:val="22AF3620"/>
    <w:rsid w:val="22D94639"/>
    <w:rsid w:val="22E70AD4"/>
    <w:rsid w:val="23A3664D"/>
    <w:rsid w:val="23A6613D"/>
    <w:rsid w:val="23CA7445"/>
    <w:rsid w:val="246263B0"/>
    <w:rsid w:val="24F1508D"/>
    <w:rsid w:val="25352A18"/>
    <w:rsid w:val="257A35C3"/>
    <w:rsid w:val="25822B6C"/>
    <w:rsid w:val="26274F05"/>
    <w:rsid w:val="266F634F"/>
    <w:rsid w:val="26874A73"/>
    <w:rsid w:val="27382E17"/>
    <w:rsid w:val="273C17A5"/>
    <w:rsid w:val="28902F18"/>
    <w:rsid w:val="290F02E0"/>
    <w:rsid w:val="291059EA"/>
    <w:rsid w:val="296C5733"/>
    <w:rsid w:val="29D84B76"/>
    <w:rsid w:val="2A88034A"/>
    <w:rsid w:val="2AAF4215"/>
    <w:rsid w:val="2AB47391"/>
    <w:rsid w:val="2AC63E3A"/>
    <w:rsid w:val="2B0A6FB1"/>
    <w:rsid w:val="2BBF12EC"/>
    <w:rsid w:val="2BC649D9"/>
    <w:rsid w:val="2C29790B"/>
    <w:rsid w:val="2C2D4686"/>
    <w:rsid w:val="2C300C99"/>
    <w:rsid w:val="2C931228"/>
    <w:rsid w:val="2D594220"/>
    <w:rsid w:val="2E156399"/>
    <w:rsid w:val="2E2E1209"/>
    <w:rsid w:val="2ED2428A"/>
    <w:rsid w:val="2EF57F78"/>
    <w:rsid w:val="307B625B"/>
    <w:rsid w:val="30C35F0F"/>
    <w:rsid w:val="30C45E54"/>
    <w:rsid w:val="30F05831"/>
    <w:rsid w:val="31774C75"/>
    <w:rsid w:val="31AA0A84"/>
    <w:rsid w:val="32136EE9"/>
    <w:rsid w:val="32560D2E"/>
    <w:rsid w:val="328C29A2"/>
    <w:rsid w:val="33503314"/>
    <w:rsid w:val="33FE167D"/>
    <w:rsid w:val="34991EFF"/>
    <w:rsid w:val="34DA0600"/>
    <w:rsid w:val="34E31351"/>
    <w:rsid w:val="3515160D"/>
    <w:rsid w:val="35586D92"/>
    <w:rsid w:val="355C1511"/>
    <w:rsid w:val="35C97225"/>
    <w:rsid w:val="362A675A"/>
    <w:rsid w:val="3667175C"/>
    <w:rsid w:val="36BB3856"/>
    <w:rsid w:val="3736112E"/>
    <w:rsid w:val="388008B3"/>
    <w:rsid w:val="38BE13DB"/>
    <w:rsid w:val="38ED2171"/>
    <w:rsid w:val="39394F40"/>
    <w:rsid w:val="3971469F"/>
    <w:rsid w:val="3B5F23C7"/>
    <w:rsid w:val="3B893937"/>
    <w:rsid w:val="3C3E2B2A"/>
    <w:rsid w:val="3C5E04BE"/>
    <w:rsid w:val="3C7D00D8"/>
    <w:rsid w:val="3CA06C0C"/>
    <w:rsid w:val="3CFC5061"/>
    <w:rsid w:val="3D323C74"/>
    <w:rsid w:val="3D5D7415"/>
    <w:rsid w:val="3D733BDF"/>
    <w:rsid w:val="3E66679D"/>
    <w:rsid w:val="3E75078E"/>
    <w:rsid w:val="3EA25851"/>
    <w:rsid w:val="3ED03C16"/>
    <w:rsid w:val="3EFC2C5D"/>
    <w:rsid w:val="3F087854"/>
    <w:rsid w:val="3F6C3757"/>
    <w:rsid w:val="405D6A10"/>
    <w:rsid w:val="408810DD"/>
    <w:rsid w:val="409D45E1"/>
    <w:rsid w:val="41B4781F"/>
    <w:rsid w:val="41DA6594"/>
    <w:rsid w:val="426B6130"/>
    <w:rsid w:val="42843695"/>
    <w:rsid w:val="42B21FB1"/>
    <w:rsid w:val="43236A0A"/>
    <w:rsid w:val="43352B14"/>
    <w:rsid w:val="43D45F57"/>
    <w:rsid w:val="444C1A75"/>
    <w:rsid w:val="444E3F5B"/>
    <w:rsid w:val="446537FA"/>
    <w:rsid w:val="44A3526F"/>
    <w:rsid w:val="44B032F4"/>
    <w:rsid w:val="44FC5765"/>
    <w:rsid w:val="4571549B"/>
    <w:rsid w:val="457D25F7"/>
    <w:rsid w:val="4582210E"/>
    <w:rsid w:val="45D608E4"/>
    <w:rsid w:val="45F04BDD"/>
    <w:rsid w:val="46106797"/>
    <w:rsid w:val="462121EF"/>
    <w:rsid w:val="46431454"/>
    <w:rsid w:val="466A1313"/>
    <w:rsid w:val="468341CD"/>
    <w:rsid w:val="472C2589"/>
    <w:rsid w:val="47C00CCC"/>
    <w:rsid w:val="47EF7660"/>
    <w:rsid w:val="48290E80"/>
    <w:rsid w:val="48380768"/>
    <w:rsid w:val="494476DB"/>
    <w:rsid w:val="495A5150"/>
    <w:rsid w:val="4A722025"/>
    <w:rsid w:val="4A760AEB"/>
    <w:rsid w:val="4A7E62C5"/>
    <w:rsid w:val="4A946440"/>
    <w:rsid w:val="4C027573"/>
    <w:rsid w:val="4C0F3FD0"/>
    <w:rsid w:val="4C3C7520"/>
    <w:rsid w:val="4C6F2CC0"/>
    <w:rsid w:val="4EA66D9B"/>
    <w:rsid w:val="4F2C468B"/>
    <w:rsid w:val="4F3162CA"/>
    <w:rsid w:val="4FA14F27"/>
    <w:rsid w:val="4FD95020"/>
    <w:rsid w:val="502344EE"/>
    <w:rsid w:val="50345083"/>
    <w:rsid w:val="50446212"/>
    <w:rsid w:val="50D95873"/>
    <w:rsid w:val="513F75DA"/>
    <w:rsid w:val="51F223CA"/>
    <w:rsid w:val="525C5A95"/>
    <w:rsid w:val="526102AF"/>
    <w:rsid w:val="528444DA"/>
    <w:rsid w:val="537745D5"/>
    <w:rsid w:val="54921C42"/>
    <w:rsid w:val="54B73456"/>
    <w:rsid w:val="550223C7"/>
    <w:rsid w:val="552306F6"/>
    <w:rsid w:val="552D4FDB"/>
    <w:rsid w:val="55996BBF"/>
    <w:rsid w:val="55ED37DA"/>
    <w:rsid w:val="56694F1F"/>
    <w:rsid w:val="56E352D5"/>
    <w:rsid w:val="57A777B2"/>
    <w:rsid w:val="57AB6618"/>
    <w:rsid w:val="57D460CD"/>
    <w:rsid w:val="57E435FE"/>
    <w:rsid w:val="57FF05EB"/>
    <w:rsid w:val="582D0655"/>
    <w:rsid w:val="585F111F"/>
    <w:rsid w:val="589668C2"/>
    <w:rsid w:val="591B0458"/>
    <w:rsid w:val="5951205C"/>
    <w:rsid w:val="599F61DC"/>
    <w:rsid w:val="59D079E8"/>
    <w:rsid w:val="59D40847"/>
    <w:rsid w:val="5A230B9F"/>
    <w:rsid w:val="5AE37F25"/>
    <w:rsid w:val="5CB23D47"/>
    <w:rsid w:val="5D890602"/>
    <w:rsid w:val="5F6B5569"/>
    <w:rsid w:val="5F781A34"/>
    <w:rsid w:val="5FAF09C4"/>
    <w:rsid w:val="608C4642"/>
    <w:rsid w:val="60A87566"/>
    <w:rsid w:val="61096DE8"/>
    <w:rsid w:val="61113EEE"/>
    <w:rsid w:val="613E5097"/>
    <w:rsid w:val="61811074"/>
    <w:rsid w:val="624F3D2A"/>
    <w:rsid w:val="62795572"/>
    <w:rsid w:val="62837D6D"/>
    <w:rsid w:val="629B43B7"/>
    <w:rsid w:val="63716EC6"/>
    <w:rsid w:val="6401024A"/>
    <w:rsid w:val="64B47246"/>
    <w:rsid w:val="64DD6417"/>
    <w:rsid w:val="66004745"/>
    <w:rsid w:val="663D12E2"/>
    <w:rsid w:val="66EC3434"/>
    <w:rsid w:val="670E32EB"/>
    <w:rsid w:val="675A65EF"/>
    <w:rsid w:val="676A4B31"/>
    <w:rsid w:val="67B32C30"/>
    <w:rsid w:val="68363C50"/>
    <w:rsid w:val="685E210F"/>
    <w:rsid w:val="68C659C4"/>
    <w:rsid w:val="698A6F34"/>
    <w:rsid w:val="69A973BA"/>
    <w:rsid w:val="6A567F20"/>
    <w:rsid w:val="6B0C5E52"/>
    <w:rsid w:val="6B761510"/>
    <w:rsid w:val="6BAD4520"/>
    <w:rsid w:val="6C021003"/>
    <w:rsid w:val="6CB247D7"/>
    <w:rsid w:val="6CD97953"/>
    <w:rsid w:val="6D3416A0"/>
    <w:rsid w:val="6DC463A3"/>
    <w:rsid w:val="6DDB1B0C"/>
    <w:rsid w:val="6ED30FD7"/>
    <w:rsid w:val="6F2B4B68"/>
    <w:rsid w:val="6FB22D40"/>
    <w:rsid w:val="6FE0165C"/>
    <w:rsid w:val="71584194"/>
    <w:rsid w:val="71830048"/>
    <w:rsid w:val="71F31B1A"/>
    <w:rsid w:val="72161EFC"/>
    <w:rsid w:val="727D78FD"/>
    <w:rsid w:val="72A13784"/>
    <w:rsid w:val="72C708B1"/>
    <w:rsid w:val="739C0C02"/>
    <w:rsid w:val="73CC655F"/>
    <w:rsid w:val="73D56C31"/>
    <w:rsid w:val="73D6524F"/>
    <w:rsid w:val="7443172F"/>
    <w:rsid w:val="74617B01"/>
    <w:rsid w:val="75957445"/>
    <w:rsid w:val="75C735CB"/>
    <w:rsid w:val="75D01AE1"/>
    <w:rsid w:val="766F3739"/>
    <w:rsid w:val="76B06D80"/>
    <w:rsid w:val="76C45833"/>
    <w:rsid w:val="76EB654E"/>
    <w:rsid w:val="774A385E"/>
    <w:rsid w:val="77524363"/>
    <w:rsid w:val="77AD62C7"/>
    <w:rsid w:val="77B917B5"/>
    <w:rsid w:val="78703975"/>
    <w:rsid w:val="78A23952"/>
    <w:rsid w:val="791365FE"/>
    <w:rsid w:val="799040F2"/>
    <w:rsid w:val="79B37DE1"/>
    <w:rsid w:val="7B263697"/>
    <w:rsid w:val="7B2F4DDF"/>
    <w:rsid w:val="7B334ED0"/>
    <w:rsid w:val="7BC609BA"/>
    <w:rsid w:val="7BCD518A"/>
    <w:rsid w:val="7BE420FD"/>
    <w:rsid w:val="7C10151B"/>
    <w:rsid w:val="7CAD0B17"/>
    <w:rsid w:val="7D0D296B"/>
    <w:rsid w:val="7D21599B"/>
    <w:rsid w:val="7D4E0B54"/>
    <w:rsid w:val="7D503E78"/>
    <w:rsid w:val="7E0160D4"/>
    <w:rsid w:val="7E0D1661"/>
    <w:rsid w:val="7E747B3F"/>
    <w:rsid w:val="7F710522"/>
    <w:rsid w:val="7FAFC42C"/>
    <w:rsid w:val="BCBF0FE2"/>
    <w:rsid w:val="F7BF80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7"/>
    <w:qFormat/>
    <w:uiPriority w:val="0"/>
    <w:pPr>
      <w:keepNext/>
      <w:keepLines/>
      <w:numPr>
        <w:ilvl w:val="0"/>
        <w:numId w:val="1"/>
      </w:numPr>
      <w:spacing w:before="120" w:after="120"/>
      <w:ind w:hanging="425" w:firstLineChars="0"/>
      <w:outlineLvl w:val="0"/>
    </w:pPr>
    <w:rPr>
      <w:rFonts w:eastAsia="黑体"/>
      <w:b/>
      <w:bCs/>
      <w:kern w:val="44"/>
      <w:sz w:val="32"/>
      <w:szCs w:val="28"/>
    </w:rPr>
  </w:style>
  <w:style w:type="paragraph" w:styleId="3">
    <w:name w:val="heading 2"/>
    <w:basedOn w:val="1"/>
    <w:next w:val="1"/>
    <w:link w:val="90"/>
    <w:qFormat/>
    <w:uiPriority w:val="9"/>
    <w:pPr>
      <w:keepNext/>
      <w:keepLines/>
      <w:numPr>
        <w:ilvl w:val="1"/>
        <w:numId w:val="1"/>
      </w:numPr>
      <w:spacing w:before="120" w:after="120"/>
      <w:ind w:hanging="567" w:firstLineChars="0"/>
      <w:outlineLvl w:val="1"/>
    </w:pPr>
    <w:rPr>
      <w:b/>
      <w:bCs/>
      <w:sz w:val="30"/>
      <w:szCs w:val="32"/>
    </w:rPr>
  </w:style>
  <w:style w:type="paragraph" w:styleId="4">
    <w:name w:val="heading 3"/>
    <w:basedOn w:val="1"/>
    <w:next w:val="1"/>
    <w:link w:val="83"/>
    <w:qFormat/>
    <w:uiPriority w:val="0"/>
    <w:pPr>
      <w:keepNext/>
      <w:keepLines/>
      <w:numPr>
        <w:ilvl w:val="2"/>
        <w:numId w:val="1"/>
      </w:numPr>
      <w:spacing w:before="120" w:after="120"/>
      <w:ind w:left="1133" w:hanging="566" w:firstLineChars="0"/>
      <w:outlineLvl w:val="2"/>
    </w:pPr>
    <w:rPr>
      <w:b/>
      <w:bCs/>
      <w:sz w:val="28"/>
      <w:szCs w:val="28"/>
    </w:rPr>
  </w:style>
  <w:style w:type="paragraph" w:styleId="5">
    <w:name w:val="heading 4"/>
    <w:basedOn w:val="1"/>
    <w:next w:val="1"/>
    <w:link w:val="60"/>
    <w:qFormat/>
    <w:uiPriority w:val="0"/>
    <w:pPr>
      <w:keepNext/>
      <w:keepLines/>
      <w:numPr>
        <w:ilvl w:val="3"/>
        <w:numId w:val="1"/>
      </w:numPr>
      <w:spacing w:before="120" w:after="120"/>
      <w:ind w:left="1134" w:hanging="567" w:firstLineChars="0"/>
      <w:outlineLvl w:val="3"/>
    </w:pPr>
    <w:rPr>
      <w:b/>
      <w:bCs/>
      <w:sz w:val="30"/>
      <w:szCs w:val="30"/>
    </w:rPr>
  </w:style>
  <w:style w:type="paragraph" w:styleId="6">
    <w:name w:val="heading 5"/>
    <w:basedOn w:val="1"/>
    <w:next w:val="1"/>
    <w:link w:val="88"/>
    <w:qFormat/>
    <w:uiPriority w:val="0"/>
    <w:pPr>
      <w:keepNext/>
      <w:keepLines/>
      <w:numPr>
        <w:ilvl w:val="4"/>
        <w:numId w:val="1"/>
      </w:numPr>
      <w:spacing w:before="120" w:after="120"/>
      <w:ind w:left="3544" w:hanging="992" w:firstLineChars="0"/>
      <w:outlineLvl w:val="4"/>
    </w:pPr>
    <w:rPr>
      <w:b/>
      <w:bCs/>
      <w:szCs w:val="28"/>
    </w:rPr>
  </w:style>
  <w:style w:type="paragraph" w:styleId="7">
    <w:name w:val="heading 6"/>
    <w:basedOn w:val="1"/>
    <w:next w:val="1"/>
    <w:link w:val="101"/>
    <w:qFormat/>
    <w:uiPriority w:val="0"/>
    <w:pPr>
      <w:keepNext/>
      <w:keepLines/>
      <w:numPr>
        <w:ilvl w:val="5"/>
        <w:numId w:val="1"/>
      </w:numPr>
      <w:spacing w:before="120" w:after="120"/>
      <w:ind w:hanging="1134" w:firstLineChars="0"/>
      <w:outlineLvl w:val="5"/>
    </w:pPr>
    <w:rPr>
      <w:rFonts w:ascii="Cambria" w:hAnsi="Cambria"/>
      <w:b/>
      <w:bCs/>
    </w:rPr>
  </w:style>
  <w:style w:type="paragraph" w:styleId="8">
    <w:name w:val="heading 7"/>
    <w:basedOn w:val="1"/>
    <w:next w:val="1"/>
    <w:link w:val="74"/>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100"/>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50"/>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6"/>
    <w:qFormat/>
    <w:uiPriority w:val="0"/>
    <w:pPr>
      <w:spacing w:afterLines="50"/>
      <w:ind w:firstLine="200"/>
    </w:pPr>
    <w:rPr>
      <w:rFonts w:ascii="Arial" w:hAnsi="Arial" w:eastAsia="黑体"/>
      <w:sz w:val="20"/>
      <w:szCs w:val="20"/>
    </w:rPr>
  </w:style>
  <w:style w:type="paragraph" w:styleId="14">
    <w:name w:val="Document Map"/>
    <w:basedOn w:val="1"/>
    <w:link w:val="93"/>
    <w:qFormat/>
    <w:uiPriority w:val="0"/>
    <w:rPr>
      <w:rFonts w:hAnsi="Times New Roman"/>
      <w:sz w:val="18"/>
      <w:szCs w:val="18"/>
    </w:rPr>
  </w:style>
  <w:style w:type="paragraph" w:styleId="15">
    <w:name w:val="annotation text"/>
    <w:basedOn w:val="1"/>
    <w:link w:val="47"/>
    <w:qFormat/>
    <w:uiPriority w:val="99"/>
    <w:pPr>
      <w:jc w:val="left"/>
    </w:pPr>
    <w:rPr>
      <w:rFonts w:ascii="Times New Roman" w:hAnsi="Times New Roman" w:eastAsia="仿宋"/>
      <w:sz w:val="28"/>
    </w:rPr>
  </w:style>
  <w:style w:type="paragraph" w:styleId="16">
    <w:name w:val="Body Text"/>
    <w:basedOn w:val="1"/>
    <w:link w:val="61"/>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7"/>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8"/>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9"/>
    <w:qFormat/>
    <w:uiPriority w:val="0"/>
    <w:pPr>
      <w:ind w:left="100" w:leftChars="2500"/>
    </w:pPr>
    <w:rPr>
      <w:rFonts w:ascii="Times New Roman" w:hAnsi="Times New Roman"/>
      <w:sz w:val="21"/>
    </w:rPr>
  </w:style>
  <w:style w:type="paragraph" w:styleId="23">
    <w:name w:val="Balloon Text"/>
    <w:basedOn w:val="1"/>
    <w:link w:val="98"/>
    <w:qFormat/>
    <w:uiPriority w:val="0"/>
    <w:rPr>
      <w:rFonts w:ascii="Times New Roman" w:hAnsi="Times New Roman"/>
      <w:sz w:val="18"/>
      <w:szCs w:val="18"/>
    </w:rPr>
  </w:style>
  <w:style w:type="paragraph" w:styleId="24">
    <w:name w:val="footer"/>
    <w:basedOn w:val="1"/>
    <w:link w:val="91"/>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9"/>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9"/>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7"/>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5"/>
    <w:qFormat/>
    <w:uiPriority w:val="0"/>
    <w:rPr>
      <w:b/>
      <w:bCs/>
      <w:sz w:val="21"/>
    </w:rPr>
  </w:style>
  <w:style w:type="paragraph" w:styleId="35">
    <w:name w:val="Body Text First Indent"/>
    <w:basedOn w:val="16"/>
    <w:semiHidden/>
    <w:unhideWhenUsed/>
    <w:qFormat/>
    <w:uiPriority w:val="0"/>
    <w:pPr>
      <w:spacing w:line="360" w:lineRule="auto"/>
      <w:ind w:firstLine="420" w:firstLineChars="100"/>
    </w:pPr>
    <w:rPr>
      <w:rFonts w:ascii="宋体" w:hAnsi="宋体"/>
      <w:sz w:val="24"/>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b/>
    </w:rPr>
  </w:style>
  <w:style w:type="character" w:styleId="40">
    <w:name w:val="page number"/>
    <w:basedOn w:val="38"/>
    <w:qFormat/>
    <w:uiPriority w:val="0"/>
  </w:style>
  <w:style w:type="character" w:styleId="41">
    <w:name w:val="FollowedHyperlink"/>
    <w:unhideWhenUsed/>
    <w:qFormat/>
    <w:uiPriority w:val="99"/>
    <w:rPr>
      <w:color w:val="954F72"/>
      <w:u w:val="single"/>
    </w:rPr>
  </w:style>
  <w:style w:type="character" w:styleId="42">
    <w:name w:val="Hyperlink"/>
    <w:qFormat/>
    <w:uiPriority w:val="99"/>
    <w:rPr>
      <w:color w:val="0000FF"/>
      <w:u w:val="single"/>
    </w:rPr>
  </w:style>
  <w:style w:type="character" w:styleId="43">
    <w:name w:val="annotation reference"/>
    <w:qFormat/>
    <w:uiPriority w:val="99"/>
    <w:rPr>
      <w:sz w:val="21"/>
      <w:szCs w:val="21"/>
    </w:rPr>
  </w:style>
  <w:style w:type="character" w:customStyle="1" w:styleId="44">
    <w:name w:val="标题 3 字符1"/>
    <w:qFormat/>
    <w:uiPriority w:val="0"/>
    <w:rPr>
      <w:rFonts w:ascii="宋体" w:hAnsi="宋体"/>
      <w:b/>
      <w:bCs/>
      <w:kern w:val="2"/>
      <w:sz w:val="28"/>
      <w:szCs w:val="28"/>
    </w:rPr>
  </w:style>
  <w:style w:type="character" w:customStyle="1" w:styleId="45">
    <w:name w:val="首行缩进正文 Char"/>
    <w:link w:val="46"/>
    <w:qFormat/>
    <w:uiPriority w:val="0"/>
    <w:rPr>
      <w:kern w:val="2"/>
      <w:sz w:val="24"/>
    </w:rPr>
  </w:style>
  <w:style w:type="paragraph" w:customStyle="1" w:styleId="46">
    <w:name w:val="首行缩进正文"/>
    <w:basedOn w:val="1"/>
    <w:link w:val="45"/>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7">
    <w:name w:val="批注文字 Char"/>
    <w:link w:val="15"/>
    <w:qFormat/>
    <w:uiPriority w:val="99"/>
    <w:rPr>
      <w:rFonts w:eastAsia="仿宋"/>
      <w:kern w:val="2"/>
      <w:sz w:val="28"/>
      <w:szCs w:val="24"/>
    </w:rPr>
  </w:style>
  <w:style w:type="character" w:customStyle="1" w:styleId="48">
    <w:name w:val="日期 字符"/>
    <w:semiHidden/>
    <w:qFormat/>
    <w:uiPriority w:val="99"/>
    <w:rPr>
      <w:rFonts w:ascii="宋体" w:hAnsi="宋体"/>
      <w:kern w:val="2"/>
      <w:sz w:val="24"/>
      <w:szCs w:val="24"/>
    </w:rPr>
  </w:style>
  <w:style w:type="character" w:customStyle="1" w:styleId="49">
    <w:name w:val="日期 Char"/>
    <w:link w:val="22"/>
    <w:qFormat/>
    <w:uiPriority w:val="0"/>
    <w:rPr>
      <w:kern w:val="2"/>
      <w:sz w:val="21"/>
      <w:szCs w:val="24"/>
    </w:rPr>
  </w:style>
  <w:style w:type="character" w:customStyle="1" w:styleId="50">
    <w:name w:val="标题 9 Char"/>
    <w:link w:val="10"/>
    <w:qFormat/>
    <w:uiPriority w:val="9"/>
    <w:rPr>
      <w:rFonts w:ascii="Cambria" w:hAnsi="Cambria"/>
      <w:kern w:val="2"/>
      <w:sz w:val="21"/>
      <w:szCs w:val="21"/>
    </w:rPr>
  </w:style>
  <w:style w:type="character" w:customStyle="1" w:styleId="51">
    <w:name w:val="未处理的提及1"/>
    <w:unhideWhenUsed/>
    <w:qFormat/>
    <w:uiPriority w:val="99"/>
    <w:rPr>
      <w:color w:val="605E5C"/>
      <w:shd w:val="clear" w:color="auto" w:fill="E1DFDD"/>
    </w:rPr>
  </w:style>
  <w:style w:type="character" w:customStyle="1" w:styleId="52">
    <w:name w:val="标题 1 字符"/>
    <w:qFormat/>
    <w:uiPriority w:val="9"/>
    <w:rPr>
      <w:rFonts w:ascii="宋体" w:hAnsi="宋体"/>
      <w:b/>
      <w:bCs/>
      <w:kern w:val="44"/>
      <w:sz w:val="44"/>
      <w:szCs w:val="44"/>
    </w:rPr>
  </w:style>
  <w:style w:type="character" w:customStyle="1" w:styleId="53">
    <w:name w:val="标题 3 字符"/>
    <w:semiHidden/>
    <w:qFormat/>
    <w:uiPriority w:val="9"/>
    <w:rPr>
      <w:rFonts w:ascii="宋体" w:hAnsi="宋体"/>
      <w:b/>
      <w:bCs/>
      <w:kern w:val="2"/>
      <w:sz w:val="32"/>
      <w:szCs w:val="32"/>
    </w:rPr>
  </w:style>
  <w:style w:type="character" w:customStyle="1" w:styleId="54">
    <w:name w:val="页脚 字符"/>
    <w:qFormat/>
    <w:uiPriority w:val="99"/>
  </w:style>
  <w:style w:type="character" w:customStyle="1" w:styleId="55">
    <w:name w:val="标题 5 字符"/>
    <w:semiHidden/>
    <w:qFormat/>
    <w:uiPriority w:val="9"/>
    <w:rPr>
      <w:rFonts w:ascii="宋体" w:hAnsi="宋体"/>
      <w:b/>
      <w:bCs/>
      <w:kern w:val="2"/>
      <w:sz w:val="28"/>
      <w:szCs w:val="28"/>
    </w:rPr>
  </w:style>
  <w:style w:type="character" w:customStyle="1" w:styleId="56">
    <w:name w:val="题注 Char"/>
    <w:link w:val="13"/>
    <w:qFormat/>
    <w:locked/>
    <w:uiPriority w:val="0"/>
    <w:rPr>
      <w:rFonts w:ascii="Arial" w:hAnsi="Arial" w:eastAsia="黑体"/>
      <w:kern w:val="2"/>
    </w:rPr>
  </w:style>
  <w:style w:type="character" w:customStyle="1" w:styleId="57">
    <w:name w:val="标题 2 字符"/>
    <w:semiHidden/>
    <w:qFormat/>
    <w:uiPriority w:val="9"/>
    <w:rPr>
      <w:rFonts w:ascii="等线 Light" w:hAnsi="等线 Light" w:eastAsia="等线 Light" w:cs="Times New Roman"/>
      <w:b/>
      <w:bCs/>
      <w:kern w:val="2"/>
      <w:sz w:val="32"/>
      <w:szCs w:val="32"/>
    </w:rPr>
  </w:style>
  <w:style w:type="character" w:customStyle="1" w:styleId="58">
    <w:name w:val="纯文本 字符"/>
    <w:qFormat/>
    <w:uiPriority w:val="0"/>
    <w:rPr>
      <w:rFonts w:ascii="宋体" w:hAnsi="Courier New" w:cs="Courier New"/>
      <w:kern w:val="2"/>
      <w:sz w:val="21"/>
      <w:szCs w:val="21"/>
    </w:rPr>
  </w:style>
  <w:style w:type="character" w:customStyle="1" w:styleId="59">
    <w:name w:val="列表段落 字符"/>
    <w:qFormat/>
    <w:uiPriority w:val="34"/>
    <w:rPr>
      <w:kern w:val="2"/>
      <w:sz w:val="21"/>
      <w:szCs w:val="22"/>
    </w:rPr>
  </w:style>
  <w:style w:type="character" w:customStyle="1" w:styleId="60">
    <w:name w:val="标题 4 Char"/>
    <w:link w:val="5"/>
    <w:qFormat/>
    <w:uiPriority w:val="0"/>
    <w:rPr>
      <w:rFonts w:ascii="宋体" w:hAnsi="宋体"/>
      <w:b/>
      <w:bCs/>
      <w:kern w:val="2"/>
      <w:sz w:val="30"/>
      <w:szCs w:val="30"/>
    </w:rPr>
  </w:style>
  <w:style w:type="character" w:customStyle="1" w:styleId="61">
    <w:name w:val="正文文本 Char"/>
    <w:link w:val="16"/>
    <w:qFormat/>
    <w:uiPriority w:val="0"/>
    <w:rPr>
      <w:kern w:val="2"/>
      <w:sz w:val="21"/>
      <w:szCs w:val="24"/>
    </w:rPr>
  </w:style>
  <w:style w:type="character" w:customStyle="1" w:styleId="62">
    <w:name w:val="列出段落 Char"/>
    <w:link w:val="63"/>
    <w:qFormat/>
    <w:uiPriority w:val="34"/>
    <w:rPr>
      <w:kern w:val="2"/>
      <w:sz w:val="21"/>
      <w:szCs w:val="24"/>
    </w:rPr>
  </w:style>
  <w:style w:type="paragraph" w:styleId="63">
    <w:name w:val="List Paragraph"/>
    <w:basedOn w:val="1"/>
    <w:link w:val="62"/>
    <w:qFormat/>
    <w:uiPriority w:val="34"/>
    <w:pPr>
      <w:ind w:firstLine="420"/>
    </w:pPr>
    <w:rPr>
      <w:rFonts w:ascii="Times New Roman" w:hAnsi="Times New Roman"/>
      <w:sz w:val="21"/>
    </w:rPr>
  </w:style>
  <w:style w:type="character" w:customStyle="1" w:styleId="64">
    <w:name w:val="font21"/>
    <w:qFormat/>
    <w:uiPriority w:val="0"/>
    <w:rPr>
      <w:rFonts w:ascii="Calibri" w:hAnsi="Calibri" w:cs="Calibri"/>
      <w:color w:val="000000"/>
      <w:sz w:val="21"/>
      <w:szCs w:val="21"/>
      <w:u w:val="none"/>
    </w:rPr>
  </w:style>
  <w:style w:type="character" w:customStyle="1" w:styleId="65">
    <w:name w:val="*正文 Char"/>
    <w:link w:val="66"/>
    <w:qFormat/>
    <w:uiPriority w:val="0"/>
    <w:rPr>
      <w:rFonts w:ascii="time" w:hAnsi="time"/>
      <w:sz w:val="24"/>
      <w:szCs w:val="24"/>
      <w:lang w:bidi="en-US"/>
    </w:rPr>
  </w:style>
  <w:style w:type="paragraph" w:customStyle="1" w:styleId="66">
    <w:name w:val="*正文"/>
    <w:basedOn w:val="1"/>
    <w:link w:val="65"/>
    <w:qFormat/>
    <w:uiPriority w:val="0"/>
    <w:pPr>
      <w:widowControl/>
      <w:ind w:firstLine="200"/>
      <w:contextualSpacing/>
    </w:pPr>
    <w:rPr>
      <w:rFonts w:ascii="time" w:hAnsi="time"/>
      <w:kern w:val="0"/>
      <w:lang w:bidi="en-US"/>
    </w:rPr>
  </w:style>
  <w:style w:type="character" w:customStyle="1" w:styleId="67">
    <w:name w:val="正文文本缩进 字符"/>
    <w:semiHidden/>
    <w:qFormat/>
    <w:uiPriority w:val="99"/>
    <w:rPr>
      <w:rFonts w:ascii="宋体" w:hAnsi="宋体"/>
      <w:kern w:val="2"/>
      <w:sz w:val="24"/>
      <w:szCs w:val="24"/>
    </w:rPr>
  </w:style>
  <w:style w:type="character" w:customStyle="1" w:styleId="68">
    <w:name w:val="纯文本 Char"/>
    <w:link w:val="20"/>
    <w:qFormat/>
    <w:locked/>
    <w:uiPriority w:val="0"/>
    <w:rPr>
      <w:rFonts w:ascii="宋体" w:hAnsi="Courier New"/>
      <w:kern w:val="2"/>
      <w:sz w:val="21"/>
    </w:rPr>
  </w:style>
  <w:style w:type="character" w:customStyle="1" w:styleId="69">
    <w:name w:val="my正文 Char"/>
    <w:link w:val="70"/>
    <w:qFormat/>
    <w:uiPriority w:val="0"/>
    <w:rPr>
      <w:kern w:val="2"/>
      <w:sz w:val="21"/>
      <w:szCs w:val="24"/>
    </w:rPr>
  </w:style>
  <w:style w:type="paragraph" w:customStyle="1" w:styleId="70">
    <w:name w:val="my正文"/>
    <w:basedOn w:val="1"/>
    <w:link w:val="69"/>
    <w:qFormat/>
    <w:uiPriority w:val="0"/>
    <w:pPr>
      <w:spacing w:line="240" w:lineRule="auto"/>
      <w:ind w:firstLine="0" w:firstLineChars="0"/>
    </w:pPr>
    <w:rPr>
      <w:rFonts w:ascii="Times New Roman" w:hAnsi="Times New Roman"/>
      <w:sz w:val="21"/>
    </w:rPr>
  </w:style>
  <w:style w:type="character" w:customStyle="1" w:styleId="71">
    <w:name w:val="正文2 字符"/>
    <w:link w:val="72"/>
    <w:qFormat/>
    <w:uiPriority w:val="0"/>
    <w:rPr>
      <w:kern w:val="2"/>
      <w:sz w:val="21"/>
      <w:szCs w:val="24"/>
    </w:rPr>
  </w:style>
  <w:style w:type="paragraph" w:customStyle="1" w:styleId="72">
    <w:name w:val="正文2"/>
    <w:basedOn w:val="1"/>
    <w:link w:val="71"/>
    <w:qFormat/>
    <w:uiPriority w:val="0"/>
    <w:pPr>
      <w:ind w:firstLine="420"/>
    </w:pPr>
    <w:rPr>
      <w:rFonts w:ascii="Times New Roman" w:hAnsi="Times New Roman"/>
      <w:sz w:val="21"/>
    </w:rPr>
  </w:style>
  <w:style w:type="character" w:customStyle="1" w:styleId="73">
    <w:name w:val="font41"/>
    <w:qFormat/>
    <w:uiPriority w:val="0"/>
    <w:rPr>
      <w:rFonts w:hint="eastAsia" w:ascii="宋体" w:hAnsi="宋体" w:eastAsia="宋体" w:cs="宋体"/>
      <w:color w:val="000000"/>
      <w:sz w:val="21"/>
      <w:szCs w:val="21"/>
      <w:u w:val="none"/>
    </w:rPr>
  </w:style>
  <w:style w:type="character" w:customStyle="1" w:styleId="74">
    <w:name w:val="标题 7 Char"/>
    <w:link w:val="8"/>
    <w:qFormat/>
    <w:uiPriority w:val="9"/>
    <w:rPr>
      <w:b/>
      <w:bCs/>
      <w:kern w:val="2"/>
      <w:sz w:val="21"/>
      <w:szCs w:val="24"/>
    </w:rPr>
  </w:style>
  <w:style w:type="character" w:customStyle="1" w:styleId="75">
    <w:name w:val="批注框文本 字符"/>
    <w:semiHidden/>
    <w:qFormat/>
    <w:uiPriority w:val="99"/>
    <w:rPr>
      <w:rFonts w:ascii="宋体" w:hAnsi="宋体"/>
      <w:kern w:val="2"/>
      <w:sz w:val="18"/>
      <w:szCs w:val="18"/>
    </w:rPr>
  </w:style>
  <w:style w:type="character" w:customStyle="1" w:styleId="76">
    <w:name w:val="副标题 Char1"/>
    <w:qFormat/>
    <w:uiPriority w:val="0"/>
    <w:rPr>
      <w:rFonts w:ascii="Calibri Light" w:hAnsi="Calibri Light" w:cs="Times New Roman"/>
      <w:b/>
      <w:bCs/>
      <w:kern w:val="28"/>
      <w:sz w:val="32"/>
      <w:szCs w:val="32"/>
    </w:rPr>
  </w:style>
  <w:style w:type="character" w:customStyle="1" w:styleId="77">
    <w:name w:val="标题 1 Char1"/>
    <w:link w:val="2"/>
    <w:qFormat/>
    <w:uiPriority w:val="0"/>
    <w:rPr>
      <w:rFonts w:ascii="宋体" w:hAnsi="宋体" w:eastAsia="黑体"/>
      <w:b/>
      <w:bCs/>
      <w:kern w:val="44"/>
      <w:sz w:val="32"/>
      <w:szCs w:val="28"/>
    </w:rPr>
  </w:style>
  <w:style w:type="character" w:customStyle="1" w:styleId="78">
    <w:name w:val="批注文字 字符"/>
    <w:qFormat/>
    <w:uiPriority w:val="99"/>
    <w:rPr>
      <w:rFonts w:ascii="宋体" w:hAnsi="宋体"/>
      <w:kern w:val="2"/>
      <w:sz w:val="24"/>
      <w:szCs w:val="24"/>
    </w:rPr>
  </w:style>
  <w:style w:type="character" w:customStyle="1" w:styleId="79">
    <w:name w:val="文档结构图 字符"/>
    <w:semiHidden/>
    <w:qFormat/>
    <w:uiPriority w:val="99"/>
    <w:rPr>
      <w:rFonts w:ascii="Microsoft YaHei UI" w:hAnsi="宋体" w:eastAsia="Microsoft YaHei UI"/>
      <w:kern w:val="2"/>
      <w:sz w:val="18"/>
      <w:szCs w:val="18"/>
    </w:rPr>
  </w:style>
  <w:style w:type="character" w:customStyle="1" w:styleId="80">
    <w:name w:val="标题 6 字符"/>
    <w:semiHidden/>
    <w:qFormat/>
    <w:uiPriority w:val="9"/>
    <w:rPr>
      <w:rFonts w:ascii="等线 Light" w:hAnsi="等线 Light" w:eastAsia="等线 Light" w:cs="Times New Roman"/>
      <w:b/>
      <w:bCs/>
      <w:kern w:val="2"/>
      <w:sz w:val="24"/>
      <w:szCs w:val="24"/>
    </w:rPr>
  </w:style>
  <w:style w:type="character" w:customStyle="1" w:styleId="81">
    <w:name w:val="正文正文2 Char"/>
    <w:link w:val="82"/>
    <w:qFormat/>
    <w:uiPriority w:val="0"/>
    <w:rPr>
      <w:rFonts w:ascii="宋体" w:hAnsi="宋体"/>
      <w:kern w:val="2"/>
      <w:sz w:val="21"/>
      <w:szCs w:val="21"/>
    </w:rPr>
  </w:style>
  <w:style w:type="paragraph" w:customStyle="1" w:styleId="82">
    <w:name w:val="正文正文2"/>
    <w:basedOn w:val="1"/>
    <w:link w:val="81"/>
    <w:qFormat/>
    <w:uiPriority w:val="0"/>
    <w:pPr>
      <w:ind w:firstLine="460"/>
    </w:pPr>
    <w:rPr>
      <w:sz w:val="21"/>
      <w:szCs w:val="21"/>
    </w:rPr>
  </w:style>
  <w:style w:type="character" w:customStyle="1" w:styleId="83">
    <w:name w:val="标题 3 Char"/>
    <w:link w:val="4"/>
    <w:qFormat/>
    <w:uiPriority w:val="0"/>
    <w:rPr>
      <w:rFonts w:ascii="宋体" w:hAnsi="宋体"/>
      <w:b/>
      <w:bCs/>
      <w:kern w:val="2"/>
      <w:sz w:val="28"/>
      <w:szCs w:val="28"/>
    </w:rPr>
  </w:style>
  <w:style w:type="character" w:customStyle="1" w:styleId="84">
    <w:name w:val="标题 4 字符"/>
    <w:semiHidden/>
    <w:qFormat/>
    <w:uiPriority w:val="9"/>
    <w:rPr>
      <w:rFonts w:ascii="等线 Light" w:hAnsi="等线 Light" w:eastAsia="等线 Light" w:cs="Times New Roman"/>
      <w:b/>
      <w:bCs/>
      <w:kern w:val="2"/>
      <w:sz w:val="28"/>
      <w:szCs w:val="28"/>
    </w:rPr>
  </w:style>
  <w:style w:type="character" w:customStyle="1" w:styleId="85">
    <w:name w:val="批注主题 Char"/>
    <w:link w:val="34"/>
    <w:qFormat/>
    <w:uiPriority w:val="0"/>
    <w:rPr>
      <w:rFonts w:eastAsia="仿宋"/>
      <w:b/>
      <w:bCs/>
      <w:kern w:val="2"/>
      <w:sz w:val="21"/>
      <w:szCs w:val="24"/>
    </w:rPr>
  </w:style>
  <w:style w:type="character" w:customStyle="1" w:styleId="86">
    <w:name w:val="页眉 字符"/>
    <w:semiHidden/>
    <w:qFormat/>
    <w:uiPriority w:val="99"/>
    <w:rPr>
      <w:rFonts w:ascii="宋体" w:hAnsi="宋体"/>
      <w:kern w:val="2"/>
      <w:sz w:val="18"/>
      <w:szCs w:val="18"/>
    </w:rPr>
  </w:style>
  <w:style w:type="character" w:customStyle="1" w:styleId="87">
    <w:name w:val="正文文本缩进 Char"/>
    <w:link w:val="17"/>
    <w:qFormat/>
    <w:uiPriority w:val="0"/>
    <w:rPr>
      <w:kern w:val="2"/>
      <w:sz w:val="21"/>
    </w:rPr>
  </w:style>
  <w:style w:type="character" w:customStyle="1" w:styleId="88">
    <w:name w:val="标题 5 Char"/>
    <w:link w:val="6"/>
    <w:qFormat/>
    <w:uiPriority w:val="0"/>
    <w:rPr>
      <w:rFonts w:ascii="宋体" w:hAnsi="宋体"/>
      <w:b/>
      <w:bCs/>
      <w:kern w:val="2"/>
      <w:sz w:val="24"/>
      <w:szCs w:val="28"/>
    </w:rPr>
  </w:style>
  <w:style w:type="character" w:customStyle="1" w:styleId="89">
    <w:name w:val="副标题 Char"/>
    <w:link w:val="28"/>
    <w:qFormat/>
    <w:uiPriority w:val="0"/>
    <w:rPr>
      <w:rFonts w:ascii="Calibri Light" w:hAnsi="Calibri Light"/>
      <w:b/>
      <w:bCs/>
      <w:kern w:val="28"/>
      <w:sz w:val="32"/>
      <w:szCs w:val="32"/>
    </w:rPr>
  </w:style>
  <w:style w:type="character" w:customStyle="1" w:styleId="90">
    <w:name w:val="标题 2 Char"/>
    <w:link w:val="3"/>
    <w:qFormat/>
    <w:uiPriority w:val="9"/>
    <w:rPr>
      <w:rFonts w:ascii="宋体" w:hAnsi="宋体"/>
      <w:b/>
      <w:bCs/>
      <w:kern w:val="2"/>
      <w:sz w:val="30"/>
      <w:szCs w:val="32"/>
    </w:rPr>
  </w:style>
  <w:style w:type="character" w:customStyle="1" w:styleId="91">
    <w:name w:val="页脚 Char"/>
    <w:link w:val="24"/>
    <w:qFormat/>
    <w:uiPriority w:val="99"/>
    <w:rPr>
      <w:kern w:val="2"/>
      <w:sz w:val="18"/>
      <w:szCs w:val="18"/>
    </w:rPr>
  </w:style>
  <w:style w:type="character" w:customStyle="1" w:styleId="92">
    <w:name w:val="批注主题 字符"/>
    <w:semiHidden/>
    <w:qFormat/>
    <w:uiPriority w:val="99"/>
    <w:rPr>
      <w:rFonts w:ascii="宋体" w:hAnsi="宋体"/>
      <w:b/>
      <w:bCs/>
      <w:kern w:val="2"/>
      <w:sz w:val="24"/>
      <w:szCs w:val="24"/>
    </w:rPr>
  </w:style>
  <w:style w:type="character" w:customStyle="1" w:styleId="93">
    <w:name w:val="文档结构图 Char"/>
    <w:link w:val="14"/>
    <w:qFormat/>
    <w:uiPriority w:val="0"/>
    <w:rPr>
      <w:rFonts w:ascii="宋体"/>
      <w:kern w:val="2"/>
      <w:sz w:val="18"/>
      <w:szCs w:val="18"/>
    </w:rPr>
  </w:style>
  <w:style w:type="character" w:customStyle="1" w:styleId="94">
    <w:name w:val="font31"/>
    <w:qFormat/>
    <w:uiPriority w:val="0"/>
    <w:rPr>
      <w:rFonts w:hint="eastAsia" w:ascii="宋体" w:hAnsi="宋体" w:eastAsia="宋体" w:cs="宋体"/>
      <w:color w:val="000000"/>
      <w:sz w:val="21"/>
      <w:szCs w:val="21"/>
      <w:u w:val="none"/>
    </w:rPr>
  </w:style>
  <w:style w:type="character" w:customStyle="1" w:styleId="95">
    <w:name w:val="标准正文 Char"/>
    <w:link w:val="96"/>
    <w:qFormat/>
    <w:uiPriority w:val="0"/>
    <w:rPr>
      <w:rFonts w:ascii="Arial" w:hAnsi="Arial"/>
      <w:kern w:val="2"/>
      <w:sz w:val="24"/>
    </w:rPr>
  </w:style>
  <w:style w:type="paragraph" w:customStyle="1" w:styleId="96">
    <w:name w:val="标准正文"/>
    <w:basedOn w:val="17"/>
    <w:link w:val="95"/>
    <w:qFormat/>
    <w:uiPriority w:val="0"/>
    <w:pPr>
      <w:spacing w:before="60" w:after="60"/>
      <w:ind w:firstLine="482" w:firstLineChars="0"/>
    </w:pPr>
    <w:rPr>
      <w:rFonts w:ascii="Arial" w:hAnsi="Arial"/>
      <w:sz w:val="24"/>
    </w:rPr>
  </w:style>
  <w:style w:type="character" w:customStyle="1" w:styleId="97">
    <w:name w:val="标题 Char"/>
    <w:link w:val="33"/>
    <w:qFormat/>
    <w:uiPriority w:val="0"/>
    <w:rPr>
      <w:rFonts w:ascii="Cambria" w:hAnsi="Cambria" w:eastAsia="黑体"/>
      <w:b/>
      <w:bCs/>
      <w:kern w:val="2"/>
      <w:sz w:val="52"/>
      <w:szCs w:val="32"/>
    </w:rPr>
  </w:style>
  <w:style w:type="character" w:customStyle="1" w:styleId="98">
    <w:name w:val="批注框文本 Char"/>
    <w:link w:val="23"/>
    <w:qFormat/>
    <w:uiPriority w:val="0"/>
    <w:rPr>
      <w:kern w:val="2"/>
      <w:sz w:val="18"/>
      <w:szCs w:val="18"/>
    </w:rPr>
  </w:style>
  <w:style w:type="character" w:customStyle="1" w:styleId="99">
    <w:name w:val="页眉 Char"/>
    <w:link w:val="25"/>
    <w:qFormat/>
    <w:uiPriority w:val="99"/>
    <w:rPr>
      <w:kern w:val="2"/>
      <w:sz w:val="18"/>
      <w:szCs w:val="18"/>
    </w:rPr>
  </w:style>
  <w:style w:type="character" w:customStyle="1" w:styleId="100">
    <w:name w:val="标题 8 Char"/>
    <w:link w:val="9"/>
    <w:qFormat/>
    <w:uiPriority w:val="9"/>
    <w:rPr>
      <w:rFonts w:ascii="Cambria" w:hAnsi="Cambria"/>
      <w:kern w:val="2"/>
      <w:sz w:val="21"/>
      <w:szCs w:val="24"/>
    </w:rPr>
  </w:style>
  <w:style w:type="character" w:customStyle="1" w:styleId="101">
    <w:name w:val="标题 6 Char"/>
    <w:link w:val="7"/>
    <w:qFormat/>
    <w:uiPriority w:val="0"/>
    <w:rPr>
      <w:rFonts w:ascii="Cambria" w:hAnsi="Cambria"/>
      <w:b/>
      <w:bCs/>
      <w:kern w:val="2"/>
      <w:sz w:val="24"/>
      <w:szCs w:val="24"/>
    </w:rPr>
  </w:style>
  <w:style w:type="character" w:customStyle="1" w:styleId="102">
    <w:name w:val="标题 字符"/>
    <w:qFormat/>
    <w:uiPriority w:val="10"/>
    <w:rPr>
      <w:rFonts w:ascii="等线 Light" w:hAnsi="等线 Light" w:eastAsia="等线 Light" w:cs="Times New Roman"/>
      <w:b/>
      <w:bCs/>
      <w:kern w:val="2"/>
      <w:sz w:val="32"/>
      <w:szCs w:val="32"/>
    </w:rPr>
  </w:style>
  <w:style w:type="character" w:customStyle="1" w:styleId="103">
    <w:name w:val="副标题 字符"/>
    <w:qFormat/>
    <w:uiPriority w:val="11"/>
    <w:rPr>
      <w:rFonts w:ascii="等线" w:hAnsi="等线" w:eastAsia="等线" w:cs="Times New Roman"/>
      <w:b/>
      <w:bCs/>
      <w:kern w:val="28"/>
      <w:sz w:val="32"/>
      <w:szCs w:val="32"/>
    </w:rPr>
  </w:style>
  <w:style w:type="paragraph" w:customStyle="1" w:styleId="104">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5">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6">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7">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8">
    <w:name w:val="正文缩进1"/>
    <w:basedOn w:val="1"/>
    <w:qFormat/>
    <w:uiPriority w:val="0"/>
    <w:pPr>
      <w:spacing w:line="240" w:lineRule="auto"/>
      <w:ind w:firstLine="420"/>
    </w:pPr>
    <w:rPr>
      <w:rFonts w:ascii="Times New Roman" w:hAnsi="Times New Roman"/>
      <w:sz w:val="21"/>
      <w:szCs w:val="20"/>
    </w:rPr>
  </w:style>
  <w:style w:type="paragraph" w:customStyle="1" w:styleId="109">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10">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1">
    <w:name w:val="Indent Normal"/>
    <w:basedOn w:val="1"/>
    <w:qFormat/>
    <w:uiPriority w:val="0"/>
    <w:pPr>
      <w:ind w:firstLine="150" w:firstLineChars="150"/>
    </w:pPr>
  </w:style>
  <w:style w:type="paragraph" w:customStyle="1" w:styleId="112">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3">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4">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5">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6">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7">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9">
    <w:name w:val="Char Char Char Char Char Char1 Char"/>
    <w:basedOn w:val="1"/>
    <w:qFormat/>
    <w:uiPriority w:val="0"/>
    <w:pPr>
      <w:widowControl/>
      <w:spacing w:after="160" w:line="240" w:lineRule="exact"/>
      <w:jc w:val="left"/>
    </w:pPr>
  </w:style>
  <w:style w:type="paragraph" w:customStyle="1" w:styleId="120">
    <w:name w:val="PM_Body"/>
    <w:basedOn w:val="1"/>
    <w:qFormat/>
    <w:locked/>
    <w:uiPriority w:val="0"/>
    <w:rPr>
      <w:szCs w:val="21"/>
    </w:rPr>
  </w:style>
  <w:style w:type="paragraph" w:customStyle="1" w:styleId="121">
    <w:name w:val="Char Char1"/>
    <w:basedOn w:val="1"/>
    <w:qFormat/>
    <w:uiPriority w:val="0"/>
    <w:pPr>
      <w:widowControl/>
      <w:spacing w:before="120" w:after="120"/>
    </w:pPr>
    <w:rPr>
      <w:rFonts w:ascii="Times New Roman" w:hAnsi="Times New Roman" w:cs="宋体"/>
    </w:rPr>
  </w:style>
  <w:style w:type="paragraph" w:customStyle="1" w:styleId="122">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3">
    <w:name w:val="Revision"/>
    <w:unhideWhenUsed/>
    <w:qFormat/>
    <w:uiPriority w:val="99"/>
    <w:rPr>
      <w:rFonts w:ascii="宋体" w:hAnsi="宋体" w:eastAsia="宋体" w:cs="Times New Roman"/>
      <w:kern w:val="2"/>
      <w:sz w:val="24"/>
      <w:szCs w:val="24"/>
      <w:lang w:val="en-US" w:eastAsia="zh-CN" w:bidi="ar-SA"/>
    </w:rPr>
  </w:style>
  <w:style w:type="paragraph" w:customStyle="1" w:styleId="124">
    <w:name w:val="列出段落2"/>
    <w:basedOn w:val="1"/>
    <w:qFormat/>
    <w:uiPriority w:val="0"/>
    <w:pPr>
      <w:spacing w:line="240" w:lineRule="auto"/>
      <w:ind w:firstLine="420"/>
    </w:pPr>
    <w:rPr>
      <w:rFonts w:ascii="等线" w:hAnsi="等线" w:eastAsia="等线" w:cs="等线"/>
      <w:sz w:val="21"/>
      <w:szCs w:val="21"/>
    </w:rPr>
  </w:style>
  <w:style w:type="paragraph" w:customStyle="1" w:styleId="125">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7">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8">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9">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30">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1">
    <w:name w:val="TOC Heading"/>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2">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4">
    <w:name w:val="标题 1 Char"/>
    <w:qFormat/>
    <w:uiPriority w:val="0"/>
    <w:rPr>
      <w:rFonts w:ascii="宋体" w:hAnsi="宋体" w:eastAsia="黑体"/>
      <w:b/>
      <w:bCs/>
      <w:kern w:val="44"/>
      <w:sz w:val="32"/>
      <w:szCs w:val="28"/>
    </w:rPr>
  </w:style>
  <w:style w:type="character" w:customStyle="1" w:styleId="135">
    <w:name w:val="纯文本 Char2"/>
    <w:qFormat/>
    <w:uiPriority w:val="0"/>
    <w:rPr>
      <w:rFonts w:ascii="宋体" w:hAnsi="宋体" w:eastAsia="宋体" w:cs="Times New Roman"/>
      <w:color w:val="000000"/>
      <w:kern w:val="0"/>
      <w:sz w:val="24"/>
      <w:szCs w:val="24"/>
    </w:rPr>
  </w:style>
  <w:style w:type="character" w:customStyle="1" w:styleId="136">
    <w:name w:val="font11"/>
    <w:basedOn w:val="38"/>
    <w:qFormat/>
    <w:uiPriority w:val="0"/>
    <w:rPr>
      <w:rFonts w:hint="eastAsia" w:ascii="仿宋_GB2312" w:eastAsia="仿宋_GB2312" w:cs="仿宋_GB2312"/>
      <w:color w:val="000000"/>
      <w:sz w:val="24"/>
      <w:szCs w:val="24"/>
      <w:u w:val="none"/>
    </w:rPr>
  </w:style>
  <w:style w:type="character" w:customStyle="1" w:styleId="137">
    <w:name w:val="font51"/>
    <w:basedOn w:val="38"/>
    <w:qFormat/>
    <w:uiPriority w:val="0"/>
    <w:rPr>
      <w:rFonts w:hint="eastAsia" w:ascii="仿宋_GB2312" w:eastAsia="仿宋_GB2312" w:cs="仿宋_GB2312"/>
      <w:color w:val="000000"/>
      <w:sz w:val="24"/>
      <w:szCs w:val="24"/>
      <w:u w:val="none"/>
    </w:rPr>
  </w:style>
  <w:style w:type="character" w:customStyle="1" w:styleId="138">
    <w:name w:val="font61"/>
    <w:basedOn w:val="38"/>
    <w:qFormat/>
    <w:uiPriority w:val="0"/>
    <w:rPr>
      <w:rFonts w:hint="eastAsia" w:ascii="宋体" w:hAnsi="宋体" w:eastAsia="宋体" w:cs="宋体"/>
      <w:color w:val="000000"/>
      <w:sz w:val="24"/>
      <w:szCs w:val="24"/>
      <w:u w:val="none"/>
    </w:rPr>
  </w:style>
  <w:style w:type="paragraph" w:customStyle="1" w:styleId="139">
    <w:name w:val="_Style 145"/>
    <w:basedOn w:val="16"/>
    <w:next w:val="35"/>
    <w:unhideWhenUsed/>
    <w:qFormat/>
    <w:uiPriority w:val="0"/>
    <w:pPr>
      <w:spacing w:line="360" w:lineRule="auto"/>
      <w:ind w:firstLine="420" w:firstLineChars="100"/>
    </w:pPr>
    <w:rPr>
      <w:rFonts w:ascii="等线" w:hAnsi="等线"/>
      <w:sz w:val="24"/>
      <w:szCs w:val="22"/>
      <w:lang w:val="zh-CN"/>
    </w:rPr>
  </w:style>
  <w:style w:type="paragraph" w:customStyle="1" w:styleId="140">
    <w:name w:val="列出段落1"/>
    <w:basedOn w:val="1"/>
    <w:qFormat/>
    <w:uiPriority w:val="34"/>
    <w:pPr>
      <w:spacing w:line="240" w:lineRule="auto"/>
      <w:ind w:firstLine="420"/>
    </w:pPr>
    <w:rPr>
      <w:rFonts w:ascii="Calibri" w:hAnsi="Calibri"/>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Template>
  <Pages>32</Pages>
  <Words>3286</Words>
  <Characters>3434</Characters>
  <Lines>64</Lines>
  <Paragraphs>18</Paragraphs>
  <TotalTime>34</TotalTime>
  <ScaleCrop>false</ScaleCrop>
  <LinksUpToDate>false</LinksUpToDate>
  <CharactersWithSpaces>3436</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2022-12-23T17:54:00Z</dcterms:created>
  <dc:creator>gtig_tzb</dc:creator>
  <cp:lastModifiedBy>傅旭明</cp:lastModifiedBy>
  <cp:lastPrinted>2020-08-07T04:08:00Z</cp:lastPrinted>
  <dcterms:modified xsi:type="dcterms:W3CDTF">2026-01-08T10:23:41Z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KSOTemplateDocerSaveRecord">
    <vt:lpwstr>eyJoZGlkIjoiYzRkZmM2OGQ0MGMxZmI0OGU4ZTYzODVhZjkzOTJiOGYiLCJ1c2VySWQiOiIxMTk5NzYwMTAwIn0=</vt:lpwstr>
  </property>
  <property fmtid="{D5CDD505-2E9C-101B-9397-08002B2CF9AE}" pid="4" name="ICV">
    <vt:lpwstr>A4E4FE33BE1249E491E7DBB50B14019A_13</vt:lpwstr>
  </property>
</Properties>
</file>